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CHAVEZ LINDA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5"/>
          </w:tcPr>
          <w:p>
            <w:pPr>
              <w:ind w:left="160"/>
              <w:spacing w:after="0"/>
              <w:rPr>
                <w:sz w:val="20"/>
                <w:szCs w:val="20"/>
                <w:color w:val="auto"/>
              </w:rPr>
            </w:pPr>
            <w:r>
              <w:rPr>
                <w:rFonts w:ascii="Arial" w:cs="Arial" w:eastAsia="Arial" w:hAnsi="Arial"/>
                <w:sz w:val="18"/>
                <w:szCs w:val="18"/>
                <w:color w:val="0000FF"/>
              </w:rPr>
              <w:t>03/10/2017</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60"/>
              <w:spacing w:after="0"/>
              <w:rPr>
                <w:sz w:val="20"/>
                <w:szCs w:val="20"/>
                <w:color w:val="auto"/>
              </w:rPr>
            </w:pPr>
            <w:r>
              <w:rPr>
                <w:rFonts w:ascii="Arial" w:cs="Arial" w:eastAsia="Arial" w:hAnsi="Arial"/>
                <w:sz w:val="18"/>
                <w:szCs w:val="18"/>
                <w:color w:val="0000FF"/>
              </w:rPr>
              <w:t>03/10/2017</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5,000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4"/>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43.2118</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13,234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7"/>
          </w:tcPr>
          <w:p>
            <w:pPr>
              <w:jc w:val="center"/>
              <w:ind w:left="7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60" w:type="dxa"/>
            <w:vAlign w:val="bottom"/>
            <w:gridSpan w:val="14"/>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$42.92 to $43.35, inclusive. The reporting person undertakes to provide to ABM Industries Incorporated, any security holder of ABM Industries Incorporated, or the staff of the Securities and Exchange Commission, upon request, full information regarding the number of shares sold at each separate price within the ranges set forth in footnote 1 of this Form 4.</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6,846 unvested RSUs and 6,234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03/13/2017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4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2019-12-23T21:42:01Z</dcterms:created>
  <dcterms:modified xsi:type="dcterms:W3CDTF">2019-12-23T21:42:01Z</dcterms:modified>
</cp:coreProperties>
</file>