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EVP/GEN. COUNSEL/CORP. SECTY.</w:t>
      </w:r>
    </w:p>
    <w:p>
      <w:pPr>
        <w:spacing w:after="0" w:line="429" w:lineRule="exact"/>
        <w:rPr>
          <w:sz w:val="24"/>
          <w:szCs w:val="24"/>
          <w:color w:val="auto"/>
        </w:rPr>
      </w:pPr>
    </w:p>
    <w:p>
      <w:pPr>
        <w:sectPr>
          <w:pgSz w:w="11900" w:h="16838" w:orient="portrait"/>
          <w:cols w:equalWidth="0" w:num="3">
            <w:col w:w="3360" w:space="720"/>
            <w:col w:w="3400" w:space="5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12/30/2016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7,479</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25.3</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319"/>
              <w:spacing w:after="0"/>
              <w:rPr>
                <w:sz w:val="20"/>
                <w:szCs w:val="20"/>
                <w:color w:val="auto"/>
              </w:rPr>
            </w:pPr>
            <w:r>
              <w:rPr>
                <w:rFonts w:ascii="Arial" w:cs="Arial" w:eastAsia="Arial" w:hAnsi="Arial"/>
                <w:sz w:val="18"/>
                <w:szCs w:val="18"/>
                <w:color w:val="0000FF"/>
              </w:rPr>
              <w:t>81,446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12/30/2016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6,249</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40.6784</w:t>
            </w:r>
            <w:r>
              <w:rPr>
                <w:rFonts w:ascii="Arial" w:cs="Arial" w:eastAsia="Arial" w:hAnsi="Arial"/>
                <w:sz w:val="22"/>
                <w:szCs w:val="22"/>
                <w:color w:val="008000"/>
                <w:w w:val="85"/>
                <w:vertAlign w:val="superscript"/>
              </w:rPr>
              <w:t>(1)</w:t>
            </w:r>
          </w:p>
        </w:tc>
        <w:tc>
          <w:tcPr>
            <w:tcW w:w="122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75,197</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12/30/2016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6"/>
                <w:szCs w:val="16"/>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7,479</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09/06/2020</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7,479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80"/>
              <w:spacing w:after="0"/>
              <w:rPr>
                <w:sz w:val="20"/>
                <w:szCs w:val="20"/>
                <w:color w:val="auto"/>
              </w:rPr>
            </w:pPr>
            <w:r>
              <w:rPr>
                <w:rFonts w:ascii="Arial" w:cs="Arial" w:eastAsia="Arial" w:hAnsi="Arial"/>
                <w:sz w:val="14"/>
                <w:szCs w:val="14"/>
                <w:color w:val="0000FF"/>
                <w:w w:val="96"/>
              </w:rPr>
              <w:t>2,494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(3)</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$40.62 to $40.79,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ranges set forth in footnote 1 of this Form 4.</w:t>
      </w:r>
    </w:p>
    <w:p>
      <w:pPr>
        <w:spacing w:after="0" w:line="30" w:lineRule="exact"/>
        <w:rPr>
          <w:rFonts w:ascii="Arial" w:cs="Arial" w:eastAsia="Arial" w:hAnsi="Arial"/>
          <w:sz w:val="14"/>
          <w:szCs w:val="14"/>
          <w:color w:val="008000"/>
        </w:rPr>
      </w:pPr>
    </w:p>
    <w:p>
      <w:pPr>
        <w:ind w:left="40" w:right="3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13,050 unvested RSUs, 29,784 vested RSUs, the receipt of which has been deferred, and DERS relating to the RSUs, 3,621 performance shares earned but not vested with respect to performance shares granted on 1/14/2014, 986 performance shares earned but not vested with respect to performance shares granted on 1/15/2015, and DERs related thereto.</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9/6/2014 and 25% on the anniversary date of the following three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2019-12-23T21:43:20Z</dcterms:created>
  <dcterms:modified xsi:type="dcterms:W3CDTF">2019-12-23T21:43:20Z</dcterms:modified>
</cp:coreProperties>
</file>