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4"/>
            <w:vMerge w:val="restart"/>
          </w:tcPr>
          <w:p>
            <w:pPr>
              <w:spacing w:after="0"/>
              <w:rPr>
                <w:rFonts w:ascii="Times New Roman" w:cs="Times New Roman" w:eastAsia="Times New Roman" w:hAnsi="Times New Roman"/>
                <w:sz w:val="22"/>
                <w:szCs w:val="22"/>
                <w:color w:val="0000EE"/>
                <w:w w:val="97"/>
              </w:rPr>
            </w:pPr>
            <w:hyperlink r:id="rId12">
              <w:r>
                <w:rPr>
                  <w:rFonts w:ascii="Times New Roman" w:cs="Times New Roman" w:eastAsia="Times New Roman" w:hAnsi="Times New Roman"/>
                  <w:sz w:val="22"/>
                  <w:szCs w:val="22"/>
                  <w:color w:val="0000EE"/>
                  <w:w w:val="97"/>
                </w:rPr>
                <w:t>GARCIA ART A</w:t>
              </w:r>
            </w:hyperlink>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ABM INDUSTRIES INC /DE/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ABM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4"/>
            <w:vMerge w:val="continue"/>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5"/>
                <w:szCs w:val="15"/>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7"/>
            <w:vMerge w:val="continue"/>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0000FF"/>
              </w:rPr>
              <w:t>08/07/2017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7TH FLOOR</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8"/>
            <w:vMerge w:val="continue"/>
          </w:tcPr>
          <w:p>
            <w:pPr>
              <w:spacing w:after="0"/>
              <w:rPr>
                <w:sz w:val="6"/>
                <w:szCs w:val="6"/>
                <w:color w:val="auto"/>
              </w:rPr>
            </w:pPr>
          </w:p>
        </w:tc>
        <w:tc>
          <w:tcPr>
            <w:tcW w:w="160" w:type="dxa"/>
            <w:vAlign w:val="bottom"/>
          </w:tcPr>
          <w:p>
            <w:pPr>
              <w:spacing w:after="0"/>
              <w:rPr>
                <w:sz w:val="6"/>
                <w:szCs w:val="6"/>
                <w:color w:val="auto"/>
              </w:rPr>
            </w:pPr>
          </w:p>
        </w:tc>
        <w:tc>
          <w:tcPr>
            <w:tcW w:w="34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gridSpan w:val="6"/>
          </w:tcPr>
          <w:p>
            <w:pPr>
              <w:ind w:left="60"/>
              <w:spacing w:after="0" w:line="201" w:lineRule="exact"/>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NEW YORK</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w w:val="92"/>
              </w:rPr>
              <w:t>NY</w:t>
            </w:r>
          </w:p>
        </w:tc>
        <w:tc>
          <w:tcPr>
            <w:tcW w:w="10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10006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80"/>
              <w:spacing w:after="0" w:line="152"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80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Amount</w:t>
            </w:r>
          </w:p>
        </w:tc>
        <w:tc>
          <w:tcPr>
            <w:tcW w:w="760" w:type="dxa"/>
            <w:vAlign w:val="bottom"/>
            <w:vMerge w:val="continue"/>
          </w:tcPr>
          <w:p>
            <w:pPr>
              <w:spacing w:after="0"/>
              <w:rPr>
                <w:sz w:val="11"/>
                <w:szCs w:val="11"/>
                <w:color w:val="auto"/>
              </w:rPr>
            </w:pP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8"/>
                <w:szCs w:val="18"/>
                <w:color w:val="0000FF"/>
              </w:rPr>
              <w:t>08/07/2017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680" w:type="dxa"/>
            <w:vAlign w:val="bottom"/>
            <w:tcBorders>
              <w:bottom w:val="single" w:sz="8" w:color="2C2C2C"/>
            </w:tcBorders>
            <w:gridSpan w:val="2"/>
          </w:tcPr>
          <w:p>
            <w:pPr>
              <w:jc w:val="right"/>
              <w:ind w:right="80"/>
              <w:spacing w:after="0" w:line="324" w:lineRule="exact"/>
              <w:rPr>
                <w:sz w:val="20"/>
                <w:szCs w:val="20"/>
                <w:color w:val="auto"/>
              </w:rPr>
            </w:pPr>
            <w:r>
              <w:rPr>
                <w:rFonts w:ascii="Times New Roman" w:cs="Times New Roman" w:eastAsia="Times New Roman" w:hAnsi="Times New Roman"/>
                <w:sz w:val="35"/>
                <w:szCs w:val="35"/>
                <w:color w:val="0000FF"/>
                <w:vertAlign w:val="subscript"/>
              </w:rPr>
              <w:t>9</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8"/>
                <w:szCs w:val="18"/>
                <w:color w:val="0000FF"/>
              </w:rPr>
              <w:t>A</w:t>
            </w: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44.7</w:t>
            </w:r>
          </w:p>
        </w:tc>
        <w:tc>
          <w:tcPr>
            <w:tcW w:w="12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8"/>
                <w:szCs w:val="18"/>
                <w:color w:val="0000FF"/>
              </w:rPr>
              <w:t>2,349</w:t>
            </w:r>
            <w:r>
              <w:rPr>
                <w:rFonts w:ascii="Times New Roman" w:cs="Times New Roman" w:eastAsia="Times New Roman" w:hAnsi="Times New Roman"/>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8"/>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3"/>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98"/>
              </w:rPr>
              <w:t>Expiration</w:t>
            </w:r>
          </w:p>
        </w:tc>
        <w:tc>
          <w:tcPr>
            <w:tcW w:w="114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w w:val="92"/>
              </w:rPr>
              <w:t>Date</w:t>
            </w: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2,349 RSUs and DERs related thereto, adjusted to reflect the cumulative effect of fractional shares .</w:t>
      </w:r>
    </w:p>
    <w:p>
      <w:pPr>
        <w:spacing w:after="0" w:line="50"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By: Barbara L. Smithers, by</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0000FF"/>
                <w:w w:val="95"/>
              </w:rPr>
              <w:t>08/08/2017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3585"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2019-12-23T21:45:15Z</dcterms:created>
  <dcterms:modified xsi:type="dcterms:W3CDTF">2019-12-23T21:45:15Z</dcterms:modified>
</cp:coreProperties>
</file>