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June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6350</wp:posOffset>
            </wp:positionV>
            <wp:extent cx="1209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gridSpan w:val="3"/>
          </w:tcPr>
          <w:p>
            <w:pPr>
              <w:jc w:val="center"/>
              <w:ind w:left="1210"/>
              <w:spacing w:after="0"/>
              <w:rPr>
                <w:sz w:val="20"/>
                <w:szCs w:val="20"/>
                <w:color w:val="auto"/>
              </w:rPr>
            </w:pPr>
            <w:r>
              <w:rPr>
                <w:rFonts w:ascii="Arial" w:cs="Arial" w:eastAsia="Arial" w:hAnsi="Arial"/>
                <w:sz w:val="18"/>
                <w:szCs w:val="18"/>
                <w:b w:val="1"/>
                <w:bCs w:val="1"/>
                <w:color w:val="auto"/>
                <w:w w:val="89"/>
              </w:rPr>
              <w:t>1-8929</w:t>
            </w: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94-1369354</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160" w:type="dxa"/>
            <w:vAlign w:val="bottom"/>
            <w:gridSpan w:val="4"/>
          </w:tcPr>
          <w:p>
            <w:pPr>
              <w:jc w:val="center"/>
              <w:ind w:right="700"/>
              <w:spacing w:after="0"/>
              <w:rPr>
                <w:sz w:val="20"/>
                <w:szCs w:val="20"/>
                <w:color w:val="auto"/>
              </w:rPr>
            </w:pPr>
            <w:r>
              <w:rPr>
                <w:rFonts w:ascii="Arial" w:cs="Arial" w:eastAsia="Arial" w:hAnsi="Arial"/>
                <w:sz w:val="18"/>
                <w:szCs w:val="18"/>
                <w:color w:val="auto"/>
                <w:w w:val="93"/>
              </w:rPr>
              <w:t>of incorporation)</w:t>
            </w:r>
          </w:p>
        </w:tc>
        <w:tc>
          <w:tcPr>
            <w:tcW w:w="3840" w:type="dxa"/>
            <w:vAlign w:val="bottom"/>
            <w:gridSpan w:val="5"/>
          </w:tcPr>
          <w:p>
            <w:pPr>
              <w:jc w:val="center"/>
              <w:ind w:right="700"/>
              <w:spacing w:after="0"/>
              <w:rPr>
                <w:sz w:val="20"/>
                <w:szCs w:val="20"/>
                <w:color w:val="auto"/>
              </w:rPr>
            </w:pPr>
            <w:r>
              <w:rPr>
                <w:rFonts w:ascii="Arial" w:cs="Arial" w:eastAsia="Arial" w:hAnsi="Arial"/>
                <w:sz w:val="18"/>
                <w:szCs w:val="18"/>
                <w:color w:val="auto"/>
                <w:w w:val="94"/>
              </w:rPr>
              <w:t>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800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w w:val="89"/>
              </w:rPr>
              <w:t>160 Pacific Avenue, Suite 222, San Francisco, California</w:t>
            </w:r>
          </w:p>
        </w:tc>
        <w:tc>
          <w:tcPr>
            <w:tcW w:w="3420" w:type="dxa"/>
            <w:vAlign w:val="bottom"/>
          </w:tcPr>
          <w:p>
            <w:pPr>
              <w:jc w:val="right"/>
              <w:ind w:right="2410"/>
              <w:spacing w:after="0"/>
              <w:rPr>
                <w:sz w:val="20"/>
                <w:szCs w:val="20"/>
                <w:color w:val="auto"/>
              </w:rPr>
            </w:pPr>
            <w:r>
              <w:rPr>
                <w:rFonts w:ascii="Arial" w:cs="Arial" w:eastAsia="Arial" w:hAnsi="Arial"/>
                <w:sz w:val="18"/>
                <w:szCs w:val="18"/>
                <w:b w:val="1"/>
                <w:bCs w:val="1"/>
                <w:color w:val="auto"/>
              </w:rPr>
              <w:t>94111</w:t>
            </w:r>
          </w:p>
        </w:tc>
      </w:tr>
      <w:tr>
        <w:trPr>
          <w:trHeight w:val="224"/>
        </w:trPr>
        <w:tc>
          <w:tcPr>
            <w:tcW w:w="4160" w:type="dxa"/>
            <w:vAlign w:val="bottom"/>
            <w:tcBorders>
              <w:top w:val="single" w:sz="8" w:color="auto"/>
            </w:tcBorders>
            <w:gridSpan w:val="4"/>
          </w:tcPr>
          <w:p>
            <w:pPr>
              <w:jc w:val="center"/>
              <w:ind w:left="117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418"/>
        </w:trPr>
        <w:tc>
          <w:tcPr>
            <w:tcW w:w="3740" w:type="dxa"/>
            <w:vAlign w:val="bottom"/>
            <w:gridSpan w:val="2"/>
          </w:tcPr>
          <w:p>
            <w:pPr>
              <w:spacing w:after="0"/>
              <w:rPr>
                <w:sz w:val="20"/>
                <w:szCs w:val="20"/>
                <w:color w:val="auto"/>
              </w:rPr>
            </w:pPr>
            <w:r>
              <w:rPr>
                <w:rFonts w:ascii="Arial" w:cs="Arial" w:eastAsia="Arial" w:hAnsi="Arial"/>
                <w:sz w:val="18"/>
                <w:szCs w:val="18"/>
                <w:color w:val="auto"/>
                <w:w w:val="90"/>
              </w:rPr>
              <w:t>Registrant’s telephone number, including area code</w:t>
            </w:r>
          </w:p>
        </w:tc>
        <w:tc>
          <w:tcPr>
            <w:tcW w:w="42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(415) 733-4000</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41"/>
        </w:trPr>
        <w:tc>
          <w:tcPr>
            <w:tcW w:w="3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8"/>
                <w:szCs w:val="18"/>
                <w:b w:val="1"/>
                <w:bCs w:val="1"/>
                <w:color w:val="auto"/>
                <w:w w:val="92"/>
              </w:rPr>
              <w:t>Not Applicable</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8"/>
          </w:tcPr>
          <w:p>
            <w:pPr>
              <w:jc w:val="center"/>
              <w:ind w:right="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420" w:type="dxa"/>
            <w:vAlign w:val="bottom"/>
          </w:tcPr>
          <w:p>
            <w:pPr>
              <w:spacing w:after="0"/>
              <w:rPr>
                <w:sz w:val="20"/>
                <w:szCs w:val="20"/>
                <w:color w:val="auto"/>
              </w:rPr>
            </w:pPr>
          </w:p>
        </w:tc>
      </w:tr>
    </w:tbl>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11260" w:type="dxa"/>
            <w:vAlign w:val="bottom"/>
            <w:gridSpan w:val="2"/>
          </w:tcPr>
          <w:p>
            <w:pPr>
              <w:ind w:left="8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432"/>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11260" w:type="dxa"/>
            <w:vAlign w:val="bottom"/>
            <w:gridSpan w:val="2"/>
          </w:tcPr>
          <w:p>
            <w:pPr>
              <w:ind w:left="80"/>
              <w:spacing w:after="0"/>
              <w:rPr>
                <w:sz w:val="20"/>
                <w:szCs w:val="20"/>
                <w:color w:val="auto"/>
              </w:rPr>
            </w:pPr>
            <w:r>
              <w:rPr>
                <w:rFonts w:ascii="Arial" w:cs="Arial" w:eastAsia="Arial" w:hAnsi="Arial"/>
                <w:sz w:val="18"/>
                <w:szCs w:val="18"/>
                <w:color w:val="auto"/>
              </w:rPr>
              <w:t>]  Soliciting material pursuant to Rule 14a-12 under the Exchange Act (17 CFR 240.14a-12)</w:t>
            </w:r>
          </w:p>
        </w:tc>
      </w:tr>
      <w:tr>
        <w:trPr>
          <w:trHeight w:val="432"/>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02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02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37"/>
        </w:trPr>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tcPr>
          <w:p>
            <w:pPr>
              <w:spacing w:after="0"/>
              <w:rPr>
                <w:sz w:val="20"/>
                <w:szCs w:val="20"/>
                <w:color w:val="auto"/>
              </w:rPr>
            </w:pPr>
          </w:p>
        </w:tc>
      </w:tr>
      <w:tr>
        <w:trPr>
          <w:trHeight w:val="631"/>
        </w:trPr>
        <w:tc>
          <w:tcPr>
            <w:tcW w:w="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both"/>
        <w:ind w:right="100"/>
        <w:spacing w:after="0" w:line="302" w:lineRule="auto"/>
        <w:rPr>
          <w:sz w:val="20"/>
          <w:szCs w:val="20"/>
          <w:color w:val="auto"/>
        </w:rPr>
      </w:pPr>
      <w:r>
        <w:rPr>
          <w:rFonts w:ascii="Arial" w:cs="Arial" w:eastAsia="Arial" w:hAnsi="Arial"/>
          <w:sz w:val="16"/>
          <w:szCs w:val="16"/>
          <w:i w:val="1"/>
          <w:iCs w:val="1"/>
          <w:color w:val="auto"/>
        </w:rPr>
        <w:t>ABM Industries Incorporated (“ABM” or the “Company”) filed a Current Report on Form 8-K on June 16, 2005 (the “Original Form 8-K”), to report the entry into and termination of a material definitive agreement and certain grants of employee stock options. ABM is filing this Form 8-K/A to correct certain information contained in Item 1.01 of the Original Form 8-K with respect to the employee stock options granted under the 2002 Price-Vested Option Plan to Henrik C. Slipsager and James P. McClure. The correct Item 1.01 is set forth in its entirety below. Item 1.02 is unchanged from the Original Form 8-K.</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6"/>
          <w:szCs w:val="16"/>
          <w:u w:val="single" w:color="auto"/>
          <w:color w:val="auto"/>
        </w:rPr>
        <w:t>Entry into a Material Definitive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14, 2005, ABM Industries Incorporated (“ABM”) and Henrik C. Slipsager, President &amp; Chief Executive Officer of ABM entered into a new employment agreement. The new agreement has a term ending October 31, 2008. The terms of Mr. Slipsager’s compensation are unchanged, with a base salary of $677,950 and a target bonus of 50% of base salary, which may range from 0% to 150% of the target based on Mr. Slipsager’s performance. The performance criteria for fiscal 2005 are those reported in ABM’s Form 8-K Current Report dated March 24, 2005. The remaining provisions of the agreement contain substantially the same terms and conditions as Mr. Slipsager’s previous employment agreement, including non-competition, post-employment non-solicitation of customers and employees, and confidentiality with additional terms related to mutual non-disparagement, cooperation on litigation matters subsequent to termination, and revised terms related to the arbitration of any post-employment disputes.</w:t>
      </w:r>
    </w:p>
    <w:p>
      <w:pPr>
        <w:spacing w:after="0" w:line="5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June 14, 2005, the Compensation Committee of the Board of Directors (the “Compensation Committee”) granted the following executive officers stock options under the 2002 Price-Vested Stock Option Plan to purchase the number of shares of the Company’s common stock set forth beside each officer’s name: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Henrik C. Slipsager</w:t>
            </w:r>
          </w:p>
        </w:tc>
        <w:tc>
          <w:tcPr>
            <w:tcW w:w="41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William T. (“Terry”) Petty</w:t>
            </w:r>
          </w:p>
        </w:tc>
        <w:tc>
          <w:tcPr>
            <w:tcW w:w="41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Executive Vice President &amp;</w:t>
            </w:r>
          </w:p>
        </w:tc>
        <w:tc>
          <w:tcPr>
            <w:tcW w:w="412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James P. McClure</w:t>
            </w:r>
          </w:p>
        </w:tc>
        <w:tc>
          <w:tcPr>
            <w:tcW w:w="412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Executive Vice President &amp;</w:t>
            </w:r>
          </w:p>
        </w:tc>
        <w:tc>
          <w:tcPr>
            <w:tcW w:w="412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President, ABM Janitorial Services</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George B. Sundby</w:t>
            </w:r>
          </w:p>
        </w:tc>
        <w:tc>
          <w:tcPr>
            <w:tcW w:w="41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Executive Vice President &amp;</w:t>
            </w:r>
          </w:p>
        </w:tc>
        <w:tc>
          <w:tcPr>
            <w:tcW w:w="412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Linda S. Auwers</w:t>
            </w:r>
          </w:p>
        </w:tc>
        <w:tc>
          <w:tcPr>
            <w:tcW w:w="412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412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General Counsel</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Steven M. Zaccagnini</w:t>
            </w:r>
          </w:p>
        </w:tc>
        <w:tc>
          <w:tcPr>
            <w:tcW w:w="41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412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President, ABM Facility Services</w:t>
            </w:r>
          </w:p>
        </w:tc>
        <w:tc>
          <w:tcPr>
            <w:tcW w:w="412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David L. Farwell</w:t>
            </w:r>
          </w:p>
        </w:tc>
        <w:tc>
          <w:tcPr>
            <w:tcW w:w="41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Vice President &amp; Treasurer</w:t>
            </w:r>
          </w:p>
        </w:tc>
        <w:tc>
          <w:tcPr>
            <w:tcW w:w="4120" w:type="dxa"/>
            <w:vAlign w:val="bottom"/>
          </w:tcPr>
          <w:p>
            <w:pPr>
              <w:spacing w:after="0"/>
              <w:rPr>
                <w:sz w:val="20"/>
                <w:szCs w:val="20"/>
                <w:color w:val="auto"/>
              </w:rPr>
            </w:pP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exercise price for the shares under the June 14, 2005 grants is $18.30, the “Fair Market Value” of a share of the Company’s common stock at the time of grant. The shares will vest within the first four years after the date of grant if the Fair Market Value of the Common Stock for 10 trading days in any period of 30 consecutive trading days (a) equals or exceeds $23 with respect to 50% of the shares or (b) equals or exceeds $26 for the remaining shares. To the extent that accelerated vesting does not occur, the options will vest on June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3" w:lineRule="exact"/>
        <w:rPr>
          <w:sz w:val="20"/>
          <w:szCs w:val="20"/>
          <w:color w:val="auto"/>
        </w:rPr>
      </w:pPr>
    </w:p>
    <w:p>
      <w:pPr>
        <w:ind w:right="60" w:firstLine="8"/>
        <w:spacing w:after="0" w:line="259" w:lineRule="auto"/>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September 6, 2005, the Compensation Committee made subsequent grants, effective September 14, 2005, to Mr. Slipsager and Mr. McClure under the Company’s 1987 Time Vested Incentive Stock Option Plan for an additional 100,000 shares and 5,640 shares, respectively. The exercise price for these options will be equal to the closing price of the Company’s common stock on the Composite Transaction Index for the New York Stock Exchange on September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Item 1.02 </w:t>
      </w:r>
      <w:r>
        <w:rPr>
          <w:rFonts w:ascii="Arial" w:cs="Arial" w:eastAsia="Arial" w:hAnsi="Arial"/>
          <w:sz w:val="18"/>
          <w:szCs w:val="18"/>
          <w:u w:val="single" w:color="auto"/>
          <w:color w:val="auto"/>
        </w:rPr>
        <w:t>Termination of a Material Definitive Agreement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14, 2005, the employment agreement effective as of November 1, 2003 between ABM and Mr. Slipsager terminated and was replaced by the agreement dated June 14, 2005, which is discussed under Item 1.01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935" w:right="87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ABM INDUSTRIES INCORPORATED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September 12, 2005</w:t>
            </w: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 /s/ Linda S. Auwers</w:t>
            </w: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S. Auwers</w:t>
            </w:r>
          </w:p>
        </w:tc>
      </w:tr>
      <w:tr>
        <w:trPr>
          <w:trHeight w:val="230"/>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pacing w:after="0" w:line="1" w:lineRule="exact"/>
        <w:rPr>
          <w:sz w:val="20"/>
          <w:szCs w:val="20"/>
          <w:color w:val="auto"/>
        </w:rPr>
      </w:pPr>
    </w:p>
    <w:sectPr>
      <w:pgSz w:w="11900" w:h="16838" w:orient="portrait"/>
      <w:cols w:equalWidth="0" w:num="1">
        <w:col w:w="11280"/>
      </w:cols>
      <w:pgMar w:left="240" w:top="95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2019-12-11T20:53:23Z</dcterms:created>
  <dcterms:modified xsi:type="dcterms:W3CDTF">2019-12-11T20:53:23Z</dcterms:modified>
</cp:coreProperties>
</file>