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CHIN DEAN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SVP - Chief Accounting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11/07/2016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vertAlign w:val="subscript"/>
              </w:rPr>
              <w:t>55</w:t>
            </w:r>
            <w:r>
              <w:rPr>
                <w:rFonts w:ascii="Arial" w:cs="Arial" w:eastAsia="Arial" w:hAnsi="Arial"/>
                <w:sz w:val="11"/>
                <w:szCs w:val="11"/>
                <w:color w:val="008000"/>
              </w:rPr>
              <w:t>(1)</w:t>
            </w:r>
          </w:p>
        </w:tc>
        <w:tc>
          <w:tcPr>
            <w:tcW w:w="7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57"/>
              <w:spacing w:after="0"/>
              <w:rPr>
                <w:sz w:val="20"/>
                <w:szCs w:val="20"/>
                <w:color w:val="auto"/>
              </w:rPr>
            </w:pPr>
            <w:r>
              <w:rPr>
                <w:rFonts w:ascii="Arial" w:cs="Arial" w:eastAsia="Arial" w:hAnsi="Arial"/>
                <w:sz w:val="18"/>
                <w:szCs w:val="18"/>
                <w:color w:val="0000FF"/>
                <w:w w:val="83"/>
              </w:rPr>
              <w:t>18,702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11/07/2016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95"/>
              <w:spacing w:after="0"/>
              <w:rPr>
                <w:sz w:val="20"/>
                <w:szCs w:val="20"/>
                <w:color w:val="auto"/>
              </w:rPr>
            </w:pPr>
            <w:r>
              <w:rPr>
                <w:rFonts w:ascii="Arial" w:cs="Arial" w:eastAsia="Arial" w:hAnsi="Arial"/>
                <w:sz w:val="18"/>
                <w:szCs w:val="18"/>
                <w:color w:val="0000FF"/>
              </w:rPr>
              <w:t>4</w:t>
            </w:r>
          </w:p>
        </w:tc>
        <w:tc>
          <w:tcPr>
            <w:tcW w:w="7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w:t>
            </w:r>
          </w:p>
        </w:tc>
        <w:tc>
          <w:tcPr>
            <w:tcW w:w="126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18,698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2"/>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jc w:val="both"/>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8,641 RSUs, adjusted to reflect the cumulative effect of fractional shares, 1,470 performance shares earned but not vested with respect to performance shares granted on 1/14/2014, 400 performance shares earned but not vested with respect to performance shares granted on 1/15/2015, 380 performance shares earned but not vested with respect to performance shares granted on 4/10/2015,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11/09/2016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7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2019-12-23T21:39:52Z</dcterms:created>
  <dcterms:modified xsi:type="dcterms:W3CDTF">2019-12-23T21:39:52Z</dcterms:modified>
</cp:coreProperties>
</file>