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 2002</w:t>
      </w:r>
    </w:p>
    <w:p>
      <w:pPr>
        <w:spacing w:after="0" w:line="225" w:lineRule="exact"/>
        <w:rPr>
          <w:sz w:val="20"/>
          <w:szCs w:val="20"/>
          <w:color w:val="auto"/>
        </w:rPr>
      </w:pPr>
    </w:p>
    <w:p>
      <w:pPr>
        <w:ind w:left="9380"/>
        <w:spacing w:after="0"/>
        <w:rPr>
          <w:sz w:val="20"/>
          <w:szCs w:val="20"/>
          <w:color w:val="auto"/>
        </w:rPr>
      </w:pPr>
      <w:r>
        <w:rPr>
          <w:rFonts w:ascii="Arial" w:cs="Arial" w:eastAsia="Arial" w:hAnsi="Arial"/>
          <w:sz w:val="15"/>
          <w:szCs w:val="15"/>
          <w:b w:val="1"/>
          <w:bCs w:val="1"/>
          <w:color w:val="auto"/>
        </w:rPr>
        <w:t>Registration No. 333-_____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S-8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ABM INDUSTRIES INCORPORATED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4320" w:type="dxa"/>
            <w:vAlign w:val="bottom"/>
          </w:tcPr>
          <w:p>
            <w:pPr>
              <w:jc w:val="center"/>
              <w:ind w:right="1942"/>
              <w:spacing w:after="0"/>
              <w:rPr>
                <w:sz w:val="20"/>
                <w:szCs w:val="20"/>
                <w:color w:val="auto"/>
              </w:rPr>
            </w:pPr>
            <w:r>
              <w:rPr>
                <w:rFonts w:ascii="Arial" w:cs="Arial" w:eastAsia="Arial" w:hAnsi="Arial"/>
                <w:sz w:val="18"/>
                <w:szCs w:val="18"/>
                <w:b w:val="1"/>
                <w:bCs w:val="1"/>
                <w:color w:val="auto"/>
                <w:w w:val="88"/>
              </w:rPr>
              <w:t>Delaware</w:t>
            </w:r>
          </w:p>
        </w:tc>
        <w:tc>
          <w:tcPr>
            <w:tcW w:w="3060" w:type="dxa"/>
            <w:vAlign w:val="bottom"/>
          </w:tcPr>
          <w:p>
            <w:pPr>
              <w:jc w:val="right"/>
              <w:ind w:right="24"/>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432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60" w:type="dxa"/>
            <w:vAlign w:val="bottom"/>
          </w:tcPr>
          <w:p>
            <w:pPr>
              <w:jc w:val="center"/>
              <w:ind w:left="19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20" w:type="dxa"/>
            <w:vAlign w:val="bottom"/>
          </w:tcPr>
          <w:p>
            <w:pPr>
              <w:jc w:val="center"/>
              <w:ind w:right="1942"/>
              <w:spacing w:after="0"/>
              <w:rPr>
                <w:sz w:val="20"/>
                <w:szCs w:val="20"/>
                <w:color w:val="auto"/>
              </w:rPr>
            </w:pPr>
            <w:r>
              <w:rPr>
                <w:rFonts w:ascii="Arial" w:cs="Arial" w:eastAsia="Arial" w:hAnsi="Arial"/>
                <w:sz w:val="14"/>
                <w:szCs w:val="14"/>
                <w:b w:val="1"/>
                <w:bCs w:val="1"/>
                <w:color w:val="auto"/>
                <w:w w:val="89"/>
              </w:rPr>
              <w:t>Incorporation or Organization)</w:t>
            </w:r>
          </w:p>
        </w:tc>
        <w:tc>
          <w:tcPr>
            <w:tcW w:w="3060" w:type="dxa"/>
            <w:vAlign w:val="bottom"/>
          </w:tcPr>
          <w:p>
            <w:pPr>
              <w:jc w:val="center"/>
              <w:ind w:left="1924"/>
              <w:spacing w:after="0"/>
              <w:rPr>
                <w:sz w:val="20"/>
                <w:szCs w:val="20"/>
                <w:color w:val="auto"/>
              </w:rPr>
            </w:pPr>
            <w:r>
              <w:rPr>
                <w:rFonts w:ascii="Arial" w:cs="Arial" w:eastAsia="Arial" w:hAnsi="Arial"/>
                <w:sz w:val="14"/>
                <w:szCs w:val="14"/>
                <w:b w:val="1"/>
                <w:bCs w:val="1"/>
                <w:color w:val="auto"/>
                <w:w w:val="89"/>
              </w:rPr>
              <w:t>Identification No.)</w:t>
            </w:r>
          </w:p>
        </w:tc>
      </w:tr>
      <w:tr>
        <w:trPr>
          <w:trHeight w:val="432"/>
        </w:trPr>
        <w:tc>
          <w:tcPr>
            <w:tcW w:w="432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160 Pacific Avenue, Suite 222</w:t>
            </w:r>
          </w:p>
        </w:tc>
        <w:tc>
          <w:tcPr>
            <w:tcW w:w="3060" w:type="dxa"/>
            <w:vAlign w:val="bottom"/>
          </w:tcPr>
          <w:p>
            <w:pPr>
              <w:spacing w:after="0"/>
              <w:rPr>
                <w:sz w:val="24"/>
                <w:szCs w:val="24"/>
                <w:color w:val="auto"/>
              </w:rPr>
            </w:pPr>
          </w:p>
        </w:tc>
      </w:tr>
      <w:tr>
        <w:trPr>
          <w:trHeight w:val="218"/>
        </w:trPr>
        <w:tc>
          <w:tcPr>
            <w:tcW w:w="4320" w:type="dxa"/>
            <w:vAlign w:val="bottom"/>
          </w:tcPr>
          <w:p>
            <w:pPr>
              <w:jc w:val="center"/>
              <w:ind w:right="1962"/>
              <w:spacing w:after="0"/>
              <w:rPr>
                <w:sz w:val="20"/>
                <w:szCs w:val="20"/>
                <w:color w:val="auto"/>
              </w:rPr>
            </w:pPr>
            <w:r>
              <w:rPr>
                <w:rFonts w:ascii="Arial" w:cs="Arial" w:eastAsia="Arial" w:hAnsi="Arial"/>
                <w:sz w:val="18"/>
                <w:szCs w:val="18"/>
                <w:b w:val="1"/>
                <w:bCs w:val="1"/>
                <w:color w:val="auto"/>
                <w:w w:val="87"/>
              </w:rPr>
              <w:t>San Francisco, CA</w:t>
            </w:r>
          </w:p>
        </w:tc>
        <w:tc>
          <w:tcPr>
            <w:tcW w:w="3060" w:type="dxa"/>
            <w:vAlign w:val="bottom"/>
          </w:tcPr>
          <w:p>
            <w:pPr>
              <w:jc w:val="right"/>
              <w:ind w:right="244"/>
              <w:spacing w:after="0"/>
              <w:rPr>
                <w:sz w:val="20"/>
                <w:szCs w:val="20"/>
                <w:color w:val="auto"/>
              </w:rPr>
            </w:pPr>
            <w:r>
              <w:rPr>
                <w:rFonts w:ascii="Arial" w:cs="Arial" w:eastAsia="Arial" w:hAnsi="Arial"/>
                <w:sz w:val="18"/>
                <w:szCs w:val="18"/>
                <w:b w:val="1"/>
                <w:bCs w:val="1"/>
                <w:color w:val="auto"/>
              </w:rPr>
              <w:t>94111</w:t>
            </w:r>
          </w:p>
        </w:tc>
      </w:tr>
      <w:tr>
        <w:trPr>
          <w:trHeight w:val="174"/>
        </w:trPr>
        <w:tc>
          <w:tcPr>
            <w:tcW w:w="4320" w:type="dxa"/>
            <w:vAlign w:val="bottom"/>
          </w:tcPr>
          <w:p>
            <w:pPr>
              <w:jc w:val="center"/>
              <w:ind w:right="19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60" w:type="dxa"/>
            <w:vAlign w:val="bottom"/>
          </w:tcPr>
          <w:p>
            <w:pPr>
              <w:jc w:val="center"/>
              <w:ind w:left="192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ABM Industries Incorporated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2002 Price-Vested Performance Stock Option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137160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Harry H. Kahn, Esq.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160 Pacific Avenue, Suite 222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Francisco, CA 94111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(415) 733-4000</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Leslie P. Jay, Esq.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Orrick, Herrington &amp; Sutcliffe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Old Federal Reserve Bank Building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Sansome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94111-3143</w:t>
      </w:r>
    </w:p>
    <w:p>
      <w:pPr>
        <w:spacing w:after="0" w:line="9" w:lineRule="exact"/>
        <w:rPr>
          <w:sz w:val="20"/>
          <w:szCs w:val="20"/>
          <w:color w:val="auto"/>
        </w:rPr>
      </w:pPr>
    </w:p>
    <w:p>
      <w:pPr>
        <w:ind w:left="5600" w:hanging="430"/>
        <w:spacing w:after="0"/>
        <w:tabs>
          <w:tab w:leader="none" w:pos="5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392-1122</w:t>
      </w:r>
    </w:p>
    <w:p>
      <w:pPr>
        <w:spacing w:after="0" w:line="239" w:lineRule="exact"/>
        <w:rPr>
          <w:rFonts w:ascii="Arial" w:cs="Arial" w:eastAsia="Arial" w:hAnsi="Arial"/>
          <w:sz w:val="18"/>
          <w:szCs w:val="18"/>
          <w:b w:val="1"/>
          <w:bCs w:val="1"/>
          <w:color w:val="auto"/>
        </w:rPr>
      </w:pPr>
    </w:p>
    <w:p>
      <w:pPr>
        <w:ind w:left="40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4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To Be</w:t>
            </w:r>
          </w:p>
        </w:tc>
        <w:tc>
          <w:tcPr>
            <w:tcW w:w="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 Offering</w:t>
            </w:r>
          </w:p>
        </w:tc>
        <w:tc>
          <w:tcPr>
            <w:tcW w:w="3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Aggregate</w:t>
            </w:r>
          </w:p>
        </w:tc>
        <w:tc>
          <w:tcPr>
            <w:tcW w:w="3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4"/>
        </w:trPr>
        <w:tc>
          <w:tcPr>
            <w:tcW w:w="4120" w:type="dxa"/>
            <w:vAlign w:val="bottom"/>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3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3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Price Per Share(2)</w:t>
            </w:r>
          </w:p>
        </w:tc>
        <w:tc>
          <w:tcPr>
            <w:tcW w:w="3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Offering Price(2)</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Fee</w:t>
            </w:r>
          </w:p>
        </w:tc>
      </w:tr>
      <w:tr>
        <w:trPr>
          <w:trHeight w:val="95"/>
        </w:trPr>
        <w:tc>
          <w:tcPr>
            <w:tcW w:w="41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316"/>
        </w:trPr>
        <w:tc>
          <w:tcPr>
            <w:tcW w:w="4120" w:type="dxa"/>
            <w:vAlign w:val="bottom"/>
          </w:tcPr>
          <w:p>
            <w:pPr>
              <w:spacing w:after="0"/>
              <w:rPr>
                <w:sz w:val="20"/>
                <w:szCs w:val="20"/>
                <w:color w:val="auto"/>
              </w:rPr>
            </w:pPr>
            <w:r>
              <w:rPr>
                <w:rFonts w:ascii="Arial" w:cs="Arial" w:eastAsia="Arial" w:hAnsi="Arial"/>
                <w:sz w:val="18"/>
                <w:szCs w:val="18"/>
                <w:color w:val="auto"/>
              </w:rPr>
              <w:t>Common Stock, (3) par value $.01 per share</w:t>
            </w:r>
          </w:p>
        </w:tc>
        <w:tc>
          <w:tcPr>
            <w:tcW w:w="3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2,000,000 shares</w:t>
            </w:r>
          </w:p>
        </w:tc>
        <w:tc>
          <w:tcPr>
            <w:tcW w:w="206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$36.58</w:t>
            </w:r>
          </w:p>
        </w:tc>
        <w:tc>
          <w:tcPr>
            <w:tcW w:w="204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$73,160,000</w:t>
            </w:r>
          </w:p>
        </w:tc>
        <w:tc>
          <w:tcPr>
            <w:tcW w:w="124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$17,485.24</w:t>
            </w:r>
          </w:p>
        </w:tc>
      </w:tr>
      <w:tr>
        <w:trPr>
          <w:trHeight w:val="110"/>
        </w:trPr>
        <w:tc>
          <w:tcPr>
            <w:tcW w:w="4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r>
        <w:trPr>
          <w:trHeight w:val="183"/>
        </w:trPr>
        <w:tc>
          <w:tcPr>
            <w:tcW w:w="412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160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170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70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r>
    </w:tbl>
    <w:p>
      <w:pPr>
        <w:spacing w:after="0" w:line="100" w:lineRule="exact"/>
        <w:rPr>
          <w:sz w:val="20"/>
          <w:szCs w:val="20"/>
          <w:color w:val="auto"/>
        </w:rPr>
      </w:pPr>
    </w:p>
    <w:p>
      <w:pPr>
        <w:ind w:left="580" w:right="40" w:hanging="352"/>
        <w:spacing w:after="0" w:line="252"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registration statement on Form S-8 (“Registration Statement”) shall also cover any additional shares of common stock (hereinafter, the “Common Stock”) of ABM Industries Incorporated which become issuable under the plan being registered pursuant to this Registration Statement by reason of any stock dividend, stock split, recapitalization or any other similar transaction effected without the receipt of consideration which results in an increase in the number of the Registrant’s outstanding shares of Common Stock.</w:t>
      </w:r>
    </w:p>
    <w:p>
      <w:pPr>
        <w:spacing w:after="0" w:line="1" w:lineRule="exact"/>
        <w:rPr>
          <w:rFonts w:ascii="Arial" w:cs="Arial" w:eastAsia="Arial" w:hAnsi="Arial"/>
          <w:sz w:val="18"/>
          <w:szCs w:val="18"/>
          <w:color w:val="auto"/>
        </w:rPr>
      </w:pPr>
    </w:p>
    <w:p>
      <w:pPr>
        <w:ind w:left="580" w:right="80" w:hanging="352"/>
        <w:spacing w:after="0" w:line="281"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457(h)(1), the proposed maximum offering price per share and the proposed maximum aggregate offering price have been calculated on the basis of $36.58 per share, the average of the high and low price of the Common Stock on the New York Stock Exchange on March 26, 2002.</w:t>
      </w:r>
    </w:p>
    <w:p>
      <w:pPr>
        <w:spacing w:after="0" w:line="1" w:lineRule="exact"/>
        <w:rPr>
          <w:rFonts w:ascii="Arial" w:cs="Arial" w:eastAsia="Arial" w:hAnsi="Arial"/>
          <w:sz w:val="16"/>
          <w:szCs w:val="16"/>
          <w:color w:val="auto"/>
        </w:rPr>
      </w:pPr>
    </w:p>
    <w:p>
      <w:pPr>
        <w:ind w:left="580" w:right="560" w:hanging="352"/>
        <w:spacing w:after="0" w:line="261"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Preferred Stock Purchase Rights which, prior to the occurrence of certain events, will not be exercisable or evidenced separately from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PLAN INFORMATION.*</w:t>
        </w:r>
      </w:hyperlink>
    </w:p>
    <w:p>
      <w:pPr>
        <w:ind w:right="619" w:firstLine="311"/>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 REGISTRANT INFORMATION AND EMPLOYEE PLAN ANNUAL INFORMATION.*</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2459"/>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CERTAIN DOCUMENTS BY REFERENCE</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ITEM 4. DESCRIPTION OF SECURITIES</w:t>
        </w:r>
      </w:hyperlink>
    </w:p>
    <w:p>
      <w:pPr>
        <w:spacing w:after="0" w:line="1" w:lineRule="exact"/>
        <w:rPr>
          <w:sz w:val="20"/>
          <w:szCs w:val="20"/>
          <w:color w:val="auto"/>
        </w:rPr>
      </w:pPr>
    </w:p>
    <w:p>
      <w:pPr>
        <w:ind w:left="320" w:right="3439"/>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ITEM 6. INDEMNIFICATION OF DIRECTORS AND OFFICERS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ITEM 7. EXEMPTION FROM REGISTRATION CLAIMED</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ITEM 8. EXHIBITS</w:t>
        </w:r>
      </w:hyperlink>
    </w:p>
    <w:p>
      <w:pPr>
        <w:ind w:left="320"/>
        <w:spacing w:after="0" w:line="233"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0" w:lineRule="auto"/>
        <w:rPr>
          <w:sz w:val="20"/>
          <w:szCs w:val="20"/>
          <w:color w:val="auto"/>
        </w:rPr>
      </w:pPr>
      <w:r>
        <w:rPr>
          <w:rFonts w:ascii="Arial" w:cs="Arial" w:eastAsia="Arial" w:hAnsi="Arial"/>
          <w:sz w:val="22"/>
          <w:szCs w:val="22"/>
          <w:u w:val="single" w:color="auto"/>
          <w:color w:val="0000EE"/>
        </w:rPr>
        <w:t>Exhibit 23.1</w:t>
      </w:r>
    </w:p>
    <w:p>
      <w:pPr>
        <w:spacing w:after="0" w:line="231" w:lineRule="auto"/>
        <w:rPr>
          <w:sz w:val="20"/>
          <w:szCs w:val="20"/>
          <w:color w:val="auto"/>
        </w:rPr>
      </w:pPr>
      <w:r>
        <w:rPr>
          <w:rFonts w:ascii="Arial" w:cs="Arial" w:eastAsia="Arial" w:hAnsi="Arial"/>
          <w:sz w:val="22"/>
          <w:szCs w:val="22"/>
          <w:u w:val="single" w:color="auto"/>
          <w:color w:val="0000EE"/>
        </w:rPr>
        <w:t>Exhibit 24.1</w:t>
      </w: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REGISTRANT INFORMATION AND EMPLOYEE PLAN ANNUAL INFORMATION.*</w:t>
      </w:r>
    </w:p>
    <w:p>
      <w:pPr>
        <w:spacing w:after="0" w:line="225" w:lineRule="exact"/>
        <w:rPr>
          <w:sz w:val="20"/>
          <w:szCs w:val="20"/>
          <w:color w:val="auto"/>
        </w:rPr>
      </w:pPr>
    </w:p>
    <w:p>
      <w:pPr>
        <w:ind w:firstLine="228"/>
        <w:spacing w:after="0" w:line="268" w:lineRule="auto"/>
        <w:tabs>
          <w:tab w:leader="none" w:pos="351"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(the “Securities Act”) and the Note to Part I of Form S-8.</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CERTAIN DOCUMENTS BY REFERENCE</w:t>
      </w:r>
    </w:p>
    <w:p>
      <w:pPr>
        <w:spacing w:after="0" w:line="225" w:lineRule="exact"/>
        <w:rPr>
          <w:sz w:val="20"/>
          <w:szCs w:val="20"/>
          <w:color w:val="auto"/>
        </w:rPr>
      </w:pPr>
    </w:p>
    <w:p>
      <w:pPr>
        <w:ind w:right="600" w:firstLine="216"/>
        <w:spacing w:after="0" w:line="268" w:lineRule="auto"/>
        <w:rPr>
          <w:sz w:val="20"/>
          <w:szCs w:val="20"/>
          <w:color w:val="auto"/>
        </w:rPr>
      </w:pPr>
      <w:r>
        <w:rPr>
          <w:rFonts w:ascii="Arial" w:cs="Arial" w:eastAsia="Arial" w:hAnsi="Arial"/>
          <w:sz w:val="18"/>
          <w:szCs w:val="18"/>
          <w:color w:val="auto"/>
        </w:rPr>
        <w:t>The following documents filed by ABM Industries Incorporated (the “Company”) with the Securities and Exchange Commission (“Commission”) are incorporated by reference into this Registration Statement:</w:t>
      </w:r>
    </w:p>
    <w:p>
      <w:pPr>
        <w:spacing w:after="0" w:line="186" w:lineRule="exact"/>
        <w:rPr>
          <w:sz w:val="20"/>
          <w:szCs w:val="20"/>
          <w:color w:val="auto"/>
        </w:rPr>
      </w:pPr>
    </w:p>
    <w:p>
      <w:pPr>
        <w:ind w:left="560" w:hanging="332"/>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October 31, 2001, as amended by Amendment No. 1.</w:t>
      </w:r>
    </w:p>
    <w:p>
      <w:pPr>
        <w:spacing w:after="0" w:line="225" w:lineRule="exact"/>
        <w:rPr>
          <w:rFonts w:ascii="Arial" w:cs="Arial" w:eastAsia="Arial" w:hAnsi="Arial"/>
          <w:sz w:val="18"/>
          <w:szCs w:val="18"/>
          <w:color w:val="auto"/>
        </w:rPr>
      </w:pPr>
    </w:p>
    <w:p>
      <w:pPr>
        <w:ind w:left="560" w:hanging="332"/>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January 31, 2002.</w:t>
      </w:r>
    </w:p>
    <w:p>
      <w:pPr>
        <w:spacing w:after="0" w:line="225" w:lineRule="exact"/>
        <w:rPr>
          <w:rFonts w:ascii="Arial" w:cs="Arial" w:eastAsia="Arial" w:hAnsi="Arial"/>
          <w:sz w:val="18"/>
          <w:szCs w:val="18"/>
          <w:color w:val="auto"/>
        </w:rPr>
      </w:pPr>
    </w:p>
    <w:p>
      <w:pPr>
        <w:ind w:right="320" w:firstLine="228"/>
        <w:spacing w:after="0" w:line="332" w:lineRule="auto"/>
        <w:tabs>
          <w:tab w:leader="none" w:pos="5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the Company’s common stock and preferred stock purchase rights contained in registration statements filed under the Securities Exchange Act of 1934 (the “Exchange Act”) on Form 8-A, including any subsequent amendment or report filed for the purpose of updating such description.</w:t>
      </w:r>
    </w:p>
    <w:p>
      <w:pPr>
        <w:spacing w:after="0" w:line="139" w:lineRule="exact"/>
        <w:rPr>
          <w:sz w:val="20"/>
          <w:szCs w:val="20"/>
          <w:color w:val="auto"/>
        </w:rPr>
      </w:pPr>
    </w:p>
    <w:p>
      <w:pPr>
        <w:ind w:firstLine="210"/>
        <w:spacing w:after="0" w:line="306" w:lineRule="auto"/>
        <w:rPr>
          <w:sz w:val="20"/>
          <w:szCs w:val="20"/>
          <w:color w:val="auto"/>
        </w:rPr>
      </w:pPr>
      <w:r>
        <w:rPr>
          <w:rFonts w:ascii="Arial" w:cs="Arial" w:eastAsia="Arial" w:hAnsi="Arial"/>
          <w:sz w:val="16"/>
          <w:szCs w:val="16"/>
          <w:color w:val="auto"/>
        </w:rPr>
        <w:t>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161" w:lineRule="exact"/>
        <w:rPr>
          <w:sz w:val="20"/>
          <w:szCs w:val="20"/>
          <w:color w:val="auto"/>
        </w:rPr>
      </w:pPr>
    </w:p>
    <w:p>
      <w:pPr>
        <w:ind w:right="80" w:firstLine="216"/>
        <w:spacing w:after="0" w:line="255" w:lineRule="auto"/>
        <w:rPr>
          <w:sz w:val="20"/>
          <w:szCs w:val="20"/>
          <w:color w:val="auto"/>
        </w:rPr>
      </w:pPr>
      <w:r>
        <w:rPr>
          <w:rFonts w:ascii="Arial" w:cs="Arial" w:eastAsia="Arial" w:hAnsi="Arial"/>
          <w:sz w:val="18"/>
          <w:szCs w:val="18"/>
          <w:color w:val="auto"/>
        </w:rPr>
        <w:t>The consolidated financial statements and financial statement schedule of the Company and its subsidiaries as of October 31, 2001 and 2000, and the related statements of income, stockholders’ equity and comprehensive income, and cash flows for each of the years in the three-year period ended October 31, 2001, included in the Company’s Annual Report on Form 10-K/A for the fiscal year ended October 31, 2001, have been incorporated herein by reference in reliance upon the report, also incorporated herein by reference, of KPMG LLP, independent certified public accountants, and upon the authority of said firm as experts in accounting and auditing.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25" w:lineRule="exact"/>
        <w:rPr>
          <w:sz w:val="20"/>
          <w:szCs w:val="20"/>
          <w:color w:val="auto"/>
        </w:rPr>
      </w:pPr>
    </w:p>
    <w:p>
      <w:pPr>
        <w:ind w:right="20" w:firstLine="210"/>
        <w:spacing w:after="0" w:line="256" w:lineRule="auto"/>
        <w:rPr>
          <w:sz w:val="20"/>
          <w:szCs w:val="20"/>
          <w:color w:val="auto"/>
        </w:rPr>
      </w:pPr>
      <w:r>
        <w:rPr>
          <w:rFonts w:ascii="Arial" w:cs="Arial" w:eastAsia="Arial" w:hAnsi="Arial"/>
          <w:sz w:val="18"/>
          <w:szCs w:val="18"/>
          <w:color w:val="auto"/>
        </w:rPr>
        <w:t>As authorized by Section 145 of the Delaware Corporation Law, the Company’s Restated Certificate of Incorporation eliminates the personal liability of its directors to the Company or its stockholders for monetary damages for any breach of fiduciary duty as a director, except for: (i) any breach of the duty of loyalty to the Company or its stockholders, (ii) acts or omissions not in good faith, (iii) intentional misconduct or a knowing violation of law, or (iv) any transaction from which the director derived an improper personal benefit.</w:t>
      </w:r>
    </w:p>
    <w:p>
      <w:pPr>
        <w:spacing w:after="0" w:line="197" w:lineRule="exact"/>
        <w:rPr>
          <w:sz w:val="20"/>
          <w:szCs w:val="20"/>
          <w:color w:val="auto"/>
        </w:rPr>
      </w:pPr>
    </w:p>
    <w:p>
      <w:pPr>
        <w:ind w:firstLine="210"/>
        <w:spacing w:after="0" w:line="289" w:lineRule="auto"/>
        <w:rPr>
          <w:sz w:val="20"/>
          <w:szCs w:val="20"/>
          <w:color w:val="auto"/>
        </w:rPr>
      </w:pPr>
      <w:r>
        <w:rPr>
          <w:rFonts w:ascii="Arial" w:cs="Arial" w:eastAsia="Arial" w:hAnsi="Arial"/>
          <w:sz w:val="16"/>
          <w:szCs w:val="16"/>
          <w:color w:val="auto"/>
        </w:rPr>
        <w:t>As authorized by Section 145 of the Delaware Corporation Law, the Company’s By-Laws provide for the indemnification of the directors, officers, employees or agents of the Company in certain cases. Indemnification shall be provided to directors and officers of the Company, or of other enterprises if serving at the request of the Company, against actual and reasonable costs, charges, expenses (including attorneys’ fees), judgments, fines and amounts paid in settlement in connection with pending or completed actions, suits or proceedings, whether civil, criminal, administrative or investigative (other than action by or in the right of the Company) if the director or officer acted in good faith and in a manner reasonably believed to be in or not opposed to the best interest of the Company, and, with respect to any criminal action or proceeding, had no reasonable cause to believe the conduct was unlawful. Similar indemnification shall not be applicable to employees or agents of the Company, or of other enterprises if serving at the request of the Company (other than employees or agents who are also officers or directors of the Company or other enterprise, as the case may be), unless and until such indemnity is specifically approved by the Board of Directors.</w:t>
      </w:r>
    </w:p>
    <w:p>
      <w:pPr>
        <w:spacing w:after="0" w:line="172" w:lineRule="exact"/>
        <w:rPr>
          <w:sz w:val="20"/>
          <w:szCs w:val="20"/>
          <w:color w:val="auto"/>
        </w:rPr>
      </w:pPr>
    </w:p>
    <w:p>
      <w:pPr>
        <w:jc w:val="both"/>
        <w:ind w:right="160" w:firstLine="220"/>
        <w:spacing w:after="0" w:line="259" w:lineRule="auto"/>
        <w:rPr>
          <w:sz w:val="20"/>
          <w:szCs w:val="20"/>
          <w:color w:val="auto"/>
        </w:rPr>
      </w:pPr>
      <w:r>
        <w:rPr>
          <w:rFonts w:ascii="Arial" w:cs="Arial" w:eastAsia="Arial" w:hAnsi="Arial"/>
          <w:sz w:val="18"/>
          <w:szCs w:val="18"/>
          <w:color w:val="auto"/>
        </w:rPr>
        <w:t>If such proceeding is brought by or on the behalf of the Company, a similar standard of care is applicable, except that no indemnification shall be made with respect to any matter as to which such person is adjudged to be liable to the Company unless and only to the extent that the court shall determine such person is fairly and reasonably entitled to indemnification of such costs.</w:t>
      </w:r>
    </w:p>
    <w:p>
      <w:pPr>
        <w:spacing w:after="0" w:line="194" w:lineRule="exact"/>
        <w:rPr>
          <w:sz w:val="20"/>
          <w:szCs w:val="20"/>
          <w:color w:val="auto"/>
        </w:rPr>
      </w:pPr>
    </w:p>
    <w:p>
      <w:pPr>
        <w:ind w:right="140" w:firstLine="216"/>
        <w:spacing w:after="0" w:line="268" w:lineRule="auto"/>
        <w:rPr>
          <w:sz w:val="20"/>
          <w:szCs w:val="20"/>
          <w:color w:val="auto"/>
        </w:rPr>
      </w:pPr>
      <w:r>
        <w:rPr>
          <w:rFonts w:ascii="Arial" w:cs="Arial" w:eastAsia="Arial" w:hAnsi="Arial"/>
          <w:sz w:val="18"/>
          <w:szCs w:val="18"/>
          <w:color w:val="auto"/>
        </w:rPr>
        <w:t>The Company’s By-Laws further provide that, notwithstanding the foregoing, directors, officers, employees and agents shall be indemnified of all actual and reasonable costs to the extent that such persons are successful on the merits or otherwise.</w:t>
      </w:r>
    </w:p>
    <w:p>
      <w:pPr>
        <w:spacing w:after="0" w:line="186" w:lineRule="exact"/>
        <w:rPr>
          <w:sz w:val="20"/>
          <w:szCs w:val="20"/>
          <w:color w:val="auto"/>
        </w:rPr>
      </w:pPr>
    </w:p>
    <w:p>
      <w:pPr>
        <w:ind w:right="120" w:firstLine="220"/>
        <w:spacing w:after="0" w:line="255" w:lineRule="auto"/>
        <w:rPr>
          <w:sz w:val="20"/>
          <w:szCs w:val="20"/>
          <w:color w:val="auto"/>
        </w:rPr>
      </w:pPr>
      <w:r>
        <w:rPr>
          <w:rFonts w:ascii="Arial" w:cs="Arial" w:eastAsia="Arial" w:hAnsi="Arial"/>
          <w:sz w:val="18"/>
          <w:szCs w:val="18"/>
          <w:color w:val="auto"/>
        </w:rPr>
        <w:t>In addition to the above, the Company has entered into indemnification agreements with its directors. The indemnification agreement provides directors with the same indemnification by the Company as set forth in the preceding paragraphs except that the indemnification agreement differs from the By-laws in the following significant respects: (1) indemnification is provided to directors in excess of that provided by any insurance coverage; and (2) no indemnification is provided on account of any action commenced by the director in his or her individual right against the Company, its directors, officers and stockholders unless authorized by a majority of disinterested directors.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exists directors’ and officers’ liability insurance presently outstanding which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insures directors and officers of the Company. The losses covered by the policy are subject to certain exclusions and the policy contains certain deductible provisions. The indemnification agreements discussed in the preceding paragraph provide indemnification of all such exclusions and deductibles.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52"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Orrick, Herrington &amp; Sutcliffe LLP.</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Orrick, Herrington &amp; Sutcliffe LLP (included in Exhibit 5.1).</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ABM Industries Incorporated 2002 Price-Vested Performance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225" w:lineRule="exact"/>
        <w:rPr>
          <w:sz w:val="20"/>
          <w:szCs w:val="20"/>
          <w:color w:val="auto"/>
        </w:rPr>
      </w:pPr>
    </w:p>
    <w:p>
      <w:pPr>
        <w:ind w:left="560" w:hanging="332"/>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3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60" w:hanging="430"/>
        <w:spacing w:after="0"/>
        <w:tabs>
          <w:tab w:leader="none" w:pos="13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225" w:lineRule="exact"/>
        <w:rPr>
          <w:rFonts w:ascii="Arial" w:cs="Arial" w:eastAsia="Arial" w:hAnsi="Arial"/>
          <w:sz w:val="18"/>
          <w:szCs w:val="18"/>
          <w:color w:val="auto"/>
        </w:rPr>
      </w:pPr>
    </w:p>
    <w:p>
      <w:pPr>
        <w:ind w:right="260" w:firstLine="930"/>
        <w:spacing w:after="0" w:line="370" w:lineRule="auto"/>
        <w:tabs>
          <w:tab w:leader="none" w:pos="1356" w:val="left"/>
        </w:tabs>
        <w:numPr>
          <w:ilvl w:val="2"/>
          <w:numId w:val="5"/>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16" w:lineRule="exact"/>
        <w:rPr>
          <w:rFonts w:ascii="Arial" w:cs="Arial" w:eastAsia="Arial" w:hAnsi="Arial"/>
          <w:sz w:val="15"/>
          <w:szCs w:val="15"/>
          <w:color w:val="auto"/>
        </w:rPr>
      </w:pPr>
    </w:p>
    <w:p>
      <w:pPr>
        <w:ind w:right="500" w:firstLine="930"/>
        <w:spacing w:after="0" w:line="268" w:lineRule="auto"/>
        <w:tabs>
          <w:tab w:leader="none" w:pos="140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94" w:lineRule="exact"/>
        <w:rPr>
          <w:sz w:val="20"/>
          <w:szCs w:val="20"/>
          <w:color w:val="auto"/>
        </w:rPr>
      </w:pPr>
    </w:p>
    <w:p>
      <w:pPr>
        <w:ind w:right="140" w:firstLine="579"/>
        <w:spacing w:after="0" w:line="259" w:lineRule="auto"/>
        <w:tabs>
          <w:tab w:leader="none" w:pos="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hanging="341"/>
        <w:spacing w:after="0"/>
        <w:tabs>
          <w:tab w:leader="none" w:pos="920" w:val="left"/>
        </w:tabs>
        <w:numPr>
          <w:ilvl w:val="1"/>
          <w:numId w:val="7"/>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offering.</w:t>
      </w:r>
    </w:p>
    <w:p>
      <w:pPr>
        <w:spacing w:after="0" w:line="218" w:lineRule="exact"/>
        <w:rPr>
          <w:rFonts w:ascii="Arial" w:cs="Arial" w:eastAsia="Arial" w:hAnsi="Arial"/>
          <w:sz w:val="15"/>
          <w:szCs w:val="15"/>
          <w:color w:val="auto"/>
        </w:rPr>
      </w:pPr>
    </w:p>
    <w:p>
      <w:pPr>
        <w:ind w:right="80" w:firstLine="228"/>
        <w:spacing w:after="0" w:line="256" w:lineRule="auto"/>
        <w:tabs>
          <w:tab w:leader="none" w:pos="5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228"/>
        <w:spacing w:after="0" w:line="290" w:lineRule="auto"/>
        <w:tabs>
          <w:tab w:leader="none" w:pos="5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2nd day of April, 2002.</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ABM INDUSTRIES INCORPORATED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2178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Henrik C. Slipsager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right="32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3980" w:type="dxa"/>
            <w:vAlign w:val="bottom"/>
          </w:tcPr>
          <w:p>
            <w:pPr>
              <w:ind w:left="1740"/>
              <w:spacing w:after="0"/>
              <w:rPr>
                <w:sz w:val="20"/>
                <w:szCs w:val="20"/>
                <w:color w:val="auto"/>
              </w:rPr>
            </w:pPr>
            <w:r>
              <w:rPr>
                <w:rFonts w:ascii="Arial" w:cs="Arial" w:eastAsia="Arial" w:hAnsi="Arial"/>
                <w:sz w:val="14"/>
                <w:szCs w:val="14"/>
                <w:color w:val="auto"/>
              </w:rPr>
              <w:t>Signature</w:t>
            </w:r>
          </w:p>
        </w:tc>
        <w:tc>
          <w:tcPr>
            <w:tcW w:w="480" w:type="dxa"/>
            <w:vAlign w:val="bottom"/>
          </w:tcPr>
          <w:p>
            <w:pPr>
              <w:spacing w:after="0"/>
              <w:rPr>
                <w:sz w:val="14"/>
                <w:szCs w:val="14"/>
                <w:color w:val="auto"/>
              </w:rPr>
            </w:pPr>
          </w:p>
        </w:tc>
        <w:tc>
          <w:tcPr>
            <w:tcW w:w="3400" w:type="dxa"/>
            <w:vAlign w:val="bottom"/>
          </w:tcPr>
          <w:p>
            <w:pPr>
              <w:ind w:left="1580"/>
              <w:spacing w:after="0"/>
              <w:rPr>
                <w:sz w:val="20"/>
                <w:szCs w:val="20"/>
                <w:color w:val="auto"/>
              </w:rPr>
            </w:pPr>
            <w:r>
              <w:rPr>
                <w:rFonts w:ascii="Arial" w:cs="Arial" w:eastAsia="Arial" w:hAnsi="Arial"/>
                <w:sz w:val="14"/>
                <w:szCs w:val="14"/>
                <w:color w:val="auto"/>
              </w:rPr>
              <w:t>Title</w:t>
            </w:r>
          </w:p>
        </w:tc>
        <w:tc>
          <w:tcPr>
            <w:tcW w:w="48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Arial" w:cs="Arial" w:eastAsia="Arial" w:hAnsi="Arial"/>
                <w:sz w:val="14"/>
                <w:szCs w:val="14"/>
                <w:color w:val="auto"/>
              </w:rPr>
              <w:t>Date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Henrik C. Slipsager</w:t>
            </w:r>
          </w:p>
        </w:tc>
        <w:tc>
          <w:tcPr>
            <w:tcW w:w="4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President and Chief</w:t>
            </w:r>
          </w:p>
        </w:tc>
        <w:tc>
          <w:tcPr>
            <w:tcW w:w="48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Henrik C. Slipsager</w:t>
            </w:r>
          </w:p>
        </w:tc>
        <w:tc>
          <w:tcPr>
            <w:tcW w:w="480" w:type="dxa"/>
            <w:vAlign w:val="bottom"/>
          </w:tcPr>
          <w:p>
            <w:pPr>
              <w:spacing w:after="0"/>
              <w:rPr>
                <w:sz w:val="8"/>
                <w:szCs w:val="8"/>
                <w:color w:val="auto"/>
              </w:rPr>
            </w:pPr>
          </w:p>
        </w:tc>
        <w:tc>
          <w:tcPr>
            <w:tcW w:w="34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George B. Sundby</w:t>
            </w:r>
          </w:p>
        </w:tc>
        <w:tc>
          <w:tcPr>
            <w:tcW w:w="4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8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vMerge w:val="restart"/>
          </w:tcPr>
          <w:p>
            <w:pPr>
              <w:spacing w:after="0"/>
              <w:rPr>
                <w:sz w:val="20"/>
                <w:szCs w:val="20"/>
                <w:color w:val="auto"/>
              </w:rPr>
            </w:pPr>
            <w:r>
              <w:rPr>
                <w:rFonts w:ascii="Arial" w:cs="Arial" w:eastAsia="Arial" w:hAnsi="Arial"/>
                <w:sz w:val="18"/>
                <w:szCs w:val="18"/>
                <w:color w:val="auto"/>
              </w:rPr>
              <w:t>Chief Financial Officer</w:t>
            </w: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980" w:type="dxa"/>
            <w:vAlign w:val="bottom"/>
          </w:tcPr>
          <w:p>
            <w:pPr>
              <w:spacing w:after="0"/>
              <w:rPr>
                <w:sz w:val="8"/>
                <w:szCs w:val="8"/>
                <w:color w:val="auto"/>
              </w:rPr>
            </w:pPr>
          </w:p>
        </w:tc>
        <w:tc>
          <w:tcPr>
            <w:tcW w:w="3980" w:type="dxa"/>
            <w:vAlign w:val="bottom"/>
            <w:vMerge w:val="restart"/>
          </w:tcPr>
          <w:p>
            <w:pPr>
              <w:spacing w:after="0"/>
              <w:rPr>
                <w:sz w:val="20"/>
                <w:szCs w:val="20"/>
                <w:color w:val="auto"/>
              </w:rPr>
            </w:pPr>
            <w:r>
              <w:rPr>
                <w:rFonts w:ascii="Arial" w:cs="Arial" w:eastAsia="Arial" w:hAnsi="Arial"/>
                <w:sz w:val="18"/>
                <w:szCs w:val="18"/>
                <w:color w:val="auto"/>
              </w:rPr>
              <w:t>George B. Sundby</w:t>
            </w:r>
          </w:p>
        </w:tc>
        <w:tc>
          <w:tcPr>
            <w:tcW w:w="480" w:type="dxa"/>
            <w:vAlign w:val="bottom"/>
          </w:tcPr>
          <w:p>
            <w:pPr>
              <w:spacing w:after="0"/>
              <w:rPr>
                <w:sz w:val="8"/>
                <w:szCs w:val="8"/>
                <w:color w:val="auto"/>
              </w:rPr>
            </w:pPr>
          </w:p>
        </w:tc>
        <w:tc>
          <w:tcPr>
            <w:tcW w:w="34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 Maria de la Pena</w:t>
            </w:r>
          </w:p>
        </w:tc>
        <w:tc>
          <w:tcPr>
            <w:tcW w:w="4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Vice President and Controller</w:t>
            </w:r>
          </w:p>
        </w:tc>
        <w:tc>
          <w:tcPr>
            <w:tcW w:w="48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9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Maria de la Pena</w:t>
            </w:r>
          </w:p>
        </w:tc>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80" w:type="dxa"/>
            <w:vAlign w:val="bottom"/>
            <w:gridSpan w:val="2"/>
          </w:tcPr>
          <w:p>
            <w:pPr>
              <w:jc w:val="right"/>
              <w:ind w:right="2996"/>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tcPr>
          <w:p>
            <w:pPr>
              <w:ind w:left="1400"/>
              <w:spacing w:after="0"/>
              <w:rPr>
                <w:sz w:val="20"/>
                <w:szCs w:val="20"/>
                <w:color w:val="auto"/>
              </w:rPr>
            </w:pPr>
            <w:r>
              <w:rPr>
                <w:rFonts w:ascii="Arial" w:cs="Arial" w:eastAsia="Arial" w:hAnsi="Arial"/>
                <w:sz w:val="14"/>
                <w:szCs w:val="14"/>
                <w:color w:val="auto"/>
              </w:rPr>
              <w:t>Signature</w:t>
            </w:r>
          </w:p>
        </w:tc>
        <w:tc>
          <w:tcPr>
            <w:tcW w:w="460" w:type="dxa"/>
            <w:vAlign w:val="bottom"/>
          </w:tcPr>
          <w:p>
            <w:pPr>
              <w:spacing w:after="0"/>
              <w:rPr>
                <w:sz w:val="14"/>
                <w:szCs w:val="14"/>
                <w:color w:val="auto"/>
              </w:rPr>
            </w:pPr>
          </w:p>
        </w:tc>
        <w:tc>
          <w:tcPr>
            <w:tcW w:w="3300" w:type="dxa"/>
            <w:vAlign w:val="bottom"/>
          </w:tcPr>
          <w:p>
            <w:pPr>
              <w:ind w:left="1520"/>
              <w:spacing w:after="0"/>
              <w:rPr>
                <w:sz w:val="20"/>
                <w:szCs w:val="20"/>
                <w:color w:val="auto"/>
              </w:rPr>
            </w:pPr>
            <w:r>
              <w:rPr>
                <w:rFonts w:ascii="Arial" w:cs="Arial" w:eastAsia="Arial" w:hAnsi="Arial"/>
                <w:sz w:val="14"/>
                <w:szCs w:val="14"/>
                <w:color w:val="auto"/>
              </w:rPr>
              <w:t>Title</w:t>
            </w:r>
          </w:p>
        </w:tc>
        <w:tc>
          <w:tcPr>
            <w:tcW w:w="46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Arial" w:cs="Arial" w:eastAsia="Arial" w:hAnsi="Arial"/>
                <w:sz w:val="14"/>
                <w:szCs w:val="14"/>
                <w:color w:val="auto"/>
              </w:rPr>
              <w:t>Date</w:t>
            </w:r>
          </w:p>
        </w:tc>
        <w:tc>
          <w:tcPr>
            <w:tcW w:w="980" w:type="dxa"/>
            <w:vAlign w:val="bottom"/>
          </w:tcPr>
          <w:p>
            <w:pPr>
              <w:spacing w:after="0"/>
              <w:rPr>
                <w:sz w:val="14"/>
                <w:szCs w:val="14"/>
                <w:color w:val="auto"/>
              </w:rPr>
            </w:pPr>
          </w:p>
        </w:tc>
      </w:tr>
      <w:tr>
        <w:trPr>
          <w:trHeight w:val="95"/>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980" w:type="dxa"/>
            <w:vAlign w:val="bottom"/>
          </w:tcPr>
          <w:p>
            <w:pPr>
              <w:spacing w:after="0"/>
              <w:rPr>
                <w:sz w:val="8"/>
                <w:szCs w:val="8"/>
                <w:color w:val="auto"/>
              </w:rPr>
            </w:pPr>
          </w:p>
        </w:tc>
      </w:tr>
      <w:tr>
        <w:trPr>
          <w:trHeight w:val="316"/>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*Linda Chavez</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Linda Chavez</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*Luke S. Helms</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Luke S. Helms</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Maryellen C. Herringer</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Charles T. Horngren</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*Henry L. Kotkins, Jr.</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Henry L. Kotkins, Jr.</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*Martinn H. Mandles</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Martinn H. Mandles</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Theodore Rosenberg</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*Henrik C. Slipsager</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Henrik C. Slipsager</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William W. Steele</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*William E. Walsh</w:t>
            </w: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April 2, 2002</w:t>
            </w:r>
          </w:p>
        </w:tc>
        <w:tc>
          <w:tcPr>
            <w:tcW w:w="980" w:type="dxa"/>
            <w:vAlign w:val="bottom"/>
          </w:tcPr>
          <w:p>
            <w:pPr>
              <w:spacing w:after="0"/>
              <w:rPr>
                <w:sz w:val="24"/>
                <w:szCs w:val="24"/>
                <w:color w:val="auto"/>
              </w:rPr>
            </w:pPr>
          </w:p>
        </w:tc>
      </w:tr>
      <w:tr>
        <w:trPr>
          <w:trHeight w:val="97"/>
        </w:trPr>
        <w:tc>
          <w:tcPr>
            <w:tcW w:w="9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89"/>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William E. Walsh</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50"/>
        </w:trPr>
        <w:tc>
          <w:tcPr>
            <w:tcW w:w="9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35"/>
                <w:szCs w:val="35"/>
                <w:color w:val="auto"/>
                <w:vertAlign w:val="superscript"/>
              </w:rPr>
              <w:t>* By</w:t>
            </w:r>
            <w:r>
              <w:rPr>
                <w:rFonts w:ascii="Arial" w:cs="Arial" w:eastAsia="Arial" w:hAnsi="Arial"/>
                <w:sz w:val="18"/>
                <w:szCs w:val="18"/>
                <w:color w:val="auto"/>
              </w:rPr>
              <w:t xml:space="preserve"> /s/ Harry H. Kahn</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2"/>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Borders>
              <w:top w:val="single" w:sz="8" w:color="808080"/>
            </w:tcBorders>
          </w:tcPr>
          <w:p>
            <w:pPr>
              <w:spacing w:after="0"/>
              <w:rPr>
                <w:sz w:val="20"/>
                <w:szCs w:val="20"/>
                <w:color w:val="auto"/>
              </w:rPr>
            </w:pPr>
            <w:r>
              <w:rPr>
                <w:rFonts w:ascii="Arial" w:cs="Arial" w:eastAsia="Arial" w:hAnsi="Arial"/>
                <w:sz w:val="18"/>
                <w:szCs w:val="18"/>
                <w:color w:val="auto"/>
              </w:rPr>
              <w:t>Harry H. Kahn</w:t>
            </w:r>
          </w:p>
        </w:tc>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Attorney-in-fact</w:t>
            </w:r>
          </w:p>
        </w:tc>
        <w:tc>
          <w:tcPr>
            <w:tcW w:w="4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32"/>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760" w:type="dxa"/>
            <w:vAlign w:val="bottom"/>
            <w:gridSpan w:val="2"/>
          </w:tcPr>
          <w:p>
            <w:pPr>
              <w:ind w:left="58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8"/>
        </w:trPr>
        <w:tc>
          <w:tcPr>
            <w:tcW w:w="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68" w:lineRule="exact"/>
        <w:rPr>
          <w:sz w:val="20"/>
          <w:szCs w:val="20"/>
          <w:color w:val="auto"/>
        </w:rPr>
      </w:pPr>
    </w:p>
    <w:p>
      <w:pPr>
        <w:ind w:left="1520"/>
        <w:spacing w:after="0"/>
        <w:tabs>
          <w:tab w:leader="none" w:pos="1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Orrick, Herrington &amp; Sutcliffe LLP.</w:t>
      </w:r>
    </w:p>
    <w:p>
      <w:pPr>
        <w:spacing w:after="0" w:line="252"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52"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Orrick, Herrington &amp; Sutcliffe LLP (included in Exhibit 5.1).</w:t>
      </w:r>
    </w:p>
    <w:p>
      <w:pPr>
        <w:spacing w:after="0" w:line="252"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52" w:lineRule="exact"/>
        <w:rPr>
          <w:sz w:val="20"/>
          <w:szCs w:val="20"/>
          <w:color w:val="auto"/>
        </w:rPr>
      </w:pPr>
    </w:p>
    <w:p>
      <w:pPr>
        <w:ind w:left="1440"/>
        <w:spacing w:after="0"/>
        <w:tabs>
          <w:tab w:leader="none" w:pos="1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ABM Industries Incorporated 2002 Price-Vested Performance Stock Option Plan.</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419"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April 2,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160 Pacific Avenue, Suite 222</w:t>
      </w:r>
    </w:p>
    <w:p>
      <w:pPr>
        <w:spacing w:after="0"/>
        <w:tabs>
          <w:tab w:leader="none" w:pos="284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spacing w:after="0" w:line="200"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ABM Industries Incorporated Registration Statement</w:t>
      </w:r>
    </w:p>
    <w:p>
      <w:pPr>
        <w:ind w:left="1280"/>
        <w:spacing w:after="0" w:line="238" w:lineRule="auto"/>
        <w:rPr>
          <w:sz w:val="20"/>
          <w:szCs w:val="20"/>
          <w:color w:val="auto"/>
        </w:rPr>
      </w:pPr>
      <w:r>
        <w:rPr>
          <w:rFonts w:ascii="Courier New" w:cs="Courier New" w:eastAsia="Courier New" w:hAnsi="Courier New"/>
          <w:sz w:val="18"/>
          <w:szCs w:val="18"/>
          <w:color w:val="auto"/>
        </w:rPr>
        <w:t>on Form S-8/ 2002 Price-Vested Performance Stock Option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At your request, we are rendering this opinion in connection with the proposed issuance pursuant to the ABM Industries Incorporated 2002 Price-Vested Performance Stock Option Plan (the "Plan"), of up to 2,000,000 shares of common stock, $0.01 par value ("Common Stock"), of ABM Industries Incorporated, a Delaware corporation (the "Company").</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have examined instruments, documents, and records which we deemed relevant and necessary for the basis of our opinion hereinafter expressed. In such examination, we have assumed the following: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Based on such examination, we are of the opinion that the 2,000,000 shares of Common Stock to be issued by the Company pursuant to the Plan are duly authorized shares of Common Stock and, when issued in accordance with the provisions of the Plan, will be legally issued, fully paid and nonassessable.</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We hereby consent to the filing of this opinion as an exhibit to this Registration Statement on Form S-8. In giving such consent, we do not consider that we are an "expert"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ORRICK, HERRINGTON &amp; SUTCLIFFE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39"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ABM Industries Incorporated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relating to the 2002 Price-Vested Performance Stock Option Plan of ABM Industries Incorporated of our report dated December 17, 2001 related to the consolidated balance sheets of ABM Industries Incorporated and subsidiaries as of October 31, 2001 and 2000, and the related consolidated statements of income, stockholders' equity and comprehensive income, and cash flows for each of the years in the three-year period ended October 31, 2001 and the related financial statement schedule II, which report appears in the annual report on Form 10-K/A of ABM Industries Incorporated dated February 8, 2002, and to the reference to our firm under the heading "Incorporation of Certain Documents by Reference" in the registration statement.</w:t>
      </w:r>
    </w:p>
    <w:p>
      <w:pPr>
        <w:spacing w:after="0" w:line="21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California</w:t>
      </w:r>
    </w:p>
    <w:p>
      <w:pPr>
        <w:spacing w:after="0" w:line="238" w:lineRule="auto"/>
        <w:rPr>
          <w:sz w:val="20"/>
          <w:szCs w:val="20"/>
          <w:color w:val="auto"/>
        </w:rPr>
      </w:pPr>
      <w:r>
        <w:rPr>
          <w:rFonts w:ascii="Courier New" w:cs="Courier New" w:eastAsia="Courier New" w:hAnsi="Courier New"/>
          <w:sz w:val="18"/>
          <w:szCs w:val="18"/>
          <w:color w:val="auto"/>
        </w:rPr>
        <w:t>April 2,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41"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constitutes and appoints HARRY H. KAHN and LORRAINE O'HARA, and each of them with power to act alone, his or her true and lawful attorney-in-fact and agent, with full power of substitution and resubstitution, for him or her and in his or her name, place and stead, in any and all capacities, to sign (either manually or electronically through the EDGAR System of the United States Securities and Exchange Commission) a Registration Statement or Registration Statements on Form S-8 related to shares of common stock of ABM Industries Incorporated issuable under the ABM Industries Incorporated 2002 Price-Vested Performance Stock Option Plan, and any and all amendments of such Registration Statements, including post-effective amendments, and to file the same, together with exhibits thereto and other documents in connection therewith, with the Securities and Exchange Commission, granting unto each such attorney-in-fact full power and authority to do and perform each and every act and thing requisite and necessary to be done in and about the premises hereof, as fully as to all intents and purposes as he or she might do or could do in person, hereby ratifying and confirming all that each such attorney-in-fact or his or her substitutes may lawfully do or cause to be done by virtue hereof.</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directors have executed this Power of Attorney effective as of the 2nd day of April, 2002.</w:t>
      </w:r>
    </w:p>
    <w:p>
      <w:pPr>
        <w:sectPr>
          <w:pgSz w:w="11900" w:h="16838" w:orient="portrait"/>
          <w:cols w:equalWidth="0" w:num="1">
            <w:col w:w="10219"/>
          </w:cols>
          <w:pgMar w:left="240" w:top="541"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Linda Chavez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Chavez</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/s/ Martinn H. Mandles ______________________________________ Martinn H. Mandles</w:t>
      </w:r>
    </w:p>
    <w:p>
      <w:pPr>
        <w:spacing w:after="0" w:line="173" w:lineRule="exact"/>
        <w:rPr>
          <w:sz w:val="20"/>
          <w:szCs w:val="20"/>
          <w:color w:val="auto"/>
        </w:rPr>
      </w:pPr>
    </w:p>
    <w:p>
      <w:pPr>
        <w:sectPr>
          <w:pgSz w:w="11900" w:h="16838" w:orient="portrait"/>
          <w:cols w:equalWidth="0" w:num="2">
            <w:col w:w="4020" w:space="420"/>
            <w:col w:w="5779"/>
          </w:cols>
          <w:pgMar w:left="240" w:top="54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 Luke S. Helms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Luke S. Helms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______________________________________ Theodore Rosenberg</w:t>
      </w:r>
    </w:p>
    <w:p>
      <w:pPr>
        <w:spacing w:after="0" w:line="170" w:lineRule="exact"/>
        <w:rPr>
          <w:sz w:val="20"/>
          <w:szCs w:val="20"/>
          <w:color w:val="auto"/>
        </w:rPr>
      </w:pPr>
    </w:p>
    <w:p>
      <w:pPr>
        <w:sectPr>
          <w:pgSz w:w="11900" w:h="16838" w:orient="portrait"/>
          <w:cols w:equalWidth="0" w:num="2">
            <w:col w:w="4020" w:space="420"/>
            <w:col w:w="5779"/>
          </w:cols>
          <w:pgMar w:left="240" w:top="541" w:right="1440" w:bottom="1440" w:gutter="0" w:footer="0" w:header="0"/>
          <w:type w:val="continuous"/>
        </w:sectPr>
      </w:pPr>
    </w:p>
    <w:p>
      <w:pPr>
        <w:spacing w:after="0" w:line="20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______________________________________ Maryellen C. Herringer</w:t>
      </w:r>
    </w:p>
    <w:p>
      <w:pPr>
        <w:spacing w:after="0" w:line="20" w:lineRule="exact"/>
        <w:rPr>
          <w:sz w:val="20"/>
          <w:szCs w:val="20"/>
          <w:color w:val="auto"/>
        </w:rPr>
      </w:pPr>
      <w:r>
        <w:rPr>
          <w:sz w:val="20"/>
          <w:szCs w:val="20"/>
          <w:color w:val="auto"/>
        </w:rPr>
        <w:br w:type="column"/>
      </w:r>
    </w:p>
    <w:p>
      <w:pPr>
        <w:ind w:right="1779"/>
        <w:spacing w:after="0" w:line="279" w:lineRule="auto"/>
        <w:rPr>
          <w:sz w:val="20"/>
          <w:szCs w:val="20"/>
          <w:color w:val="auto"/>
        </w:rPr>
      </w:pPr>
      <w:r>
        <w:rPr>
          <w:rFonts w:ascii="Courier New" w:cs="Courier New" w:eastAsia="Courier New" w:hAnsi="Courier New"/>
          <w:sz w:val="16"/>
          <w:szCs w:val="16"/>
          <w:color w:val="auto"/>
        </w:rPr>
        <w:t>/s/ Henrik C. Slipsager ______________________________________ Henrik C. Slipsager</w:t>
      </w:r>
    </w:p>
    <w:p>
      <w:pPr>
        <w:spacing w:after="0" w:line="208" w:lineRule="exact"/>
        <w:rPr>
          <w:sz w:val="20"/>
          <w:szCs w:val="20"/>
          <w:color w:val="auto"/>
        </w:rPr>
      </w:pPr>
    </w:p>
    <w:p>
      <w:pPr>
        <w:sectPr>
          <w:pgSz w:w="11900" w:h="16838" w:orient="portrait"/>
          <w:cols w:equalWidth="0" w:num="2">
            <w:col w:w="4020" w:space="420"/>
            <w:col w:w="5779"/>
          </w:cols>
          <w:pgMar w:left="240" w:top="541" w:right="1440" w:bottom="1440" w:gutter="0" w:footer="0" w:header="0"/>
          <w:type w:val="continuous"/>
        </w:sectPr>
      </w:pPr>
    </w:p>
    <w:p>
      <w:pPr>
        <w:spacing w:after="0" w:line="17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______________________________________ Charles T. Horngren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______________________________________ William W. Steele</w:t>
      </w:r>
    </w:p>
    <w:p>
      <w:pPr>
        <w:spacing w:after="0" w:line="170" w:lineRule="exact"/>
        <w:rPr>
          <w:sz w:val="20"/>
          <w:szCs w:val="20"/>
          <w:color w:val="auto"/>
        </w:rPr>
      </w:pPr>
    </w:p>
    <w:p>
      <w:pPr>
        <w:sectPr>
          <w:pgSz w:w="11900" w:h="16838" w:orient="portrait"/>
          <w:cols w:equalWidth="0" w:num="2">
            <w:col w:w="4020" w:space="420"/>
            <w:col w:w="5779"/>
          </w:cols>
          <w:pgMar w:left="240" w:top="541" w:right="1440" w:bottom="1440" w:gutter="0" w:footer="0" w:header="0"/>
          <w:type w:val="continuous"/>
        </w:sectPr>
      </w:pPr>
    </w:p>
    <w:p>
      <w:pPr>
        <w:spacing w:after="0" w:line="279" w:lineRule="auto"/>
        <w:rPr>
          <w:sz w:val="20"/>
          <w:szCs w:val="20"/>
          <w:color w:val="auto"/>
        </w:rPr>
      </w:pPr>
      <w:r>
        <w:rPr>
          <w:rFonts w:ascii="Courier New" w:cs="Courier New" w:eastAsia="Courier New" w:hAnsi="Courier New"/>
          <w:sz w:val="16"/>
          <w:szCs w:val="16"/>
          <w:color w:val="auto"/>
        </w:rPr>
        <w:t>/s/ Henry L. Kotkins, Jr. ______________________________________ Henry L. Kotkins, Jr.</w:t>
      </w:r>
    </w:p>
    <w:p>
      <w:pPr>
        <w:spacing w:after="0" w:line="20" w:lineRule="exact"/>
        <w:rPr>
          <w:sz w:val="20"/>
          <w:szCs w:val="20"/>
          <w:color w:val="auto"/>
        </w:rPr>
      </w:pPr>
      <w:r>
        <w:rPr>
          <w:sz w:val="20"/>
          <w:szCs w:val="20"/>
          <w:color w:val="auto"/>
        </w:rPr>
        <w:br w:type="column"/>
      </w:r>
    </w:p>
    <w:p>
      <w:pPr>
        <w:ind w:right="1779"/>
        <w:spacing w:after="0" w:line="279" w:lineRule="auto"/>
        <w:rPr>
          <w:sz w:val="20"/>
          <w:szCs w:val="20"/>
          <w:color w:val="auto"/>
        </w:rPr>
      </w:pPr>
      <w:r>
        <w:rPr>
          <w:rFonts w:ascii="Courier New" w:cs="Courier New" w:eastAsia="Courier New" w:hAnsi="Courier New"/>
          <w:sz w:val="16"/>
          <w:szCs w:val="16"/>
          <w:color w:val="auto"/>
        </w:rPr>
        <w:t>/s/ William E. Walsh ______________________________________ William E. Walsh</w:t>
      </w:r>
    </w:p>
    <w:p>
      <w:pPr>
        <w:spacing w:after="0" w:line="200" w:lineRule="exact"/>
        <w:rPr>
          <w:sz w:val="20"/>
          <w:szCs w:val="20"/>
          <w:color w:val="auto"/>
        </w:rPr>
      </w:pPr>
    </w:p>
    <w:p>
      <w:pPr>
        <w:sectPr>
          <w:pgSz w:w="11900" w:h="16838" w:orient="portrait"/>
          <w:cols w:equalWidth="0" w:num="2">
            <w:col w:w="4020" w:space="420"/>
            <w:col w:w="5779"/>
          </w:cols>
          <w:pgMar w:left="240" w:top="541" w:right="1440" w:bottom="1440" w:gutter="0" w:footer="0" w:header="0"/>
          <w:type w:val="continuous"/>
        </w:sect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541" w:right="1440" w:bottom="1440" w:gutter="0" w:footer="0" w:header="0"/>
          <w:type w:val="continuous"/>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ABM INDUSTRIES INCORPORATED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2002 PRICE-VESTED PERFORMANCE STOCK OPTION PLAN</w:t>
      </w:r>
    </w:p>
    <w:p>
      <w:pPr>
        <w:ind w:left="170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0" w:lineRule="exact"/>
        <w:rPr>
          <w:sz w:val="20"/>
          <w:szCs w:val="20"/>
          <w:color w:val="auto"/>
        </w:rPr>
      </w:pPr>
    </w:p>
    <w:p>
      <w:pPr>
        <w:spacing w:after="0" w:line="203"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DEFINITIONS.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ABM Industries Incorporated, hereby establishes the ABM Industries Incorporated 2002 Price-Vested Performance Stock Option Plan (the "Plan"), effective as of December 11, 2001. The purpose of the Plan is to give ABM Industries Incorporated and its Affiliates a long-term stock option plan to help in recruiting, retaining motivating and rewarding senior executives, and to provide the Company and its Affiliates with the ability to provide incentives more directly linked to the profitability of the Company's businesses and increases in stockholder value.</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 purposes of the Plan, the following terms are defined as set forth</w:t>
      </w:r>
    </w:p>
    <w:p>
      <w:pPr>
        <w:spacing w:after="0" w:line="238" w:lineRule="auto"/>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right="1999" w:firstLine="640"/>
        <w:spacing w:after="0" w:line="236"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or "Affiliates" means any and all subsidiary corporations or other entities controlled by the Company and designated by the Committee from time to time as such.</w:t>
      </w:r>
    </w:p>
    <w:p>
      <w:pPr>
        <w:spacing w:after="0" w:line="20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or "the Board" means the board of directors ("Directors")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w:t>
      </w:r>
    </w:p>
    <w:p>
      <w:pPr>
        <w:spacing w:after="0" w:line="201"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spacing w:after="0" w:line="206" w:lineRule="exact"/>
        <w:rPr>
          <w:rFonts w:ascii="Courier New" w:cs="Courier New" w:eastAsia="Courier New" w:hAnsi="Courier New"/>
          <w:sz w:val="18"/>
          <w:szCs w:val="18"/>
          <w:color w:val="auto"/>
        </w:rPr>
      </w:pPr>
    </w:p>
    <w:p>
      <w:pPr>
        <w:ind w:right="2099" w:firstLine="1272"/>
        <w:spacing w:after="0" w:line="235" w:lineRule="auto"/>
        <w:tabs>
          <w:tab w:leader="none" w:pos="189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misconduct or any other willful or knowing violation of any Company policy or employment agreement,</w:t>
      </w:r>
    </w:p>
    <w:p>
      <w:pPr>
        <w:spacing w:after="0" w:line="208" w:lineRule="exact"/>
        <w:rPr>
          <w:rFonts w:ascii="Courier New" w:cs="Courier New" w:eastAsia="Courier New" w:hAnsi="Courier New"/>
          <w:sz w:val="18"/>
          <w:szCs w:val="18"/>
          <w:color w:val="auto"/>
        </w:rPr>
      </w:pPr>
    </w:p>
    <w:p>
      <w:pPr>
        <w:ind w:right="1879" w:firstLine="1272"/>
        <w:spacing w:after="0" w:line="236" w:lineRule="auto"/>
        <w:tabs>
          <w:tab w:leader="none" w:pos="189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unsatisfactory performance such that the Company notifies the Optionee of the Company's intention not to renew the Optionee's employment agreement with the Company,</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breach by the Optionee of his or her duties as an employee which is committed in bad faith or without reasonable belief that such breach is in the best interests of the Company and its affiliated companies (other than a breach arising from the failure of the Optionee to work as a result of incapacity due to physical or mental illness) and which is not remedied in a reasonable period of time after receipt of written notice from the Company specifying such breach, or</w:t>
      </w:r>
    </w:p>
    <w:p>
      <w:pPr>
        <w:spacing w:after="0" w:line="211" w:lineRule="exact"/>
        <w:rPr>
          <w:rFonts w:ascii="Courier New" w:cs="Courier New" w:eastAsia="Courier New" w:hAnsi="Courier New"/>
          <w:sz w:val="18"/>
          <w:szCs w:val="18"/>
          <w:color w:val="auto"/>
        </w:rPr>
      </w:pPr>
    </w:p>
    <w:p>
      <w:pPr>
        <w:ind w:right="1779" w:firstLine="1272"/>
        <w:spacing w:after="0" w:line="236" w:lineRule="auto"/>
        <w:tabs>
          <w:tab w:leader="none" w:pos="189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conviction of the Optionee of a felony that has been affirmed on appeal or as to which the period in which an appeal can be taken has lapsed.</w:t>
      </w:r>
    </w:p>
    <w:p>
      <w:pPr>
        <w:spacing w:after="0" w:line="208" w:lineRule="exact"/>
        <w:rPr>
          <w:rFonts w:ascii="Courier New" w:cs="Courier New" w:eastAsia="Courier New" w:hAnsi="Courier New"/>
          <w:sz w:val="18"/>
          <w:szCs w:val="18"/>
          <w:color w:val="auto"/>
        </w:rPr>
      </w:pPr>
    </w:p>
    <w:p>
      <w:pPr>
        <w:ind w:right="1879" w:firstLine="640"/>
        <w:spacing w:after="0" w:line="235"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and "Change in Control Price" have the meanings set forth in Sections 6b and 6c of the Plan, respectively.</w:t>
      </w:r>
    </w:p>
    <w:p>
      <w:pPr>
        <w:spacing w:after="0" w:line="208" w:lineRule="exact"/>
        <w:rPr>
          <w:rFonts w:ascii="Courier New" w:cs="Courier New" w:eastAsia="Courier New" w:hAnsi="Courier New"/>
          <w:sz w:val="18"/>
          <w:szCs w:val="18"/>
          <w:color w:val="auto"/>
        </w:rPr>
      </w:pPr>
    </w:p>
    <w:p>
      <w:pPr>
        <w:ind w:right="2199" w:firstLine="640"/>
        <w:spacing w:after="0" w:line="235"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or "the Code" means the Internal Revenue Code of 1986, as amended from time to time, and any successor thereto.</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or "the Commission" means the Securities and Exchange Commission or any successor agency.</w:t>
      </w:r>
    </w:p>
    <w:p>
      <w:pPr>
        <w:sectPr>
          <w:pgSz w:w="11900" w:h="16838" w:orient="portrait"/>
          <w:cols w:equalWidth="0" w:num="1">
            <w:col w:w="10219"/>
          </w:cols>
          <w:pgMar w:left="240" w:top="541" w:right="1440" w:bottom="1440" w:gutter="0" w:footer="0" w:header="0"/>
        </w:sectPr>
      </w:pPr>
    </w:p>
    <w:bookmarkStart w:id="15" w:name="page16"/>
    <w:bookmarkEnd w:id="15"/>
    <w:p>
      <w:pPr>
        <w:ind w:right="2099" w:firstLine="640"/>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or "the Committee" means the committee referred to in Section 2 of the Plan.</w:t>
      </w:r>
    </w:p>
    <w:p>
      <w:pPr>
        <w:spacing w:after="0" w:line="208" w:lineRule="exact"/>
        <w:rPr>
          <w:rFonts w:ascii="Courier New" w:cs="Courier New" w:eastAsia="Courier New" w:hAnsi="Courier New"/>
          <w:sz w:val="18"/>
          <w:szCs w:val="18"/>
          <w:color w:val="auto"/>
        </w:rPr>
      </w:pPr>
    </w:p>
    <w:p>
      <w:pPr>
        <w:ind w:right="2319" w:firstLine="640"/>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or "the Company" means ABM Industries Incorporated, a Delaware corporation.</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the inability of the Optionee to perform his or her duties as an employee on an active fulltime basis as a result of incapacity due to mental or physical illness which continues for more than ninety (90) days after the commencement of such incapacity, such incapacity to be determined by a physician selected by the Company or its insurers and acceptable to the Optionee or the Optionee's legal representative (such agreement as to acceptability not to be withheld unreasonably).</w:t>
      </w:r>
    </w:p>
    <w:p>
      <w:pPr>
        <w:spacing w:after="0" w:line="205"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Person" has the meaning set forth in Section 4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pacing w:after="0" w:line="207" w:lineRule="exact"/>
        <w:rPr>
          <w:rFonts w:ascii="Courier New" w:cs="Courier New" w:eastAsia="Courier New" w:hAnsi="Courier New"/>
          <w:sz w:val="18"/>
          <w:szCs w:val="18"/>
          <w:color w:val="auto"/>
        </w:rPr>
      </w:pPr>
    </w:p>
    <w:p>
      <w:pPr>
        <w:ind w:right="1999" w:firstLine="640"/>
        <w:spacing w:after="0" w:line="236"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or "the Exchange Act" means the Securities Exchange Act of 1934, as amended from time to time, and any comparable successor provisions.</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given date, the average of the highest and lowest reported trades of the Stock on the New York Stock Exchange Composite Tape for such date, or if there were no trades on such date, the average of the nearest trading day after such date. If there is no regular public trading market for such Stock, the Fair Market Value of the Stock shall be determined by the Committee in good faith.</w:t>
      </w:r>
    </w:p>
    <w:p>
      <w:pPr>
        <w:spacing w:after="0" w:line="209" w:lineRule="exact"/>
        <w:rPr>
          <w:rFonts w:ascii="Courier New" w:cs="Courier New" w:eastAsia="Courier New" w:hAnsi="Courier New"/>
          <w:sz w:val="18"/>
          <w:szCs w:val="18"/>
          <w:color w:val="auto"/>
        </w:rPr>
      </w:pPr>
    </w:p>
    <w:p>
      <w:pPr>
        <w:ind w:right="2199" w:firstLine="640"/>
        <w:spacing w:after="0" w:line="237"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Director" shall mean a member of the Board who qualifies as a Non-Employee Director as defined in Rule 16b-3, and also qualifies as an "outside director" for the purposes of Section 162(m) of the Code and the regulations promulgated thereunder.</w:t>
      </w:r>
    </w:p>
    <w:p>
      <w:pPr>
        <w:spacing w:after="0" w:line="207" w:lineRule="exact"/>
        <w:rPr>
          <w:rFonts w:ascii="Courier New" w:cs="Courier New" w:eastAsia="Courier New" w:hAnsi="Courier New"/>
          <w:sz w:val="18"/>
          <w:szCs w:val="18"/>
          <w:color w:val="auto"/>
        </w:rPr>
      </w:pPr>
    </w:p>
    <w:p>
      <w:pPr>
        <w:ind w:right="1779" w:firstLine="640"/>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shall mean any Eligible Person who has been granted Stock Options under the Plan.</w:t>
      </w:r>
    </w:p>
    <w:p>
      <w:pPr>
        <w:spacing w:after="0" w:line="208" w:lineRule="exact"/>
        <w:rPr>
          <w:rFonts w:ascii="Courier New" w:cs="Courier New" w:eastAsia="Courier New" w:hAnsi="Courier New"/>
          <w:sz w:val="18"/>
          <w:szCs w:val="18"/>
          <w:color w:val="auto"/>
        </w:rPr>
      </w:pPr>
    </w:p>
    <w:p>
      <w:pPr>
        <w:ind w:right="2319" w:firstLine="640"/>
        <w:spacing w:after="0" w:line="236"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or "the Plan" means the ABM Industries Incorporated 2002 Price-Vested Performance Stock Option Plan, as set forth herein and as hereinafter amended from time to time.</w:t>
      </w:r>
    </w:p>
    <w:p>
      <w:pPr>
        <w:spacing w:after="0" w:line="208" w:lineRule="exact"/>
        <w:rPr>
          <w:rFonts w:ascii="Courier New" w:cs="Courier New" w:eastAsia="Courier New" w:hAnsi="Courier New"/>
          <w:sz w:val="18"/>
          <w:szCs w:val="18"/>
          <w:color w:val="auto"/>
        </w:rPr>
      </w:pPr>
    </w:p>
    <w:p>
      <w:pPr>
        <w:ind w:right="1879" w:firstLine="640"/>
        <w:spacing w:after="0" w:line="235"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means retirement from active full-time employment with the Company or any of its Affiliates at or after age sixty-four (64).</w:t>
      </w:r>
    </w:p>
    <w:p>
      <w:pPr>
        <w:spacing w:after="0" w:line="208" w:lineRule="exact"/>
        <w:rPr>
          <w:rFonts w:ascii="Courier New" w:cs="Courier New" w:eastAsia="Courier New" w:hAnsi="Courier New"/>
          <w:sz w:val="18"/>
          <w:szCs w:val="18"/>
          <w:color w:val="auto"/>
        </w:rPr>
      </w:pPr>
    </w:p>
    <w:p>
      <w:pPr>
        <w:ind w:right="2319" w:firstLine="640"/>
        <w:spacing w:after="0" w:line="290" w:lineRule="auto"/>
        <w:tabs>
          <w:tab w:leader="none" w:pos="12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as promulgated by the Commission under Section 16(b) of the Exchange Act, as amended from time to time.</w:t>
      </w:r>
    </w:p>
    <w:p>
      <w:pPr>
        <w:spacing w:after="0" w:line="164"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means common stock, par value $0.01 per share,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or "Option" means an option granted under Section 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Plan.</w:t>
      </w:r>
    </w:p>
    <w:p>
      <w:pPr>
        <w:spacing w:after="0" w:line="207" w:lineRule="exact"/>
        <w:rPr>
          <w:rFonts w:ascii="Courier New" w:cs="Courier New" w:eastAsia="Courier New" w:hAnsi="Courier New"/>
          <w:sz w:val="18"/>
          <w:szCs w:val="18"/>
          <w:color w:val="auto"/>
        </w:rPr>
      </w:pPr>
    </w:p>
    <w:p>
      <w:pPr>
        <w:ind w:right="1779" w:firstLine="640"/>
        <w:spacing w:after="0" w:line="272" w:lineRule="auto"/>
        <w:tabs>
          <w:tab w:leader="none" w:pos="12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means the termination of an Optionee's employment with the Company or any of its Affiliates, excluding any such termination where there is a simultaneous reemployment by the Company or any of its Affiliates. An Optionee shall be deemed to have terminated employment if he or she ceases to perform services for the Company or any of its Affiliates on an active full-time basis, notwithstanding the fact that such Optionee continues to</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6" w:name="page17"/>
    <w:bookmarkEnd w:id="16"/>
    <w:p>
      <w:pPr>
        <w:ind w:right="1999"/>
        <w:spacing w:after="0" w:line="271" w:lineRule="auto"/>
        <w:rPr>
          <w:sz w:val="20"/>
          <w:szCs w:val="20"/>
          <w:color w:val="auto"/>
        </w:rPr>
      </w:pPr>
      <w:r>
        <w:rPr>
          <w:rFonts w:ascii="Courier New" w:cs="Courier New" w:eastAsia="Courier New" w:hAnsi="Courier New"/>
          <w:sz w:val="16"/>
          <w:szCs w:val="16"/>
          <w:color w:val="auto"/>
        </w:rPr>
        <w:t>receive compensation or benefits pursuant to an employment contract or other agreement or arrangement with the Company or any of its Affiliates. A non-medical leave of absence shall, unless such leave of absence is otherwise approved by the Committee, be deemed a Termination of Employment. An Optionee employed by an Affiliate of the Company shall also be deemed to incur a Termination of Employment if that Affiliate ceases to be an Affiliate of the Company, as the case may be, and that Optionee does not immediately thereafter become an employee of the Company or any other Affiliate of the Company.</w:t>
      </w:r>
    </w:p>
    <w:p>
      <w:pPr>
        <w:spacing w:after="0" w:line="186"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addition, certain other terms have definitions given to them as they are used herein.</w:t>
      </w:r>
    </w:p>
    <w:p>
      <w:pPr>
        <w:spacing w:after="0" w:line="203"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Plan shall be administered by the Executive Officer Compensation &amp; Stock Option Committee of the Board or such other committee of the Board, composed solely of not less than two Non-Employee Directors, each of whom shall be appointed by and serve at the pleasure of the Board. If at any time no such committee(s) shall be in office, the functions of the Committee specified in the Plan shall be exercised by the Board.</w:t>
      </w:r>
    </w:p>
    <w:p>
      <w:pPr>
        <w:spacing w:after="0" w:line="210"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The Committee shall have all discretionary authority to administer the Plan and to grant Stock Options pursuant to the terms of the Plan to senior executives of the Company and any of its Affiliates.</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Among other things, the Committee shall have the discretionary authority, subject to the terms of the Plan:</w:t>
      </w:r>
    </w:p>
    <w:p>
      <w:pPr>
        <w:spacing w:after="0" w:line="208" w:lineRule="exact"/>
        <w:rPr>
          <w:sz w:val="20"/>
          <w:szCs w:val="20"/>
          <w:color w:val="auto"/>
        </w:rPr>
      </w:pPr>
    </w:p>
    <w:p>
      <w:pPr>
        <w:ind w:right="1999" w:firstLine="640"/>
        <w:spacing w:after="0" w:line="235"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Eligible Persons to whom Stock Options may from time to time be granted;</w:t>
      </w:r>
    </w:p>
    <w:p>
      <w:pPr>
        <w:spacing w:after="0" w:line="208" w:lineRule="exact"/>
        <w:rPr>
          <w:rFonts w:ascii="Courier New" w:cs="Courier New" w:eastAsia="Courier New" w:hAnsi="Courier New"/>
          <w:sz w:val="18"/>
          <w:szCs w:val="18"/>
          <w:color w:val="auto"/>
        </w:rPr>
      </w:pPr>
    </w:p>
    <w:p>
      <w:pPr>
        <w:ind w:right="2199" w:firstLine="640"/>
        <w:spacing w:after="0" w:line="235"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Stock to be covered by each Stock Option granted hereunder; and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of any Stock Option granted hereunder including, but not limited to, the option price (subject to Section 5a of the Plan) and any vesting condition, restriction or limitation based on such factors as the Committee shall determine.</w:t>
      </w:r>
    </w:p>
    <w:p>
      <w:pPr>
        <w:spacing w:after="0" w:line="207"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The Committee shall have the authority to adopt, alter and repeal such administrative rules, guidelines and practices governing the Plan as it shall, from time to time, deem advisable, to interpret the terms and provisions of the Plan and any Stock Option issued under the Plan (and any agreement relating thereto) and to otherwise supervise the administration of the Plan.</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Committee may act only by a majority of its members then in office, except that the members thereof may authorize any one or more of their number or any officer of the Company to execute and deliver documents on behalf of the Committee.</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Any determination made by the Committee or pursuant to delegated authority pursuant to the provisions of the Plan with respect to any Stock Option shall be made in the sole discretion of the Committee or such delegate at the time of the grant of the Stock Option or, unless in contravention of any express term of the Plan, at any time thereafter. All decisions made by the Committee or any appropriately delegated officer pursuant to the provisions of the Plan shall be</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7" w:name="page18"/>
    <w:bookmarkEnd w:id="17"/>
    <w:p>
      <w:pPr>
        <w:ind w:right="1999"/>
        <w:spacing w:after="0" w:line="235" w:lineRule="auto"/>
        <w:rPr>
          <w:sz w:val="20"/>
          <w:szCs w:val="20"/>
          <w:color w:val="auto"/>
        </w:rPr>
      </w:pPr>
      <w:r>
        <w:rPr>
          <w:rFonts w:ascii="Courier New" w:cs="Courier New" w:eastAsia="Courier New" w:hAnsi="Courier New"/>
          <w:sz w:val="18"/>
          <w:szCs w:val="18"/>
          <w:color w:val="auto"/>
        </w:rPr>
        <w:t>final and binding on all persons, including the Company and plan participants, and shall be given the maximum deference permitted by law.</w:t>
      </w:r>
    </w:p>
    <w:p>
      <w:pPr>
        <w:spacing w:after="0" w:line="203"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PLAN.</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Subject to adjustment as provided herein, the total number of shares of Stock available for grant under the Plan shall be two million (2,000,000). No individual shall be eligible to receive Stock Options to purchase more than 100,000 shares of Stock under the Plan. Shares subject to a Stock Option under the Plan may be authorized and unissued shares or may be treasury shares.</w:t>
      </w:r>
    </w:p>
    <w:p>
      <w:pPr>
        <w:spacing w:after="0" w:line="185"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If any Stock Option terminates without being exercised, shares subject to such Stock Option shall be available for further grants under the Plan.</w:t>
      </w:r>
    </w:p>
    <w:p>
      <w:pPr>
        <w:spacing w:after="0" w:line="208"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In the event of any merger, reorganization, consolidation, recapitalization, stock dividend, stock split, or extraordinary distribution with respect to the Stock or other change in corporate structure affecting the Stock, the Committee or the Board may make such substitution or adjustments in the number, kind and option price of shares authorized or outstanding as Stock Options, and/or such other equitable substitution or adjustments as its may determine to be appropriate in its sole discretion; provided, however, that the number of shares subject to any Stock Option shall always be a whole number.</w:t>
      </w:r>
    </w:p>
    <w:p>
      <w:pPr>
        <w:spacing w:after="0" w:line="180"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Senior executives who are actively employed on a full-time basis by the Company or any of its Affiliates, and who are responsible for or contribute to the management, growth and profitability of the business of the Company or any of Affiliates, are eligible to be granted Stock Options under the Plan ("Eligible Persons").</w:t>
      </w:r>
    </w:p>
    <w:p>
      <w:pPr>
        <w:spacing w:after="0" w:line="203"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Any Stock Option granted under the Plan shall be in the form attached hereto as Annex "A", which is incorporated herein and made a part of the Plan, with such changes as the Committee may from time to time approve which are consistent with the Plan. None of the Stock Options granted under the Plan shall be "incentive stock options" within the meaning of Section 422 of the Code.</w:t>
      </w:r>
    </w:p>
    <w:p>
      <w:pPr>
        <w:spacing w:after="0" w:line="185"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grant of a Stock Option shall occur on the date the Committee selects a Senior Executive of the Company or any of its Affiliates to receive any grant of a Stock Option, determines the number of shares of Stock to be subject to such Stock Option to be granted to such Senior Executive, and specifies the terms and provisions of said Stock Option. Such selection shall be evidenced in the records of the Company whether in the minutes of the meetings of the Committee or by their consent in writing. The Company shall notify an Optionee of any grant of a Stock Option, and a written option agreement or agreements shall be duly executed and delivered by the Company to the Optionee.</w:t>
      </w:r>
    </w:p>
    <w:p>
      <w:pPr>
        <w:spacing w:after="0" w:line="184"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Stock Options granted under the Plan shall be subject to the following terms and conditions and shall contain such additional terms and conditions as the Committee shall deem desirable: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8" w:name="page19"/>
    <w:bookmarkEnd w:id="18"/>
    <w:p>
      <w:pPr>
        <w:ind w:right="1879" w:firstLine="640"/>
        <w:spacing w:after="0" w:line="236"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of Stock purchasable under a Stock Option shall be the Fair Market Value per share of Stock on the grant date.</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 The term of each Stock Option shall be ten (10) years from its date of grant, unless earlier terminated.</w:t>
      </w:r>
    </w:p>
    <w:p>
      <w:pPr>
        <w:spacing w:after="0" w:line="208" w:lineRule="exact"/>
        <w:rPr>
          <w:rFonts w:ascii="Courier New" w:cs="Courier New" w:eastAsia="Courier New" w:hAnsi="Courier New"/>
          <w:sz w:val="18"/>
          <w:szCs w:val="18"/>
          <w:color w:val="auto"/>
        </w:rPr>
      </w:pPr>
    </w:p>
    <w:p>
      <w:pPr>
        <w:ind w:right="2319" w:firstLine="640"/>
        <w:spacing w:after="0" w:line="279"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Except as otherwise provided herein, each Stock Option shall be exercisable during its term only if such Stock Option has vested, and only after the first (1st) anniversary of its date of grant.</w:t>
      </w:r>
    </w:p>
    <w:p>
      <w:pPr>
        <w:spacing w:after="0" w:line="178" w:lineRule="exact"/>
        <w:rPr>
          <w:rFonts w:ascii="Courier New" w:cs="Courier New" w:eastAsia="Courier New" w:hAnsi="Courier New"/>
          <w:sz w:val="16"/>
          <w:szCs w:val="16"/>
          <w:color w:val="auto"/>
        </w:rPr>
      </w:pPr>
    </w:p>
    <w:p>
      <w:pPr>
        <w:ind w:right="1879" w:firstLine="640"/>
        <w:spacing w:after="0" w:line="270"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Each Stock Option shall have assigned to it by the Committee a vesting price (the "Vesting Price") which will be used to provide for accelerated vesting so that such Stock Option will vest immediately if, on or before the close of business on the fourth (4th) anniversary of its date of grant, the Fair Market Value of the Common Stock shall have been equal to or greater than the Vesting Price with respect to such Stock Option for ten (10) trading days in any period of thirty (30) consecutive trading days. Any Stock Option that has not vested on or before the close of business on the fourth (4th) anniversary of its date of grant shall vest at the close of business on the business day immediately preceding the eighth (8th) anniversary of its date of grant, if such Option has not previously terminated.</w:t>
      </w:r>
    </w:p>
    <w:p>
      <w:pPr>
        <w:spacing w:after="0" w:line="391"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Subject to the provisions of this Section 5 of the Plan, Stock Options may be exercised, in whole or in part, by giving written notice of exercise to the Company specifying the number of shares of Stock subject to the Stock Option to be purchased.</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The option price of Stock to be purchased upon exercise of any Option shall be paid in full:</w:t>
      </w:r>
    </w:p>
    <w:p>
      <w:pPr>
        <w:spacing w:after="0" w:line="208" w:lineRule="exact"/>
        <w:rPr>
          <w:sz w:val="20"/>
          <w:szCs w:val="20"/>
          <w:color w:val="auto"/>
        </w:rPr>
      </w:pPr>
    </w:p>
    <w:p>
      <w:pPr>
        <w:ind w:right="1879" w:firstLine="640"/>
        <w:spacing w:after="0" w:line="235"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cash (by certified or bank check or such other instrument as the Company may accept),</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Committee, in the form of unrestricted Stock already owned by the Optionee for six (6) months or more and based on the Fair Market Value of the Stock on the date the Stock Option is exercised,</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other form approved in the discretion of the Committee, or</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thereof.</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In the discretion of the Committee, payment for any shares subject to a Stock Option may also be made by delivering a properly executed exercise notice to the Company, together with a copy of irrevocable instructions to a broker to deliver promptly to the Company the amount of sale or loan proceeds to pay the purchase price, and, if requested, the amount of any federal, state, local or foreign withholding taxes. To facilitate the foregoing, the Company may enter into agreements for coordinated procedures with one or more brokerage firms.</w:t>
      </w:r>
    </w:p>
    <w:p>
      <w:pPr>
        <w:spacing w:after="0" w:line="18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No shares of Stock shall be issued until full payment therefor has been made. The Optionee shall have all of the rights of a stockholder of the Company holding the Stock that is subject to such Stock Option (including, if applicable, the right to vote the share and the right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9" w:name="page20"/>
    <w:bookmarkEnd w:id="19"/>
    <w:p>
      <w:pPr>
        <w:jc w:val="both"/>
        <w:ind w:right="1779"/>
        <w:spacing w:after="0" w:line="236" w:lineRule="auto"/>
        <w:rPr>
          <w:sz w:val="20"/>
          <w:szCs w:val="20"/>
          <w:color w:val="auto"/>
        </w:rPr>
      </w:pPr>
      <w:r>
        <w:rPr>
          <w:rFonts w:ascii="Courier New" w:cs="Courier New" w:eastAsia="Courier New" w:hAnsi="Courier New"/>
          <w:sz w:val="18"/>
          <w:szCs w:val="18"/>
          <w:color w:val="auto"/>
        </w:rPr>
        <w:t>receive dividends), only when the Optionee has given written notice of exercise, has paid in full for such shares and, if requested, has given the representation described in Section 9a of the Plan.</w:t>
      </w:r>
    </w:p>
    <w:p>
      <w:pPr>
        <w:spacing w:after="0" w:line="209" w:lineRule="exact"/>
        <w:rPr>
          <w:sz w:val="20"/>
          <w:szCs w:val="20"/>
          <w:color w:val="auto"/>
        </w:rPr>
      </w:pPr>
    </w:p>
    <w:p>
      <w:pPr>
        <w:ind w:right="2419" w:firstLine="640"/>
        <w:spacing w:after="0" w:line="235"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Stock Options. No Stock Option shall be transferable by the Optionee other than:</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beneficiary designation satisfactory to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or</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will or by the laws of descent and distribution.</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All Stock Options shall be exercisable, during the Optionee's lifetime, only by the Optionee or by the guardian or legal representative of the Optionee, it being understood that the terms "holder" and "Optionee" include the guardian and legal representative of the Optionee named in the option agreement and any person to whom an option is transferred by will or the laws of descent and distribution or pursuant to a qualified domestic relations order. The Committee may establish such procedures as it deems appropriate for an Optionee to designate a beneficiary to whom any amounts payable in the event of the Optionee's death are to be paid or by whom any rights of the Optionee, after the Optionee's death, may be exercised.</w:t>
      </w:r>
    </w:p>
    <w:p>
      <w:pPr>
        <w:spacing w:after="0" w:line="215" w:lineRule="exact"/>
        <w:rPr>
          <w:sz w:val="20"/>
          <w:szCs w:val="20"/>
          <w:color w:val="auto"/>
        </w:rPr>
      </w:pPr>
    </w:p>
    <w:p>
      <w:pPr>
        <w:ind w:right="1999" w:firstLine="640"/>
        <w:spacing w:after="0" w:line="237"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Death, Disability, Retirement or by the Company Without Cause. If the Optionee's employment terminates by reason of death, Disability or Retirement, or if such employment is terminated by the Company without Cause, in each case prior to the vesting of a Stock Option held by the Optionee, the following provisions shall apply:</w:t>
      </w:r>
    </w:p>
    <w:p>
      <w:pPr>
        <w:spacing w:after="0" w:line="208" w:lineRule="exact"/>
        <w:rPr>
          <w:rFonts w:ascii="Courier New" w:cs="Courier New" w:eastAsia="Courier New" w:hAnsi="Courier New"/>
          <w:sz w:val="18"/>
          <w:szCs w:val="18"/>
          <w:color w:val="auto"/>
        </w:rPr>
      </w:pPr>
    </w:p>
    <w:p>
      <w:pPr>
        <w:ind w:right="2099" w:firstLine="1272"/>
        <w:spacing w:after="0" w:line="237" w:lineRule="auto"/>
        <w:tabs>
          <w:tab w:leader="none" w:pos="1896"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by death or Disability, or by the Company without Cause, such Stock Options shall be exercisable only within ninety (90) days of such termination, and only if such Stock Options are then vested;</w:t>
      </w:r>
    </w:p>
    <w:p>
      <w:pPr>
        <w:spacing w:after="0" w:line="207" w:lineRule="exact"/>
        <w:rPr>
          <w:rFonts w:ascii="Courier New" w:cs="Courier New" w:eastAsia="Courier New" w:hAnsi="Courier New"/>
          <w:sz w:val="18"/>
          <w:szCs w:val="18"/>
          <w:color w:val="auto"/>
        </w:rPr>
      </w:pPr>
    </w:p>
    <w:p>
      <w:pPr>
        <w:ind w:right="1779" w:firstLine="1272"/>
        <w:spacing w:after="0" w:line="235" w:lineRule="auto"/>
        <w:tabs>
          <w:tab w:leader="none" w:pos="1896"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termination occurs by Retirement or other "voluntary quit," such Stock Options shall terminate immediately; and</w:t>
      </w:r>
    </w:p>
    <w:p>
      <w:pPr>
        <w:spacing w:after="0" w:line="208" w:lineRule="exact"/>
        <w:rPr>
          <w:rFonts w:ascii="Courier New" w:cs="Courier New" w:eastAsia="Courier New" w:hAnsi="Courier New"/>
          <w:sz w:val="18"/>
          <w:szCs w:val="18"/>
          <w:color w:val="auto"/>
        </w:rPr>
      </w:pPr>
    </w:p>
    <w:p>
      <w:pPr>
        <w:jc w:val="both"/>
        <w:ind w:right="1999" w:firstLine="640"/>
        <w:spacing w:after="0" w:line="236"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 If the Optionee's employment is terminated by the Company for Cause prior to the vesting of a Stock Option, such Stock Options shall terminate immediately.</w:t>
      </w:r>
    </w:p>
    <w:p>
      <w:pPr>
        <w:spacing w:after="0" w:line="208" w:lineRule="exact"/>
        <w:rPr>
          <w:rFonts w:ascii="Courier New" w:cs="Courier New" w:eastAsia="Courier New" w:hAnsi="Courier New"/>
          <w:sz w:val="18"/>
          <w:szCs w:val="18"/>
          <w:color w:val="auto"/>
        </w:rPr>
      </w:pPr>
    </w:p>
    <w:p>
      <w:pPr>
        <w:ind w:right="2099" w:firstLine="640"/>
        <w:spacing w:after="0" w:line="279"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After Vesting. If the Optionee's employment is terminated for any reason after a Stock Option has vested, such Stock Options shall be exercisable only within ninety (90) days of such termination,</w:t>
      </w:r>
    </w:p>
    <w:p>
      <w:pPr>
        <w:spacing w:after="0" w:line="178" w:lineRule="exact"/>
        <w:rPr>
          <w:rFonts w:ascii="Courier New" w:cs="Courier New" w:eastAsia="Courier New" w:hAnsi="Courier New"/>
          <w:sz w:val="16"/>
          <w:szCs w:val="16"/>
          <w:color w:val="auto"/>
        </w:rPr>
      </w:pPr>
    </w:p>
    <w:p>
      <w:pPr>
        <w:ind w:right="1999" w:firstLine="640"/>
        <w:spacing w:after="0" w:line="238"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Cash Out. Notwithstanding any other provision of the Plan, upon the occurrence of a Change of Control all outstanding Stock Options shall immediately vest and become fully exercisable, and during the ninety (90) day period from and after such Change in Control (the "Exercise Period"), the Optionee shall have the right, in lieu of the payment of the exercise price for the shares of Stock being purchased under the Stock Option and by giving notice to the Company, to elect (within the Exercise Period) to surrender all or part of the Stock Option to the Company and to receive cash, within ninety (90) days of such notice, in an amount equal to the amount by which the Change in Control Price per share of Stock on the date of such election shall exceed the exercise price per share of Stock under the Stock Option (the "Spread"), multiplied 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0" w:name="page21"/>
    <w:bookmarkEnd w:id="20"/>
    <w:p>
      <w:pPr>
        <w:ind w:right="2199"/>
        <w:spacing w:after="0" w:line="290" w:lineRule="auto"/>
        <w:rPr>
          <w:sz w:val="20"/>
          <w:szCs w:val="20"/>
          <w:color w:val="auto"/>
        </w:rPr>
      </w:pPr>
      <w:r>
        <w:rPr>
          <w:rFonts w:ascii="Courier New" w:cs="Courier New" w:eastAsia="Courier New" w:hAnsi="Courier New"/>
          <w:sz w:val="16"/>
          <w:szCs w:val="16"/>
          <w:color w:val="auto"/>
        </w:rPr>
        <w:t>the number of shares of Stock granted under the Stock Option as to which the right granted under this Section 5j of the Plan shall have been exercised.</w:t>
      </w:r>
    </w:p>
    <w:p>
      <w:pPr>
        <w:spacing w:after="0" w:line="16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PROVISIONS.</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Impact of Event. Notwithstanding any other provision of the Plan to the contrary, in the event of a Change in Control, any Stock Options outstanding as of the date such Change in Control is determined to have occurred, and not then vested and exercisable, shall become vested and exercisable to the full extent of the original grant, provided that such accelerated vesting shall occur only if the Optionee is an active full-time employee of the Company or any of its Affiliates as of such date.</w:t>
      </w:r>
    </w:p>
    <w:p>
      <w:pPr>
        <w:spacing w:after="0" w:line="211" w:lineRule="exact"/>
        <w:rPr>
          <w:rFonts w:ascii="Courier New" w:cs="Courier New" w:eastAsia="Courier New" w:hAnsi="Courier New"/>
          <w:sz w:val="18"/>
          <w:szCs w:val="18"/>
          <w:color w:val="auto"/>
        </w:rPr>
      </w:pPr>
    </w:p>
    <w:p>
      <w:pPr>
        <w:ind w:right="1779" w:firstLine="640"/>
        <w:spacing w:after="0" w:line="235" w:lineRule="auto"/>
        <w:tabs>
          <w:tab w:leader="none" w:pos="1264"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Change in Control. For purposes of the Plan, a "Change in Control" shall mean the happening of any of the following events:</w:t>
      </w:r>
    </w:p>
    <w:p>
      <w:pPr>
        <w:spacing w:after="0" w:line="208" w:lineRule="exact"/>
        <w:rPr>
          <w:rFonts w:ascii="Courier New" w:cs="Courier New" w:eastAsia="Courier New" w:hAnsi="Courier New"/>
          <w:sz w:val="18"/>
          <w:szCs w:val="18"/>
          <w:color w:val="auto"/>
        </w:rPr>
      </w:pPr>
    </w:p>
    <w:p>
      <w:pPr>
        <w:ind w:left="1280" w:right="1999" w:firstLine="624"/>
        <w:spacing w:after="0" w:line="270" w:lineRule="auto"/>
        <w:tabs>
          <w:tab w:leader="none" w:pos="2544"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(other than by the Company or by an employee benefit plan or related trust sponsored or maintained by the Company), directly or indirectly, in one or more transactions, by any person or by any group of persons, within the meaning of Section 13(d) or 14(d) of the Exchange Act of beneficial ownership (within the meaning of Rule 13d-3 of the Exchange Act) of twenty-five percent or more of either the outstanding shares of common stock or the combined voting power of the Company's outstanding voting securities entitled to vote generally, if the acquisition was not previously approved by the existing directors;</w:t>
      </w:r>
    </w:p>
    <w:p>
      <w:pPr>
        <w:spacing w:after="0" w:line="189" w:lineRule="exact"/>
        <w:rPr>
          <w:rFonts w:ascii="Courier New" w:cs="Courier New" w:eastAsia="Courier New" w:hAnsi="Courier New"/>
          <w:sz w:val="16"/>
          <w:szCs w:val="16"/>
          <w:color w:val="auto"/>
        </w:rPr>
      </w:pPr>
    </w:p>
    <w:p>
      <w:pPr>
        <w:ind w:left="1280" w:right="1879" w:firstLine="624"/>
        <w:spacing w:after="0" w:line="237" w:lineRule="auto"/>
        <w:tabs>
          <w:tab w:leader="none" w:pos="2544"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(other than by the Company or by an employee benefit plan or related trust sponsored or maintained by the Company), directly or indirectly, in one or more transactions, by any such person or by any group of persons of beneficial ownership (within the meaning of Rule 13d-3 of the Exchange Act) of fifty percent or more of either the outstanding shares of common stock or the combined voting power of the Company's outstanding voting securities entitled to vote generally, whether or not the acquisition was approved by the existing directors, other than an acquisition that complies with clause (x) and (y) of paragraph (iii);</w:t>
      </w:r>
    </w:p>
    <w:p>
      <w:pPr>
        <w:spacing w:after="0" w:line="215" w:lineRule="exact"/>
        <w:rPr>
          <w:rFonts w:ascii="Courier New" w:cs="Courier New" w:eastAsia="Courier New" w:hAnsi="Courier New"/>
          <w:sz w:val="18"/>
          <w:szCs w:val="18"/>
          <w:color w:val="auto"/>
        </w:rPr>
      </w:pPr>
    </w:p>
    <w:p>
      <w:pPr>
        <w:ind w:left="1280" w:right="1779" w:firstLine="624"/>
        <w:spacing w:after="0" w:line="270" w:lineRule="auto"/>
        <w:tabs>
          <w:tab w:leader="none" w:pos="2544"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 reorganization, merger or consolidation of the Company or the sale or other disposition of all or substantially all of the Company's assets unless, immediately following such event, (x) all or substantially all of the stockholders of the Company immediately prior to such event own, directly or indirectly, seventy-five percent or more of the then outstanding voting securities entitled to vote generally of the resulting corporation (including without limitation, a corporation which as a result of such event owns the Company or all or substantially all of the Company's assets either directly or through one or more subsidiaries) in substantially the same proportions as their ownership of the Company's outstanding voting securities entitled to vote generally immediately prior to such event and (y) the securities of the surviving or resulting corporation received or retained by the stockholders of the Company is publicly traded;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1" w:name="page22"/>
    <w:bookmarkEnd w:id="21"/>
    <w:p>
      <w:pPr>
        <w:ind w:left="1280" w:right="1779" w:firstLine="624"/>
        <w:spacing w:after="0" w:line="235" w:lineRule="auto"/>
        <w:tabs>
          <w:tab w:leader="none" w:pos="2544"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stockholders of the complete liquidation or dissolution of the Company; or</w:t>
      </w:r>
    </w:p>
    <w:p>
      <w:pPr>
        <w:spacing w:after="0" w:line="208" w:lineRule="exact"/>
        <w:rPr>
          <w:rFonts w:ascii="Courier New" w:cs="Courier New" w:eastAsia="Courier New" w:hAnsi="Courier New"/>
          <w:sz w:val="18"/>
          <w:szCs w:val="18"/>
          <w:color w:val="auto"/>
        </w:rPr>
      </w:pPr>
    </w:p>
    <w:p>
      <w:pPr>
        <w:ind w:left="1280" w:right="2099" w:firstLine="624"/>
        <w:spacing w:after="0" w:line="236" w:lineRule="auto"/>
        <w:tabs>
          <w:tab w:leader="none" w:pos="2544"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greater than one-third change in the composition of the Board of Directors within 24 months if not approved by a majority of the pre-existing directors.</w:t>
      </w:r>
    </w:p>
    <w:p>
      <w:pPr>
        <w:spacing w:after="0" w:line="208" w:lineRule="exact"/>
        <w:rPr>
          <w:rFonts w:ascii="Courier New" w:cs="Courier New" w:eastAsia="Courier New" w:hAnsi="Courier New"/>
          <w:sz w:val="18"/>
          <w:szCs w:val="18"/>
          <w:color w:val="auto"/>
        </w:rPr>
      </w:pPr>
    </w:p>
    <w:p>
      <w:pPr>
        <w:ind w:right="2519" w:firstLine="640"/>
        <w:spacing w:after="0" w:line="235"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Price. For purposes of the Plan, "Change in Control Price" means the higher of:</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reported sales price, regular way, of a share of Stock in any transaction reported on the New York Stock Exchange Composite Tape or other national securities exchange on which such shares are listed or on Nasdaq, as applicable, during the ninety (90) day period prior to and including the date of a Change in Control, and or</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Change in Control is the result of a tender or exchange offer or a Business Combination, the highest price per share of Stock paid in such tender or exchange offer or Business Combination; provided, however, that in the case of a Stock Option which:</w:t>
      </w:r>
    </w:p>
    <w:p>
      <w:pPr>
        <w:spacing w:after="0" w:line="207" w:lineRule="exact"/>
        <w:rPr>
          <w:sz w:val="20"/>
          <w:szCs w:val="20"/>
          <w:color w:val="auto"/>
        </w:rPr>
      </w:pPr>
    </w:p>
    <w:p>
      <w:pPr>
        <w:ind w:left="2540" w:hanging="636"/>
        <w:spacing w:after="0"/>
        <w:tabs>
          <w:tab w:leader="none" w:pos="254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held by an Optionee who is an officer of the Company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is subject to Section 16(b) of the Exchange Act, and</w:t>
      </w:r>
    </w:p>
    <w:p>
      <w:pPr>
        <w:spacing w:after="0" w:line="207" w:lineRule="exact"/>
        <w:rPr>
          <w:rFonts w:ascii="Courier New" w:cs="Courier New" w:eastAsia="Courier New" w:hAnsi="Courier New"/>
          <w:sz w:val="16"/>
          <w:szCs w:val="16"/>
          <w:color w:val="auto"/>
        </w:rPr>
      </w:pPr>
    </w:p>
    <w:p>
      <w:pPr>
        <w:ind w:right="1999" w:firstLine="1904"/>
        <w:spacing w:after="0" w:line="271" w:lineRule="auto"/>
        <w:tabs>
          <w:tab w:leader="none" w:pos="252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granted within two hundred and forty (240) days of the Change in Control, then the Change in Control Price for such Stock Option shall be the Fair Market Value of the Stock on the date such Stock Option is exercised or canceled. To the extent that the consideration paid in any such transaction described above consists all or in part of securities or other non-cash consideration, the value of such securities or other non-cash consideration shall be determined in the sole discretion of the Board.</w:t>
      </w:r>
    </w:p>
    <w:p>
      <w:pPr>
        <w:spacing w:after="0" w:line="182"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AMENDMENT AND TERMINATION.</w:t>
      </w:r>
    </w:p>
    <w:p>
      <w:pPr>
        <w:spacing w:after="0" w:line="20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will terminate on December 11, 2011. Stock Options outstanding as</w:t>
      </w:r>
    </w:p>
    <w:p>
      <w:pPr>
        <w:spacing w:after="0" w:line="2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of December 11, 2011 shall not be affected or impaired by the termination of the Plan.</w:t>
      </w:r>
    </w:p>
    <w:p>
      <w:pPr>
        <w:spacing w:after="0" w:line="208"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The Committee shall have authority to amend the Plan without the approval of the Company's stockholders to take into account changes in law and tax and accounting rules, including Rule 16b-3 and Section 162(m) of the Code; provided that no amendment shall be made without the Optionee's consent which would impair the rights of an Optionee under a Stock Option theretofore granted.</w:t>
      </w:r>
    </w:p>
    <w:p>
      <w:pPr>
        <w:spacing w:after="0" w:line="179"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UNFUNDED STATUS OF PLAN.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is presently intended that the Plan constitute an "unfunded" plan for incentive and deferred compensation. The Committee may authorize the creation of trusts or other arrangements to meet the obligations created under the Plan to deliver Stock or make payments; provided, however, that, unless the Committee otherwise determines, the existence of such trusts or other arrangements is consistent with the "unfunded" status of the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2" w:name="page23"/>
    <w:bookmarkEnd w:id="22"/>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6" w:lineRule="exact"/>
        <w:rPr>
          <w:rFonts w:ascii="Courier New" w:cs="Courier New" w:eastAsia="Courier New" w:hAnsi="Courier New"/>
          <w:sz w:val="18"/>
          <w:szCs w:val="18"/>
          <w:color w:val="auto"/>
        </w:rPr>
      </w:pPr>
    </w:p>
    <w:p>
      <w:pPr>
        <w:ind w:right="187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Committee may require each person purchasing shares pursuant to a Stock Option to represent to and agree with the Company in writing that such person is acquiring the shares without a view to the distribution thereof. The certificates for such shares may include any legend which the Committee deems appropriate to reflect any restrictions on transfer.</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 of the Plan or agreements made pursuant thereto, the Company shall not be required to issue or deliver any certificate or certificates for shares of Stock under the Plan prior to fulfillment of all of the following conditions:</w:t>
      </w:r>
    </w:p>
    <w:p>
      <w:pPr>
        <w:spacing w:after="0" w:line="202" w:lineRule="exact"/>
        <w:rPr>
          <w:sz w:val="20"/>
          <w:szCs w:val="20"/>
          <w:color w:val="auto"/>
        </w:rPr>
      </w:pPr>
    </w:p>
    <w:p>
      <w:pPr>
        <w:ind w:left="1900" w:hanging="628"/>
        <w:spacing w:after="0"/>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listing or approval for listing</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registration or other qualification</w:t>
      </w:r>
    </w:p>
    <w:p>
      <w:pPr>
        <w:spacing w:after="0" w:line="206"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obtaining of any other consent, approval, or permit from any state or federal governmental agency which the Committee shall, in its absolute discretion after receiving the advice of counsel, determine to be necessary or advisable.</w:t>
      </w:r>
    </w:p>
    <w:p>
      <w:pPr>
        <w:spacing w:after="0" w:line="207" w:lineRule="exact"/>
        <w:rPr>
          <w:rFonts w:ascii="Courier New" w:cs="Courier New" w:eastAsia="Courier New" w:hAnsi="Courier New"/>
          <w:sz w:val="18"/>
          <w:szCs w:val="18"/>
          <w:color w:val="auto"/>
        </w:rPr>
      </w:pPr>
    </w:p>
    <w:p>
      <w:pPr>
        <w:ind w:right="1999" w:firstLine="640"/>
        <w:spacing w:after="0" w:line="236"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the Plan shall prevent the Company or any of its Affiliates from adopting other or additional compensation arrangements for any Optionee.</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of the Plan shall not confer upon any Optionee any right to continued employment, nor shall it interfere in any way with the right of the Company or any of its Affiliates to terminate the employment of any Optionee with or without cause at any time whatsoever absent a written employment contract to the contrary.</w:t>
      </w:r>
    </w:p>
    <w:p>
      <w:pPr>
        <w:spacing w:after="0" w:line="208" w:lineRule="exact"/>
        <w:rPr>
          <w:rFonts w:ascii="Courier New" w:cs="Courier New" w:eastAsia="Courier New" w:hAnsi="Courier New"/>
          <w:sz w:val="18"/>
          <w:szCs w:val="18"/>
          <w:color w:val="auto"/>
        </w:rPr>
      </w:pPr>
    </w:p>
    <w:p>
      <w:pPr>
        <w:ind w:right="1779" w:firstLine="640"/>
        <w:spacing w:after="0" w:line="238"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later than the date as of which an amount first becomes includable in the gross income of the Optionee for federal income tax purposes with respect to any Stock Option under the Plan, and prior to the delivery of any shares of Stock to any Optionee, the Optionee shall pay to the Company, or make arrangements satisfactory to the Company regarding the payment of, any federal, state, local or foreign taxes of any kind required by law to be withheld by the Company with respect to such amount. In the discretion of the Committee, withholding obligations may be settled with Stock in an amount having a Fair Market Value not exceeding the minimum withholding tax payable by the Optionee with respect to the income recognized, including Stock that is subject to the Stock Option that gives rise to the withholding requirement. The obligations of the Company under the Plan shall be conditional on such payment or arrangements, and the Company and any of its Affiliates shall, to the extent permitted by law, have the right to deduct any such taxes from any payment otherwise due to the Optionee. The Committee shall establish such procedures as it deems appropriate, including the making of irrevocable elections, for the settlement of withholding obligations with Stock.</w:t>
      </w:r>
    </w:p>
    <w:p>
      <w:pPr>
        <w:spacing w:after="0" w:line="208" w:lineRule="exact"/>
        <w:rPr>
          <w:rFonts w:ascii="Courier New" w:cs="Courier New" w:eastAsia="Courier New" w:hAnsi="Courier New"/>
          <w:sz w:val="18"/>
          <w:szCs w:val="18"/>
          <w:color w:val="auto"/>
        </w:rPr>
      </w:pPr>
    </w:p>
    <w:p>
      <w:pPr>
        <w:ind w:right="1999" w:firstLine="640"/>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grant of a Stock Option to any employee of a Company Affiliate, the Company, may, if the Committee so directs, issue or transfer the shares of Stock covered by the Stock Option to the Affiliate, for such lawful consideration as the Committee may specify, upon the condition or understanding that the Affiliate will transfer the shares of Stock to that Optionee in accordance with the terms of the Stock Option specified by the Committee pursuant to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23" w:name="page24"/>
    <w:bookmarkEnd w:id="23"/>
    <w:p>
      <w:pPr>
        <w:ind w:right="1999" w:firstLine="640"/>
        <w:spacing w:after="0" w:line="236" w:lineRule="auto"/>
        <w:tabs>
          <w:tab w:leader="none" w:pos="1264"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all Stock Options made and actions taken thereunder shall be governed by and construed in accordance with the laws of the State of California, without reference to principles of conflict of law.</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PLAN.</w:t>
      </w:r>
    </w:p>
    <w:p>
      <w:pPr>
        <w:spacing w:after="0" w:line="20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Subject to approval by the stockholders of the Company, the Plan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on December 11,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415"/>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lowerLetter"/>
      <w:start w:val="1"/>
    </w:lvl>
    <w:lvl w:ilvl="1">
      <w:lvlJc w:val="left"/>
      <w:lvlText w:val="(%2)"/>
      <w:numFmt w:val="decimal"/>
      <w:start w:val="3"/>
    </w:lvl>
  </w:abstractNum>
  <w:abstractNum w:abstractNumId="7">
    <w:nsid w:val="257130A3"/>
    <w:multiLevelType w:val="hybridMultilevel"/>
    <w:lvl w:ilvl="0">
      <w:lvlJc w:val="left"/>
      <w:lvlText w:val="(%1)"/>
      <w:numFmt w:val="lowerLetter"/>
      <w:start w:val="2"/>
    </w:lvl>
    <w:lvl w:ilvl="1">
      <w:lvlJc w:val="left"/>
      <w:lvlText w:val="%2"/>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lowerLetter"/>
      <w:start w:val="1"/>
    </w:lvl>
    <w:lvl w:ilvl="1">
      <w:lvlJc w:val="left"/>
      <w:lvlText w:val="(%2)"/>
      <w:numFmt w:val="decimal"/>
      <w:start w:val="1"/>
    </w:lvl>
  </w:abstractNum>
  <w:abstractNum w:abstractNumId="10">
    <w:nsid w:val="628C895D"/>
    <w:multiLevelType w:val="hybridMultilevel"/>
    <w:lvl w:ilvl="0">
      <w:lvlJc w:val="left"/>
      <w:lvlText w:val="%1."/>
      <w:numFmt w:val="lowerLetter"/>
      <w:start w:val="7"/>
    </w:lvl>
  </w:abstractNum>
  <w:abstractNum w:abstractNumId="11">
    <w:nsid w:val="333AB105"/>
    <w:multiLevelType w:val="hybridMultilevel"/>
    <w:lvl w:ilvl="0">
      <w:lvlJc w:val="left"/>
      <w:lvlText w:val="%1."/>
      <w:numFmt w:val="decimal"/>
      <w:start w:val="2"/>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decimal"/>
      <w:start w:val="3"/>
    </w:lvl>
  </w:abstractNum>
  <w:abstractNum w:abstractNumId="14">
    <w:nsid w:val="2D1D5AE9"/>
    <w:multiLevelType w:val="hybridMultilevel"/>
    <w:lvl w:ilvl="0">
      <w:lvlJc w:val="left"/>
      <w:lvlText w:val="%1."/>
      <w:numFmt w:val="decimal"/>
      <w:start w:val="4"/>
    </w:lvl>
  </w:abstractNum>
  <w:abstractNum w:abstractNumId="15">
    <w:nsid w:val="6763845E"/>
    <w:multiLevelType w:val="hybridMultilevel"/>
    <w:lvl w:ilvl="0">
      <w:lvlJc w:val="left"/>
      <w:lvlText w:val="%1."/>
      <w:numFmt w:val="decimal"/>
      <w:start w:val="5"/>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lowerLetter"/>
      <w:start w:val="6"/>
    </w:lvl>
    <w:lvl w:ilvl="1">
      <w:lvlJc w:val="left"/>
      <w:lvlText w:val="(%2)"/>
      <w:numFmt w:val="decimal"/>
      <w:start w:val="1"/>
    </w:lvl>
  </w:abstractNum>
  <w:abstractNum w:abstractNumId="19">
    <w:nsid w:val="4353D0CD"/>
    <w:multiLevelType w:val="hybridMultilevel"/>
    <w:lvl w:ilvl="0">
      <w:lvlJc w:val="left"/>
      <w:lvlText w:val="%1."/>
      <w:numFmt w:val="lowerLetter"/>
      <w:start w:val="7"/>
    </w:lvl>
    <w:lvl w:ilvl="1">
      <w:lvlJc w:val="left"/>
      <w:lvlText w:val="(%2)"/>
      <w:numFmt w:val="decimal"/>
      <w:start w:val="1"/>
    </w:lvl>
  </w:abstractNum>
  <w:abstractNum w:abstractNumId="20">
    <w:nsid w:val="B03E0C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22">
    <w:nsid w:val="54E49EB4"/>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23">
    <w:nsid w:val="71F32454"/>
    <w:multiLevelType w:val="hybridMultilevel"/>
    <w:lvl w:ilvl="0">
      <w:lvlJc w:val="left"/>
      <w:lvlText w:val="%1"/>
      <w:numFmt w:val="decimal"/>
      <w:start w:val="1"/>
    </w:lvl>
    <w:lvl w:ilvl="1">
      <w:lvlJc w:val="left"/>
      <w:lvlText w:val="(%2)"/>
      <w:numFmt w:val="lowerLetter"/>
      <w:start w:val="1"/>
    </w:lvl>
  </w:abstractNum>
  <w:abstractNum w:abstractNumId="24">
    <w:nsid w:val="2CA88611"/>
    <w:multiLevelType w:val="hybridMultilevel"/>
    <w:lvl w:ilvl="0">
      <w:lvlJc w:val="left"/>
      <w:lvlText w:val="%1."/>
      <w:numFmt w:val="decimal"/>
      <w:start w:val="7"/>
    </w:lvl>
    <w:lvl w:ilvl="1">
      <w:lvlJc w:val="left"/>
      <w:lvlText w:val="%2"/>
      <w:numFmt w:val="lowerLetter"/>
      <w:start w:val="1"/>
    </w:lvl>
  </w:abstractNum>
  <w:abstractNum w:abstractNumId="25">
    <w:nsid w:val="836C40E"/>
    <w:multiLevelType w:val="hybridMultilevel"/>
    <w:lvl w:ilvl="0">
      <w:lvlJc w:val="left"/>
      <w:lvlText w:val="%1."/>
      <w:numFmt w:val="decimal"/>
      <w:start w:val="8"/>
    </w:lvl>
  </w:abstractNum>
  <w:abstractNum w:abstractNumId="26">
    <w:nsid w:val="2901D82"/>
    <w:multiLevelType w:val="hybridMultilevel"/>
    <w:lvl w:ilvl="0">
      <w:lvlJc w:val="left"/>
      <w:lvlText w:val="%1."/>
      <w:numFmt w:val="decimal"/>
      <w:start w:val="9"/>
    </w:lvl>
    <w:lvl w:ilvl="1">
      <w:lvlJc w:val="left"/>
      <w:lvlText w:val="%2"/>
      <w:numFmt w:val="lowerLetter"/>
      <w:start w:val="1"/>
    </w:lvl>
  </w:abstractNum>
  <w:abstractNum w:abstractNumId="27">
    <w:nsid w:val="3A95F874"/>
    <w:multiLevelType w:val="hybridMultilevel"/>
    <w:lvl w:ilvl="0">
      <w:lvlJc w:val="left"/>
      <w:lvlText w:val="%1"/>
      <w:numFmt w:val="lowerLetter"/>
      <w:start w:val="1"/>
    </w:lvl>
    <w:lvl w:ilvl="1">
      <w:lvlJc w:val="left"/>
      <w:lvlText w:val="(%2)"/>
      <w:numFmt w:val="decimal"/>
      <w:start w:val="1"/>
    </w:lvl>
  </w:abstractNum>
  <w:abstractNum w:abstractNumId="28">
    <w:nsid w:val="8138641"/>
    <w:multiLevelType w:val="hybridMultilevel"/>
    <w:lvl w:ilvl="0">
      <w:lvlJc w:val="left"/>
      <w:lvlText w:val="%1."/>
      <w:numFmt w:val="lowerLetter"/>
      <w:start w:val="2"/>
    </w:lvl>
    <w:lvl w:ilvl="1">
      <w:lvlJc w:val="left"/>
      <w:lvlText w:val="%2"/>
      <w:numFmt w:val="decimal"/>
      <w:start w:val="1"/>
    </w:lvl>
  </w:abstractNum>
  <w:abstractNum w:abstractNumId="29">
    <w:nsid w:val="1E7FF521"/>
    <w:multiLevelType w:val="hybridMultilevel"/>
    <w:lvl w:ilvl="0">
      <w:lvlJc w:val="left"/>
      <w:lvlText w:val="%1"/>
      <w:numFmt w:val="decimal"/>
      <w:start w:val="1"/>
    </w:lvl>
    <w:lvl w:ilvl="1">
      <w:lvlJc w:val="left"/>
      <w:lvlText w:val="%2."/>
      <w:numFmt w:val="lowerLetter"/>
      <w:start w:val="6"/>
    </w:lvl>
  </w:abstractNum>
  <w:abstractNum w:abstractNumId="30">
    <w:nsid w:val="7C3DBD3D"/>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2019-12-13T15:28:01Z</dcterms:created>
  <dcterms:modified xsi:type="dcterms:W3CDTF">2019-12-13T15:28:01Z</dcterms:modified>
</cp:coreProperties>
</file>