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161290</wp:posOffset>
            </wp:positionV>
            <wp:extent cx="3627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600"/>
        <w:spacing w:after="0"/>
        <w:rPr>
          <w:sz w:val="20"/>
          <w:szCs w:val="20"/>
          <w:color w:val="auto"/>
        </w:rPr>
      </w:pPr>
      <w:r>
        <w:rPr>
          <w:rFonts w:ascii="Arial" w:cs="Arial" w:eastAsia="Arial" w:hAnsi="Arial"/>
          <w:sz w:val="19"/>
          <w:szCs w:val="19"/>
          <w:b w:val="1"/>
          <w:bCs w:val="1"/>
          <w:color w:val="auto"/>
        </w:rPr>
        <w:t xml:space="preserve">Date of Report (Date of earliest event reported): </w:t>
      </w:r>
      <w:r>
        <w:rPr>
          <w:rFonts w:ascii="Arial" w:cs="Arial" w:eastAsia="Arial" w:hAnsi="Arial"/>
          <w:sz w:val="19"/>
          <w:szCs w:val="19"/>
          <w:b w:val="1"/>
          <w:bCs w:val="1"/>
          <w:u w:val="single" w:color="auto"/>
          <w:color w:val="auto"/>
        </w:rPr>
        <w:t>December 13,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170180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ABM Industries Incorporated</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142240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0880"/>
          </w:cols>
          <w:pgMar w:left="240" w:top="760" w:right="77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1-8929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94-1369354</w:t>
      </w:r>
    </w:p>
    <w:p>
      <w:pPr>
        <w:spacing w:after="0" w:line="31" w:lineRule="exact"/>
        <w:rPr>
          <w:sz w:val="24"/>
          <w:szCs w:val="24"/>
          <w:color w:val="auto"/>
        </w:rPr>
      </w:pPr>
    </w:p>
    <w:p>
      <w:pPr>
        <w:sectPr>
          <w:pgSz w:w="11900" w:h="16838" w:orient="portrait"/>
          <w:cols w:equalWidth="0" w:num="3">
            <w:col w:w="4740" w:space="720"/>
            <w:col w:w="2920" w:space="720"/>
            <w:col w:w="1780"/>
          </w:cols>
          <w:pgMar w:left="240" w:top="760" w:right="779" w:bottom="1440" w:gutter="0" w:footer="0" w:header="0"/>
          <w:type w:val="continuous"/>
        </w:sectPr>
      </w:pPr>
    </w:p>
    <w:p>
      <w:pPr>
        <w:spacing w:after="0" w:line="12" w:lineRule="exact"/>
        <w:rPr>
          <w:sz w:val="24"/>
          <w:szCs w:val="24"/>
          <w:color w:val="auto"/>
        </w:rPr>
      </w:pPr>
    </w:p>
    <w:p>
      <w:pPr>
        <w:jc w:val="center"/>
        <w:ind w:right="840"/>
        <w:spacing w:after="0"/>
        <w:rPr>
          <w:sz w:val="20"/>
          <w:szCs w:val="20"/>
          <w:color w:val="auto"/>
        </w:rPr>
      </w:pPr>
      <w:r>
        <w:rPr>
          <w:rFonts w:ascii="Arial" w:cs="Arial" w:eastAsia="Arial" w:hAnsi="Arial"/>
          <w:sz w:val="13"/>
          <w:szCs w:val="13"/>
          <w:color w:val="auto"/>
        </w:rPr>
        <w:t>(State or other jurisdiction</w:t>
      </w:r>
    </w:p>
    <w:p>
      <w:pPr>
        <w:jc w:val="center"/>
        <w:ind w:right="84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jc w:val="center"/>
        <w:ind w:right="800"/>
        <w:spacing w:after="0"/>
        <w:rPr>
          <w:sz w:val="20"/>
          <w:szCs w:val="20"/>
          <w:color w:val="auto"/>
        </w:rPr>
      </w:pPr>
      <w:r>
        <w:rPr>
          <w:rFonts w:ascii="Arial" w:cs="Arial" w:eastAsia="Arial" w:hAnsi="Arial"/>
          <w:sz w:val="14"/>
          <w:szCs w:val="14"/>
          <w:color w:val="auto"/>
        </w:rPr>
        <w:t>(IRS Employer</w:t>
      </w:r>
    </w:p>
    <w:p>
      <w:pPr>
        <w:jc w:val="center"/>
        <w:ind w:right="800"/>
        <w:spacing w:after="0"/>
        <w:rPr>
          <w:sz w:val="20"/>
          <w:szCs w:val="20"/>
          <w:color w:val="auto"/>
        </w:rPr>
      </w:pPr>
      <w:r>
        <w:rPr>
          <w:rFonts w:ascii="Arial" w:cs="Arial" w:eastAsia="Arial" w:hAnsi="Arial"/>
          <w:sz w:val="13"/>
          <w:szCs w:val="13"/>
          <w:color w:val="auto"/>
        </w:rPr>
        <w:t>Identification No.)</w:t>
      </w:r>
    </w:p>
    <w:p>
      <w:pPr>
        <w:spacing w:after="0" w:line="207" w:lineRule="exact"/>
        <w:rPr>
          <w:sz w:val="24"/>
          <w:szCs w:val="24"/>
          <w:color w:val="auto"/>
        </w:rPr>
      </w:pPr>
    </w:p>
    <w:p>
      <w:pPr>
        <w:sectPr>
          <w:pgSz w:w="11900" w:h="16838" w:orient="portrait"/>
          <w:cols w:equalWidth="0" w:num="3">
            <w:col w:w="4620" w:space="720"/>
            <w:col w:w="2940" w:space="720"/>
            <w:col w:w="1880"/>
          </w:cols>
          <w:pgMar w:left="240" w:top="760" w:right="779" w:bottom="1440" w:gutter="0" w:footer="0" w:header="0"/>
          <w:type w:val="continuous"/>
        </w:sectPr>
      </w:pPr>
    </w:p>
    <w:p>
      <w:pPr>
        <w:jc w:val="center"/>
        <w:ind w:right="1880"/>
        <w:spacing w:after="0"/>
        <w:rPr>
          <w:sz w:val="20"/>
          <w:szCs w:val="20"/>
          <w:color w:val="auto"/>
        </w:rPr>
      </w:pPr>
      <w:r>
        <w:rPr>
          <w:rFonts w:ascii="Arial" w:cs="Arial" w:eastAsia="Arial" w:hAnsi="Arial"/>
          <w:sz w:val="16"/>
          <w:szCs w:val="16"/>
          <w:b w:val="1"/>
          <w:bCs w:val="1"/>
          <w:color w:val="auto"/>
        </w:rPr>
        <w:t>One Liberty Plaza, 7</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w:t>
      </w:r>
    </w:p>
    <w:p>
      <w:pPr>
        <w:spacing w:after="0" w:line="8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10006</w:t>
      </w:r>
    </w:p>
    <w:p>
      <w:pPr>
        <w:spacing w:after="0" w:line="50" w:lineRule="exact"/>
        <w:rPr>
          <w:sz w:val="24"/>
          <w:szCs w:val="24"/>
          <w:color w:val="auto"/>
        </w:rPr>
      </w:pPr>
    </w:p>
    <w:p>
      <w:pPr>
        <w:sectPr>
          <w:pgSz w:w="11900" w:h="16838" w:orient="portrait"/>
          <w:cols w:equalWidth="0" w:num="2">
            <w:col w:w="7620" w:space="720"/>
            <w:col w:w="2540"/>
          </w:cols>
          <w:pgMar w:left="240" w:top="760" w:right="779" w:bottom="1440" w:gutter="0" w:footer="0" w:header="0"/>
          <w:type w:val="continuous"/>
        </w:sectPr>
      </w:pPr>
    </w:p>
    <w:p>
      <w:pPr>
        <w:ind w:left="174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97" w:lineRule="exact"/>
        <w:rPr>
          <w:sz w:val="24"/>
          <w:szCs w:val="24"/>
          <w:color w:val="auto"/>
        </w:rPr>
      </w:pPr>
    </w:p>
    <w:p>
      <w:pPr>
        <w:sectPr>
          <w:pgSz w:w="11900" w:h="16838" w:orient="portrait"/>
          <w:cols w:equalWidth="0" w:num="2">
            <w:col w:w="7540" w:space="720"/>
            <w:col w:w="2620"/>
          </w:cols>
          <w:pgMar w:left="240" w:top="760" w:right="779" w:bottom="1440" w:gutter="0" w:footer="0" w:header="0"/>
          <w:type w:val="continuous"/>
        </w:sectPr>
      </w:pPr>
    </w:p>
    <w:p>
      <w:pPr>
        <w:jc w:val="center"/>
        <w:ind w:right="-5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297-0200</w:t>
      </w:r>
    </w:p>
    <w:p>
      <w:pPr>
        <w:spacing w:after="0" w:line="22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u w:val="single" w:color="auto"/>
          <w:color w:val="auto"/>
        </w:rPr>
        <w:t>N/A</w:t>
      </w:r>
    </w:p>
    <w:p>
      <w:pPr>
        <w:spacing w:after="0" w:line="21"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760" w:right="7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On December 13, 2016, ABM Industries Incorporated (the “Company”) issued a press release announcing financial results related to the fourth quarter of fiscal year 2016 and fiscal year 2016. A copy of the press release is attached as Exhibit 99.1, which is incorporated into this item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2.06. Material Impairments.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December 13, 2016, the Company announced that it plans to sell its Government Services business. This business is now classified as held-for-sale. In connection with the held-for-sale classification and the preparation of the Company’s financial statements for the fourth quarter of fiscal year 2016 and fiscal year 2016, we recorded an impairment charge of $22.5 million in fiscal year 2016. A copy of the press release announcing the intention to sell the Government Services business is attached as Exhibit 99.1, which is incorporated into this item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disclosed in the press release attached as Exhibit 99.1, the Company will hold a live web cast on December 14, 2016 relating to the Company’s financial results for the fourth quarter of fiscal year 2016 and fiscal year 2016. A copy of the slides to be presented at the Company’s web cast and discussed in the conference call relating to such financial results is being furnished as Exhibit 99.2 to this Form 8-K.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December 13, 2016, the Company announced that the Board of Directors of the Company declared a quarterly dividend of $0.17 per share, payable on February 6, 2017 to stockholders of record on January 5, 2017. A copy of the press release announcing the declaration of the dividend is attached as Exhibit 99.1, which is incorporated into this item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left="460" w:hanging="445"/>
        <w:spacing w:after="0" w:line="264" w:lineRule="auto"/>
        <w:rPr>
          <w:sz w:val="20"/>
          <w:szCs w:val="20"/>
          <w:color w:val="auto"/>
        </w:rPr>
      </w:pPr>
      <w:r>
        <w:rPr>
          <w:rFonts w:ascii="Arial" w:cs="Arial" w:eastAsia="Arial" w:hAnsi="Arial"/>
          <w:sz w:val="18"/>
          <w:szCs w:val="18"/>
          <w:color w:val="auto"/>
        </w:rPr>
        <w:t>99.1 Press Release issued by ABM Industries Incorporated, dated December 13, 2016, announcing financial results related to the fourth quarter of fiscal year 2016 and fiscal year 2016, the Company’s plan to sell its Government Services business, and the declaration of a dividend payable February 6, 2017 to stockholders of record on January 5,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99.2  Slides of ABM Industries Incorporated, dated December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580" w:type="dxa"/>
            <w:vAlign w:val="bottom"/>
          </w:tcPr>
          <w:p>
            <w:pPr>
              <w:ind w:left="1880"/>
              <w:spacing w:after="0"/>
              <w:rPr>
                <w:sz w:val="20"/>
                <w:szCs w:val="20"/>
                <w:color w:val="auto"/>
              </w:rPr>
            </w:pPr>
            <w:r>
              <w:rPr>
                <w:rFonts w:ascii="Arial" w:cs="Arial" w:eastAsia="Arial" w:hAnsi="Arial"/>
                <w:sz w:val="18"/>
                <w:szCs w:val="18"/>
                <w:color w:val="auto"/>
              </w:rPr>
              <w:t>ABM INDUSTRIES INCORPORATED</w:t>
            </w:r>
          </w:p>
        </w:tc>
      </w:tr>
      <w:tr>
        <w:trPr>
          <w:trHeight w:val="392"/>
        </w:trPr>
        <w:tc>
          <w:tcPr>
            <w:tcW w:w="3840" w:type="dxa"/>
            <w:vAlign w:val="bottom"/>
            <w:gridSpan w:val="3"/>
          </w:tcPr>
          <w:p>
            <w:pPr>
              <w:spacing w:after="0"/>
              <w:rPr>
                <w:sz w:val="20"/>
                <w:szCs w:val="20"/>
                <w:color w:val="auto"/>
              </w:rPr>
            </w:pPr>
            <w:r>
              <w:rPr>
                <w:rFonts w:ascii="Arial" w:cs="Arial" w:eastAsia="Arial" w:hAnsi="Arial"/>
                <w:sz w:val="18"/>
                <w:szCs w:val="18"/>
                <w:color w:val="auto"/>
              </w:rPr>
              <w:t>Dated: December 13, 2016</w:t>
            </w:r>
          </w:p>
        </w:tc>
        <w:tc>
          <w:tcPr>
            <w:tcW w:w="7580" w:type="dxa"/>
            <w:vAlign w:val="bottom"/>
          </w:tcPr>
          <w:p>
            <w:pPr>
              <w:ind w:left="1880"/>
              <w:spacing w:after="0"/>
              <w:rPr>
                <w:sz w:val="20"/>
                <w:szCs w:val="20"/>
                <w:color w:val="auto"/>
              </w:rPr>
            </w:pPr>
            <w:r>
              <w:rPr>
                <w:rFonts w:ascii="Arial" w:cs="Arial" w:eastAsia="Arial" w:hAnsi="Arial"/>
                <w:sz w:val="18"/>
                <w:szCs w:val="18"/>
                <w:color w:val="auto"/>
              </w:rPr>
              <w:t>By:  /s/ Sarah H. McConnell</w:t>
            </w:r>
          </w:p>
        </w:tc>
      </w:tr>
      <w:tr>
        <w:trPr>
          <w:trHeight w:val="222"/>
        </w:trPr>
        <w:tc>
          <w:tcPr>
            <w:tcW w:w="54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900" w:type="dxa"/>
            <w:vAlign w:val="bottom"/>
          </w:tcPr>
          <w:p>
            <w:pPr>
              <w:spacing w:after="0"/>
              <w:rPr>
                <w:sz w:val="19"/>
                <w:szCs w:val="19"/>
                <w:color w:val="auto"/>
              </w:rPr>
            </w:pPr>
          </w:p>
        </w:tc>
        <w:tc>
          <w:tcPr>
            <w:tcW w:w="7580" w:type="dxa"/>
            <w:vAlign w:val="bottom"/>
          </w:tcPr>
          <w:p>
            <w:pPr>
              <w:ind w:left="2340"/>
              <w:spacing w:after="0"/>
              <w:rPr>
                <w:sz w:val="20"/>
                <w:szCs w:val="20"/>
                <w:color w:val="auto"/>
              </w:rPr>
            </w:pPr>
            <w:r>
              <w:rPr>
                <w:rFonts w:ascii="Arial" w:cs="Arial" w:eastAsia="Arial" w:hAnsi="Arial"/>
                <w:sz w:val="18"/>
                <w:szCs w:val="18"/>
                <w:color w:val="auto"/>
              </w:rPr>
              <w:t>Sarah H. McConnell</w:t>
            </w:r>
          </w:p>
        </w:tc>
      </w:tr>
      <w:tr>
        <w:trPr>
          <w:trHeight w:val="216"/>
        </w:trPr>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580" w:type="dxa"/>
            <w:vAlign w:val="bottom"/>
          </w:tcPr>
          <w:p>
            <w:pPr>
              <w:ind w:left="234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580" w:type="dxa"/>
            <w:vAlign w:val="bottom"/>
          </w:tcPr>
          <w:p>
            <w:pPr>
              <w:ind w:left="2340"/>
              <w:spacing w:after="0"/>
              <w:rPr>
                <w:sz w:val="20"/>
                <w:szCs w:val="20"/>
                <w:color w:val="auto"/>
              </w:rPr>
            </w:pPr>
            <w:r>
              <w:rPr>
                <w:rFonts w:ascii="Arial" w:cs="Arial" w:eastAsia="Arial" w:hAnsi="Arial"/>
                <w:sz w:val="18"/>
                <w:szCs w:val="18"/>
                <w:color w:val="auto"/>
              </w:rPr>
              <w:t>General Counsel</w:t>
            </w:r>
          </w:p>
        </w:tc>
      </w:tr>
      <w:tr>
        <w:trPr>
          <w:trHeight w:val="648"/>
        </w:trPr>
        <w:tc>
          <w:tcPr>
            <w:tcW w:w="5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jc w:val="both"/>
        <w:ind w:left="460" w:hanging="445"/>
        <w:spacing w:after="0" w:line="264" w:lineRule="auto"/>
        <w:rPr>
          <w:sz w:val="20"/>
          <w:szCs w:val="20"/>
          <w:color w:val="auto"/>
        </w:rPr>
      </w:pPr>
      <w:r>
        <w:rPr>
          <w:rFonts w:ascii="Arial" w:cs="Arial" w:eastAsia="Arial" w:hAnsi="Arial"/>
          <w:sz w:val="18"/>
          <w:szCs w:val="18"/>
          <w:color w:val="auto"/>
        </w:rPr>
        <w:t>99.1 Press Release issued by ABM Industries Incorporated, dated December 13, 2016, announcing financial results related to the fourth quarter of fiscal year 2016 and fiscal year 2016, the Company’s plan to sell the Government Services business and the declaration of a dividend payable February 6, 2017 to stockholders of record on January 5,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99.2  Slides of ABM Industries Incorporated, dated December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 w:name="page5"/>
    <w:bookmarkEnd w:id="4"/>
    <w:p>
      <w:pPr>
        <w:ind w:left="104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25222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222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ABM INDUSTRIES ANNOUNCES</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2016 FOURTH QUARTER AND FULL YEAR FINANCIAL RESULTS</w:t>
      </w:r>
    </w:p>
    <w:p>
      <w:pPr>
        <w:spacing w:after="0" w:line="215" w:lineRule="exact"/>
        <w:rPr>
          <w:sz w:val="20"/>
          <w:szCs w:val="20"/>
          <w:color w:val="auto"/>
        </w:rPr>
      </w:pPr>
    </w:p>
    <w:p>
      <w:pPr>
        <w:jc w:val="center"/>
        <w:spacing w:after="0" w:line="455" w:lineRule="auto"/>
        <w:rPr>
          <w:sz w:val="20"/>
          <w:szCs w:val="20"/>
          <w:color w:val="auto"/>
        </w:rPr>
      </w:pPr>
      <w:r>
        <w:rPr>
          <w:rFonts w:ascii="Arial" w:cs="Arial" w:eastAsia="Arial" w:hAnsi="Arial"/>
          <w:sz w:val="20"/>
          <w:szCs w:val="20"/>
          <w:i w:val="1"/>
          <w:iCs w:val="1"/>
          <w:color w:val="auto"/>
        </w:rPr>
        <w:t>Q4 Revenues of $1.3 billion; Full Year Revenues of $5.1 billion Q4 GAAP Continuing EPS of $0.16; Full Year GAAP Continuing EPS of $1.09 Q4 Adjusted Continuing EPS of $0.51; Full Year Adjusted Continuing EPS of $1.74 Records Impairment Charge Related to Planned Exit of ABM Government Services Increases Quarterly Dividend By 3.0%</w:t>
      </w:r>
    </w:p>
    <w:p>
      <w:pPr>
        <w:spacing w:after="0" w:line="1"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NEW YORK, NY - December 13, 2016 - ABM (NYSE:ABM), a leading provider of facility solutions, today announced financial results for the 2016 fourth quarter and full year that ended October 31, 2016.</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Years Ended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vMerge w:val="restart"/>
          </w:tcPr>
          <w:p>
            <w:pPr>
              <w:spacing w:after="0"/>
              <w:rPr>
                <w:sz w:val="20"/>
                <w:szCs w:val="20"/>
                <w:color w:val="auto"/>
              </w:rPr>
            </w:pPr>
            <w:r>
              <w:rPr>
                <w:rFonts w:ascii="Arial" w:cs="Arial" w:eastAsia="Arial" w:hAnsi="Arial"/>
                <w:sz w:val="14"/>
                <w:szCs w:val="14"/>
                <w:i w:val="1"/>
                <w:iCs w:val="1"/>
                <w:color w:val="auto"/>
              </w:rPr>
              <w:t>($ in millions, except per share amounts)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31,</w:t>
            </w:r>
          </w:p>
        </w:tc>
        <w:tc>
          <w:tcPr>
            <w:tcW w:w="7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Increase/(</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October 31,</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Increase/(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1"/>
                <w:szCs w:val="11"/>
                <w:color w:val="auto"/>
              </w:rPr>
            </w:pPr>
          </w:p>
        </w:tc>
        <w:tc>
          <w:tcPr>
            <w:tcW w:w="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1"/>
                <w:szCs w:val="11"/>
                <w:color w:val="auto"/>
              </w:rPr>
            </w:pPr>
          </w:p>
        </w:tc>
        <w:tc>
          <w:tcPr>
            <w:tcW w:w="6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(unaudited)</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Decrease)</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Decrease)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3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720" w:type="dxa"/>
            <w:vAlign w:val="bottom"/>
            <w:tcBorders>
              <w:left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Revenues</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1,322.3</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1,277.0</w:t>
            </w:r>
          </w:p>
        </w:tc>
        <w:tc>
          <w:tcPr>
            <w:tcW w:w="1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3.5%</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5,144.7</w:t>
            </w:r>
          </w:p>
        </w:tc>
        <w:tc>
          <w:tcPr>
            <w:tcW w:w="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4,897.8</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3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720" w:type="dxa"/>
            <w:vAlign w:val="bottom"/>
            <w:tcBorders>
              <w:left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Operating profit</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10.8</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37.2</w:t>
            </w:r>
          </w:p>
        </w:tc>
        <w:tc>
          <w:tcPr>
            <w:tcW w:w="1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(71.0)%</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54.7</w:t>
            </w:r>
          </w:p>
        </w:tc>
        <w:tc>
          <w:tcPr>
            <w:tcW w:w="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73.6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3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720" w:type="dxa"/>
            <w:vAlign w:val="bottom"/>
            <w:tcBorders>
              <w:left w:val="single" w:sz="8" w:color="auto"/>
            </w:tcBorders>
            <w:shd w:val="clear" w:color="auto" w:fill="CCEEFF"/>
          </w:tcPr>
          <w:p>
            <w:pPr>
              <w:ind w:left="80"/>
              <w:spacing w:after="0" w:line="155" w:lineRule="exact"/>
              <w:rPr>
                <w:sz w:val="20"/>
                <w:szCs w:val="20"/>
                <w:color w:val="auto"/>
              </w:rPr>
            </w:pPr>
            <w:r>
              <w:rPr>
                <w:rFonts w:ascii="Arial" w:cs="Arial" w:eastAsia="Arial" w:hAnsi="Arial"/>
                <w:sz w:val="14"/>
                <w:szCs w:val="14"/>
                <w:color w:val="auto"/>
              </w:rPr>
              <w:t>Income from continuing operations</w:t>
            </w:r>
          </w:p>
        </w:tc>
        <w:tc>
          <w:tcPr>
            <w:tcW w:w="34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9.0</w:t>
            </w:r>
          </w:p>
        </w:tc>
        <w:tc>
          <w:tcPr>
            <w:tcW w:w="360" w:type="dxa"/>
            <w:vAlign w:val="bottom"/>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22.6</w:t>
            </w:r>
          </w:p>
        </w:tc>
        <w:tc>
          <w:tcPr>
            <w:tcW w:w="134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(59.9)%</w:t>
            </w:r>
          </w:p>
        </w:tc>
        <w:tc>
          <w:tcPr>
            <w:tcW w:w="2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62.3</w:t>
            </w:r>
          </w:p>
        </w:tc>
        <w:tc>
          <w:tcPr>
            <w:tcW w:w="380" w:type="dxa"/>
            <w:vAlign w:val="bottom"/>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54.1</w:t>
            </w:r>
          </w:p>
        </w:tc>
        <w:tc>
          <w:tcPr>
            <w:tcW w:w="122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15.2%</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Income from continuing operations per diluted share</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0.16</w:t>
            </w: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0.39</w:t>
            </w: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(59.5)%</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1.09</w:t>
            </w: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0.94</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3720" w:type="dxa"/>
            <w:vAlign w:val="bottom"/>
            <w:tcBorders>
              <w:left w:val="single" w:sz="8" w:color="CCEEFF"/>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720" w:type="dxa"/>
            <w:vAlign w:val="bottom"/>
            <w:tcBorders>
              <w:left w:val="single" w:sz="8" w:color="auto"/>
            </w:tcBorders>
          </w:tcPr>
          <w:p>
            <w:pPr>
              <w:ind w:left="80"/>
              <w:spacing w:after="0" w:line="155" w:lineRule="exact"/>
              <w:rPr>
                <w:sz w:val="20"/>
                <w:szCs w:val="20"/>
                <w:color w:val="auto"/>
              </w:rPr>
            </w:pPr>
            <w:r>
              <w:rPr>
                <w:rFonts w:ascii="Arial" w:cs="Arial" w:eastAsia="Arial" w:hAnsi="Arial"/>
                <w:sz w:val="14"/>
                <w:szCs w:val="14"/>
                <w:color w:val="auto"/>
              </w:rPr>
              <w:t>Adjusted income from continuing operations</w:t>
            </w:r>
          </w:p>
        </w:tc>
        <w:tc>
          <w:tcPr>
            <w:tcW w:w="3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29.2</w:t>
            </w:r>
          </w:p>
        </w:tc>
        <w:tc>
          <w:tcPr>
            <w:tcW w:w="36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31.5</w:t>
            </w:r>
          </w:p>
        </w:tc>
        <w:tc>
          <w:tcPr>
            <w:tcW w:w="134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(7.1)%</w:t>
            </w: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99.2</w:t>
            </w:r>
          </w:p>
        </w:tc>
        <w:tc>
          <w:tcPr>
            <w:tcW w:w="38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92.9</w:t>
            </w:r>
          </w:p>
        </w:tc>
        <w:tc>
          <w:tcPr>
            <w:tcW w:w="12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6.7%</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72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Adjusted income from continuing operations per diluted</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tcBorders>
              <w:left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share</w:t>
            </w: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0.51</w:t>
            </w:r>
          </w:p>
        </w:tc>
        <w:tc>
          <w:tcPr>
            <w:tcW w:w="3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0.55</w:t>
            </w:r>
          </w:p>
        </w:tc>
        <w:tc>
          <w:tcPr>
            <w:tcW w:w="13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(6.3)%</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1.74</w:t>
            </w:r>
          </w:p>
        </w:tc>
        <w:tc>
          <w:tcPr>
            <w:tcW w:w="3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1.62</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37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720" w:type="dxa"/>
            <w:vAlign w:val="bottom"/>
            <w:tcBorders>
              <w:left w:val="single" w:sz="8" w:color="auto"/>
            </w:tcBorders>
            <w:shd w:val="clear" w:color="auto" w:fill="CCEEFF"/>
          </w:tcPr>
          <w:p>
            <w:pPr>
              <w:ind w:left="80"/>
              <w:spacing w:after="0" w:line="155" w:lineRule="exact"/>
              <w:rPr>
                <w:sz w:val="20"/>
                <w:szCs w:val="20"/>
                <w:color w:val="auto"/>
              </w:rPr>
            </w:pPr>
            <w:r>
              <w:rPr>
                <w:rFonts w:ascii="Arial" w:cs="Arial" w:eastAsia="Arial" w:hAnsi="Arial"/>
                <w:sz w:val="14"/>
                <w:szCs w:val="14"/>
                <w:color w:val="auto"/>
              </w:rPr>
              <w:t>Net income</w:t>
            </w:r>
          </w:p>
        </w:tc>
        <w:tc>
          <w:tcPr>
            <w:tcW w:w="34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7.8</w:t>
            </w:r>
          </w:p>
        </w:tc>
        <w:tc>
          <w:tcPr>
            <w:tcW w:w="360" w:type="dxa"/>
            <w:vAlign w:val="bottom"/>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38.8</w:t>
            </w:r>
          </w:p>
        </w:tc>
        <w:tc>
          <w:tcPr>
            <w:tcW w:w="134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(79.9)%</w:t>
            </w:r>
          </w:p>
        </w:tc>
        <w:tc>
          <w:tcPr>
            <w:tcW w:w="2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57.2</w:t>
            </w:r>
          </w:p>
        </w:tc>
        <w:tc>
          <w:tcPr>
            <w:tcW w:w="380" w:type="dxa"/>
            <w:vAlign w:val="bottom"/>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55" w:lineRule="exact"/>
              <w:rPr>
                <w:sz w:val="20"/>
                <w:szCs w:val="20"/>
                <w:color w:val="auto"/>
              </w:rPr>
            </w:pPr>
            <w:r>
              <w:rPr>
                <w:rFonts w:ascii="Arial" w:cs="Arial" w:eastAsia="Arial" w:hAnsi="Arial"/>
                <w:sz w:val="14"/>
                <w:szCs w:val="14"/>
                <w:color w:val="auto"/>
              </w:rPr>
              <w:t>76.3</w:t>
            </w:r>
          </w:p>
        </w:tc>
        <w:tc>
          <w:tcPr>
            <w:tcW w:w="12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(25.0)%</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Net income per diluted share</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0.14</w:t>
            </w: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0.68</w:t>
            </w: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(79.7)%</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1.01</w:t>
            </w: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1.33</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3720" w:type="dxa"/>
            <w:vAlign w:val="bottom"/>
            <w:tcBorders>
              <w:left w:val="single" w:sz="8" w:color="CCEEFF"/>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720" w:type="dxa"/>
            <w:vAlign w:val="bottom"/>
            <w:tcBorders>
              <w:left w:val="single" w:sz="8" w:color="auto"/>
            </w:tcBorders>
          </w:tcPr>
          <w:p>
            <w:pPr>
              <w:ind w:left="80"/>
              <w:spacing w:after="0"/>
              <w:rPr>
                <w:sz w:val="20"/>
                <w:szCs w:val="20"/>
                <w:color w:val="auto"/>
              </w:rPr>
            </w:pPr>
            <w:r>
              <w:rPr>
                <w:rFonts w:ascii="Arial" w:cs="Arial" w:eastAsia="Arial" w:hAnsi="Arial"/>
                <w:sz w:val="14"/>
                <w:szCs w:val="14"/>
                <w:color w:val="auto"/>
              </w:rPr>
              <w:t>Net cash provided by operating activities of continuing</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operations</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9.8</w:t>
            </w: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39.6</w:t>
            </w:r>
          </w:p>
        </w:tc>
        <w:tc>
          <w:tcPr>
            <w:tcW w:w="1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(75.3)%</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110.5</w:t>
            </w: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145.5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3720" w:type="dxa"/>
            <w:vAlign w:val="bottom"/>
            <w:tcBorders>
              <w:left w:val="single" w:sz="8" w:color="CCEEFF"/>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3720" w:type="dxa"/>
            <w:vAlign w:val="bottom"/>
            <w:tcBorders>
              <w:left w:val="single" w:sz="8" w:color="auto"/>
            </w:tcBorders>
          </w:tcPr>
          <w:p>
            <w:pPr>
              <w:ind w:left="80"/>
              <w:spacing w:after="0" w:line="155" w:lineRule="exact"/>
              <w:rPr>
                <w:sz w:val="20"/>
                <w:szCs w:val="20"/>
                <w:color w:val="auto"/>
              </w:rPr>
            </w:pPr>
            <w:r>
              <w:rPr>
                <w:rFonts w:ascii="Arial" w:cs="Arial" w:eastAsia="Arial" w:hAnsi="Arial"/>
                <w:sz w:val="14"/>
                <w:szCs w:val="14"/>
                <w:color w:val="auto"/>
              </w:rPr>
              <w:t>Adjusted EBITDA</w:t>
            </w:r>
          </w:p>
        </w:tc>
        <w:tc>
          <w:tcPr>
            <w:tcW w:w="3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61.5</w:t>
            </w:r>
          </w:p>
        </w:tc>
        <w:tc>
          <w:tcPr>
            <w:tcW w:w="36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69.4</w:t>
            </w:r>
          </w:p>
        </w:tc>
        <w:tc>
          <w:tcPr>
            <w:tcW w:w="134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(11.5)%</w:t>
            </w:r>
          </w:p>
        </w:tc>
        <w:tc>
          <w:tcPr>
            <w:tcW w:w="20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212.2</w:t>
            </w:r>
          </w:p>
        </w:tc>
        <w:tc>
          <w:tcPr>
            <w:tcW w:w="38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206.0</w:t>
            </w:r>
          </w:p>
        </w:tc>
        <w:tc>
          <w:tcPr>
            <w:tcW w:w="12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3.0%</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20" w:type="dxa"/>
            <w:vAlign w:val="bottom"/>
            <w:tcBorders>
              <w:left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Adjusted EBITDA margin</w:t>
            </w:r>
          </w:p>
        </w:tc>
        <w:tc>
          <w:tcPr>
            <w:tcW w:w="1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w:t>
            </w: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(80)bps</w:t>
            </w:r>
          </w:p>
        </w:tc>
        <w:tc>
          <w:tcPr>
            <w:tcW w:w="2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(10)bps</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20"/>
        <w:spacing w:after="0" w:line="244" w:lineRule="auto"/>
        <w:rPr>
          <w:sz w:val="20"/>
          <w:szCs w:val="20"/>
          <w:color w:val="auto"/>
        </w:rPr>
      </w:pPr>
      <w:r>
        <w:rPr>
          <w:rFonts w:ascii="Arial" w:cs="Arial" w:eastAsia="Arial" w:hAnsi="Arial"/>
          <w:sz w:val="14"/>
          <w:szCs w:val="14"/>
          <w:color w:val="auto"/>
        </w:rPr>
        <w:t>This release refers to certain non-GAAP financial measures described as “Adjusted EBITDA”, “Adjusted income from continuing operations,” and “Adjusted income from continuing operations per diluted share”. These adjustments have been made with the intent of providing financial measures that give management and investors a better understanding of underlying operational results and trends as well as the Company’s operational performance. Management also uses Adjusted EBITDA as a basis for planning and forecasting future periods. Please refer to the accompanying financial schedules for supplemental financial data and corresponding reconciliation of these non-GAAP financial measures to certain GAAP financial measures. We round amounts in these schedules to millions and calculate all percentages and per-share data from the underlying whole-dollar amounts. As a result, certain amounts may not foot, crossfoot, or recalculate based on reported numbers due to rounding. Unless otherwise noted, all references to years are to our fiscal year, which ends on October 31.</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Performance</w:t>
      </w:r>
    </w:p>
    <w:p>
      <w:pPr>
        <w:spacing w:after="0" w:line="226" w:lineRule="exact"/>
        <w:rPr>
          <w:sz w:val="20"/>
          <w:szCs w:val="20"/>
          <w:color w:val="auto"/>
        </w:rPr>
      </w:pPr>
    </w:p>
    <w:p>
      <w:pPr>
        <w:jc w:val="both"/>
        <w:ind w:right="20"/>
        <w:spacing w:after="0" w:line="231" w:lineRule="auto"/>
        <w:rPr>
          <w:sz w:val="20"/>
          <w:szCs w:val="20"/>
          <w:color w:val="auto"/>
        </w:rPr>
      </w:pPr>
      <w:r>
        <w:rPr>
          <w:rFonts w:ascii="Arial" w:cs="Arial" w:eastAsia="Arial" w:hAnsi="Arial"/>
          <w:sz w:val="20"/>
          <w:szCs w:val="20"/>
          <w:color w:val="auto"/>
        </w:rPr>
        <w:t>For the fourth quarter of 2016, revenues of approximately $1.3 billion increased 3.5% and organic revenue increased 2.0%, compared to the fourth quarter of fiscal 2015. Revenues were driven primarily by organic growth stemming from the Company's Janitorial segment due to an increase in scope of work with existing accounts, including continued Work Order (tag) sales, and new business. Organic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5" w:name="page6"/>
    <w:bookmarkEnd w:id="5"/>
    <w:p>
      <w:pPr>
        <w:jc w:val="both"/>
        <w:ind w:right="20"/>
        <w:spacing w:after="0" w:line="236" w:lineRule="auto"/>
        <w:rPr>
          <w:sz w:val="20"/>
          <w:szCs w:val="20"/>
          <w:color w:val="auto"/>
        </w:rPr>
      </w:pPr>
      <w:r>
        <w:rPr>
          <w:rFonts w:ascii="Arial" w:cs="Arial" w:eastAsia="Arial" w:hAnsi="Arial"/>
          <w:sz w:val="20"/>
          <w:szCs w:val="20"/>
          <w:color w:val="auto"/>
        </w:rPr>
        <w:t>within the Parking and Other (Air Serv) segments also contributed to the Company's total revenue growth. In addition, acquisitions provided $19.3 million of incremental revenues during the quarter primarily related to Westway.</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During the fourth quarter of 2016, the Company committed to a plan to sell its Government business, which is currently included in the Building &amp; Energy Solutions segment but does not fit strategically with the Company's 2020 Vision transformation. In conjunction with this decision, the Company recorded a non-cash, pre-tax impairment charge of $22.5 million during the quarter. As a result, on a GAAP basis, income from continuing operations was $9.0 million, or $0.16 per diluted share, compared to income from continuing operations of $22.6 million, or $0.39 per diluted share last year. The decrease in income from continuing operations versus last year is also attributable to higher expenses related to current year insurance, and one additional working day during the quarter. These expenses were partially offset by the Company's 2020 Vision Savings initiatives.</w:t>
      </w:r>
    </w:p>
    <w:p>
      <w:pPr>
        <w:spacing w:after="0" w:line="19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Adjusted income from continuing operations for the fourth quarter of 2016 was $29.2 million, or $0.51 per diluted share, compared to $31.5 million, or $0.55 per diluted share for the fourth quarter of fiscal 2015. The decrease versus last year is attributable to the above mentioned factors, but excludes certain items impacting comparability, including the impairment associated with the Government business. A full description of items impacting comparability can be found in the "Reconciliation of Non-GAAP Financial Measures" table.</w:t>
      </w:r>
    </w:p>
    <w:p>
      <w:pPr>
        <w:spacing w:after="0" w:line="19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Total net income for the fourth quarter of 2016 was $7.8 million, or $0.14 per diluted share, compared to net income of $38.8 million, or $0.68 per diluted share last year.</w:t>
      </w:r>
    </w:p>
    <w:p>
      <w:pPr>
        <w:spacing w:after="0" w:line="19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Adjusted EBITDA for the fourth quarter was $61.5 million compared to $69.4 million in the fourth quarter of 2015. Adjusted EBITDA margin for the quarter was 4.6% versus 5.4% last year. The decreases versus last year are attributable to higher expenses related to current year insurance, and one additional working day during the quarter, which was partially offset by the Company's 2020 Vision Savings initiatives.</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Scott Salmirs, President and Chief Executive Officer of ABM Industries, commented, "I am extremely proud that we continued to execute throughout a year of significant transformation. Our entire organization will look back on 2016 as a pivotal year, where we accomplished all that we intended and set the stage for continuing acceleration. We remain committed to capturing greater value for our shareholders, customers and employees."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Fiscal </w:t>
      </w:r>
      <w:r>
        <w:rPr>
          <w:rFonts w:ascii="Arial" w:cs="Arial" w:eastAsia="Arial" w:hAnsi="Arial"/>
          <w:sz w:val="21"/>
          <w:szCs w:val="21"/>
          <w:b w:val="1"/>
          <w:bCs w:val="1"/>
          <w:color w:val="auto"/>
        </w:rPr>
        <w:t>2016</w:t>
      </w:r>
      <w:r>
        <w:rPr>
          <w:rFonts w:ascii="Arial" w:cs="Arial" w:eastAsia="Arial" w:hAnsi="Arial"/>
          <w:sz w:val="20"/>
          <w:szCs w:val="20"/>
          <w:b w:val="1"/>
          <w:bCs w:val="1"/>
          <w:color w:val="auto"/>
        </w:rPr>
        <w:t xml:space="preserve"> Performance</w:t>
      </w:r>
    </w:p>
    <w:p>
      <w:pPr>
        <w:spacing w:after="0" w:line="24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Company reported a revenue increase of 5.0% to approximately $5.1 billion, driven by organic revenue growth of 3.0% for 2016 compared to 2015. Revenues were driven primarily by organic growth within the Company's Janitorial segment due to new business and expansion of existing accounts, including strong Work Order (tag) revenue, increased scope of work within Other (Air Serv) operations, and higher revenues from the ABES (Technical Services) business. Revenues also benefited from growth within the Parking segment. Additionally, acquisitions provided $101.9 million of incremental revenues during the fiscal year, primarily related to Westway and CTS, which is reflected in the Building &amp; Energy Solutions segment.</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On a GAAP basis, income from continuing operations grew 15.2% to $62.3 million, or $1.09 per diluted share, compared to income from continuing operations of $54.1 million, or $0.94 per diluted share last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6" w:name="page7"/>
    <w:bookmarkEnd w:id="6"/>
    <w:p>
      <w:pPr>
        <w:jc w:val="both"/>
        <w:spacing w:after="0" w:line="236" w:lineRule="auto"/>
        <w:rPr>
          <w:sz w:val="20"/>
          <w:szCs w:val="20"/>
          <w:color w:val="auto"/>
        </w:rPr>
      </w:pPr>
      <w:r>
        <w:rPr>
          <w:rFonts w:ascii="Arial" w:cs="Arial" w:eastAsia="Arial" w:hAnsi="Arial"/>
          <w:sz w:val="20"/>
          <w:szCs w:val="20"/>
          <w:color w:val="auto"/>
        </w:rPr>
        <w:t>year. A benefit from taxes, and savings related to the Company's 2020 Vision initiative, more than offset the impairment expense related to the Government business, and higher expenses related to current year insurance.</w:t>
      </w:r>
    </w:p>
    <w:p>
      <w:pPr>
        <w:spacing w:after="0" w:line="19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Adjusted income from continuing operations for 2016 grew 6.7% to $99.2 million, or $1.74 per diluted share, compared to $92.9 million, or $1.62 per diluted share last year. The increase versus last year is attributable to the aforementioned factors, but excludes certain items impacting comparability. A full description of items impacting comparability can be found in the "Reconciliation of Non-GAAP Financial Measures" table.</w:t>
      </w:r>
    </w:p>
    <w:p>
      <w:pPr>
        <w:spacing w:after="0" w:line="195" w:lineRule="exact"/>
        <w:rPr>
          <w:sz w:val="20"/>
          <w:szCs w:val="20"/>
          <w:color w:val="auto"/>
        </w:rPr>
      </w:pPr>
    </w:p>
    <w:p>
      <w:pPr>
        <w:jc w:val="both"/>
        <w:ind w:right="20"/>
        <w:spacing w:after="0" w:line="236" w:lineRule="auto"/>
        <w:rPr>
          <w:sz w:val="20"/>
          <w:szCs w:val="20"/>
          <w:color w:val="auto"/>
        </w:rPr>
      </w:pPr>
      <w:r>
        <w:rPr>
          <w:rFonts w:ascii="Arial" w:cs="Arial" w:eastAsia="Arial" w:hAnsi="Arial"/>
          <w:sz w:val="20"/>
          <w:szCs w:val="20"/>
          <w:color w:val="auto"/>
        </w:rPr>
        <w:t>Total net income for 2016 was $57.2 million, or $1.01 per diluted share, compared to net income of $76.3 million, or $1.33 per diluted share last year.</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Adjusted EBITDA for 2016 was $212.2 million compared to $206.0 million in 2015. Adjusted EBITDA margin for 2016 was 4.1% versus 4.2% last year. The decrease versus last year is primarily attributable to higher expenses related to current year insurance, and one additional working day during the year, which was partially offset by the Company's 2020 Vision Savings initiative.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&amp; Capital Structure</w:t>
      </w:r>
    </w:p>
    <w:p>
      <w:pPr>
        <w:spacing w:after="0" w:line="226" w:lineRule="exact"/>
        <w:rPr>
          <w:sz w:val="20"/>
          <w:szCs w:val="20"/>
          <w:color w:val="auto"/>
        </w:rPr>
      </w:pPr>
    </w:p>
    <w:p>
      <w:pPr>
        <w:ind w:right="760"/>
        <w:spacing w:after="0" w:line="236" w:lineRule="auto"/>
        <w:rPr>
          <w:sz w:val="20"/>
          <w:szCs w:val="20"/>
          <w:color w:val="auto"/>
        </w:rPr>
      </w:pPr>
      <w:r>
        <w:rPr>
          <w:rFonts w:ascii="Arial" w:cs="Arial" w:eastAsia="Arial" w:hAnsi="Arial"/>
          <w:sz w:val="20"/>
          <w:szCs w:val="20"/>
          <w:color w:val="auto"/>
        </w:rPr>
        <w:t>The Company ended the quarter with total debt, including standby letters of credit of $399.2 million. Total debt to proforma adjusted EBITDA was approximately 2.2x.</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20"/>
          <w:szCs w:val="20"/>
          <w:color w:val="auto"/>
        </w:rPr>
        <w:t>During the quarter, the Company repurchased approximately 0.4 million shares of common stock for $15.4 million. As of October 31, 2016, the Company had $141.9 million of remaining buyback availability under the $200.0 million share repurchase program.</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Declaration of Quarterly Cash Dividend</w:t>
      </w:r>
    </w:p>
    <w:p>
      <w:pPr>
        <w:spacing w:after="0" w:line="226" w:lineRule="exact"/>
        <w:rPr>
          <w:sz w:val="20"/>
          <w:szCs w:val="20"/>
          <w:color w:val="auto"/>
        </w:rPr>
      </w:pPr>
    </w:p>
    <w:p>
      <w:pPr>
        <w:jc w:val="both"/>
        <w:ind w:right="80"/>
        <w:spacing w:after="0" w:line="232" w:lineRule="auto"/>
        <w:rPr>
          <w:sz w:val="20"/>
          <w:szCs w:val="20"/>
          <w:color w:val="auto"/>
        </w:rPr>
      </w:pPr>
      <w:r>
        <w:rPr>
          <w:rFonts w:ascii="Arial" w:cs="Arial" w:eastAsia="Arial" w:hAnsi="Arial"/>
          <w:sz w:val="20"/>
          <w:szCs w:val="20"/>
          <w:color w:val="auto"/>
        </w:rPr>
        <w:t>The Company also announced that the Board of Directors approved a 3.0% increase for the quarterly cash dividend to $0.170 per common share, payable on February 6, 2017 to stockholders of record on January 5, 2017. This marks ABM’s 203rd consecutive quarterly cash dividend.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Guidance</w:t>
      </w:r>
    </w:p>
    <w:p>
      <w:pPr>
        <w:spacing w:after="0" w:line="226"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For 2017, the Company expects GAAP income from continuing operations of $1.40 to $1.50 per diluted share, or adjusted income from continuing operations of $1.80 to $1.90 per diluted share. With the exception of the 2017 Work Opportunity Tax Credits, this guidance does not include any potential benefits associated with certain other discrete tax items and other unrecognized tax benefits.</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Mr. Salmirs continued, "As we enter 2017, we will manage our business discerningly to support EBITDA margin acceleration along with keeping focused on the vertical markets where we see opportunities to grow. As a result, we have made the strategic decision to exit our Government business. Additionally, through our acute focus on executing our 2020 Vision initiative, we are seeking to identify areas where margins can grow to levels greater than originally projected."</w:t>
      </w:r>
    </w:p>
    <w:p>
      <w:pPr>
        <w:spacing w:after="0" w:line="195"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Beginning with the first quarter of 2017, the Company will change its reportable operating segments based on its 2020 Vision reorganization. An example of the new segment structure can be found in the supplemental presentation accompanying the webcast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Conference Call Information</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 xml:space="preserve">ABM will host its quarterly conference call for all interested parties on Wednesday, December 14, 2016 at 8:30 AM (ET). The live conference call can be accessed via audio webcast at the "Investors" section of the Company's website, located at </w:t>
      </w:r>
      <w:r>
        <w:rPr>
          <w:rFonts w:ascii="Arial" w:cs="Arial" w:eastAsia="Arial" w:hAnsi="Arial"/>
          <w:sz w:val="20"/>
          <w:szCs w:val="20"/>
          <w:u w:val="single" w:color="auto"/>
          <w:color w:val="0563C1"/>
        </w:rPr>
        <w:t>www.abm.com</w:t>
      </w:r>
      <w:r>
        <w:rPr>
          <w:rFonts w:ascii="Arial" w:cs="Arial" w:eastAsia="Arial" w:hAnsi="Arial"/>
          <w:sz w:val="20"/>
          <w:szCs w:val="20"/>
          <w:color w:val="auto"/>
        </w:rPr>
        <w:t>, or by dialing (877) 664-7395 approximately 15 minutes prior to the scheduled time.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A supplemental presentation will accompany the webcast on the Company's website.</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A replay will be available approximately two hours after the recording through December 21, 2016 and can be accessed by dialing</w:t>
      </w:r>
    </w:p>
    <w:p>
      <w:pPr>
        <w:ind w:left="520" w:hanging="512"/>
        <w:spacing w:after="0"/>
        <w:tabs>
          <w:tab w:leader="none" w:pos="520" w:val="left"/>
        </w:tabs>
        <w:numPr>
          <w:ilvl w:val="0"/>
          <w:numId w:val="2"/>
        </w:numPr>
        <w:rPr>
          <w:rFonts w:ascii="Arial" w:cs="Arial" w:eastAsia="Arial" w:hAnsi="Arial"/>
          <w:sz w:val="20"/>
          <w:szCs w:val="20"/>
          <w:color w:val="auto"/>
        </w:rPr>
      </w:pPr>
      <w:r>
        <w:rPr>
          <w:rFonts w:ascii="Arial" w:cs="Arial" w:eastAsia="Arial" w:hAnsi="Arial"/>
          <w:sz w:val="20"/>
          <w:szCs w:val="20"/>
          <w:color w:val="auto"/>
        </w:rPr>
        <w:t>859-2056 and then entering ID #29762124. An archive will also be available on the ABM website for 90 days.</w:t>
      </w:r>
    </w:p>
    <w:p>
      <w:pPr>
        <w:spacing w:after="0" w:line="20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0046AC"/>
        </w:rPr>
        <w:t>ABOUT ABM</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ABM (</w:t>
      </w:r>
      <w:r>
        <w:rPr>
          <w:rFonts w:ascii="Arial" w:cs="Arial" w:eastAsia="Arial" w:hAnsi="Arial"/>
          <w:sz w:val="20"/>
          <w:szCs w:val="20"/>
          <w:u w:val="single" w:color="auto"/>
          <w:color w:val="0563C1"/>
        </w:rPr>
        <w:t>NYSE: ABM</w:t>
      </w:r>
      <w:r>
        <w:rPr>
          <w:rFonts w:ascii="Arial" w:cs="Arial" w:eastAsia="Arial" w:hAnsi="Arial"/>
          <w:sz w:val="20"/>
          <w:szCs w:val="20"/>
          <w:color w:val="auto"/>
        </w:rPr>
        <w:t xml:space="preserve">) is a leading provider of facility solutions with revenues of approximately $5.1 billion and over 100,000 employees in 300+ offices throughout the United States and various international locations. ABM’s comprehensive capabilities include janitorial, electrical &amp; lighting, energy solutions, facilities engineering, HVAC &amp; mechanical, landscape &amp; turf, mission critical solutions and parking, provided through stand-alone or integrated solutions. ABM provides custom facility solutions in urban, suburban and rural areas to properties of all sizes - from schools and commercial buildings to hospitals, data centers, manufacturing plants and airports. ABM Industries Incorporated, which operates through its subsidiaries, was founded in 1909. For more information, visit </w:t>
      </w:r>
      <w:r>
        <w:rPr>
          <w:rFonts w:ascii="Arial" w:cs="Arial" w:eastAsia="Arial" w:hAnsi="Arial"/>
          <w:sz w:val="20"/>
          <w:szCs w:val="20"/>
          <w:u w:val="single" w:color="auto"/>
          <w:color w:val="0563C1"/>
        </w:rPr>
        <w:t>www.abm.com</w:t>
      </w:r>
      <w:r>
        <w:rPr>
          <w:rFonts w:ascii="Arial" w:cs="Arial" w:eastAsia="Arial" w:hAnsi="Arial"/>
          <w:sz w:val="20"/>
          <w:szCs w:val="20"/>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under the Private Securities Litigation Reform Act of 1995</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4"/>
          <w:szCs w:val="14"/>
          <w:i w:val="1"/>
          <w:iCs w:val="1"/>
          <w:color w:val="auto"/>
        </w:rPr>
        <w:t>This press release contains both historical and forward-looking statements. In this context,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For us, particular uncertainties that could cause our actual results to be materially different from those expressed in our forward-looking statements include: (1) changes to our businesses, operating structure, financial reporting structure, or personnel relating to the implementation of our 2020 Vision strategic transformation initiative may not have the desired effects on our financial condition and results of operations; (2) we may face difficulties identifying, acquiring, and integrating businesses; (3) we have high deductibles for certain insurable risks, and therefore we are subject to volatility associated with those risks, including the possibility that changes in estimates of ultimate insurance losses could result in a material charge against our earnings; (4) our risk management and safety programs may not have the intended effect of allowing us to reduce our insurance costs for casualty programs;</w:t>
      </w:r>
    </w:p>
    <w:p>
      <w:pPr>
        <w:spacing w:after="0" w:line="6" w:lineRule="exact"/>
        <w:rPr>
          <w:sz w:val="20"/>
          <w:szCs w:val="20"/>
          <w:color w:val="auto"/>
        </w:rPr>
      </w:pPr>
    </w:p>
    <w:p>
      <w:pPr>
        <w:jc w:val="both"/>
        <w:ind w:firstLine="8"/>
        <w:spacing w:after="0" w:line="242" w:lineRule="auto"/>
        <w:tabs>
          <w:tab w:leader="none" w:pos="22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business success depends on our ability to attract and retain qualified personnel and senior management; (6) our business success depends on our ability to preserve our long-term client relationships; (7) losses or other incidents at facilities in which we operate could cause significant damage to our reputation and financial loss; (8) our success depends on our ability to continue to gain profitable business despite competitive pressures; (9) costs that we cannot pass through to clients could affect our profitability; (10) our business may be negatively impacted by adverse weather conditions; (11) negative or unexpected tax consequences could adversely affect our results of operations; (12) we may not achieve the expected benefits from our captive insurance company; (13) changes in energy prices and government regulations could adversely impact the results of operations of our Building &amp; Energy Solutions business; (14) significant delays or reductions in appropriations for our government contracts may negatively affect our business and could have an adverse effect on our financial position, results of operations, and cash flows; (15) our ability to do business may be affected by the failure of our joint venture partners to perform their obligations; (16) we could be subject to cyber-security risks, information technology interruptions, and business continuity risks; (17) operations in areas of military conflict expose us to additional risks; (18) general reductions in commercial office building occupancy could affect our revenues and profitability; (19) deterioration of general economic conditions could reduce the demand for facility services and, as a result, reduce our earnings and adversely affect our financial condition; (20) unfavorable developments in our class and representative actions and other lawsuits alleging various claims could cause us to incur substantial liabilities; (21) changes in immigration laws or enforcement actions or investigations under such laws could significantly adversely affect our labor force, operations, and financial results; (22) our participation in multiemployer pension plans could result in material liabilities; (23) future increases in the level of our borrowings or in interest rates could affect our results of operations; (24) impairment of goodwill and long-lived assets could have a material adverse effect on our financial condition and results of operations; (25) actions of activist investors could disrupt our business; and (26) catastrophic events, disasters, and terrorist attacks could disrupt our services. The list of factors above is illustrative and by no means exhaustive. Additional information regarding these and other risks and uncertainties we face is contained in our Annual Report on Form 10-K for the year ended October 31, 2015 and in other reports we file from time to time with the Securities and Exchange Commission (including all amendments to those reports). We urge readers to consider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8" w:name="page9"/>
    <w:bookmarkEnd w:id="8"/>
    <w:p>
      <w:pPr>
        <w:jc w:val="both"/>
        <w:spacing w:after="0" w:line="260" w:lineRule="auto"/>
        <w:rPr>
          <w:sz w:val="20"/>
          <w:szCs w:val="20"/>
          <w:color w:val="auto"/>
        </w:rPr>
      </w:pPr>
      <w:r>
        <w:rPr>
          <w:rFonts w:ascii="Arial" w:cs="Arial" w:eastAsia="Arial" w:hAnsi="Arial"/>
          <w:sz w:val="14"/>
          <w:szCs w:val="14"/>
          <w:i w:val="1"/>
          <w:iCs w:val="1"/>
          <w:color w:val="auto"/>
        </w:rPr>
        <w:t>risks and uncertainties in evaluating our forward-looking statements. We caution readers not to place undue reliance upon any such forward- looking statements, which speak only as of the date made. We undertake no obligation to publicly update any forward-looking statements, whether as a result of new information, future events, or otherwise, except as required by law.</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20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i w:val="1"/>
          <w:iCs w:val="1"/>
          <w:color w:val="auto"/>
        </w:rPr>
        <w:t>To supplement ABM’s consolidated financial information, the Company has presented income from continuing operations as adjusted for items impacting comparability, for the fourth quarter and twelve months of fiscal years 2016 and 2015. These adjustments have been made with the intent of providing financial measures that give management and investors a better understanding of the underlying operational results and trends as well as ABM’s marketplace performance. In addition, the Company has presented earnings before income from discontinued operations, net of taxes, interest, taxes, depreciation and amortization and excluding items impacting comparability (adjusted EBITDA) for the fourth quarter and twelve months of fiscal years 2016 and 2015. Adjusted EBITDA is among the indicators management uses as a basis for planning and forecasting future periods. The presentation of these non-GAAP financial measures is not meant to be considered in isolation or as a substitute for financial statements prepared in accordance with accounting principles generally accepted in the United States of America. (See accompanying financial tables for supplemental financial data and corresponding reconciliations to certain GAAP financial measures.)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Contact:</w:t>
            </w:r>
          </w:p>
        </w:tc>
        <w:tc>
          <w:tcPr>
            <w:tcW w:w="2380" w:type="dxa"/>
            <w:vAlign w:val="bottom"/>
          </w:tcPr>
          <w:p>
            <w:pPr>
              <w:spacing w:after="0"/>
              <w:rPr>
                <w:sz w:val="19"/>
                <w:szCs w:val="19"/>
                <w:color w:val="auto"/>
              </w:rPr>
            </w:pPr>
          </w:p>
        </w:tc>
        <w:tc>
          <w:tcPr>
            <w:tcW w:w="8220" w:type="dxa"/>
            <w:vAlign w:val="bottom"/>
            <w:gridSpan w:val="2"/>
            <w:vMerge w:val="restart"/>
          </w:tcPr>
          <w:p>
            <w:pPr>
              <w:spacing w:after="0"/>
              <w:rPr>
                <w:sz w:val="20"/>
                <w:szCs w:val="20"/>
                <w:color w:val="auto"/>
              </w:rPr>
            </w:pPr>
            <w:r>
              <w:rPr>
                <w:rFonts w:ascii="Arial" w:cs="Arial" w:eastAsia="Arial" w:hAnsi="Arial"/>
                <w:sz w:val="20"/>
                <w:szCs w:val="20"/>
                <w:color w:val="auto"/>
              </w:rPr>
              <w:t>Susie Choi</w:t>
            </w:r>
          </w:p>
        </w:tc>
        <w:tc>
          <w:tcPr>
            <w:tcW w:w="0" w:type="dxa"/>
            <w:vAlign w:val="bottom"/>
          </w:tcPr>
          <w:p>
            <w:pPr>
              <w:spacing w:after="0"/>
              <w:rPr>
                <w:sz w:val="1"/>
                <w:szCs w:val="1"/>
                <w:color w:val="auto"/>
              </w:rPr>
            </w:pPr>
          </w:p>
        </w:tc>
      </w:tr>
      <w:tr>
        <w:trPr>
          <w:trHeight w:val="219"/>
        </w:trPr>
        <w:tc>
          <w:tcPr>
            <w:tcW w:w="3200" w:type="dxa"/>
            <w:vAlign w:val="bottom"/>
            <w:gridSpan w:val="2"/>
          </w:tcPr>
          <w:p>
            <w:pPr>
              <w:spacing w:after="0" w:line="220" w:lineRule="exact"/>
              <w:rPr>
                <w:sz w:val="20"/>
                <w:szCs w:val="20"/>
                <w:color w:val="auto"/>
              </w:rPr>
            </w:pPr>
            <w:r>
              <w:rPr>
                <w:rFonts w:ascii="Arial" w:cs="Arial" w:eastAsia="Arial" w:hAnsi="Arial"/>
                <w:sz w:val="20"/>
                <w:szCs w:val="20"/>
                <w:color w:val="auto"/>
              </w:rPr>
              <w:t>Investor &amp; Media Relations:</w:t>
            </w:r>
          </w:p>
        </w:tc>
        <w:tc>
          <w:tcPr>
            <w:tcW w:w="8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00" w:type="dxa"/>
            <w:vAlign w:val="bottom"/>
          </w:tcPr>
          <w:p>
            <w:pPr>
              <w:spacing w:after="0" w:line="216" w:lineRule="exact"/>
              <w:rPr>
                <w:sz w:val="20"/>
                <w:szCs w:val="20"/>
                <w:color w:val="auto"/>
              </w:rPr>
            </w:pPr>
            <w:r>
              <w:rPr>
                <w:rFonts w:ascii="Arial" w:cs="Arial" w:eastAsia="Arial" w:hAnsi="Arial"/>
                <w:sz w:val="20"/>
                <w:szCs w:val="20"/>
                <w:color w:val="auto"/>
              </w:rPr>
              <w:t>(212) 297-9721</w:t>
            </w:r>
          </w:p>
        </w:tc>
        <w:tc>
          <w:tcPr>
            <w:tcW w:w="6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220" w:type="dxa"/>
            <w:vAlign w:val="bottom"/>
            <w:gridSpan w:val="2"/>
          </w:tcPr>
          <w:p>
            <w:pPr>
              <w:spacing w:after="0" w:line="193" w:lineRule="exact"/>
              <w:rPr>
                <w:sz w:val="20"/>
                <w:szCs w:val="20"/>
                <w:color w:val="auto"/>
              </w:rPr>
            </w:pPr>
            <w:r>
              <w:rPr>
                <w:rFonts w:ascii="Arial" w:cs="Arial" w:eastAsia="Arial" w:hAnsi="Arial"/>
                <w:sz w:val="20"/>
                <w:szCs w:val="20"/>
                <w:color w:val="0000FF"/>
              </w:rPr>
              <w:t>susie.choi@abm.com</w:t>
            </w:r>
          </w:p>
        </w:tc>
        <w:tc>
          <w:tcPr>
            <w:tcW w:w="0" w:type="dxa"/>
            <w:vAlign w:val="bottom"/>
          </w:tcPr>
          <w:p>
            <w:pPr>
              <w:spacing w:after="0"/>
              <w:rPr>
                <w:sz w:val="1"/>
                <w:szCs w:val="1"/>
                <w:color w:val="auto"/>
              </w:rPr>
            </w:pPr>
          </w:p>
        </w:tc>
      </w:tr>
      <w:tr>
        <w:trPr>
          <w:trHeight w:val="682"/>
        </w:trPr>
        <w:tc>
          <w:tcPr>
            <w:tcW w:w="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900" w:type="dxa"/>
            <w:vAlign w:val="bottom"/>
            <w:tcBorders>
              <w:top w:val="single" w:sz="8" w:color="0000FF"/>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0"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Financial Schedules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INCOME STATEMENT INFORMATION (UNAUDITED)</w:t>
      </w:r>
    </w:p>
    <w:p>
      <w:pPr>
        <w:spacing w:after="0" w:line="239"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Three Months Ended October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259"/>
              <w:spacing w:after="0" w:line="165" w:lineRule="exact"/>
              <w:rPr>
                <w:sz w:val="20"/>
                <w:szCs w:val="20"/>
                <w:color w:val="auto"/>
              </w:rPr>
            </w:pPr>
            <w:r>
              <w:rPr>
                <w:rFonts w:ascii="Arial" w:cs="Arial" w:eastAsia="Arial" w:hAnsi="Arial"/>
                <w:sz w:val="16"/>
                <w:szCs w:val="16"/>
                <w:b w:val="1"/>
                <w:bCs w:val="1"/>
                <w:color w:val="auto"/>
              </w:rPr>
              <w:t>Increase /</w:t>
            </w:r>
          </w:p>
        </w:tc>
      </w:tr>
      <w:tr>
        <w:trPr>
          <w:trHeight w:val="201"/>
        </w:trPr>
        <w:tc>
          <w:tcPr>
            <w:tcW w:w="7060" w:type="dxa"/>
            <w:vAlign w:val="bottom"/>
            <w:gridSpan w:val="2"/>
          </w:tcPr>
          <w:p>
            <w:pPr>
              <w:spacing w:after="0"/>
              <w:rPr>
                <w:sz w:val="20"/>
                <w:szCs w:val="20"/>
                <w:color w:val="auto"/>
              </w:rPr>
            </w:pPr>
            <w:r>
              <w:rPr>
                <w:rFonts w:ascii="Arial" w:cs="Arial" w:eastAsia="Arial" w:hAnsi="Arial"/>
                <w:sz w:val="13"/>
                <w:szCs w:val="13"/>
                <w:i w:val="1"/>
                <w:iCs w:val="1"/>
                <w:color w:val="auto"/>
              </w:rPr>
              <w:t>(in millions, except per share amounts)</w:t>
            </w:r>
          </w:p>
        </w:tc>
        <w:tc>
          <w:tcPr>
            <w:tcW w:w="300" w:type="dxa"/>
            <w:vAlign w:val="bottom"/>
          </w:tcPr>
          <w:p>
            <w:pPr>
              <w:spacing w:after="0"/>
              <w:rPr>
                <w:sz w:val="17"/>
                <w:szCs w:val="17"/>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7"/>
                <w:szCs w:val="17"/>
                <w:color w:val="auto"/>
              </w:rPr>
            </w:pPr>
          </w:p>
        </w:tc>
        <w:tc>
          <w:tcPr>
            <w:tcW w:w="1440" w:type="dxa"/>
            <w:vAlign w:val="bottom"/>
          </w:tcPr>
          <w:p>
            <w:pPr>
              <w:jc w:val="right"/>
              <w:ind w:right="219"/>
              <w:spacing w:after="0"/>
              <w:rPr>
                <w:sz w:val="20"/>
                <w:szCs w:val="20"/>
                <w:color w:val="auto"/>
              </w:rPr>
            </w:pPr>
            <w:r>
              <w:rPr>
                <w:rFonts w:ascii="Arial" w:cs="Arial" w:eastAsia="Arial" w:hAnsi="Arial"/>
                <w:sz w:val="16"/>
                <w:szCs w:val="16"/>
                <w:b w:val="1"/>
                <w:bCs w:val="1"/>
                <w:color w:val="auto"/>
              </w:rPr>
              <w:t>(Decrease)</w:t>
            </w:r>
          </w:p>
        </w:tc>
      </w:tr>
      <w:tr>
        <w:trPr>
          <w:trHeight w:val="189"/>
        </w:trPr>
        <w:tc>
          <w:tcPr>
            <w:tcW w:w="69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Revenues</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1,322.3</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1,277.0</w:t>
            </w:r>
          </w:p>
        </w:tc>
        <w:tc>
          <w:tcPr>
            <w:tcW w:w="1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7060" w:type="dxa"/>
            <w:vAlign w:val="bottom"/>
            <w:gridSpan w:val="2"/>
          </w:tcPr>
          <w:p>
            <w:pPr>
              <w:ind w:left="60"/>
              <w:spacing w:after="0"/>
              <w:rPr>
                <w:sz w:val="20"/>
                <w:szCs w:val="20"/>
                <w:color w:val="auto"/>
              </w:rPr>
            </w:pPr>
            <w:r>
              <w:rPr>
                <w:rFonts w:ascii="Arial" w:cs="Arial" w:eastAsia="Arial" w:hAnsi="Arial"/>
                <w:sz w:val="16"/>
                <w:szCs w:val="16"/>
                <w:b w:val="1"/>
                <w:bCs w:val="1"/>
                <w:color w:val="auto"/>
              </w:rPr>
              <w:t>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9"/>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Operating</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1,128.1</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189"/>
        </w:trPr>
        <w:tc>
          <w:tcPr>
            <w:tcW w:w="7060" w:type="dxa"/>
            <w:vAlign w:val="bottom"/>
            <w:gridSpan w:val="2"/>
          </w:tcPr>
          <w:p>
            <w:pPr>
              <w:ind w:left="3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189"/>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Restructuring and related</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189"/>
        </w:trPr>
        <w:tc>
          <w:tcPr>
            <w:tcW w:w="7060" w:type="dxa"/>
            <w:vAlign w:val="bottom"/>
            <w:gridSpan w:val="2"/>
          </w:tcPr>
          <w:p>
            <w:pPr>
              <w:ind w:left="3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3"/>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Impairment loss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183"/>
        </w:trPr>
        <w:tc>
          <w:tcPr>
            <w:tcW w:w="7060" w:type="dxa"/>
            <w:vAlign w:val="bottom"/>
            <w:tcBorders>
              <w:bottom w:val="single" w:sz="8" w:color="CCEEFF"/>
            </w:tcBorders>
            <w:gridSpan w:val="2"/>
          </w:tcPr>
          <w:p>
            <w:pPr>
              <w:ind w:left="720"/>
              <w:spacing w:after="0" w:line="177" w:lineRule="exact"/>
              <w:rPr>
                <w:sz w:val="20"/>
                <w:szCs w:val="20"/>
                <w:color w:val="auto"/>
              </w:rPr>
            </w:pPr>
            <w:r>
              <w:rPr>
                <w:rFonts w:ascii="Arial" w:cs="Arial" w:eastAsia="Arial" w:hAnsi="Arial"/>
                <w:sz w:val="16"/>
                <w:szCs w:val="16"/>
                <w:color w:val="auto"/>
              </w:rPr>
              <w:t>Total expenses</w:t>
            </w: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1,311.5</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1,239.8</w:t>
            </w:r>
          </w:p>
        </w:tc>
        <w:tc>
          <w:tcPr>
            <w:tcW w:w="120" w:type="dxa"/>
            <w:vAlign w:val="bottom"/>
            <w:tcBorders>
              <w:bottom w:val="single" w:sz="8" w:color="CCEEFF"/>
            </w:tcBorders>
          </w:tcPr>
          <w:p>
            <w:pPr>
              <w:spacing w:after="0"/>
              <w:rPr>
                <w:sz w:val="15"/>
                <w:szCs w:val="15"/>
                <w:color w:val="auto"/>
              </w:rPr>
            </w:pPr>
          </w:p>
        </w:tc>
        <w:tc>
          <w:tcPr>
            <w:tcW w:w="14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5.8%</w:t>
            </w:r>
          </w:p>
        </w:tc>
      </w:tr>
      <w:tr>
        <w:trPr>
          <w:trHeight w:val="183"/>
        </w:trPr>
        <w:tc>
          <w:tcPr>
            <w:tcW w:w="706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6"/>
                <w:szCs w:val="16"/>
                <w:color w:val="auto"/>
              </w:rPr>
              <w:t>Operating profit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(71.0)%</w:t>
            </w:r>
          </w:p>
        </w:tc>
      </w:tr>
      <w:tr>
        <w:trPr>
          <w:trHeight w:val="189"/>
        </w:trPr>
        <w:tc>
          <w:tcPr>
            <w:tcW w:w="7060" w:type="dxa"/>
            <w:vAlign w:val="bottom"/>
            <w:gridSpan w:val="2"/>
          </w:tcPr>
          <w:p>
            <w:pPr>
              <w:ind w:left="60"/>
              <w:spacing w:after="0"/>
              <w:rPr>
                <w:sz w:val="20"/>
                <w:szCs w:val="20"/>
                <w:color w:val="auto"/>
              </w:rPr>
            </w:pPr>
            <w:r>
              <w:rPr>
                <w:rFonts w:ascii="Arial" w:cs="Arial" w:eastAsia="Arial" w:hAnsi="Arial"/>
                <w:sz w:val="16"/>
                <w:szCs w:val="16"/>
                <w:color w:val="auto"/>
              </w:rPr>
              <w:t>Income from unconsolidated affiliates, net</w:t>
            </w:r>
          </w:p>
        </w:tc>
        <w:tc>
          <w:tcPr>
            <w:tcW w:w="3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03"/>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183"/>
        </w:trPr>
        <w:tc>
          <w:tcPr>
            <w:tcW w:w="706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Income from continuing operations before income taxes</w:t>
            </w:r>
          </w:p>
        </w:tc>
        <w:tc>
          <w:tcPr>
            <w:tcW w:w="300" w:type="dxa"/>
            <w:vAlign w:val="bottom"/>
          </w:tcPr>
          <w:p>
            <w:pPr>
              <w:spacing w:after="0"/>
              <w:rPr>
                <w:sz w:val="15"/>
                <w:szCs w:val="15"/>
                <w:color w:val="auto"/>
              </w:rPr>
            </w:pP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37.3</w:t>
            </w:r>
          </w:p>
        </w:tc>
        <w:tc>
          <w:tcPr>
            <w:tcW w:w="12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(72.2)%</w:t>
            </w:r>
          </w:p>
        </w:tc>
      </w:tr>
      <w:tr>
        <w:trPr>
          <w:trHeight w:val="203"/>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Income tax provision</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183"/>
        </w:trPr>
        <w:tc>
          <w:tcPr>
            <w:tcW w:w="706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Income from continuing operations</w:t>
            </w:r>
          </w:p>
        </w:tc>
        <w:tc>
          <w:tcPr>
            <w:tcW w:w="300" w:type="dxa"/>
            <w:vAlign w:val="bottom"/>
          </w:tcPr>
          <w:p>
            <w:pPr>
              <w:spacing w:after="0"/>
              <w:rPr>
                <w:sz w:val="15"/>
                <w:szCs w:val="15"/>
                <w:color w:val="auto"/>
              </w:rPr>
            </w:pP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9.0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22.6</w:t>
            </w:r>
          </w:p>
        </w:tc>
        <w:tc>
          <w:tcPr>
            <w:tcW w:w="12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(59.9)%</w:t>
            </w:r>
          </w:p>
        </w:tc>
      </w:tr>
      <w:tr>
        <w:trPr>
          <w:trHeight w:val="203"/>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Net (loss) income from discontinued operations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r>
      <w:tr>
        <w:trPr>
          <w:trHeight w:val="236"/>
        </w:trPr>
        <w:tc>
          <w:tcPr>
            <w:tcW w:w="706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r>
      <w:tr>
        <w:trPr>
          <w:trHeight w:val="197"/>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Net income per common share — Basic</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7060" w:type="dxa"/>
            <w:vAlign w:val="bottom"/>
            <w:gridSpan w:val="2"/>
          </w:tcPr>
          <w:p>
            <w:pPr>
              <w:ind w:left="3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(59.0)%</w:t>
            </w:r>
          </w:p>
        </w:tc>
      </w:tr>
      <w:tr>
        <w:trPr>
          <w:trHeight w:val="203"/>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(Loss) income from discontinued operations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0.29</w:t>
            </w:r>
          </w:p>
        </w:tc>
        <w:tc>
          <w:tcPr>
            <w:tcW w:w="12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r>
      <w:tr>
        <w:trPr>
          <w:trHeight w:val="183"/>
        </w:trPr>
        <w:tc>
          <w:tcPr>
            <w:tcW w:w="7060" w:type="dxa"/>
            <w:vAlign w:val="bottom"/>
            <w:gridSpan w:val="2"/>
          </w:tcPr>
          <w:p>
            <w:pPr>
              <w:ind w:left="380"/>
              <w:spacing w:after="0" w:line="183" w:lineRule="exact"/>
              <w:rPr>
                <w:sz w:val="20"/>
                <w:szCs w:val="20"/>
                <w:color w:val="auto"/>
              </w:rPr>
            </w:pPr>
            <w:r>
              <w:rPr>
                <w:rFonts w:ascii="Arial" w:cs="Arial" w:eastAsia="Arial" w:hAnsi="Arial"/>
                <w:sz w:val="16"/>
                <w:szCs w:val="16"/>
                <w:color w:val="auto"/>
              </w:rPr>
              <w:t>Net income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0.14</w:t>
            </w:r>
          </w:p>
        </w:tc>
        <w:tc>
          <w:tcPr>
            <w:tcW w:w="12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0.68</w:t>
            </w:r>
          </w:p>
        </w:tc>
        <w:tc>
          <w:tcPr>
            <w:tcW w:w="12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(79.7)%</w:t>
            </w:r>
          </w:p>
        </w:tc>
      </w:tr>
      <w:tr>
        <w:trPr>
          <w:trHeight w:val="216"/>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Net income per common share — Diluted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9"/>
        </w:trPr>
        <w:tc>
          <w:tcPr>
            <w:tcW w:w="7060" w:type="dxa"/>
            <w:vAlign w:val="bottom"/>
            <w:gridSpan w:val="2"/>
          </w:tcPr>
          <w:p>
            <w:pPr>
              <w:ind w:left="3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203"/>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(Loss) income from discontinued operations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0.29</w:t>
            </w:r>
          </w:p>
        </w:tc>
        <w:tc>
          <w:tcPr>
            <w:tcW w:w="12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r>
      <w:tr>
        <w:trPr>
          <w:trHeight w:val="183"/>
        </w:trPr>
        <w:tc>
          <w:tcPr>
            <w:tcW w:w="7060" w:type="dxa"/>
            <w:vAlign w:val="bottom"/>
            <w:gridSpan w:val="2"/>
          </w:tcPr>
          <w:p>
            <w:pPr>
              <w:ind w:left="380"/>
              <w:spacing w:after="0" w:line="183" w:lineRule="exact"/>
              <w:rPr>
                <w:sz w:val="20"/>
                <w:szCs w:val="20"/>
                <w:color w:val="auto"/>
              </w:rPr>
            </w:pPr>
            <w:r>
              <w:rPr>
                <w:rFonts w:ascii="Arial" w:cs="Arial" w:eastAsia="Arial" w:hAnsi="Arial"/>
                <w:sz w:val="16"/>
                <w:szCs w:val="16"/>
                <w:color w:val="auto"/>
              </w:rPr>
              <w:t>Net income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0.14</w:t>
            </w:r>
          </w:p>
        </w:tc>
        <w:tc>
          <w:tcPr>
            <w:tcW w:w="12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0.68</w:t>
            </w:r>
          </w:p>
        </w:tc>
        <w:tc>
          <w:tcPr>
            <w:tcW w:w="12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(79.7)%</w:t>
            </w:r>
          </w:p>
        </w:tc>
      </w:tr>
      <w:tr>
        <w:trPr>
          <w:trHeight w:val="171"/>
        </w:trPr>
        <w:tc>
          <w:tcPr>
            <w:tcW w:w="7060" w:type="dxa"/>
            <w:vAlign w:val="bottom"/>
            <w:gridSpan w:val="2"/>
            <w:shd w:val="clear" w:color="auto" w:fill="CCEEFF"/>
          </w:tcPr>
          <w:p>
            <w:pPr>
              <w:ind w:left="60"/>
              <w:spacing w:after="0" w:line="171" w:lineRule="exact"/>
              <w:rPr>
                <w:sz w:val="20"/>
                <w:szCs w:val="20"/>
                <w:color w:val="auto"/>
              </w:rPr>
            </w:pPr>
            <w:r>
              <w:rPr>
                <w:rFonts w:ascii="Arial" w:cs="Arial" w:eastAsia="Arial" w:hAnsi="Arial"/>
                <w:sz w:val="16"/>
                <w:szCs w:val="16"/>
                <w:b w:val="1"/>
                <w:bCs w:val="1"/>
                <w:color w:val="auto"/>
              </w:rPr>
              <w:t>Weighted-average common and common</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07"/>
        </w:trPr>
        <w:tc>
          <w:tcPr>
            <w:tcW w:w="706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equivalent shares outstanding</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ind w:left="38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4"/>
        </w:trPr>
        <w:tc>
          <w:tcPr>
            <w:tcW w:w="7060" w:type="dxa"/>
            <w:vAlign w:val="bottom"/>
            <w:gridSpan w:val="2"/>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0.165</w:t>
            </w:r>
          </w:p>
        </w:tc>
        <w:tc>
          <w:tcPr>
            <w:tcW w:w="12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0.160</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0" w:name="page11"/>
    <w:bookmarkEnd w:id="10"/>
    <w:p>
      <w:pPr>
        <w:ind w:right="4980"/>
        <w:spacing w:after="0" w:line="494" w:lineRule="auto"/>
        <w:rPr>
          <w:sz w:val="20"/>
          <w:szCs w:val="20"/>
          <w:color w:val="auto"/>
        </w:rPr>
      </w:pPr>
      <w:r>
        <w:rPr>
          <w:rFonts w:ascii="Arial" w:cs="Arial" w:eastAsia="Arial" w:hAnsi="Arial"/>
          <w:sz w:val="19"/>
          <w:szCs w:val="19"/>
          <w:b w:val="1"/>
          <w:bCs w:val="1"/>
          <w:color w:val="auto"/>
        </w:rPr>
        <w:t>ABM INDUSTRIES INCORPORATED AND SUBSIDIARIES CONSOLIDATED INCOME STATEMENT INFORMATION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920"/>
              <w:spacing w:after="0"/>
              <w:rPr>
                <w:sz w:val="20"/>
                <w:szCs w:val="20"/>
                <w:color w:val="auto"/>
              </w:rPr>
            </w:pPr>
            <w:r>
              <w:rPr>
                <w:rFonts w:ascii="Arial" w:cs="Arial" w:eastAsia="Arial" w:hAnsi="Arial"/>
                <w:sz w:val="16"/>
                <w:szCs w:val="16"/>
                <w:b w:val="1"/>
                <w:bCs w:val="1"/>
                <w:color w:val="auto"/>
              </w:rPr>
              <w:t>Years Ended October 31,</w:t>
            </w:r>
          </w:p>
        </w:tc>
        <w:tc>
          <w:tcPr>
            <w:tcW w:w="1180" w:type="dxa"/>
            <w:vAlign w:val="bottom"/>
            <w:tcBorders>
              <w:bottom w:val="single" w:sz="8" w:color="auto"/>
            </w:tcBorders>
          </w:tcPr>
          <w:p>
            <w:pPr>
              <w:spacing w:after="0"/>
              <w:rPr>
                <w:sz w:val="18"/>
                <w:szCs w:val="18"/>
                <w:color w:val="auto"/>
              </w:rPr>
            </w:pPr>
          </w:p>
        </w:tc>
      </w:tr>
      <w:tr>
        <w:trPr>
          <w:trHeight w:val="164"/>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259"/>
              <w:spacing w:after="0" w:line="165" w:lineRule="exact"/>
              <w:rPr>
                <w:sz w:val="20"/>
                <w:szCs w:val="20"/>
                <w:color w:val="auto"/>
              </w:rPr>
            </w:pPr>
            <w:r>
              <w:rPr>
                <w:rFonts w:ascii="Arial" w:cs="Arial" w:eastAsia="Arial" w:hAnsi="Arial"/>
                <w:sz w:val="16"/>
                <w:szCs w:val="16"/>
                <w:b w:val="1"/>
                <w:bCs w:val="1"/>
                <w:color w:val="auto"/>
              </w:rPr>
              <w:t>Increase /</w:t>
            </w:r>
          </w:p>
        </w:tc>
      </w:tr>
      <w:tr>
        <w:trPr>
          <w:trHeight w:val="201"/>
        </w:trPr>
        <w:tc>
          <w:tcPr>
            <w:tcW w:w="7060" w:type="dxa"/>
            <w:vAlign w:val="bottom"/>
            <w:gridSpan w:val="2"/>
          </w:tcPr>
          <w:p>
            <w:pPr>
              <w:spacing w:after="0"/>
              <w:rPr>
                <w:sz w:val="20"/>
                <w:szCs w:val="20"/>
                <w:color w:val="auto"/>
              </w:rPr>
            </w:pPr>
            <w:r>
              <w:rPr>
                <w:rFonts w:ascii="Arial" w:cs="Arial" w:eastAsia="Arial" w:hAnsi="Arial"/>
                <w:sz w:val="13"/>
                <w:szCs w:val="13"/>
                <w:i w:val="1"/>
                <w:iCs w:val="1"/>
                <w:color w:val="auto"/>
              </w:rPr>
              <w:t>(in millions, except per share amounts)</w:t>
            </w:r>
          </w:p>
        </w:tc>
        <w:tc>
          <w:tcPr>
            <w:tcW w:w="300" w:type="dxa"/>
            <w:vAlign w:val="bottom"/>
          </w:tcPr>
          <w:p>
            <w:pPr>
              <w:spacing w:after="0"/>
              <w:rPr>
                <w:sz w:val="17"/>
                <w:szCs w:val="17"/>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(Decrease)</w:t>
            </w:r>
          </w:p>
        </w:tc>
      </w:tr>
      <w:tr>
        <w:trPr>
          <w:trHeight w:val="189"/>
        </w:trPr>
        <w:tc>
          <w:tcPr>
            <w:tcW w:w="69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Revenues</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5,144.7</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4,897.8</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7060" w:type="dxa"/>
            <w:vAlign w:val="bottom"/>
            <w:gridSpan w:val="2"/>
          </w:tcPr>
          <w:p>
            <w:pPr>
              <w:ind w:left="60"/>
              <w:spacing w:after="0"/>
              <w:rPr>
                <w:sz w:val="20"/>
                <w:szCs w:val="20"/>
                <w:color w:val="auto"/>
              </w:rPr>
            </w:pPr>
            <w:r>
              <w:rPr>
                <w:rFonts w:ascii="Arial" w:cs="Arial" w:eastAsia="Arial" w:hAnsi="Arial"/>
                <w:sz w:val="16"/>
                <w:szCs w:val="16"/>
                <w:b w:val="1"/>
                <w:bCs w:val="1"/>
                <w:color w:val="auto"/>
              </w:rPr>
              <w:t>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9"/>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Operating</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4,623.4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189"/>
        </w:trPr>
        <w:tc>
          <w:tcPr>
            <w:tcW w:w="7060" w:type="dxa"/>
            <w:vAlign w:val="bottom"/>
            <w:gridSpan w:val="2"/>
          </w:tcPr>
          <w:p>
            <w:pPr>
              <w:ind w:left="38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377.3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Restructuring and related</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r>
      <w:tr>
        <w:trPr>
          <w:trHeight w:val="189"/>
        </w:trPr>
        <w:tc>
          <w:tcPr>
            <w:tcW w:w="7060" w:type="dxa"/>
            <w:vAlign w:val="bottom"/>
            <w:gridSpan w:val="2"/>
          </w:tcPr>
          <w:p>
            <w:pPr>
              <w:ind w:left="3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3"/>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Impairment loss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183"/>
        </w:trPr>
        <w:tc>
          <w:tcPr>
            <w:tcW w:w="7060" w:type="dxa"/>
            <w:vAlign w:val="bottom"/>
            <w:tcBorders>
              <w:bottom w:val="single" w:sz="8" w:color="CCEEFF"/>
            </w:tcBorders>
            <w:gridSpan w:val="2"/>
          </w:tcPr>
          <w:p>
            <w:pPr>
              <w:ind w:left="720"/>
              <w:spacing w:after="0" w:line="177" w:lineRule="exact"/>
              <w:rPr>
                <w:sz w:val="20"/>
                <w:szCs w:val="20"/>
                <w:color w:val="auto"/>
              </w:rPr>
            </w:pPr>
            <w:r>
              <w:rPr>
                <w:rFonts w:ascii="Arial" w:cs="Arial" w:eastAsia="Arial" w:hAnsi="Arial"/>
                <w:sz w:val="16"/>
                <w:szCs w:val="16"/>
                <w:color w:val="auto"/>
              </w:rPr>
              <w:t>Total expenses</w:t>
            </w: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5,090.0</w:t>
            </w:r>
          </w:p>
        </w:tc>
        <w:tc>
          <w:tcPr>
            <w:tcW w:w="1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4,824.2</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w:t>
            </w:r>
          </w:p>
        </w:tc>
      </w:tr>
      <w:tr>
        <w:trPr>
          <w:trHeight w:val="183"/>
        </w:trPr>
        <w:tc>
          <w:tcPr>
            <w:tcW w:w="706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6"/>
                <w:szCs w:val="16"/>
                <w:color w:val="auto"/>
              </w:rPr>
              <w:t>Operating profit</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54.7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73.6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(25.6)%</w:t>
            </w:r>
          </w:p>
        </w:tc>
      </w:tr>
      <w:tr>
        <w:trPr>
          <w:trHeight w:val="189"/>
        </w:trPr>
        <w:tc>
          <w:tcPr>
            <w:tcW w:w="7060" w:type="dxa"/>
            <w:vAlign w:val="bottom"/>
            <w:gridSpan w:val="2"/>
          </w:tcPr>
          <w:p>
            <w:pPr>
              <w:ind w:left="60"/>
              <w:spacing w:after="0"/>
              <w:rPr>
                <w:sz w:val="20"/>
                <w:szCs w:val="20"/>
                <w:color w:val="auto"/>
              </w:rPr>
            </w:pPr>
            <w:r>
              <w:rPr>
                <w:rFonts w:ascii="Arial" w:cs="Arial" w:eastAsia="Arial" w:hAnsi="Arial"/>
                <w:sz w:val="16"/>
                <w:szCs w:val="16"/>
                <w:color w:val="auto"/>
              </w:rPr>
              <w:t>Income from unconsolidated affiliates, net</w:t>
            </w:r>
          </w:p>
        </w:tc>
        <w:tc>
          <w:tcPr>
            <w:tcW w:w="30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03"/>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183"/>
        </w:trPr>
        <w:tc>
          <w:tcPr>
            <w:tcW w:w="706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Income from continuing operations before income taxes</w:t>
            </w:r>
          </w:p>
        </w:tc>
        <w:tc>
          <w:tcPr>
            <w:tcW w:w="300" w:type="dxa"/>
            <w:vAlign w:val="bottom"/>
          </w:tcPr>
          <w:p>
            <w:pPr>
              <w:spacing w:after="0"/>
              <w:rPr>
                <w:sz w:val="15"/>
                <w:szCs w:val="15"/>
                <w:color w:val="auto"/>
              </w:rPr>
            </w:pP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72.4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(28.3)%</w:t>
            </w:r>
          </w:p>
        </w:tc>
      </w:tr>
      <w:tr>
        <w:trPr>
          <w:trHeight w:val="203"/>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Income tax benefit (provision)</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r>
      <w:tr>
        <w:trPr>
          <w:trHeight w:val="183"/>
        </w:trPr>
        <w:tc>
          <w:tcPr>
            <w:tcW w:w="706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Income from continuing operations</w:t>
            </w:r>
          </w:p>
        </w:tc>
        <w:tc>
          <w:tcPr>
            <w:tcW w:w="300" w:type="dxa"/>
            <w:vAlign w:val="bottom"/>
          </w:tcPr>
          <w:p>
            <w:pPr>
              <w:spacing w:after="0"/>
              <w:rPr>
                <w:sz w:val="15"/>
                <w:szCs w:val="15"/>
                <w:color w:val="auto"/>
              </w:rPr>
            </w:pP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54.1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15.2%</w:t>
            </w:r>
          </w:p>
        </w:tc>
      </w:tr>
      <w:tr>
        <w:trPr>
          <w:trHeight w:val="203"/>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Net (loss) income from discontinued operations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r>
      <w:tr>
        <w:trPr>
          <w:trHeight w:val="236"/>
        </w:trPr>
        <w:tc>
          <w:tcPr>
            <w:tcW w:w="706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197"/>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Net income per common share — Basic</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9"/>
        </w:trPr>
        <w:tc>
          <w:tcPr>
            <w:tcW w:w="7060" w:type="dxa"/>
            <w:vAlign w:val="bottom"/>
            <w:gridSpan w:val="2"/>
          </w:tcPr>
          <w:p>
            <w:pPr>
              <w:ind w:left="3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03"/>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(Loss) income from discontinued operations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r>
      <w:tr>
        <w:trPr>
          <w:trHeight w:val="183"/>
        </w:trPr>
        <w:tc>
          <w:tcPr>
            <w:tcW w:w="7060" w:type="dxa"/>
            <w:vAlign w:val="bottom"/>
            <w:gridSpan w:val="2"/>
          </w:tcPr>
          <w:p>
            <w:pPr>
              <w:ind w:left="380"/>
              <w:spacing w:after="0" w:line="183" w:lineRule="exact"/>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5"/>
                <w:szCs w:val="15"/>
                <w:color w:val="auto"/>
              </w:rPr>
            </w:pP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(24.6)%</w:t>
            </w:r>
          </w:p>
        </w:tc>
      </w:tr>
      <w:tr>
        <w:trPr>
          <w:trHeight w:val="216"/>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Net income per common share — Diluted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9"/>
        </w:trPr>
        <w:tc>
          <w:tcPr>
            <w:tcW w:w="7060" w:type="dxa"/>
            <w:vAlign w:val="bottom"/>
            <w:gridSpan w:val="2"/>
          </w:tcPr>
          <w:p>
            <w:pPr>
              <w:ind w:left="38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03"/>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(Loss) income from discontinued operations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r>
      <w:tr>
        <w:trPr>
          <w:trHeight w:val="183"/>
        </w:trPr>
        <w:tc>
          <w:tcPr>
            <w:tcW w:w="7060" w:type="dxa"/>
            <w:vAlign w:val="bottom"/>
            <w:gridSpan w:val="2"/>
          </w:tcPr>
          <w:p>
            <w:pPr>
              <w:ind w:left="380"/>
              <w:spacing w:after="0" w:line="183" w:lineRule="exact"/>
              <w:rPr>
                <w:sz w:val="20"/>
                <w:szCs w:val="20"/>
                <w:color w:val="auto"/>
              </w:rPr>
            </w:pPr>
            <w:r>
              <w:rPr>
                <w:rFonts w:ascii="Arial" w:cs="Arial" w:eastAsia="Arial" w:hAnsi="Arial"/>
                <w:sz w:val="16"/>
                <w:szCs w:val="16"/>
                <w:color w:val="auto"/>
              </w:rPr>
              <w:t>Net income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1.01</w:t>
            </w:r>
          </w:p>
        </w:tc>
        <w:tc>
          <w:tcPr>
            <w:tcW w:w="12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(24.4)%</w:t>
            </w:r>
          </w:p>
        </w:tc>
      </w:tr>
      <w:tr>
        <w:trPr>
          <w:trHeight w:val="171"/>
        </w:trPr>
        <w:tc>
          <w:tcPr>
            <w:tcW w:w="7060" w:type="dxa"/>
            <w:vAlign w:val="bottom"/>
            <w:gridSpan w:val="2"/>
            <w:shd w:val="clear" w:color="auto" w:fill="CCEEFF"/>
          </w:tcPr>
          <w:p>
            <w:pPr>
              <w:ind w:left="60"/>
              <w:spacing w:after="0" w:line="171" w:lineRule="exact"/>
              <w:rPr>
                <w:sz w:val="20"/>
                <w:szCs w:val="20"/>
                <w:color w:val="auto"/>
              </w:rPr>
            </w:pPr>
            <w:r>
              <w:rPr>
                <w:rFonts w:ascii="Arial" w:cs="Arial" w:eastAsia="Arial" w:hAnsi="Arial"/>
                <w:sz w:val="16"/>
                <w:szCs w:val="16"/>
                <w:b w:val="1"/>
                <w:bCs w:val="1"/>
                <w:color w:val="auto"/>
              </w:rPr>
              <w:t>Weighted-average common and common</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07"/>
        </w:trPr>
        <w:tc>
          <w:tcPr>
            <w:tcW w:w="7060" w:type="dxa"/>
            <w:vAlign w:val="bottom"/>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equivalent shares outstanding</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7060" w:type="dxa"/>
            <w:vAlign w:val="bottom"/>
            <w:gridSpan w:val="2"/>
          </w:tcPr>
          <w:p>
            <w:pPr>
              <w:ind w:left="38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0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7060" w:type="dxa"/>
            <w:vAlign w:val="bottom"/>
            <w:gridSpan w:val="2"/>
          </w:tcPr>
          <w:p>
            <w:pPr>
              <w:ind w:left="60"/>
              <w:spacing w:after="0"/>
              <w:rPr>
                <w:sz w:val="20"/>
                <w:szCs w:val="20"/>
                <w:color w:val="auto"/>
              </w:rPr>
            </w:pPr>
            <w:r>
              <w:rPr>
                <w:rFonts w:ascii="Arial" w:cs="Arial" w:eastAsia="Arial" w:hAnsi="Arial"/>
                <w:sz w:val="16"/>
                <w:szCs w:val="16"/>
                <w:b w:val="1"/>
                <w:bCs w:val="1"/>
                <w:color w:val="auto"/>
              </w:rPr>
              <w:t>Dividends declared per common share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0.660</w:t>
            </w:r>
          </w:p>
        </w:tc>
        <w:tc>
          <w:tcPr>
            <w:tcW w:w="12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0.640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ABM INDUSTRIES INCORPORATED AND SUBSIDIARIES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CONSOLIDATED CASH FLOW INFORMATION (UNAUDITED)</w:t>
      </w:r>
    </w:p>
    <w:p>
      <w:pPr>
        <w:spacing w:after="0" w:line="225" w:lineRule="exact"/>
        <w:rPr>
          <w:sz w:val="20"/>
          <w:szCs w:val="20"/>
          <w:color w:val="auto"/>
        </w:rPr>
      </w:pPr>
    </w:p>
    <w:p>
      <w:pPr>
        <w:ind w:left="8800"/>
        <w:spacing w:after="0"/>
        <w:rPr>
          <w:sz w:val="20"/>
          <w:szCs w:val="20"/>
          <w:color w:val="auto"/>
        </w:rPr>
      </w:pPr>
      <w:r>
        <w:rPr>
          <w:rFonts w:ascii="Arial" w:cs="Arial" w:eastAsia="Arial" w:hAnsi="Arial"/>
          <w:sz w:val="15"/>
          <w:szCs w:val="15"/>
          <w:b w:val="1"/>
          <w:bCs w:val="1"/>
          <w:color w:val="auto"/>
        </w:rPr>
        <w:t>Three Months Ended October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80" w:type="dxa"/>
            <w:vAlign w:val="bottom"/>
            <w:gridSpan w:val="2"/>
          </w:tcPr>
          <w:p>
            <w:pPr>
              <w:spacing w:after="0" w:line="122" w:lineRule="exact"/>
              <w:rPr>
                <w:sz w:val="20"/>
                <w:szCs w:val="20"/>
                <w:color w:val="auto"/>
              </w:rPr>
            </w:pPr>
            <w:r>
              <w:rPr>
                <w:rFonts w:ascii="Arial" w:cs="Arial" w:eastAsia="Arial" w:hAnsi="Arial"/>
                <w:sz w:val="14"/>
                <w:szCs w:val="14"/>
                <w:i w:val="1"/>
                <w:iCs w:val="1"/>
                <w:color w:val="auto"/>
              </w:rPr>
              <w:t>(in millions)</w:t>
            </w:r>
          </w:p>
        </w:tc>
        <w:tc>
          <w:tcPr>
            <w:tcW w:w="14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43"/>
              <w:spacing w:after="0" w:line="142" w:lineRule="exact"/>
              <w:rPr>
                <w:sz w:val="20"/>
                <w:szCs w:val="20"/>
                <w:color w:val="auto"/>
              </w:rPr>
            </w:pPr>
            <w:r>
              <w:rPr>
                <w:rFonts w:ascii="Arial" w:cs="Arial" w:eastAsia="Arial" w:hAnsi="Arial"/>
                <w:sz w:val="15"/>
                <w:szCs w:val="15"/>
                <w:b w:val="1"/>
                <w:bCs w:val="1"/>
                <w:color w:val="auto"/>
              </w:rPr>
              <w:t>2016</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23"/>
              <w:spacing w:after="0" w:line="142" w:lineRule="exact"/>
              <w:rPr>
                <w:sz w:val="20"/>
                <w:szCs w:val="20"/>
                <w:color w:val="auto"/>
              </w:rPr>
            </w:pPr>
            <w:r>
              <w:rPr>
                <w:rFonts w:ascii="Arial" w:cs="Arial" w:eastAsia="Arial" w:hAnsi="Arial"/>
                <w:sz w:val="15"/>
                <w:szCs w:val="15"/>
                <w:b w:val="1"/>
                <w:bCs w:val="1"/>
                <w:color w:val="auto"/>
              </w:rPr>
              <w:t>2015</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8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5"/>
                <w:szCs w:val="15"/>
                <w:color w:val="auto"/>
              </w:rPr>
              <w:t>Net cash provided by operating activities of continuing operations</w:t>
            </w:r>
          </w:p>
        </w:tc>
        <w:tc>
          <w:tcPr>
            <w:tcW w:w="14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3"/>
              <w:spacing w:after="0" w:line="143"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3"/>
              <w:spacing w:after="0" w:line="143" w:lineRule="exact"/>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23"/>
              <w:spacing w:after="0" w:line="143" w:lineRule="exact"/>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23"/>
              <w:spacing w:after="0" w:line="143" w:lineRule="exact"/>
              <w:rPr>
                <w:sz w:val="20"/>
                <w:szCs w:val="20"/>
                <w:color w:val="auto"/>
              </w:rPr>
            </w:pPr>
            <w:r>
              <w:rPr>
                <w:rFonts w:ascii="Arial" w:cs="Arial" w:eastAsia="Arial" w:hAnsi="Arial"/>
                <w:sz w:val="15"/>
                <w:szCs w:val="15"/>
                <w:color w:val="auto"/>
              </w:rPr>
              <w:t>39.6</w:t>
            </w:r>
          </w:p>
        </w:tc>
        <w:tc>
          <w:tcPr>
            <w:tcW w:w="0" w:type="dxa"/>
            <w:vAlign w:val="bottom"/>
          </w:tcPr>
          <w:p>
            <w:pPr>
              <w:spacing w:after="0"/>
              <w:rPr>
                <w:sz w:val="1"/>
                <w:szCs w:val="1"/>
                <w:color w:val="auto"/>
              </w:rPr>
            </w:pPr>
          </w:p>
        </w:tc>
      </w:tr>
      <w:tr>
        <w:trPr>
          <w:trHeight w:val="176"/>
        </w:trPr>
        <w:tc>
          <w:tcPr>
            <w:tcW w:w="7180" w:type="dxa"/>
            <w:vAlign w:val="bottom"/>
            <w:tcBorders>
              <w:bottom w:val="single" w:sz="8" w:color="CCEEFF"/>
            </w:tcBorders>
            <w:gridSpan w:val="2"/>
          </w:tcPr>
          <w:p>
            <w:pPr>
              <w:ind w:left="60"/>
              <w:spacing w:after="0"/>
              <w:rPr>
                <w:sz w:val="20"/>
                <w:szCs w:val="20"/>
                <w:color w:val="auto"/>
              </w:rPr>
            </w:pPr>
            <w:r>
              <w:rPr>
                <w:rFonts w:ascii="Arial" w:cs="Arial" w:eastAsia="Arial" w:hAnsi="Arial"/>
                <w:sz w:val="15"/>
                <w:szCs w:val="15"/>
                <w:color w:val="auto"/>
              </w:rPr>
              <w:t>Net cash (used in) provided by operating activities of discontinued operations</w:t>
            </w:r>
          </w:p>
        </w:tc>
        <w:tc>
          <w:tcPr>
            <w:tcW w:w="14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69"/>
        </w:trPr>
        <w:tc>
          <w:tcPr>
            <w:tcW w:w="7180" w:type="dxa"/>
            <w:vAlign w:val="bottom"/>
            <w:tcBorders>
              <w:bottom w:val="single" w:sz="8" w:color="CCEEFF"/>
            </w:tcBorders>
            <w:gridSpan w:val="2"/>
            <w:shd w:val="clear" w:color="auto" w:fill="CCEEFF"/>
          </w:tcPr>
          <w:p>
            <w:pPr>
              <w:ind w:left="60"/>
              <w:spacing w:after="0" w:line="169" w:lineRule="exact"/>
              <w:rPr>
                <w:sz w:val="20"/>
                <w:szCs w:val="20"/>
                <w:color w:val="auto"/>
              </w:rPr>
            </w:pPr>
            <w:r>
              <w:rPr>
                <w:rFonts w:ascii="Arial" w:cs="Arial" w:eastAsia="Arial" w:hAnsi="Arial"/>
                <w:sz w:val="15"/>
                <w:szCs w:val="15"/>
                <w:b w:val="1"/>
                <w:bCs w:val="1"/>
                <w:color w:val="auto"/>
              </w:rPr>
              <w:t>Net cash provided by operating activities</w:t>
            </w:r>
          </w:p>
        </w:tc>
        <w:tc>
          <w:tcPr>
            <w:tcW w:w="14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3"/>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23"/>
              <w:spacing w:after="0" w:line="169" w:lineRule="exact"/>
              <w:rPr>
                <w:sz w:val="20"/>
                <w:szCs w:val="20"/>
                <w:color w:val="auto"/>
              </w:rPr>
            </w:pPr>
            <w:r>
              <w:rPr>
                <w:rFonts w:ascii="Arial" w:cs="Arial" w:eastAsia="Arial" w:hAnsi="Arial"/>
                <w:sz w:val="15"/>
                <w:szCs w:val="15"/>
                <w:color w:val="auto"/>
              </w:rPr>
              <w:t>8.4</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3"/>
              <w:spacing w:after="0" w:line="169"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23"/>
              <w:spacing w:after="0" w:line="169" w:lineRule="exact"/>
              <w:rPr>
                <w:sz w:val="20"/>
                <w:szCs w:val="20"/>
                <w:color w:val="auto"/>
              </w:rPr>
            </w:pPr>
            <w:r>
              <w:rPr>
                <w:rFonts w:ascii="Arial" w:cs="Arial" w:eastAsia="Arial" w:hAnsi="Arial"/>
                <w:sz w:val="15"/>
                <w:szCs w:val="15"/>
                <w:color w:val="auto"/>
              </w:rPr>
              <w:t>44.0</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60"/>
              <w:spacing w:after="0"/>
              <w:rPr>
                <w:sz w:val="20"/>
                <w:szCs w:val="20"/>
                <w:color w:val="auto"/>
              </w:rPr>
            </w:pPr>
            <w:r>
              <w:rPr>
                <w:rFonts w:ascii="Arial" w:cs="Arial" w:eastAsia="Arial" w:hAnsi="Arial"/>
                <w:sz w:val="15"/>
                <w:szCs w:val="15"/>
                <w:color w:val="auto"/>
              </w:rPr>
              <w:t>Purchase of businesses, net of cash acquired</w:t>
            </w:r>
          </w:p>
        </w:tc>
        <w:tc>
          <w:tcPr>
            <w:tcW w:w="17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8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Borders>
              <w:top w:val="single" w:sz="8" w:color="auto"/>
            </w:tcBorders>
          </w:tcPr>
          <w:p>
            <w:pPr>
              <w:jc w:val="right"/>
              <w:ind w:right="143"/>
              <w:spacing w:after="0" w:line="143"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5"/>
                <w:szCs w:val="15"/>
                <w:color w:val="auto"/>
              </w:rPr>
              <w:t>(15.0)</w:t>
            </w:r>
          </w:p>
        </w:tc>
        <w:tc>
          <w:tcPr>
            <w:tcW w:w="100" w:type="dxa"/>
            <w:vAlign w:val="bottom"/>
          </w:tcPr>
          <w:p>
            <w:pPr>
              <w:spacing w:after="0"/>
              <w:rPr>
                <w:sz w:val="12"/>
                <w:szCs w:val="12"/>
                <w:color w:val="auto"/>
              </w:rPr>
            </w:pPr>
          </w:p>
        </w:tc>
        <w:tc>
          <w:tcPr>
            <w:tcW w:w="300" w:type="dxa"/>
            <w:vAlign w:val="bottom"/>
            <w:tcBorders>
              <w:top w:val="single" w:sz="8" w:color="auto"/>
            </w:tcBorders>
          </w:tcPr>
          <w:p>
            <w:pPr>
              <w:jc w:val="right"/>
              <w:ind w:right="123"/>
              <w:spacing w:after="0" w:line="143" w:lineRule="exact"/>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ind w:right="23"/>
              <w:spacing w:after="0" w:line="143"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Other</w:t>
            </w:r>
          </w:p>
        </w:tc>
        <w:tc>
          <w:tcPr>
            <w:tcW w:w="14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56"/>
        </w:trPr>
        <w:tc>
          <w:tcPr>
            <w:tcW w:w="7180" w:type="dxa"/>
            <w:vAlign w:val="bottom"/>
            <w:gridSpan w:val="2"/>
          </w:tcPr>
          <w:p>
            <w:pPr>
              <w:ind w:left="60"/>
              <w:spacing w:after="0" w:line="156" w:lineRule="exact"/>
              <w:rPr>
                <w:sz w:val="20"/>
                <w:szCs w:val="20"/>
                <w:color w:val="auto"/>
              </w:rPr>
            </w:pPr>
            <w:r>
              <w:rPr>
                <w:rFonts w:ascii="Arial" w:cs="Arial" w:eastAsia="Arial" w:hAnsi="Arial"/>
                <w:sz w:val="15"/>
                <w:szCs w:val="15"/>
                <w:color w:val="auto"/>
              </w:rPr>
              <w:t>Net cash used in investing activities of continuing operations</w:t>
            </w: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5"/>
                <w:szCs w:val="15"/>
                <w:color w:val="auto"/>
              </w:rPr>
              <w:t>(28.9)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76"/>
        </w:trPr>
        <w:tc>
          <w:tcPr>
            <w:tcW w:w="71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Net cash provided by investing activities of discontinued operations</w:t>
            </w:r>
          </w:p>
        </w:tc>
        <w:tc>
          <w:tcPr>
            <w:tcW w:w="14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131.1</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CCEEFF"/>
            </w:tcBorders>
            <w:gridSpan w:val="2"/>
          </w:tcPr>
          <w:p>
            <w:pPr>
              <w:ind w:left="60"/>
              <w:spacing w:after="0" w:line="169" w:lineRule="exact"/>
              <w:rPr>
                <w:sz w:val="20"/>
                <w:szCs w:val="20"/>
                <w:color w:val="auto"/>
              </w:rPr>
            </w:pPr>
            <w:r>
              <w:rPr>
                <w:rFonts w:ascii="Arial" w:cs="Arial" w:eastAsia="Arial" w:hAnsi="Arial"/>
                <w:sz w:val="15"/>
                <w:szCs w:val="15"/>
                <w:b w:val="1"/>
                <w:bCs w:val="1"/>
                <w:color w:val="auto"/>
              </w:rPr>
              <w:t>Net cash (used in) provided by investing activities</w:t>
            </w:r>
          </w:p>
        </w:tc>
        <w:tc>
          <w:tcPr>
            <w:tcW w:w="1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3"/>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23"/>
              <w:spacing w:after="0" w:line="169"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23"/>
              <w:spacing w:after="0" w:line="169" w:lineRule="exact"/>
              <w:rPr>
                <w:sz w:val="20"/>
                <w:szCs w:val="20"/>
                <w:color w:val="auto"/>
              </w:rPr>
            </w:pPr>
            <w:r>
              <w:rPr>
                <w:rFonts w:ascii="Arial" w:cs="Arial" w:eastAsia="Arial" w:hAnsi="Arial"/>
                <w:sz w:val="15"/>
                <w:szCs w:val="15"/>
                <w:color w:val="auto"/>
              </w:rPr>
              <w:t>126.3</w:t>
            </w:r>
          </w:p>
        </w:tc>
        <w:tc>
          <w:tcPr>
            <w:tcW w:w="0" w:type="dxa"/>
            <w:vAlign w:val="bottom"/>
          </w:tcPr>
          <w:p>
            <w:pPr>
              <w:spacing w:after="0"/>
              <w:rPr>
                <w:sz w:val="1"/>
                <w:szCs w:val="1"/>
                <w:color w:val="auto"/>
              </w:rPr>
            </w:pPr>
          </w:p>
        </w:tc>
      </w:tr>
      <w:tr>
        <w:trPr>
          <w:trHeight w:val="143"/>
        </w:trPr>
        <w:tc>
          <w:tcPr>
            <w:tcW w:w="718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5"/>
                <w:szCs w:val="15"/>
                <w:color w:val="auto"/>
              </w:rPr>
              <w:t>Proceeds from issuance of share-based compensation awards, net of taxes withheld</w:t>
            </w:r>
          </w:p>
        </w:tc>
        <w:tc>
          <w:tcPr>
            <w:tcW w:w="14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3"/>
              <w:spacing w:after="0" w:line="143"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(0.5)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23"/>
              <w:spacing w:after="0" w:line="143" w:lineRule="exact"/>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line="143"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62"/>
        </w:trPr>
        <w:tc>
          <w:tcPr>
            <w:tcW w:w="71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Incremental tax benefit from share-based compensation awards</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62"/>
        </w:trPr>
        <w:tc>
          <w:tcPr>
            <w:tcW w:w="718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rPr>
              <w:t>Repurchases of common stock</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162"/>
        </w:trPr>
        <w:tc>
          <w:tcPr>
            <w:tcW w:w="71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Dividends paid</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(9.2)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2"/>
        </w:trPr>
        <w:tc>
          <w:tcPr>
            <w:tcW w:w="718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rPr>
              <w:t>Deferred financing costs paid</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62"/>
        </w:trPr>
        <w:tc>
          <w:tcPr>
            <w:tcW w:w="71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Borrowings from line of credit</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273.0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229.0</w:t>
            </w:r>
          </w:p>
        </w:tc>
        <w:tc>
          <w:tcPr>
            <w:tcW w:w="0" w:type="dxa"/>
            <w:vAlign w:val="bottom"/>
          </w:tcPr>
          <w:p>
            <w:pPr>
              <w:spacing w:after="0"/>
              <w:rPr>
                <w:sz w:val="1"/>
                <w:szCs w:val="1"/>
                <w:color w:val="auto"/>
              </w:rPr>
            </w:pPr>
          </w:p>
        </w:tc>
      </w:tr>
      <w:tr>
        <w:trPr>
          <w:trHeight w:val="162"/>
        </w:trPr>
        <w:tc>
          <w:tcPr>
            <w:tcW w:w="718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rPr>
              <w:t>Repayment of borrowings from line of credit</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(229.0)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(376.1)</w:t>
            </w:r>
          </w:p>
        </w:tc>
        <w:tc>
          <w:tcPr>
            <w:tcW w:w="0" w:type="dxa"/>
            <w:vAlign w:val="bottom"/>
          </w:tcPr>
          <w:p>
            <w:pPr>
              <w:spacing w:after="0"/>
              <w:rPr>
                <w:sz w:val="1"/>
                <w:szCs w:val="1"/>
                <w:color w:val="auto"/>
              </w:rPr>
            </w:pPr>
          </w:p>
        </w:tc>
      </w:tr>
      <w:tr>
        <w:trPr>
          <w:trHeight w:val="162"/>
        </w:trPr>
        <w:tc>
          <w:tcPr>
            <w:tcW w:w="71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Payment of contingent consideration</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18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rPr>
              <w:t>Financing of energy savings performance contracts</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62"/>
        </w:trPr>
        <w:tc>
          <w:tcPr>
            <w:tcW w:w="71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Changes in book cash overdrafts</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76"/>
        </w:trPr>
        <w:tc>
          <w:tcPr>
            <w:tcW w:w="71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Repayment of capital lease obligations</w:t>
            </w:r>
          </w:p>
        </w:tc>
        <w:tc>
          <w:tcPr>
            <w:tcW w:w="14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9"/>
        </w:trPr>
        <w:tc>
          <w:tcPr>
            <w:tcW w:w="7180" w:type="dxa"/>
            <w:vAlign w:val="bottom"/>
            <w:gridSpan w:val="2"/>
          </w:tcPr>
          <w:p>
            <w:pPr>
              <w:ind w:left="60"/>
              <w:spacing w:after="0" w:line="169" w:lineRule="exact"/>
              <w:rPr>
                <w:sz w:val="20"/>
                <w:szCs w:val="20"/>
                <w:color w:val="auto"/>
              </w:rPr>
            </w:pPr>
            <w:r>
              <w:rPr>
                <w:rFonts w:ascii="Arial" w:cs="Arial" w:eastAsia="Arial" w:hAnsi="Arial"/>
                <w:sz w:val="15"/>
                <w:szCs w:val="15"/>
                <w:b w:val="1"/>
                <w:bCs w:val="1"/>
                <w:color w:val="auto"/>
              </w:rPr>
              <w:t>Net cash provided by (used in) financing activities</w:t>
            </w:r>
          </w:p>
        </w:tc>
        <w:tc>
          <w:tcPr>
            <w:tcW w:w="1700" w:type="dxa"/>
            <w:vAlign w:val="bottom"/>
            <w:gridSpan w:val="2"/>
          </w:tcPr>
          <w:p>
            <w:pPr>
              <w:jc w:val="right"/>
              <w:ind w:right="143"/>
              <w:spacing w:after="0" w:line="169"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3"/>
              <w:spacing w:after="0" w:line="169" w:lineRule="exact"/>
              <w:rPr>
                <w:sz w:val="20"/>
                <w:szCs w:val="20"/>
                <w:color w:val="auto"/>
              </w:rPr>
            </w:pPr>
            <w:r>
              <w:rPr>
                <w:rFonts w:ascii="Arial" w:cs="Arial" w:eastAsia="Arial" w:hAnsi="Arial"/>
                <w:sz w:val="15"/>
                <w:szCs w:val="15"/>
                <w:color w:val="auto"/>
              </w:rPr>
              <w:t>23.5</w:t>
            </w:r>
          </w:p>
        </w:tc>
        <w:tc>
          <w:tcPr>
            <w:tcW w:w="400" w:type="dxa"/>
            <w:vAlign w:val="bottom"/>
            <w:gridSpan w:val="2"/>
          </w:tcPr>
          <w:p>
            <w:pPr>
              <w:jc w:val="right"/>
              <w:ind w:right="123"/>
              <w:spacing w:after="0" w:line="169"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(165.9)</w:t>
            </w:r>
          </w:p>
        </w:tc>
        <w:tc>
          <w:tcPr>
            <w:tcW w:w="0" w:type="dxa"/>
            <w:vAlign w:val="bottom"/>
          </w:tcPr>
          <w:p>
            <w:pPr>
              <w:spacing w:after="0"/>
              <w:rPr>
                <w:sz w:val="1"/>
                <w:szCs w:val="1"/>
                <w:color w:val="auto"/>
              </w:rPr>
            </w:pPr>
          </w:p>
        </w:tc>
      </w:tr>
      <w:tr>
        <w:trPr>
          <w:trHeight w:val="143"/>
        </w:trPr>
        <w:tc>
          <w:tcPr>
            <w:tcW w:w="7180" w:type="dxa"/>
            <w:vAlign w:val="bottom"/>
            <w:tcBorders>
              <w:top w:val="single" w:sz="8" w:color="CCEEFF"/>
            </w:tcBorders>
            <w:gridSpan w:val="2"/>
            <w:shd w:val="clear" w:color="auto" w:fill="CCEEFF"/>
          </w:tcPr>
          <w:p>
            <w:pPr>
              <w:ind w:left="60"/>
              <w:spacing w:after="0" w:line="143" w:lineRule="exact"/>
              <w:rPr>
                <w:sz w:val="20"/>
                <w:szCs w:val="20"/>
                <w:color w:val="auto"/>
              </w:rPr>
            </w:pPr>
            <w:r>
              <w:rPr>
                <w:rFonts w:ascii="Arial" w:cs="Arial" w:eastAsia="Arial" w:hAnsi="Arial"/>
                <w:sz w:val="15"/>
                <w:szCs w:val="15"/>
                <w:b w:val="1"/>
                <w:bCs w:val="1"/>
                <w:color w:val="auto"/>
              </w:rPr>
              <w:t>Effect of exchange rate changes on cash and cash equivalents</w:t>
            </w:r>
          </w:p>
        </w:tc>
        <w:tc>
          <w:tcPr>
            <w:tcW w:w="14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(1.1)</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9100"/>
        <w:spacing w:after="0"/>
        <w:rPr>
          <w:sz w:val="20"/>
          <w:szCs w:val="20"/>
          <w:color w:val="auto"/>
        </w:rPr>
      </w:pPr>
      <w:r>
        <w:rPr>
          <w:rFonts w:ascii="Arial" w:cs="Arial" w:eastAsia="Arial" w:hAnsi="Arial"/>
          <w:sz w:val="15"/>
          <w:szCs w:val="15"/>
          <w:b w:val="1"/>
          <w:bCs w:val="1"/>
          <w:color w:val="auto"/>
        </w:rPr>
        <w:t>Years Ended October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180" w:type="dxa"/>
            <w:vAlign w:val="bottom"/>
            <w:gridSpan w:val="2"/>
          </w:tcPr>
          <w:p>
            <w:pPr>
              <w:spacing w:after="0" w:line="122" w:lineRule="exact"/>
              <w:rPr>
                <w:sz w:val="20"/>
                <w:szCs w:val="20"/>
                <w:color w:val="auto"/>
              </w:rPr>
            </w:pPr>
            <w:r>
              <w:rPr>
                <w:rFonts w:ascii="Arial" w:cs="Arial" w:eastAsia="Arial" w:hAnsi="Arial"/>
                <w:sz w:val="14"/>
                <w:szCs w:val="14"/>
                <w:i w:val="1"/>
                <w:iCs w:val="1"/>
                <w:color w:val="auto"/>
              </w:rPr>
              <w:t>(in millions)</w:t>
            </w:r>
          </w:p>
        </w:tc>
        <w:tc>
          <w:tcPr>
            <w:tcW w:w="14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43"/>
              <w:spacing w:after="0" w:line="142" w:lineRule="exact"/>
              <w:rPr>
                <w:sz w:val="20"/>
                <w:szCs w:val="20"/>
                <w:color w:val="auto"/>
              </w:rPr>
            </w:pPr>
            <w:r>
              <w:rPr>
                <w:rFonts w:ascii="Arial" w:cs="Arial" w:eastAsia="Arial" w:hAnsi="Arial"/>
                <w:sz w:val="15"/>
                <w:szCs w:val="15"/>
                <w:b w:val="1"/>
                <w:bCs w:val="1"/>
                <w:color w:val="auto"/>
              </w:rPr>
              <w:t>2016</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23"/>
              <w:spacing w:after="0" w:line="142" w:lineRule="exact"/>
              <w:rPr>
                <w:sz w:val="20"/>
                <w:szCs w:val="20"/>
                <w:color w:val="auto"/>
              </w:rPr>
            </w:pPr>
            <w:r>
              <w:rPr>
                <w:rFonts w:ascii="Arial" w:cs="Arial" w:eastAsia="Arial" w:hAnsi="Arial"/>
                <w:sz w:val="15"/>
                <w:szCs w:val="15"/>
                <w:b w:val="1"/>
                <w:bCs w:val="1"/>
                <w:color w:val="auto"/>
              </w:rPr>
              <w:t>2015</w:t>
            </w:r>
          </w:p>
        </w:tc>
        <w:tc>
          <w:tcPr>
            <w:tcW w:w="0" w:type="dxa"/>
            <w:vAlign w:val="bottom"/>
          </w:tcPr>
          <w:p>
            <w:pPr>
              <w:spacing w:after="0"/>
              <w:rPr>
                <w:sz w:val="1"/>
                <w:szCs w:val="1"/>
                <w:color w:val="auto"/>
              </w:rPr>
            </w:pPr>
          </w:p>
        </w:tc>
      </w:tr>
      <w:tr>
        <w:trPr>
          <w:trHeight w:val="20"/>
        </w:trPr>
        <w:tc>
          <w:tcPr>
            <w:tcW w:w="74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8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5"/>
                <w:szCs w:val="15"/>
                <w:color w:val="auto"/>
              </w:rPr>
              <w:t>Net cash provided by operating activities of continuing operations</w:t>
            </w:r>
          </w:p>
        </w:tc>
        <w:tc>
          <w:tcPr>
            <w:tcW w:w="14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3"/>
              <w:spacing w:after="0" w:line="143"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3"/>
              <w:spacing w:after="0" w:line="143" w:lineRule="exact"/>
              <w:rPr>
                <w:sz w:val="20"/>
                <w:szCs w:val="20"/>
                <w:color w:val="auto"/>
              </w:rPr>
            </w:pPr>
            <w:r>
              <w:rPr>
                <w:rFonts w:ascii="Arial" w:cs="Arial" w:eastAsia="Arial" w:hAnsi="Arial"/>
                <w:sz w:val="15"/>
                <w:szCs w:val="15"/>
                <w:color w:val="auto"/>
              </w:rPr>
              <w:t>110.5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23"/>
              <w:spacing w:after="0" w:line="143" w:lineRule="exact"/>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23"/>
              <w:spacing w:after="0" w:line="143" w:lineRule="exact"/>
              <w:rPr>
                <w:sz w:val="20"/>
                <w:szCs w:val="20"/>
                <w:color w:val="auto"/>
              </w:rPr>
            </w:pPr>
            <w:r>
              <w:rPr>
                <w:rFonts w:ascii="Arial" w:cs="Arial" w:eastAsia="Arial" w:hAnsi="Arial"/>
                <w:sz w:val="15"/>
                <w:szCs w:val="15"/>
                <w:color w:val="auto"/>
              </w:rPr>
              <w:t>145.5</w:t>
            </w:r>
          </w:p>
        </w:tc>
        <w:tc>
          <w:tcPr>
            <w:tcW w:w="0" w:type="dxa"/>
            <w:vAlign w:val="bottom"/>
          </w:tcPr>
          <w:p>
            <w:pPr>
              <w:spacing w:after="0"/>
              <w:rPr>
                <w:sz w:val="1"/>
                <w:szCs w:val="1"/>
                <w:color w:val="auto"/>
              </w:rPr>
            </w:pPr>
          </w:p>
        </w:tc>
      </w:tr>
      <w:tr>
        <w:trPr>
          <w:trHeight w:val="176"/>
        </w:trPr>
        <w:tc>
          <w:tcPr>
            <w:tcW w:w="7180" w:type="dxa"/>
            <w:vAlign w:val="bottom"/>
            <w:tcBorders>
              <w:bottom w:val="single" w:sz="8" w:color="CCEEFF"/>
            </w:tcBorders>
            <w:gridSpan w:val="2"/>
          </w:tcPr>
          <w:p>
            <w:pPr>
              <w:ind w:left="60"/>
              <w:spacing w:after="0"/>
              <w:rPr>
                <w:sz w:val="20"/>
                <w:szCs w:val="20"/>
                <w:color w:val="auto"/>
              </w:rPr>
            </w:pPr>
            <w:r>
              <w:rPr>
                <w:rFonts w:ascii="Arial" w:cs="Arial" w:eastAsia="Arial" w:hAnsi="Arial"/>
                <w:sz w:val="15"/>
                <w:szCs w:val="15"/>
                <w:color w:val="auto"/>
              </w:rPr>
              <w:t>Net cash (used in) provided by operating activities of discontinued operations</w:t>
            </w:r>
          </w:p>
        </w:tc>
        <w:tc>
          <w:tcPr>
            <w:tcW w:w="14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69"/>
        </w:trPr>
        <w:tc>
          <w:tcPr>
            <w:tcW w:w="7180" w:type="dxa"/>
            <w:vAlign w:val="bottom"/>
            <w:tcBorders>
              <w:bottom w:val="single" w:sz="8" w:color="CCEEFF"/>
            </w:tcBorders>
            <w:gridSpan w:val="2"/>
            <w:shd w:val="clear" w:color="auto" w:fill="CCEEFF"/>
          </w:tcPr>
          <w:p>
            <w:pPr>
              <w:ind w:left="60"/>
              <w:spacing w:after="0" w:line="169" w:lineRule="exact"/>
              <w:rPr>
                <w:sz w:val="20"/>
                <w:szCs w:val="20"/>
                <w:color w:val="auto"/>
              </w:rPr>
            </w:pPr>
            <w:r>
              <w:rPr>
                <w:rFonts w:ascii="Arial" w:cs="Arial" w:eastAsia="Arial" w:hAnsi="Arial"/>
                <w:sz w:val="15"/>
                <w:szCs w:val="15"/>
                <w:b w:val="1"/>
                <w:bCs w:val="1"/>
                <w:color w:val="auto"/>
              </w:rPr>
              <w:t>Net cash provided by operating activities</w:t>
            </w:r>
          </w:p>
        </w:tc>
        <w:tc>
          <w:tcPr>
            <w:tcW w:w="14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3"/>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23"/>
              <w:spacing w:after="0" w:line="169" w:lineRule="exact"/>
              <w:rPr>
                <w:sz w:val="20"/>
                <w:szCs w:val="20"/>
                <w:color w:val="auto"/>
              </w:rPr>
            </w:pPr>
            <w:r>
              <w:rPr>
                <w:rFonts w:ascii="Arial" w:cs="Arial" w:eastAsia="Arial" w:hAnsi="Arial"/>
                <w:sz w:val="15"/>
                <w:szCs w:val="15"/>
                <w:color w:val="auto"/>
              </w:rPr>
              <w:t>83.5</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23"/>
              <w:spacing w:after="0" w:line="169"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23"/>
              <w:spacing w:after="0" w:line="169" w:lineRule="exact"/>
              <w:rPr>
                <w:sz w:val="20"/>
                <w:szCs w:val="20"/>
                <w:color w:val="auto"/>
              </w:rPr>
            </w:pPr>
            <w:r>
              <w:rPr>
                <w:rFonts w:ascii="Arial" w:cs="Arial" w:eastAsia="Arial" w:hAnsi="Arial"/>
                <w:sz w:val="15"/>
                <w:szCs w:val="15"/>
                <w:color w:val="auto"/>
              </w:rPr>
              <w:t>146.4</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60"/>
              <w:spacing w:after="0"/>
              <w:rPr>
                <w:sz w:val="20"/>
                <w:szCs w:val="20"/>
                <w:color w:val="auto"/>
              </w:rPr>
            </w:pPr>
            <w:r>
              <w:rPr>
                <w:rFonts w:ascii="Arial" w:cs="Arial" w:eastAsia="Arial" w:hAnsi="Arial"/>
                <w:sz w:val="15"/>
                <w:szCs w:val="15"/>
                <w:color w:val="auto"/>
              </w:rPr>
              <w:t>Purchase of businesses, net of cash acquired</w:t>
            </w:r>
          </w:p>
        </w:tc>
        <w:tc>
          <w:tcPr>
            <w:tcW w:w="17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8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Borders>
              <w:top w:val="single" w:sz="8" w:color="auto"/>
            </w:tcBorders>
          </w:tcPr>
          <w:p>
            <w:pPr>
              <w:jc w:val="right"/>
              <w:ind w:right="143"/>
              <w:spacing w:after="0" w:line="143" w:lineRule="exact"/>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5"/>
                <w:szCs w:val="15"/>
                <w:color w:val="auto"/>
              </w:rPr>
              <w:t>(96.0)</w:t>
            </w:r>
          </w:p>
        </w:tc>
        <w:tc>
          <w:tcPr>
            <w:tcW w:w="100" w:type="dxa"/>
            <w:vAlign w:val="bottom"/>
          </w:tcPr>
          <w:p>
            <w:pPr>
              <w:spacing w:after="0"/>
              <w:rPr>
                <w:sz w:val="12"/>
                <w:szCs w:val="12"/>
                <w:color w:val="auto"/>
              </w:rPr>
            </w:pPr>
          </w:p>
        </w:tc>
        <w:tc>
          <w:tcPr>
            <w:tcW w:w="300" w:type="dxa"/>
            <w:vAlign w:val="bottom"/>
            <w:tcBorders>
              <w:top w:val="single" w:sz="8" w:color="auto"/>
            </w:tcBorders>
          </w:tcPr>
          <w:p>
            <w:pPr>
              <w:jc w:val="right"/>
              <w:ind w:right="123"/>
              <w:spacing w:after="0" w:line="143" w:lineRule="exact"/>
              <w:rPr>
                <w:sz w:val="20"/>
                <w:szCs w:val="20"/>
                <w:color w:val="auto"/>
              </w:rPr>
            </w:pPr>
            <w:r>
              <w:rPr>
                <w:rFonts w:ascii="Arial" w:cs="Arial" w:eastAsia="Arial" w:hAnsi="Arial"/>
                <w:sz w:val="15"/>
                <w:szCs w:val="15"/>
                <w:color w:val="auto"/>
                <w:w w:val="95"/>
              </w:rPr>
              <w:t>$</w:t>
            </w:r>
          </w:p>
        </w:tc>
        <w:tc>
          <w:tcPr>
            <w:tcW w:w="10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76"/>
        </w:trPr>
        <w:tc>
          <w:tcPr>
            <w:tcW w:w="71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Other</w:t>
            </w:r>
          </w:p>
        </w:tc>
        <w:tc>
          <w:tcPr>
            <w:tcW w:w="14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156"/>
        </w:trPr>
        <w:tc>
          <w:tcPr>
            <w:tcW w:w="7180" w:type="dxa"/>
            <w:vAlign w:val="bottom"/>
            <w:gridSpan w:val="2"/>
          </w:tcPr>
          <w:p>
            <w:pPr>
              <w:ind w:left="60"/>
              <w:spacing w:after="0" w:line="156" w:lineRule="exact"/>
              <w:rPr>
                <w:sz w:val="20"/>
                <w:szCs w:val="20"/>
                <w:color w:val="auto"/>
              </w:rPr>
            </w:pPr>
            <w:r>
              <w:rPr>
                <w:rFonts w:ascii="Arial" w:cs="Arial" w:eastAsia="Arial" w:hAnsi="Arial"/>
                <w:sz w:val="15"/>
                <w:szCs w:val="15"/>
                <w:color w:val="auto"/>
              </w:rPr>
              <w:t>Net cash used in investing activities of continuing operations</w:t>
            </w: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Arial" w:cs="Arial" w:eastAsia="Arial" w:hAnsi="Arial"/>
                <w:sz w:val="15"/>
                <w:szCs w:val="15"/>
                <w:color w:val="auto"/>
              </w:rPr>
              <w:t>(131.7)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Arial" w:cs="Arial" w:eastAsia="Arial" w:hAnsi="Arial"/>
                <w:sz w:val="15"/>
                <w:szCs w:val="15"/>
                <w:color w:val="auto"/>
              </w:rPr>
              <w:t>(40.5)</w:t>
            </w:r>
          </w:p>
        </w:tc>
        <w:tc>
          <w:tcPr>
            <w:tcW w:w="0" w:type="dxa"/>
            <w:vAlign w:val="bottom"/>
          </w:tcPr>
          <w:p>
            <w:pPr>
              <w:spacing w:after="0"/>
              <w:rPr>
                <w:sz w:val="1"/>
                <w:szCs w:val="1"/>
                <w:color w:val="auto"/>
              </w:rPr>
            </w:pPr>
          </w:p>
        </w:tc>
      </w:tr>
      <w:tr>
        <w:trPr>
          <w:trHeight w:val="176"/>
        </w:trPr>
        <w:tc>
          <w:tcPr>
            <w:tcW w:w="71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Net cash (used in) provided by investing activities of discontinued operations</w:t>
            </w:r>
          </w:p>
        </w:tc>
        <w:tc>
          <w:tcPr>
            <w:tcW w:w="14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130.9</w:t>
            </w:r>
          </w:p>
        </w:tc>
        <w:tc>
          <w:tcPr>
            <w:tcW w:w="0" w:type="dxa"/>
            <w:vAlign w:val="bottom"/>
          </w:tcPr>
          <w:p>
            <w:pPr>
              <w:spacing w:after="0"/>
              <w:rPr>
                <w:sz w:val="1"/>
                <w:szCs w:val="1"/>
                <w:color w:val="auto"/>
              </w:rPr>
            </w:pPr>
          </w:p>
        </w:tc>
      </w:tr>
      <w:tr>
        <w:trPr>
          <w:trHeight w:val="209"/>
        </w:trPr>
        <w:tc>
          <w:tcPr>
            <w:tcW w:w="7180" w:type="dxa"/>
            <w:vAlign w:val="bottom"/>
            <w:tcBorders>
              <w:bottom w:val="single" w:sz="8" w:color="CCEEFF"/>
            </w:tcBorders>
            <w:gridSpan w:val="2"/>
          </w:tcPr>
          <w:p>
            <w:pPr>
              <w:ind w:left="60"/>
              <w:spacing w:after="0" w:line="169" w:lineRule="exact"/>
              <w:rPr>
                <w:sz w:val="20"/>
                <w:szCs w:val="20"/>
                <w:color w:val="auto"/>
              </w:rPr>
            </w:pPr>
            <w:r>
              <w:rPr>
                <w:rFonts w:ascii="Arial" w:cs="Arial" w:eastAsia="Arial" w:hAnsi="Arial"/>
                <w:sz w:val="15"/>
                <w:szCs w:val="15"/>
                <w:b w:val="1"/>
                <w:bCs w:val="1"/>
                <w:color w:val="auto"/>
              </w:rPr>
              <w:t>Net cash (used in) provided by investing activities</w:t>
            </w:r>
          </w:p>
        </w:tc>
        <w:tc>
          <w:tcPr>
            <w:tcW w:w="1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3"/>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(134.8)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23"/>
              <w:spacing w:after="0" w:line="169"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23"/>
              <w:spacing w:after="0" w:line="169" w:lineRule="exact"/>
              <w:rPr>
                <w:sz w:val="20"/>
                <w:szCs w:val="20"/>
                <w:color w:val="auto"/>
              </w:rPr>
            </w:pPr>
            <w:r>
              <w:rPr>
                <w:rFonts w:ascii="Arial" w:cs="Arial" w:eastAsia="Arial" w:hAnsi="Arial"/>
                <w:sz w:val="15"/>
                <w:szCs w:val="15"/>
                <w:color w:val="auto"/>
              </w:rPr>
              <w:t>90.4</w:t>
            </w:r>
          </w:p>
        </w:tc>
        <w:tc>
          <w:tcPr>
            <w:tcW w:w="0" w:type="dxa"/>
            <w:vAlign w:val="bottom"/>
          </w:tcPr>
          <w:p>
            <w:pPr>
              <w:spacing w:after="0"/>
              <w:rPr>
                <w:sz w:val="1"/>
                <w:szCs w:val="1"/>
                <w:color w:val="auto"/>
              </w:rPr>
            </w:pPr>
          </w:p>
        </w:tc>
      </w:tr>
      <w:tr>
        <w:trPr>
          <w:trHeight w:val="143"/>
        </w:trPr>
        <w:tc>
          <w:tcPr>
            <w:tcW w:w="718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5"/>
                <w:szCs w:val="15"/>
                <w:color w:val="auto"/>
              </w:rPr>
              <w:t>Proceeds from issuance of share-based compensation awards, net of taxes withheld</w:t>
            </w:r>
          </w:p>
        </w:tc>
        <w:tc>
          <w:tcPr>
            <w:tcW w:w="14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3"/>
              <w:spacing w:after="0" w:line="143" w:lineRule="exact"/>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3"/>
              <w:spacing w:after="0" w:line="143" w:lineRule="exact"/>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23"/>
              <w:spacing w:after="0" w:line="143" w:lineRule="exact"/>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23"/>
              <w:spacing w:after="0" w:line="143" w:lineRule="exact"/>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162"/>
        </w:trPr>
        <w:tc>
          <w:tcPr>
            <w:tcW w:w="71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Incremental tax benefit from share-based compensation awards</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62"/>
        </w:trPr>
        <w:tc>
          <w:tcPr>
            <w:tcW w:w="718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rPr>
              <w:t>Repurchases of common stock</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(31.4)</w:t>
            </w:r>
          </w:p>
        </w:tc>
        <w:tc>
          <w:tcPr>
            <w:tcW w:w="0" w:type="dxa"/>
            <w:vAlign w:val="bottom"/>
          </w:tcPr>
          <w:p>
            <w:pPr>
              <w:spacing w:after="0"/>
              <w:rPr>
                <w:sz w:val="1"/>
                <w:szCs w:val="1"/>
                <w:color w:val="auto"/>
              </w:rPr>
            </w:pPr>
          </w:p>
        </w:tc>
      </w:tr>
      <w:tr>
        <w:trPr>
          <w:trHeight w:val="162"/>
        </w:trPr>
        <w:tc>
          <w:tcPr>
            <w:tcW w:w="71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Dividends paid</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(36.9)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(36.0)</w:t>
            </w:r>
          </w:p>
        </w:tc>
        <w:tc>
          <w:tcPr>
            <w:tcW w:w="0" w:type="dxa"/>
            <w:vAlign w:val="bottom"/>
          </w:tcPr>
          <w:p>
            <w:pPr>
              <w:spacing w:after="0"/>
              <w:rPr>
                <w:sz w:val="1"/>
                <w:szCs w:val="1"/>
                <w:color w:val="auto"/>
              </w:rPr>
            </w:pPr>
          </w:p>
        </w:tc>
      </w:tr>
      <w:tr>
        <w:trPr>
          <w:trHeight w:val="162"/>
        </w:trPr>
        <w:tc>
          <w:tcPr>
            <w:tcW w:w="718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rPr>
              <w:t>Deferred financing costs paid</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62"/>
        </w:trPr>
        <w:tc>
          <w:tcPr>
            <w:tcW w:w="71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Borrowings from line of credit</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1,052.3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958.3</w:t>
            </w:r>
          </w:p>
        </w:tc>
        <w:tc>
          <w:tcPr>
            <w:tcW w:w="0" w:type="dxa"/>
            <w:vAlign w:val="bottom"/>
          </w:tcPr>
          <w:p>
            <w:pPr>
              <w:spacing w:after="0"/>
              <w:rPr>
                <w:sz w:val="1"/>
                <w:szCs w:val="1"/>
                <w:color w:val="auto"/>
              </w:rPr>
            </w:pPr>
          </w:p>
        </w:tc>
      </w:tr>
      <w:tr>
        <w:trPr>
          <w:trHeight w:val="162"/>
        </w:trPr>
        <w:tc>
          <w:tcPr>
            <w:tcW w:w="718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rPr>
              <w:t>Repayment of borrowings from line of credit</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(942.0)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(1,120.1)</w:t>
            </w:r>
          </w:p>
        </w:tc>
        <w:tc>
          <w:tcPr>
            <w:tcW w:w="0" w:type="dxa"/>
            <w:vAlign w:val="bottom"/>
          </w:tcPr>
          <w:p>
            <w:pPr>
              <w:spacing w:after="0"/>
              <w:rPr>
                <w:sz w:val="1"/>
                <w:szCs w:val="1"/>
                <w:color w:val="auto"/>
              </w:rPr>
            </w:pPr>
          </w:p>
        </w:tc>
      </w:tr>
      <w:tr>
        <w:trPr>
          <w:trHeight w:val="162"/>
        </w:trPr>
        <w:tc>
          <w:tcPr>
            <w:tcW w:w="71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Payment of contingent consideration</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180" w:type="dxa"/>
            <w:vAlign w:val="bottom"/>
            <w:gridSpan w:val="2"/>
            <w:shd w:val="clear" w:color="auto" w:fill="CCEEFF"/>
          </w:tcPr>
          <w:p>
            <w:pPr>
              <w:ind w:left="60"/>
              <w:spacing w:after="0" w:line="162" w:lineRule="exact"/>
              <w:rPr>
                <w:sz w:val="20"/>
                <w:szCs w:val="20"/>
                <w:color w:val="auto"/>
              </w:rPr>
            </w:pPr>
            <w:r>
              <w:rPr>
                <w:rFonts w:ascii="Arial" w:cs="Arial" w:eastAsia="Arial" w:hAnsi="Arial"/>
                <w:sz w:val="15"/>
                <w:szCs w:val="15"/>
                <w:color w:val="auto"/>
              </w:rPr>
              <w:t>Financing of energy savings performance contracts</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22.6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62"/>
        </w:trPr>
        <w:tc>
          <w:tcPr>
            <w:tcW w:w="7180" w:type="dxa"/>
            <w:vAlign w:val="bottom"/>
            <w:gridSpan w:val="2"/>
          </w:tcPr>
          <w:p>
            <w:pPr>
              <w:ind w:left="60"/>
              <w:spacing w:after="0" w:line="162" w:lineRule="exact"/>
              <w:rPr>
                <w:sz w:val="20"/>
                <w:szCs w:val="20"/>
                <w:color w:val="auto"/>
              </w:rPr>
            </w:pPr>
            <w:r>
              <w:rPr>
                <w:rFonts w:ascii="Arial" w:cs="Arial" w:eastAsia="Arial" w:hAnsi="Arial"/>
                <w:sz w:val="15"/>
                <w:szCs w:val="15"/>
                <w:color w:val="auto"/>
              </w:rPr>
              <w:t>Changes in book cash overdrafts</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3"/>
              <w:spacing w:after="0" w:line="162" w:lineRule="exact"/>
              <w:rPr>
                <w:sz w:val="20"/>
                <w:szCs w:val="20"/>
                <w:color w:val="auto"/>
              </w:rPr>
            </w:pPr>
            <w:r>
              <w:rPr>
                <w:rFonts w:ascii="Arial" w:cs="Arial" w:eastAsia="Arial" w:hAnsi="Arial"/>
                <w:sz w:val="15"/>
                <w:szCs w:val="15"/>
                <w:color w:val="auto"/>
              </w:rPr>
              <w:t>0.7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76"/>
        </w:trPr>
        <w:tc>
          <w:tcPr>
            <w:tcW w:w="718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Repayment of capital lease obligations</w:t>
            </w:r>
          </w:p>
        </w:tc>
        <w:tc>
          <w:tcPr>
            <w:tcW w:w="14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9"/>
        </w:trPr>
        <w:tc>
          <w:tcPr>
            <w:tcW w:w="7180" w:type="dxa"/>
            <w:vAlign w:val="bottom"/>
            <w:gridSpan w:val="2"/>
          </w:tcPr>
          <w:p>
            <w:pPr>
              <w:ind w:left="60"/>
              <w:spacing w:after="0" w:line="169" w:lineRule="exact"/>
              <w:rPr>
                <w:sz w:val="20"/>
                <w:szCs w:val="20"/>
                <w:color w:val="auto"/>
              </w:rPr>
            </w:pPr>
            <w:r>
              <w:rPr>
                <w:rFonts w:ascii="Arial" w:cs="Arial" w:eastAsia="Arial" w:hAnsi="Arial"/>
                <w:sz w:val="15"/>
                <w:szCs w:val="15"/>
                <w:b w:val="1"/>
                <w:bCs w:val="1"/>
                <w:color w:val="auto"/>
              </w:rPr>
              <w:t>Net cash provided by (used in) financing activities</w:t>
            </w:r>
          </w:p>
        </w:tc>
        <w:tc>
          <w:tcPr>
            <w:tcW w:w="1700" w:type="dxa"/>
            <w:vAlign w:val="bottom"/>
            <w:gridSpan w:val="2"/>
          </w:tcPr>
          <w:p>
            <w:pPr>
              <w:jc w:val="right"/>
              <w:ind w:right="143"/>
              <w:spacing w:after="0" w:line="169"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23"/>
              <w:spacing w:after="0" w:line="169" w:lineRule="exact"/>
              <w:rPr>
                <w:sz w:val="20"/>
                <w:szCs w:val="20"/>
                <w:color w:val="auto"/>
              </w:rPr>
            </w:pPr>
            <w:r>
              <w:rPr>
                <w:rFonts w:ascii="Arial" w:cs="Arial" w:eastAsia="Arial" w:hAnsi="Arial"/>
                <w:sz w:val="15"/>
                <w:szCs w:val="15"/>
                <w:color w:val="auto"/>
              </w:rPr>
              <w:t>52.6</w:t>
            </w:r>
          </w:p>
        </w:tc>
        <w:tc>
          <w:tcPr>
            <w:tcW w:w="400" w:type="dxa"/>
            <w:vAlign w:val="bottom"/>
            <w:gridSpan w:val="2"/>
          </w:tcPr>
          <w:p>
            <w:pPr>
              <w:jc w:val="right"/>
              <w:ind w:right="123"/>
              <w:spacing w:after="0" w:line="169"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69" w:lineRule="exact"/>
              <w:rPr>
                <w:sz w:val="20"/>
                <w:szCs w:val="20"/>
                <w:color w:val="auto"/>
              </w:rPr>
            </w:pPr>
            <w:r>
              <w:rPr>
                <w:rFonts w:ascii="Arial" w:cs="Arial" w:eastAsia="Arial" w:hAnsi="Arial"/>
                <w:sz w:val="15"/>
                <w:szCs w:val="15"/>
                <w:color w:val="auto"/>
              </w:rPr>
              <w:t>(216.9)</w:t>
            </w:r>
          </w:p>
        </w:tc>
        <w:tc>
          <w:tcPr>
            <w:tcW w:w="0" w:type="dxa"/>
            <w:vAlign w:val="bottom"/>
          </w:tcPr>
          <w:p>
            <w:pPr>
              <w:spacing w:after="0"/>
              <w:rPr>
                <w:sz w:val="1"/>
                <w:szCs w:val="1"/>
                <w:color w:val="auto"/>
              </w:rPr>
            </w:pPr>
          </w:p>
        </w:tc>
      </w:tr>
      <w:tr>
        <w:trPr>
          <w:trHeight w:val="143"/>
        </w:trPr>
        <w:tc>
          <w:tcPr>
            <w:tcW w:w="7180" w:type="dxa"/>
            <w:vAlign w:val="bottom"/>
            <w:tcBorders>
              <w:top w:val="single" w:sz="8" w:color="CCEEFF"/>
            </w:tcBorders>
            <w:gridSpan w:val="2"/>
            <w:shd w:val="clear" w:color="auto" w:fill="CCEEFF"/>
          </w:tcPr>
          <w:p>
            <w:pPr>
              <w:ind w:left="60"/>
              <w:spacing w:after="0" w:line="143" w:lineRule="exact"/>
              <w:rPr>
                <w:sz w:val="20"/>
                <w:szCs w:val="20"/>
                <w:color w:val="auto"/>
              </w:rPr>
            </w:pPr>
            <w:r>
              <w:rPr>
                <w:rFonts w:ascii="Arial" w:cs="Arial" w:eastAsia="Arial" w:hAnsi="Arial"/>
                <w:sz w:val="15"/>
                <w:szCs w:val="15"/>
                <w:b w:val="1"/>
                <w:bCs w:val="1"/>
                <w:color w:val="auto"/>
              </w:rPr>
              <w:t>Effect of exchange rate changes on cash and cash equivalents</w:t>
            </w:r>
          </w:p>
        </w:tc>
        <w:tc>
          <w:tcPr>
            <w:tcW w:w="14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(3.3)</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675"/>
        </w:trPr>
        <w:tc>
          <w:tcPr>
            <w:tcW w:w="74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5" w:right="2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ABM INDUSTRIES INCORPORATED AND SUBSIDIARIES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 INFORMATION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(in millions)</w:t>
            </w:r>
          </w:p>
        </w:tc>
        <w:tc>
          <w:tcPr>
            <w:tcW w:w="1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October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600" w:type="dxa"/>
            <w:vAlign w:val="bottom"/>
            <w:gridSpan w:val="2"/>
            <w:vMerge w:val="continue"/>
          </w:tcPr>
          <w:p>
            <w:pPr>
              <w:spacing w:after="0"/>
              <w:rPr>
                <w:sz w:val="13"/>
                <w:szCs w:val="13"/>
                <w:color w:val="auto"/>
              </w:rPr>
            </w:pPr>
          </w:p>
        </w:tc>
        <w:tc>
          <w:tcPr>
            <w:tcW w:w="1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419"/>
              <w:spacing w:after="0" w:line="142" w:lineRule="exact"/>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ind w:right="419"/>
              <w:spacing w:after="0" w:line="142" w:lineRule="exact"/>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
        </w:trPr>
        <w:tc>
          <w:tcPr>
            <w:tcW w:w="82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60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ASSETS</w:t>
            </w:r>
          </w:p>
        </w:tc>
        <w:tc>
          <w:tcPr>
            <w:tcW w:w="1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tcPr>
          <w:p>
            <w:pPr>
              <w:ind w:left="60"/>
              <w:spacing w:after="0"/>
              <w:rPr>
                <w:sz w:val="20"/>
                <w:szCs w:val="20"/>
                <w:color w:val="auto"/>
              </w:rPr>
            </w:pPr>
            <w:r>
              <w:rPr>
                <w:rFonts w:ascii="Arial" w:cs="Arial" w:eastAsia="Arial" w:hAnsi="Arial"/>
                <w:sz w:val="16"/>
                <w:szCs w:val="16"/>
                <w:color w:val="auto"/>
              </w:rPr>
              <w:t>Current assets</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189"/>
        </w:trPr>
        <w:tc>
          <w:tcPr>
            <w:tcW w:w="6600" w:type="dxa"/>
            <w:vAlign w:val="bottom"/>
            <w:gridSpan w:val="2"/>
          </w:tcPr>
          <w:p>
            <w:pPr>
              <w:ind w:left="380"/>
              <w:spacing w:after="0"/>
              <w:rPr>
                <w:sz w:val="20"/>
                <w:szCs w:val="20"/>
                <w:color w:val="auto"/>
              </w:rPr>
            </w:pPr>
            <w:r>
              <w:rPr>
                <w:rFonts w:ascii="Arial" w:cs="Arial" w:eastAsia="Arial" w:hAnsi="Arial"/>
                <w:sz w:val="16"/>
                <w:szCs w:val="16"/>
                <w:color w:val="auto"/>
              </w:rPr>
              <w:t>Trade accounts receivable, net of allowances</w:t>
            </w: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795.6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742.9</w:t>
            </w:r>
          </w:p>
        </w:tc>
        <w:tc>
          <w:tcPr>
            <w:tcW w:w="0" w:type="dxa"/>
            <w:vAlign w:val="bottom"/>
          </w:tcPr>
          <w:p>
            <w:pPr>
              <w:spacing w:after="0"/>
              <w:rPr>
                <w:sz w:val="1"/>
                <w:szCs w:val="1"/>
                <w:color w:val="auto"/>
              </w:rPr>
            </w:pPr>
          </w:p>
        </w:tc>
      </w:tr>
      <w:tr>
        <w:trPr>
          <w:trHeight w:val="189"/>
        </w:trPr>
        <w:tc>
          <w:tcPr>
            <w:tcW w:w="66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1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189"/>
        </w:trPr>
        <w:tc>
          <w:tcPr>
            <w:tcW w:w="6600" w:type="dxa"/>
            <w:vAlign w:val="bottom"/>
            <w:gridSpan w:val="2"/>
          </w:tcPr>
          <w:p>
            <w:pPr>
              <w:ind w:left="380"/>
              <w:spacing w:after="0"/>
              <w:rPr>
                <w:sz w:val="20"/>
                <w:szCs w:val="20"/>
                <w:color w:val="auto"/>
              </w:rPr>
            </w:pPr>
            <w:r>
              <w:rPr>
                <w:rFonts w:ascii="Arial" w:cs="Arial" w:eastAsia="Arial" w:hAnsi="Arial"/>
                <w:sz w:val="16"/>
                <w:szCs w:val="16"/>
                <w:color w:val="auto"/>
              </w:rPr>
              <w:t>Other current assets</w:t>
            </w: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Assets held for sale</w:t>
            </w:r>
          </w:p>
        </w:tc>
        <w:tc>
          <w:tcPr>
            <w:tcW w:w="19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600" w:type="dxa"/>
            <w:vAlign w:val="bottom"/>
            <w:tcBorders>
              <w:bottom w:val="single" w:sz="8" w:color="CCEEFF"/>
            </w:tcBorders>
            <w:gridSpan w:val="2"/>
          </w:tcPr>
          <w:p>
            <w:pPr>
              <w:ind w:left="720"/>
              <w:spacing w:after="0" w:line="177" w:lineRule="exact"/>
              <w:rPr>
                <w:sz w:val="20"/>
                <w:szCs w:val="20"/>
                <w:color w:val="auto"/>
              </w:rPr>
            </w:pPr>
            <w:r>
              <w:rPr>
                <w:rFonts w:ascii="Arial" w:cs="Arial" w:eastAsia="Arial" w:hAnsi="Arial"/>
                <w:sz w:val="16"/>
                <w:szCs w:val="16"/>
                <w:color w:val="auto"/>
              </w:rPr>
              <w:t>Total current assets</w:t>
            </w:r>
          </w:p>
        </w:tc>
        <w:tc>
          <w:tcPr>
            <w:tcW w:w="19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993.7</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894.0</w:t>
            </w:r>
          </w:p>
        </w:tc>
        <w:tc>
          <w:tcPr>
            <w:tcW w:w="0" w:type="dxa"/>
            <w:vAlign w:val="bottom"/>
          </w:tcPr>
          <w:p>
            <w:pPr>
              <w:spacing w:after="0"/>
              <w:rPr>
                <w:sz w:val="1"/>
                <w:szCs w:val="1"/>
                <w:color w:val="auto"/>
              </w:rPr>
            </w:pPr>
          </w:p>
        </w:tc>
      </w:tr>
      <w:tr>
        <w:trPr>
          <w:trHeight w:val="183"/>
        </w:trPr>
        <w:tc>
          <w:tcPr>
            <w:tcW w:w="6600" w:type="dxa"/>
            <w:vAlign w:val="bottom"/>
            <w:gridSpan w:val="2"/>
            <w:shd w:val="clear" w:color="auto" w:fill="CCEEFF"/>
          </w:tcPr>
          <w:p>
            <w:pPr>
              <w:ind w:left="60"/>
              <w:spacing w:after="0" w:line="177" w:lineRule="exact"/>
              <w:rPr>
                <w:sz w:val="20"/>
                <w:szCs w:val="20"/>
                <w:color w:val="auto"/>
              </w:rPr>
            </w:pPr>
            <w:r>
              <w:rPr>
                <w:rFonts w:ascii="Arial" w:cs="Arial" w:eastAsia="Arial" w:hAnsi="Arial"/>
                <w:sz w:val="16"/>
                <w:szCs w:val="16"/>
                <w:color w:val="auto"/>
              </w:rPr>
              <w:t>Other investments</w:t>
            </w:r>
          </w:p>
        </w:tc>
        <w:tc>
          <w:tcPr>
            <w:tcW w:w="1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3"/>
        </w:trPr>
        <w:tc>
          <w:tcPr>
            <w:tcW w:w="6600" w:type="dxa"/>
            <w:vAlign w:val="bottom"/>
            <w:gridSpan w:val="2"/>
          </w:tcPr>
          <w:p>
            <w:pPr>
              <w:ind w:left="60"/>
              <w:spacing w:after="0"/>
              <w:rPr>
                <w:sz w:val="20"/>
                <w:szCs w:val="20"/>
                <w:color w:val="auto"/>
              </w:rPr>
            </w:pPr>
            <w:r>
              <w:rPr>
                <w:rFonts w:ascii="Arial" w:cs="Arial" w:eastAsia="Arial" w:hAnsi="Arial"/>
                <w:sz w:val="16"/>
                <w:szCs w:val="16"/>
                <w:color w:val="auto"/>
              </w:rPr>
              <w:t>Property, plant and equipment, net of accumulated depreciation</w:t>
            </w: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 intangible assets, net of accumulated amortization</w:t>
            </w:r>
          </w:p>
        </w:tc>
        <w:tc>
          <w:tcPr>
            <w:tcW w:w="1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189"/>
        </w:trPr>
        <w:tc>
          <w:tcPr>
            <w:tcW w:w="6600" w:type="dxa"/>
            <w:vAlign w:val="bottom"/>
            <w:gridSpan w:val="2"/>
          </w:tcPr>
          <w:p>
            <w:pPr>
              <w:ind w:left="60"/>
              <w:spacing w:after="0"/>
              <w:rPr>
                <w:sz w:val="20"/>
                <w:szCs w:val="20"/>
                <w:color w:val="auto"/>
              </w:rPr>
            </w:pPr>
            <w:r>
              <w:rPr>
                <w:rFonts w:ascii="Arial" w:cs="Arial" w:eastAsia="Arial" w:hAnsi="Arial"/>
                <w:sz w:val="16"/>
                <w:szCs w:val="16"/>
                <w:color w:val="auto"/>
              </w:rPr>
              <w:t>Goodwill</w:t>
            </w: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912.8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867.5</w:t>
            </w:r>
          </w:p>
        </w:tc>
        <w:tc>
          <w:tcPr>
            <w:tcW w:w="0" w:type="dxa"/>
            <w:vAlign w:val="bottom"/>
          </w:tcPr>
          <w:p>
            <w:pPr>
              <w:spacing w:after="0"/>
              <w:rPr>
                <w:sz w:val="1"/>
                <w:szCs w:val="1"/>
                <w:color w:val="auto"/>
              </w:rPr>
            </w:pPr>
          </w:p>
        </w:tc>
      </w:tr>
      <w:tr>
        <w:trPr>
          <w:trHeight w:val="189"/>
        </w:trPr>
        <w:tc>
          <w:tcPr>
            <w:tcW w:w="6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Deferred income tax asset, net</w:t>
            </w:r>
          </w:p>
        </w:tc>
        <w:tc>
          <w:tcPr>
            <w:tcW w:w="1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Other noncurrent assets</w:t>
            </w:r>
          </w:p>
        </w:tc>
        <w:tc>
          <w:tcPr>
            <w:tcW w:w="1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183"/>
        </w:trPr>
        <w:tc>
          <w:tcPr>
            <w:tcW w:w="6600" w:type="dxa"/>
            <w:vAlign w:val="bottom"/>
            <w:gridSpan w:val="2"/>
            <w:shd w:val="clear" w:color="auto" w:fill="CCEEFF"/>
          </w:tcPr>
          <w:p>
            <w:pPr>
              <w:ind w:left="60"/>
              <w:spacing w:after="0" w:line="177" w:lineRule="exact"/>
              <w:rPr>
                <w:sz w:val="20"/>
                <w:szCs w:val="20"/>
                <w:color w:val="auto"/>
              </w:rPr>
            </w:pPr>
            <w:r>
              <w:rPr>
                <w:rFonts w:ascii="Arial" w:cs="Arial" w:eastAsia="Arial" w:hAnsi="Arial"/>
                <w:sz w:val="16"/>
                <w:szCs w:val="16"/>
                <w:color w:val="auto"/>
              </w:rPr>
              <w:t>Total assets</w:t>
            </w:r>
          </w:p>
        </w:tc>
        <w:tc>
          <w:tcPr>
            <w:tcW w:w="228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2,281.2</w:t>
            </w:r>
          </w:p>
        </w:tc>
        <w:tc>
          <w:tcPr>
            <w:tcW w:w="54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2,130.7</w:t>
            </w:r>
          </w:p>
        </w:tc>
        <w:tc>
          <w:tcPr>
            <w:tcW w:w="0" w:type="dxa"/>
            <w:vAlign w:val="bottom"/>
          </w:tcPr>
          <w:p>
            <w:pPr>
              <w:spacing w:after="0"/>
              <w:rPr>
                <w:sz w:val="1"/>
                <w:szCs w:val="1"/>
                <w:color w:val="auto"/>
              </w:rPr>
            </w:pPr>
          </w:p>
        </w:tc>
      </w:tr>
      <w:tr>
        <w:trPr>
          <w:trHeight w:val="196"/>
        </w:trPr>
        <w:tc>
          <w:tcPr>
            <w:tcW w:w="6600" w:type="dxa"/>
            <w:vAlign w:val="bottom"/>
            <w:gridSpan w:val="2"/>
          </w:tcPr>
          <w:p>
            <w:pPr>
              <w:ind w:left="60"/>
              <w:spacing w:after="0"/>
              <w:rPr>
                <w:sz w:val="20"/>
                <w:szCs w:val="20"/>
                <w:color w:val="auto"/>
              </w:rPr>
            </w:pPr>
            <w:r>
              <w:rPr>
                <w:rFonts w:ascii="Arial" w:cs="Arial" w:eastAsia="Arial" w:hAnsi="Arial"/>
                <w:sz w:val="16"/>
                <w:szCs w:val="16"/>
                <w:b w:val="1"/>
                <w:bCs w:val="1"/>
                <w:color w:val="auto"/>
              </w:rPr>
              <w:t>LIABILITIES AND STOCKHOLDERS’ EQUITY</w:t>
            </w:r>
          </w:p>
        </w:tc>
        <w:tc>
          <w:tcPr>
            <w:tcW w:w="19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Current liabilities</w:t>
            </w:r>
          </w:p>
        </w:tc>
        <w:tc>
          <w:tcPr>
            <w:tcW w:w="1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0" w:type="dxa"/>
            <w:vAlign w:val="bottom"/>
            <w:gridSpan w:val="2"/>
          </w:tcPr>
          <w:p>
            <w:pPr>
              <w:ind w:left="380"/>
              <w:spacing w:after="0"/>
              <w:rPr>
                <w:sz w:val="20"/>
                <w:szCs w:val="20"/>
                <w:color w:val="auto"/>
              </w:rPr>
            </w:pPr>
            <w:r>
              <w:rPr>
                <w:rFonts w:ascii="Arial" w:cs="Arial" w:eastAsia="Arial" w:hAnsi="Arial"/>
                <w:sz w:val="16"/>
                <w:szCs w:val="16"/>
                <w:color w:val="auto"/>
              </w:rPr>
              <w:t>Trade accounts payable</w:t>
            </w:r>
          </w:p>
        </w:tc>
        <w:tc>
          <w:tcPr>
            <w:tcW w:w="2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174.3</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179.1</w:t>
            </w:r>
          </w:p>
        </w:tc>
        <w:tc>
          <w:tcPr>
            <w:tcW w:w="0" w:type="dxa"/>
            <w:vAlign w:val="bottom"/>
          </w:tcPr>
          <w:p>
            <w:pPr>
              <w:spacing w:after="0"/>
              <w:rPr>
                <w:sz w:val="1"/>
                <w:szCs w:val="1"/>
                <w:color w:val="auto"/>
              </w:rPr>
            </w:pPr>
          </w:p>
        </w:tc>
      </w:tr>
      <w:tr>
        <w:trPr>
          <w:trHeight w:val="189"/>
        </w:trPr>
        <w:tc>
          <w:tcPr>
            <w:tcW w:w="66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1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189"/>
        </w:trPr>
        <w:tc>
          <w:tcPr>
            <w:tcW w:w="6600" w:type="dxa"/>
            <w:vAlign w:val="bottom"/>
            <w:gridSpan w:val="2"/>
          </w:tcPr>
          <w:p>
            <w:pPr>
              <w:ind w:left="380"/>
              <w:spacing w:after="0"/>
              <w:rPr>
                <w:sz w:val="20"/>
                <w:szCs w:val="20"/>
                <w:color w:val="auto"/>
              </w:rPr>
            </w:pPr>
            <w:r>
              <w:rPr>
                <w:rFonts w:ascii="Arial" w:cs="Arial" w:eastAsia="Arial" w:hAnsi="Arial"/>
                <w:sz w:val="16"/>
                <w:szCs w:val="16"/>
                <w:color w:val="auto"/>
              </w:rPr>
              <w:t>Accrued taxes—other than income</w:t>
            </w: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189"/>
        </w:trPr>
        <w:tc>
          <w:tcPr>
            <w:tcW w:w="66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Insurance claims</w:t>
            </w:r>
          </w:p>
        </w:tc>
        <w:tc>
          <w:tcPr>
            <w:tcW w:w="1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189"/>
        </w:trPr>
        <w:tc>
          <w:tcPr>
            <w:tcW w:w="6600" w:type="dxa"/>
            <w:vAlign w:val="bottom"/>
            <w:gridSpan w:val="2"/>
          </w:tcPr>
          <w:p>
            <w:pPr>
              <w:ind w:left="380"/>
              <w:spacing w:after="0"/>
              <w:rPr>
                <w:sz w:val="20"/>
                <w:szCs w:val="20"/>
                <w:color w:val="auto"/>
              </w:rPr>
            </w:pPr>
            <w:r>
              <w:rPr>
                <w:rFonts w:ascii="Arial" w:cs="Arial" w:eastAsia="Arial" w:hAnsi="Arial"/>
                <w:sz w:val="16"/>
                <w:szCs w:val="16"/>
                <w:color w:val="auto"/>
              </w:rPr>
              <w:t>Income taxes payable</w:t>
            </w: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89"/>
        </w:trPr>
        <w:tc>
          <w:tcPr>
            <w:tcW w:w="66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1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Liabilities held for sale</w:t>
            </w:r>
          </w:p>
        </w:tc>
        <w:tc>
          <w:tcPr>
            <w:tcW w:w="1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600" w:type="dxa"/>
            <w:vAlign w:val="bottom"/>
            <w:gridSpan w:val="2"/>
            <w:shd w:val="clear" w:color="auto" w:fill="CCEEFF"/>
          </w:tcPr>
          <w:p>
            <w:pPr>
              <w:ind w:left="720"/>
              <w:spacing w:after="0" w:line="177" w:lineRule="exact"/>
              <w:rPr>
                <w:sz w:val="20"/>
                <w:szCs w:val="20"/>
                <w:color w:val="auto"/>
              </w:rPr>
            </w:pPr>
            <w:r>
              <w:rPr>
                <w:rFonts w:ascii="Arial" w:cs="Arial" w:eastAsia="Arial" w:hAnsi="Arial"/>
                <w:sz w:val="16"/>
                <w:szCs w:val="16"/>
                <w:color w:val="auto"/>
              </w:rPr>
              <w:t>Total current liabilities</w:t>
            </w:r>
          </w:p>
        </w:tc>
        <w:tc>
          <w:tcPr>
            <w:tcW w:w="19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599.2</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568.2</w:t>
            </w:r>
          </w:p>
        </w:tc>
        <w:tc>
          <w:tcPr>
            <w:tcW w:w="0" w:type="dxa"/>
            <w:vAlign w:val="bottom"/>
          </w:tcPr>
          <w:p>
            <w:pPr>
              <w:spacing w:after="0"/>
              <w:rPr>
                <w:sz w:val="1"/>
                <w:szCs w:val="1"/>
                <w:color w:val="auto"/>
              </w:rPr>
            </w:pPr>
          </w:p>
        </w:tc>
      </w:tr>
      <w:tr>
        <w:trPr>
          <w:trHeight w:val="183"/>
        </w:trPr>
        <w:tc>
          <w:tcPr>
            <w:tcW w:w="660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Noncurrent income taxes payable</w:t>
            </w:r>
          </w:p>
        </w:tc>
        <w:tc>
          <w:tcPr>
            <w:tcW w:w="1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33.4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189"/>
        </w:trPr>
        <w:tc>
          <w:tcPr>
            <w:tcW w:w="6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Line of credit</w:t>
            </w:r>
          </w:p>
        </w:tc>
        <w:tc>
          <w:tcPr>
            <w:tcW w:w="1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189"/>
        </w:trPr>
        <w:tc>
          <w:tcPr>
            <w:tcW w:w="6600" w:type="dxa"/>
            <w:vAlign w:val="bottom"/>
            <w:gridSpan w:val="2"/>
          </w:tcPr>
          <w:p>
            <w:pPr>
              <w:ind w:left="60"/>
              <w:spacing w:after="0"/>
              <w:rPr>
                <w:sz w:val="20"/>
                <w:szCs w:val="20"/>
                <w:color w:val="auto"/>
              </w:rPr>
            </w:pPr>
            <w:r>
              <w:rPr>
                <w:rFonts w:ascii="Arial" w:cs="Arial" w:eastAsia="Arial" w:hAnsi="Arial"/>
                <w:sz w:val="16"/>
                <w:szCs w:val="16"/>
                <w:color w:val="auto"/>
              </w:rPr>
              <w:t>Deferred income tax liability, net</w:t>
            </w: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Noncurrent insurance claims</w:t>
            </w:r>
          </w:p>
        </w:tc>
        <w:tc>
          <w:tcPr>
            <w:tcW w:w="1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Other noncurrent liabilities</w:t>
            </w:r>
          </w:p>
        </w:tc>
        <w:tc>
          <w:tcPr>
            <w:tcW w:w="1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183"/>
        </w:trPr>
        <w:tc>
          <w:tcPr>
            <w:tcW w:w="6600" w:type="dxa"/>
            <w:vAlign w:val="bottom"/>
            <w:gridSpan w:val="2"/>
            <w:shd w:val="clear" w:color="auto" w:fill="CCEEFF"/>
          </w:tcPr>
          <w:p>
            <w:pPr>
              <w:ind w:left="380"/>
              <w:spacing w:after="0" w:line="183" w:lineRule="exact"/>
              <w:rPr>
                <w:sz w:val="20"/>
                <w:szCs w:val="20"/>
                <w:color w:val="auto"/>
              </w:rPr>
            </w:pPr>
            <w:r>
              <w:rPr>
                <w:rFonts w:ascii="Arial" w:cs="Arial" w:eastAsia="Arial" w:hAnsi="Arial"/>
                <w:sz w:val="16"/>
                <w:szCs w:val="16"/>
                <w:color w:val="auto"/>
              </w:rPr>
              <w:t>Total liabilities</w:t>
            </w:r>
          </w:p>
        </w:tc>
        <w:tc>
          <w:tcPr>
            <w:tcW w:w="1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1,307.2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1,123.2</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Total stockholders’ equity</w:t>
            </w:r>
          </w:p>
        </w:tc>
        <w:tc>
          <w:tcPr>
            <w:tcW w:w="19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974.0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1,007.5</w:t>
            </w:r>
          </w:p>
        </w:tc>
        <w:tc>
          <w:tcPr>
            <w:tcW w:w="0" w:type="dxa"/>
            <w:vAlign w:val="bottom"/>
          </w:tcPr>
          <w:p>
            <w:pPr>
              <w:spacing w:after="0"/>
              <w:rPr>
                <w:sz w:val="1"/>
                <w:szCs w:val="1"/>
                <w:color w:val="auto"/>
              </w:rPr>
            </w:pPr>
          </w:p>
        </w:tc>
      </w:tr>
      <w:tr>
        <w:trPr>
          <w:trHeight w:val="196"/>
        </w:trPr>
        <w:tc>
          <w:tcPr>
            <w:tcW w:w="6600" w:type="dxa"/>
            <w:vAlign w:val="bottom"/>
            <w:gridSpan w:val="2"/>
            <w:shd w:val="clear" w:color="auto" w:fill="CCEEFF"/>
          </w:tcPr>
          <w:p>
            <w:pPr>
              <w:ind w:left="60"/>
              <w:spacing w:after="0" w:line="177" w:lineRule="exact"/>
              <w:rPr>
                <w:sz w:val="20"/>
                <w:szCs w:val="20"/>
                <w:color w:val="auto"/>
              </w:rPr>
            </w:pPr>
            <w:r>
              <w:rPr>
                <w:rFonts w:ascii="Arial" w:cs="Arial" w:eastAsia="Arial" w:hAnsi="Arial"/>
                <w:sz w:val="16"/>
                <w:szCs w:val="16"/>
                <w:color w:val="auto"/>
              </w:rPr>
              <w:t>Total liabilities and stockholders’ equity</w:t>
            </w:r>
          </w:p>
        </w:tc>
        <w:tc>
          <w:tcPr>
            <w:tcW w:w="2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2,281.2</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2,130.7</w:t>
            </w:r>
          </w:p>
        </w:tc>
        <w:tc>
          <w:tcPr>
            <w:tcW w:w="0" w:type="dxa"/>
            <w:vAlign w:val="bottom"/>
          </w:tcPr>
          <w:p>
            <w:pPr>
              <w:spacing w:after="0"/>
              <w:rPr>
                <w:sz w:val="1"/>
                <w:szCs w:val="1"/>
                <w:color w:val="auto"/>
              </w:rPr>
            </w:pPr>
          </w:p>
        </w:tc>
      </w:tr>
      <w:tr>
        <w:trPr>
          <w:trHeight w:val="20"/>
        </w:trPr>
        <w:tc>
          <w:tcPr>
            <w:tcW w:w="82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2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5" w:right="239" w:bottom="1440" w:gutter="0" w:footer="0" w:header="0"/>
        </w:sectPr>
      </w:pPr>
    </w:p>
    <w:bookmarkStart w:id="13" w:name="page14"/>
    <w:bookmarkEnd w:id="13"/>
    <w:p>
      <w:pPr>
        <w:ind w:right="5120"/>
        <w:spacing w:after="0" w:line="284" w:lineRule="auto"/>
        <w:rPr>
          <w:sz w:val="20"/>
          <w:szCs w:val="20"/>
          <w:color w:val="auto"/>
        </w:rPr>
      </w:pPr>
      <w:r>
        <w:rPr>
          <w:rFonts w:ascii="Arial" w:cs="Arial" w:eastAsia="Arial" w:hAnsi="Arial"/>
          <w:sz w:val="19"/>
          <w:szCs w:val="19"/>
          <w:b w:val="1"/>
          <w:bCs w:val="1"/>
          <w:color w:val="auto"/>
        </w:rPr>
        <w:t>ABM INDUSTRIES INCORPORATED AND SUBSIDIARIES REVENUES AND OPERATING PROFIT BY SEGMENT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October 31,</w:t>
            </w:r>
          </w:p>
        </w:tc>
        <w:tc>
          <w:tcPr>
            <w:tcW w:w="14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151"/>
        </w:trPr>
        <w:tc>
          <w:tcPr>
            <w:tcW w:w="86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06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0" w:type="dxa"/>
            <w:vAlign w:val="bottom"/>
          </w:tcPr>
          <w:p>
            <w:pPr>
              <w:spacing w:after="0"/>
              <w:rPr>
                <w:sz w:val="15"/>
                <w:szCs w:val="15"/>
                <w:color w:val="auto"/>
              </w:rPr>
            </w:pPr>
          </w:p>
        </w:tc>
        <w:tc>
          <w:tcPr>
            <w:tcW w:w="1220" w:type="dxa"/>
            <w:vAlign w:val="bottom"/>
          </w:tcPr>
          <w:p>
            <w:pPr>
              <w:jc w:val="right"/>
              <w:ind w:right="399"/>
              <w:spacing w:after="0" w:line="181" w:lineRule="exact"/>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399"/>
              <w:spacing w:after="0" w:line="181" w:lineRule="exact"/>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5"/>
                <w:szCs w:val="15"/>
                <w:color w:val="auto"/>
              </w:rPr>
            </w:pPr>
          </w:p>
        </w:tc>
        <w:tc>
          <w:tcPr>
            <w:tcW w:w="144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Revenues</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60" w:type="dxa"/>
            <w:vAlign w:val="bottom"/>
            <w:gridSpan w:val="2"/>
          </w:tcPr>
          <w:p>
            <w:pPr>
              <w:ind w:left="60"/>
              <w:spacing w:after="0"/>
              <w:rPr>
                <w:sz w:val="20"/>
                <w:szCs w:val="20"/>
                <w:color w:val="auto"/>
              </w:rPr>
            </w:pPr>
            <w:r>
              <w:rPr>
                <w:rFonts w:ascii="Arial" w:cs="Arial" w:eastAsia="Arial" w:hAnsi="Arial"/>
                <w:sz w:val="16"/>
                <w:szCs w:val="16"/>
                <w:color w:val="auto"/>
              </w:rPr>
              <w:t>Janitorial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704.5</w:t>
            </w:r>
          </w:p>
        </w:tc>
        <w:tc>
          <w:tcPr>
            <w:tcW w:w="12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688.7</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Facility Services</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145.3</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7060" w:type="dxa"/>
            <w:vAlign w:val="bottom"/>
            <w:gridSpan w:val="2"/>
          </w:tcPr>
          <w:p>
            <w:pPr>
              <w:ind w:left="60"/>
              <w:spacing w:after="0"/>
              <w:rPr>
                <w:sz w:val="20"/>
                <w:szCs w:val="20"/>
                <w:color w:val="auto"/>
              </w:rPr>
            </w:pPr>
            <w:r>
              <w:rPr>
                <w:rFonts w:ascii="Arial" w:cs="Arial" w:eastAsia="Arial" w:hAnsi="Arial"/>
                <w:sz w:val="16"/>
                <w:szCs w:val="16"/>
                <w:color w:val="auto"/>
              </w:rPr>
              <w:t>Parking</w:t>
            </w:r>
          </w:p>
        </w:tc>
        <w:tc>
          <w:tcPr>
            <w:tcW w:w="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160.7</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89"/>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Building &amp; Energy Solutions</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167.7</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3"/>
        </w:trPr>
        <w:tc>
          <w:tcPr>
            <w:tcW w:w="706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114.6</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6"/>
        </w:trPr>
        <w:tc>
          <w:tcPr>
            <w:tcW w:w="70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1,322.3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1,277.0</w:t>
            </w: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Operating profit</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Janitorial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89"/>
        </w:trPr>
        <w:tc>
          <w:tcPr>
            <w:tcW w:w="7060" w:type="dxa"/>
            <w:vAlign w:val="bottom"/>
            <w:gridSpan w:val="2"/>
          </w:tcPr>
          <w:p>
            <w:pPr>
              <w:ind w:left="60"/>
              <w:spacing w:after="0"/>
              <w:rPr>
                <w:sz w:val="20"/>
                <w:szCs w:val="20"/>
                <w:color w:val="auto"/>
              </w:rPr>
            </w:pPr>
            <w:r>
              <w:rPr>
                <w:rFonts w:ascii="Arial" w:cs="Arial" w:eastAsia="Arial" w:hAnsi="Arial"/>
                <w:sz w:val="16"/>
                <w:szCs w:val="16"/>
                <w:color w:val="auto"/>
              </w:rPr>
              <w:t>Facility Services</w:t>
            </w:r>
          </w:p>
        </w:tc>
        <w:tc>
          <w:tcPr>
            <w:tcW w:w="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9"/>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Parking</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30"/>
        </w:trPr>
        <w:tc>
          <w:tcPr>
            <w:tcW w:w="7060" w:type="dxa"/>
            <w:vAlign w:val="bottom"/>
            <w:gridSpan w:val="2"/>
          </w:tcPr>
          <w:p>
            <w:pPr>
              <w:ind w:left="60"/>
              <w:spacing w:after="0" w:line="230" w:lineRule="exact"/>
              <w:rPr>
                <w:sz w:val="20"/>
                <w:szCs w:val="20"/>
                <w:color w:val="auto"/>
              </w:rPr>
            </w:pPr>
            <w:r>
              <w:rPr>
                <w:rFonts w:ascii="Arial" w:cs="Arial" w:eastAsia="Arial" w:hAnsi="Arial"/>
                <w:sz w:val="16"/>
                <w:szCs w:val="16"/>
                <w:color w:val="auto"/>
              </w:rPr>
              <w:t>Building &amp; Energy Solutions</w:t>
            </w:r>
            <w:r>
              <w:rPr>
                <w:rFonts w:ascii="Arial" w:cs="Arial" w:eastAsia="Arial" w:hAnsi="Arial"/>
                <w:sz w:val="26"/>
                <w:szCs w:val="26"/>
                <w:color w:val="auto"/>
                <w:vertAlign w:val="superscript"/>
              </w:rPr>
              <w:t>(1)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9"/>
                <w:szCs w:val="19"/>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89"/>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189"/>
        </w:trPr>
        <w:tc>
          <w:tcPr>
            <w:tcW w:w="7060" w:type="dxa"/>
            <w:vAlign w:val="bottom"/>
            <w:gridSpan w:val="2"/>
          </w:tcPr>
          <w:p>
            <w:pPr>
              <w:ind w:left="60"/>
              <w:spacing w:after="0"/>
              <w:rPr>
                <w:sz w:val="20"/>
                <w:szCs w:val="20"/>
                <w:color w:val="auto"/>
              </w:rPr>
            </w:pPr>
            <w:r>
              <w:rPr>
                <w:rFonts w:ascii="Arial" w:cs="Arial" w:eastAsia="Arial" w:hAnsi="Arial"/>
                <w:sz w:val="16"/>
                <w:szCs w:val="16"/>
                <w:color w:val="auto"/>
              </w:rPr>
              <w:t>Corporate</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1"/>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Adjustment for income from unconsolidated affiliates, net included in Building &amp; Energy</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Solutions</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91"/>
        </w:trPr>
        <w:tc>
          <w:tcPr>
            <w:tcW w:w="7060" w:type="dxa"/>
            <w:vAlign w:val="bottom"/>
            <w:gridSpan w:val="2"/>
          </w:tcPr>
          <w:p>
            <w:pPr>
              <w:ind w:left="60"/>
              <w:spacing w:after="0"/>
              <w:rPr>
                <w:sz w:val="20"/>
                <w:szCs w:val="20"/>
                <w:color w:val="auto"/>
              </w:rPr>
            </w:pPr>
            <w:r>
              <w:rPr>
                <w:rFonts w:ascii="Arial" w:cs="Arial" w:eastAsia="Arial" w:hAnsi="Arial"/>
                <w:sz w:val="16"/>
                <w:szCs w:val="16"/>
                <w:color w:val="auto"/>
              </w:rPr>
              <w:t>Adjustment for tax deductions for energy efficient government buildings, included in Building &amp;</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60" w:type="dxa"/>
            <w:vAlign w:val="bottom"/>
            <w:gridSpan w:val="2"/>
          </w:tcPr>
          <w:p>
            <w:pPr>
              <w:ind w:left="60"/>
              <w:spacing w:after="0"/>
              <w:rPr>
                <w:sz w:val="20"/>
                <w:szCs w:val="20"/>
                <w:color w:val="auto"/>
              </w:rPr>
            </w:pPr>
            <w:r>
              <w:rPr>
                <w:rFonts w:ascii="Arial" w:cs="Arial" w:eastAsia="Arial" w:hAnsi="Arial"/>
                <w:sz w:val="16"/>
                <w:szCs w:val="16"/>
                <w:color w:val="auto"/>
              </w:rPr>
              <w:t>Energy Solutions</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3"/>
        </w:trPr>
        <w:tc>
          <w:tcPr>
            <w:tcW w:w="7060" w:type="dxa"/>
            <w:vAlign w:val="bottom"/>
            <w:tcBorders>
              <w:top w:val="single" w:sz="8" w:color="CCEEFF"/>
            </w:tcBorders>
            <w:gridSpan w:val="2"/>
            <w:shd w:val="clear" w:color="auto" w:fill="CCEEFF"/>
          </w:tcPr>
          <w:p>
            <w:pPr>
              <w:ind w:left="60"/>
              <w:spacing w:after="0" w:line="183" w:lineRule="exact"/>
              <w:rPr>
                <w:sz w:val="20"/>
                <w:szCs w:val="20"/>
                <w:color w:val="auto"/>
              </w:rPr>
            </w:pPr>
            <w:r>
              <w:rPr>
                <w:rFonts w:ascii="Arial" w:cs="Arial" w:eastAsia="Arial" w:hAnsi="Arial"/>
                <w:sz w:val="16"/>
                <w:szCs w:val="16"/>
                <w:b w:val="1"/>
                <w:bCs w:val="1"/>
                <w:color w:val="auto"/>
              </w:rPr>
              <w:t>Total operating profit</w:t>
            </w: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10.8</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37.2</w:t>
            </w:r>
          </w:p>
        </w:tc>
        <w:tc>
          <w:tcPr>
            <w:tcW w:w="12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189"/>
        </w:trPr>
        <w:tc>
          <w:tcPr>
            <w:tcW w:w="7060" w:type="dxa"/>
            <w:vAlign w:val="bottom"/>
            <w:gridSpan w:val="2"/>
          </w:tcPr>
          <w:p>
            <w:pPr>
              <w:ind w:left="60"/>
              <w:spacing w:after="0"/>
              <w:rPr>
                <w:sz w:val="20"/>
                <w:szCs w:val="20"/>
                <w:color w:val="auto"/>
              </w:rPr>
            </w:pPr>
            <w:r>
              <w:rPr>
                <w:rFonts w:ascii="Arial" w:cs="Arial" w:eastAsia="Arial" w:hAnsi="Arial"/>
                <w:sz w:val="16"/>
                <w:szCs w:val="16"/>
                <w:color w:val="auto"/>
              </w:rPr>
              <w:t>Income from unconsolidated affiliates, net</w:t>
            </w:r>
          </w:p>
        </w:tc>
        <w:tc>
          <w:tcPr>
            <w:tcW w:w="12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3"/>
        </w:trPr>
        <w:tc>
          <w:tcPr>
            <w:tcW w:w="706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Income from continuing operations before income taxes</w:t>
            </w:r>
          </w:p>
        </w:tc>
        <w:tc>
          <w:tcPr>
            <w:tcW w:w="120" w:type="dxa"/>
            <w:vAlign w:val="bottom"/>
          </w:tcPr>
          <w:p>
            <w:pPr>
              <w:spacing w:after="0"/>
              <w:rPr>
                <w:sz w:val="15"/>
                <w:szCs w:val="15"/>
                <w:color w:val="auto"/>
              </w:rPr>
            </w:pPr>
          </w:p>
        </w:tc>
        <w:tc>
          <w:tcPr>
            <w:tcW w:w="12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37.3</w:t>
            </w:r>
          </w:p>
        </w:tc>
        <w:tc>
          <w:tcPr>
            <w:tcW w:w="12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Income tax provision</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183"/>
        </w:trPr>
        <w:tc>
          <w:tcPr>
            <w:tcW w:w="706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Income from continuing operations</w:t>
            </w:r>
          </w:p>
        </w:tc>
        <w:tc>
          <w:tcPr>
            <w:tcW w:w="120" w:type="dxa"/>
            <w:vAlign w:val="bottom"/>
          </w:tcPr>
          <w:p>
            <w:pPr>
              <w:spacing w:after="0"/>
              <w:rPr>
                <w:sz w:val="15"/>
                <w:szCs w:val="15"/>
                <w:color w:val="auto"/>
              </w:rPr>
            </w:pPr>
          </w:p>
        </w:tc>
        <w:tc>
          <w:tcPr>
            <w:tcW w:w="12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9.0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22.6</w:t>
            </w:r>
          </w:p>
        </w:tc>
        <w:tc>
          <w:tcPr>
            <w:tcW w:w="12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Net (loss) income from discontinued operations</w:t>
            </w: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6"/>
        </w:trPr>
        <w:tc>
          <w:tcPr>
            <w:tcW w:w="7060" w:type="dxa"/>
            <w:vAlign w:val="bottom"/>
            <w:gridSpan w:val="2"/>
          </w:tcPr>
          <w:p>
            <w:pPr>
              <w:ind w:left="6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27"/>
          <w:szCs w:val="27"/>
          <w:color w:val="auto"/>
          <w:vertAlign w:val="superscript"/>
        </w:rPr>
        <w:t>(1)</w:t>
      </w:r>
      <w:r>
        <w:rPr>
          <w:rFonts w:ascii="Arial" w:cs="Arial" w:eastAsia="Arial" w:hAnsi="Arial"/>
          <w:sz w:val="16"/>
          <w:szCs w:val="16"/>
          <w:color w:val="auto"/>
        </w:rPr>
        <w:t xml:space="preserve"> Includes impairment loss on Government business.</w:t>
      </w:r>
    </w:p>
    <w:p>
      <w:pPr>
        <w:spacing w:after="0"/>
        <w:rPr>
          <w:sz w:val="20"/>
          <w:szCs w:val="20"/>
          <w:color w:val="auto"/>
        </w:rPr>
      </w:pPr>
      <w:r>
        <w:rPr>
          <w:rFonts w:ascii="Arial" w:cs="Arial" w:eastAsia="Arial" w:hAnsi="Arial"/>
          <w:sz w:val="16"/>
          <w:szCs w:val="16"/>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4" w:name="page15"/>
    <w:bookmarkEnd w:id="14"/>
    <w:p>
      <w:pPr>
        <w:ind w:right="5120"/>
        <w:spacing w:after="0" w:line="284" w:lineRule="auto"/>
        <w:rPr>
          <w:sz w:val="20"/>
          <w:szCs w:val="20"/>
          <w:color w:val="auto"/>
        </w:rPr>
      </w:pPr>
      <w:r>
        <w:rPr>
          <w:rFonts w:ascii="Arial" w:cs="Arial" w:eastAsia="Arial" w:hAnsi="Arial"/>
          <w:sz w:val="19"/>
          <w:szCs w:val="19"/>
          <w:b w:val="1"/>
          <w:bCs w:val="1"/>
          <w:color w:val="auto"/>
        </w:rPr>
        <w:t>ABM INDUSTRIES INCORPORATED AND SUBSIDIARIES REVENUES AND OPERATING PROFIT BY SEGMENT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5"/>
          </w:tcPr>
          <w:p>
            <w:pPr>
              <w:ind w:left="180"/>
              <w:spacing w:after="0"/>
              <w:rPr>
                <w:sz w:val="20"/>
                <w:szCs w:val="20"/>
                <w:color w:val="auto"/>
              </w:rPr>
            </w:pPr>
            <w:r>
              <w:rPr>
                <w:rFonts w:ascii="Arial" w:cs="Arial" w:eastAsia="Arial" w:hAnsi="Arial"/>
                <w:sz w:val="16"/>
                <w:szCs w:val="16"/>
                <w:b w:val="1"/>
                <w:bCs w:val="1"/>
                <w:color w:val="auto"/>
              </w:rPr>
              <w:t>Years Ended October 31,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90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99"/>
              <w:spacing w:after="0" w:line="169" w:lineRule="exact"/>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19"/>
              <w:spacing w:after="0" w:line="169" w:lineRule="exact"/>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4"/>
                <w:szCs w:val="14"/>
                <w:color w:val="auto"/>
              </w:rPr>
            </w:pPr>
          </w:p>
        </w:tc>
        <w:tc>
          <w:tcPr>
            <w:tcW w:w="16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Increase/(Decrease)</w:t>
            </w: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00" w:type="dxa"/>
            <w:vAlign w:val="bottom"/>
            <w:gridSpan w:val="2"/>
          </w:tcPr>
          <w:p>
            <w:pPr>
              <w:ind w:left="60"/>
              <w:spacing w:after="0"/>
              <w:rPr>
                <w:sz w:val="20"/>
                <w:szCs w:val="20"/>
                <w:color w:val="auto"/>
              </w:rPr>
            </w:pPr>
            <w:r>
              <w:rPr>
                <w:rFonts w:ascii="Arial" w:cs="Arial" w:eastAsia="Arial" w:hAnsi="Arial"/>
                <w:sz w:val="16"/>
                <w:szCs w:val="16"/>
                <w:color w:val="auto"/>
              </w:rPr>
              <w:t>Janitorial</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2,768.4</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2,692.7</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9"/>
        </w:trPr>
        <w:tc>
          <w:tcPr>
            <w:tcW w:w="69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Facility Services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597.2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594.6</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9"/>
        </w:trPr>
        <w:tc>
          <w:tcPr>
            <w:tcW w:w="6900" w:type="dxa"/>
            <w:vAlign w:val="bottom"/>
            <w:gridSpan w:val="2"/>
          </w:tcPr>
          <w:p>
            <w:pPr>
              <w:ind w:left="60"/>
              <w:spacing w:after="0"/>
              <w:rPr>
                <w:sz w:val="20"/>
                <w:szCs w:val="20"/>
                <w:color w:val="auto"/>
              </w:rPr>
            </w:pPr>
            <w:r>
              <w:rPr>
                <w:rFonts w:ascii="Arial" w:cs="Arial" w:eastAsia="Arial" w:hAnsi="Arial"/>
                <w:sz w:val="16"/>
                <w:szCs w:val="16"/>
                <w:color w:val="auto"/>
              </w:rPr>
              <w:t>Parking</w:t>
            </w:r>
          </w:p>
        </w:tc>
        <w:tc>
          <w:tcPr>
            <w:tcW w:w="26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666.0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631.9</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69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Building &amp; Energy Solutions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643.2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557.7</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3"/>
        </w:trPr>
        <w:tc>
          <w:tcPr>
            <w:tcW w:w="690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469.9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420.9</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96"/>
        </w:trPr>
        <w:tc>
          <w:tcPr>
            <w:tcW w:w="690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5,144.7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4,897.8</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Arial" w:cs="Arial" w:eastAsia="Arial" w:hAnsi="Arial"/>
                <w:sz w:val="16"/>
                <w:szCs w:val="16"/>
                <w:b w:val="1"/>
                <w:bCs w:val="1"/>
                <w:color w:val="auto"/>
              </w:rPr>
              <w:t>Operating profit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Janitorial</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150.5</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89"/>
        </w:trPr>
        <w:tc>
          <w:tcPr>
            <w:tcW w:w="6900" w:type="dxa"/>
            <w:vAlign w:val="bottom"/>
            <w:gridSpan w:val="2"/>
          </w:tcPr>
          <w:p>
            <w:pPr>
              <w:ind w:left="60"/>
              <w:spacing w:after="0"/>
              <w:rPr>
                <w:sz w:val="20"/>
                <w:szCs w:val="20"/>
                <w:color w:val="auto"/>
              </w:rPr>
            </w:pPr>
            <w:r>
              <w:rPr>
                <w:rFonts w:ascii="Arial" w:cs="Arial" w:eastAsia="Arial" w:hAnsi="Arial"/>
                <w:sz w:val="16"/>
                <w:szCs w:val="16"/>
                <w:color w:val="auto"/>
              </w:rPr>
              <w:t>Facility Services</w:t>
            </w:r>
          </w:p>
        </w:tc>
        <w:tc>
          <w:tcPr>
            <w:tcW w:w="26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9"/>
        </w:trPr>
        <w:tc>
          <w:tcPr>
            <w:tcW w:w="69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Parking</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0"/>
        </w:trPr>
        <w:tc>
          <w:tcPr>
            <w:tcW w:w="6900" w:type="dxa"/>
            <w:vAlign w:val="bottom"/>
            <w:gridSpan w:val="2"/>
          </w:tcPr>
          <w:p>
            <w:pPr>
              <w:ind w:left="60"/>
              <w:spacing w:after="0" w:line="230" w:lineRule="exact"/>
              <w:rPr>
                <w:sz w:val="20"/>
                <w:szCs w:val="20"/>
                <w:color w:val="auto"/>
              </w:rPr>
            </w:pPr>
            <w:r>
              <w:rPr>
                <w:rFonts w:ascii="Arial" w:cs="Arial" w:eastAsia="Arial" w:hAnsi="Arial"/>
                <w:sz w:val="16"/>
                <w:szCs w:val="16"/>
                <w:color w:val="auto"/>
              </w:rPr>
              <w:t>Building &amp; Energy Solutions</w:t>
            </w:r>
            <w:r>
              <w:rPr>
                <w:rFonts w:ascii="Arial" w:cs="Arial" w:eastAsia="Arial" w:hAnsi="Arial"/>
                <w:sz w:val="26"/>
                <w:szCs w:val="26"/>
                <w:color w:val="auto"/>
                <w:vertAlign w:val="superscript"/>
              </w:rPr>
              <w:t>(1)</w:t>
            </w:r>
          </w:p>
        </w:tc>
        <w:tc>
          <w:tcPr>
            <w:tcW w:w="26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189"/>
        </w:trPr>
        <w:tc>
          <w:tcPr>
            <w:tcW w:w="69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89"/>
        </w:trPr>
        <w:tc>
          <w:tcPr>
            <w:tcW w:w="6900" w:type="dxa"/>
            <w:vAlign w:val="bottom"/>
            <w:gridSpan w:val="2"/>
          </w:tcPr>
          <w:p>
            <w:pPr>
              <w:ind w:left="60"/>
              <w:spacing w:after="0"/>
              <w:rPr>
                <w:sz w:val="20"/>
                <w:szCs w:val="20"/>
                <w:color w:val="auto"/>
              </w:rPr>
            </w:pPr>
            <w:r>
              <w:rPr>
                <w:rFonts w:ascii="Arial" w:cs="Arial" w:eastAsia="Arial" w:hAnsi="Arial"/>
                <w:sz w:val="16"/>
                <w:szCs w:val="16"/>
                <w:color w:val="auto"/>
              </w:rPr>
              <w:t>Corporate</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(162.3)</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1"/>
        </w:trPr>
        <w:tc>
          <w:tcPr>
            <w:tcW w:w="69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Adjustment for income from unconsolidated affiliates, net included in Building &amp; Energy</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9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Solutions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191"/>
        </w:trPr>
        <w:tc>
          <w:tcPr>
            <w:tcW w:w="6900" w:type="dxa"/>
            <w:vAlign w:val="bottom"/>
            <w:gridSpan w:val="2"/>
          </w:tcPr>
          <w:p>
            <w:pPr>
              <w:ind w:left="60"/>
              <w:spacing w:after="0"/>
              <w:rPr>
                <w:sz w:val="20"/>
                <w:szCs w:val="20"/>
                <w:color w:val="auto"/>
              </w:rPr>
            </w:pPr>
            <w:r>
              <w:rPr>
                <w:rFonts w:ascii="Arial" w:cs="Arial" w:eastAsia="Arial" w:hAnsi="Arial"/>
                <w:sz w:val="16"/>
                <w:szCs w:val="16"/>
                <w:color w:val="auto"/>
              </w:rPr>
              <w:t>Adjustment for tax deductions for energy efficient government buildings, included in Building</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900" w:type="dxa"/>
            <w:vAlign w:val="bottom"/>
            <w:tcBorders>
              <w:bottom w:val="single" w:sz="8" w:color="CCEEFF"/>
            </w:tcBorders>
            <w:gridSpan w:val="2"/>
          </w:tcPr>
          <w:p>
            <w:pPr>
              <w:ind w:left="60"/>
              <w:spacing w:after="0"/>
              <w:rPr>
                <w:sz w:val="20"/>
                <w:szCs w:val="20"/>
                <w:color w:val="auto"/>
              </w:rPr>
            </w:pPr>
            <w:r>
              <w:rPr>
                <w:rFonts w:ascii="Arial" w:cs="Arial" w:eastAsia="Arial" w:hAnsi="Arial"/>
                <w:sz w:val="16"/>
                <w:szCs w:val="16"/>
                <w:color w:val="auto"/>
              </w:rPr>
              <w:t>&amp; Energy Solutions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183"/>
        </w:trPr>
        <w:tc>
          <w:tcPr>
            <w:tcW w:w="690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6"/>
                <w:szCs w:val="16"/>
                <w:b w:val="1"/>
                <w:bCs w:val="1"/>
                <w:color w:val="auto"/>
              </w:rPr>
              <w:t>Total operating profit</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54.7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73.6</w:t>
            </w: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189"/>
        </w:trPr>
        <w:tc>
          <w:tcPr>
            <w:tcW w:w="6900" w:type="dxa"/>
            <w:vAlign w:val="bottom"/>
            <w:gridSpan w:val="2"/>
          </w:tcPr>
          <w:p>
            <w:pPr>
              <w:ind w:left="60"/>
              <w:spacing w:after="0"/>
              <w:rPr>
                <w:sz w:val="20"/>
                <w:szCs w:val="20"/>
                <w:color w:val="auto"/>
              </w:rPr>
            </w:pPr>
            <w:r>
              <w:rPr>
                <w:rFonts w:ascii="Arial" w:cs="Arial" w:eastAsia="Arial" w:hAnsi="Arial"/>
                <w:sz w:val="16"/>
                <w:szCs w:val="16"/>
                <w:color w:val="auto"/>
              </w:rPr>
              <w:t>Income from unconsolidated affiliates, net</w:t>
            </w:r>
          </w:p>
        </w:tc>
        <w:tc>
          <w:tcPr>
            <w:tcW w:w="26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3"/>
        </w:trPr>
        <w:tc>
          <w:tcPr>
            <w:tcW w:w="690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tcPr>
          <w:p>
            <w:pPr>
              <w:spacing w:after="0"/>
              <w:rPr>
                <w:sz w:val="15"/>
                <w:szCs w:val="15"/>
                <w:color w:val="auto"/>
              </w:rPr>
            </w:pP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72.4</w:t>
            </w:r>
          </w:p>
        </w:tc>
        <w:tc>
          <w:tcPr>
            <w:tcW w:w="120" w:type="dxa"/>
            <w:vAlign w:val="bottom"/>
          </w:tcPr>
          <w:p>
            <w:pPr>
              <w:spacing w:after="0"/>
              <w:rPr>
                <w:sz w:val="15"/>
                <w:szCs w:val="15"/>
                <w:color w:val="auto"/>
              </w:rPr>
            </w:pPr>
          </w:p>
        </w:tc>
        <w:tc>
          <w:tcPr>
            <w:tcW w:w="1600" w:type="dxa"/>
            <w:vAlign w:val="bottom"/>
          </w:tcPr>
          <w:p>
            <w:pPr>
              <w:jc w:val="right"/>
              <w:spacing w:after="0" w:line="183" w:lineRule="exact"/>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Income tax benefit (provision)</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83"/>
        </w:trPr>
        <w:tc>
          <w:tcPr>
            <w:tcW w:w="6900" w:type="dxa"/>
            <w:vAlign w:val="bottom"/>
            <w:gridSpan w:val="2"/>
          </w:tcPr>
          <w:p>
            <w:pPr>
              <w:ind w:left="60"/>
              <w:spacing w:after="0" w:line="183" w:lineRule="exact"/>
              <w:rPr>
                <w:sz w:val="20"/>
                <w:szCs w:val="20"/>
                <w:color w:val="auto"/>
              </w:rPr>
            </w:pPr>
            <w:r>
              <w:rPr>
                <w:rFonts w:ascii="Arial" w:cs="Arial" w:eastAsia="Arial" w:hAnsi="Arial"/>
                <w:sz w:val="16"/>
                <w:szCs w:val="16"/>
                <w:color w:val="auto"/>
              </w:rPr>
              <w:t>Income from continuing operations</w:t>
            </w:r>
          </w:p>
        </w:tc>
        <w:tc>
          <w:tcPr>
            <w:tcW w:w="260" w:type="dxa"/>
            <w:vAlign w:val="bottom"/>
          </w:tcPr>
          <w:p>
            <w:pPr>
              <w:spacing w:after="0"/>
              <w:rPr>
                <w:sz w:val="15"/>
                <w:szCs w:val="15"/>
                <w:color w:val="auto"/>
              </w:rPr>
            </w:pP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62.3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54.1</w:t>
            </w:r>
          </w:p>
        </w:tc>
        <w:tc>
          <w:tcPr>
            <w:tcW w:w="120" w:type="dxa"/>
            <w:vAlign w:val="bottom"/>
          </w:tcPr>
          <w:p>
            <w:pPr>
              <w:spacing w:after="0"/>
              <w:rPr>
                <w:sz w:val="15"/>
                <w:szCs w:val="15"/>
                <w:color w:val="auto"/>
              </w:rPr>
            </w:pPr>
          </w:p>
        </w:tc>
        <w:tc>
          <w:tcPr>
            <w:tcW w:w="1600" w:type="dxa"/>
            <w:vAlign w:val="bottom"/>
          </w:tcPr>
          <w:p>
            <w:pPr>
              <w:jc w:val="right"/>
              <w:spacing w:after="0" w:line="183" w:lineRule="exact"/>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Net (loss) income from discontinued operations</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6"/>
        </w:trPr>
        <w:tc>
          <w:tcPr>
            <w:tcW w:w="6900" w:type="dxa"/>
            <w:vAlign w:val="bottom"/>
            <w:gridSpan w:val="2"/>
          </w:tcPr>
          <w:p>
            <w:pPr>
              <w:ind w:left="6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57.2</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27"/>
          <w:szCs w:val="27"/>
          <w:color w:val="auto"/>
          <w:vertAlign w:val="superscript"/>
        </w:rPr>
        <w:t>(1)</w:t>
      </w:r>
      <w:r>
        <w:rPr>
          <w:rFonts w:ascii="Arial" w:cs="Arial" w:eastAsia="Arial" w:hAnsi="Arial"/>
          <w:sz w:val="16"/>
          <w:szCs w:val="16"/>
          <w:color w:val="auto"/>
        </w:rPr>
        <w:t xml:space="preserve"> Includes impairment loss on Government business.</w:t>
      </w:r>
    </w:p>
    <w:p>
      <w:pPr>
        <w:spacing w:after="0"/>
        <w:rPr>
          <w:sz w:val="20"/>
          <w:szCs w:val="20"/>
          <w:color w:val="auto"/>
        </w:rPr>
      </w:pPr>
      <w:r>
        <w:rPr>
          <w:rFonts w:ascii="Arial" w:cs="Arial" w:eastAsia="Arial" w:hAnsi="Arial"/>
          <w:sz w:val="16"/>
          <w:szCs w:val="16"/>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5" w:name="page16"/>
    <w:bookmarkEnd w:id="15"/>
    <w:p>
      <w:pPr>
        <w:ind w:right="4480"/>
        <w:spacing w:after="0" w:line="284" w:lineRule="auto"/>
        <w:rPr>
          <w:sz w:val="20"/>
          <w:szCs w:val="20"/>
          <w:color w:val="auto"/>
        </w:rPr>
      </w:pPr>
      <w:r>
        <w:rPr>
          <w:rFonts w:ascii="Arial" w:cs="Arial" w:eastAsia="Arial" w:hAnsi="Arial"/>
          <w:sz w:val="19"/>
          <w:szCs w:val="19"/>
          <w:b w:val="1"/>
          <w:bCs w:val="1"/>
          <w:color w:val="auto"/>
        </w:rPr>
        <w:t>ABM INDUSTRIES INCORPORATED AND SUBSIDIARIES RECONCILIATIONS OF NON-GAAP FINANCIAL MEASURES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2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 except per share amounts)</w:t>
            </w:r>
          </w:p>
        </w:tc>
        <w:tc>
          <w:tcPr>
            <w:tcW w:w="200" w:type="dxa"/>
            <w:vAlign w:val="bottom"/>
          </w:tcPr>
          <w:p>
            <w:pPr>
              <w:spacing w:after="0"/>
              <w:rPr>
                <w:sz w:val="15"/>
                <w:szCs w:val="15"/>
                <w:color w:val="auto"/>
              </w:rPr>
            </w:pPr>
          </w:p>
        </w:tc>
        <w:tc>
          <w:tcPr>
            <w:tcW w:w="26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 October 31,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Years Ended October 31,</w:t>
            </w:r>
          </w:p>
        </w:tc>
      </w:tr>
      <w:tr>
        <w:trPr>
          <w:trHeight w:val="20"/>
        </w:trPr>
        <w:tc>
          <w:tcPr>
            <w:tcW w:w="2220" w:type="dxa"/>
            <w:vAlign w:val="bottom"/>
            <w:tcBorders>
              <w:top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2220" w:type="dxa"/>
            <w:vAlign w:val="bottom"/>
            <w:tcBorders>
              <w:bottom w:val="single" w:sz="8" w:color="CCEEFF"/>
            </w:tcBorders>
          </w:tcPr>
          <w:p>
            <w:pPr>
              <w:spacing w:after="0"/>
              <w:rPr>
                <w:sz w:val="15"/>
                <w:szCs w:val="15"/>
                <w:color w:val="auto"/>
              </w:rPr>
            </w:pPr>
          </w:p>
        </w:tc>
        <w:tc>
          <w:tcPr>
            <w:tcW w:w="34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r>
      <w:tr>
        <w:trPr>
          <w:trHeight w:val="129"/>
        </w:trPr>
        <w:tc>
          <w:tcPr>
            <w:tcW w:w="5620" w:type="dxa"/>
            <w:vAlign w:val="bottom"/>
            <w:gridSpan w:val="2"/>
            <w:shd w:val="clear" w:color="auto" w:fill="CCEEFF"/>
          </w:tcPr>
          <w:p>
            <w:pPr>
              <w:ind w:left="60"/>
              <w:spacing w:after="0" w:line="129" w:lineRule="exact"/>
              <w:rPr>
                <w:sz w:val="20"/>
                <w:szCs w:val="20"/>
                <w:color w:val="auto"/>
              </w:rPr>
            </w:pPr>
            <w:r>
              <w:rPr>
                <w:rFonts w:ascii="Arial" w:cs="Arial" w:eastAsia="Arial" w:hAnsi="Arial"/>
                <w:sz w:val="14"/>
                <w:szCs w:val="14"/>
                <w:b w:val="1"/>
                <w:bCs w:val="1"/>
                <w:color w:val="auto"/>
              </w:rPr>
              <w:t>Reconciliation of Adjusted Income from Continuing Operations to Income from</w:t>
            </w: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75"/>
        </w:trPr>
        <w:tc>
          <w:tcPr>
            <w:tcW w:w="56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Continuing Operations</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62"/>
        </w:trPr>
        <w:tc>
          <w:tcPr>
            <w:tcW w:w="5620" w:type="dxa"/>
            <w:vAlign w:val="bottom"/>
            <w:gridSpan w:val="2"/>
          </w:tcPr>
          <w:p>
            <w:pPr>
              <w:ind w:left="60"/>
              <w:spacing w:after="0"/>
              <w:rPr>
                <w:sz w:val="20"/>
                <w:szCs w:val="20"/>
                <w:color w:val="auto"/>
              </w:rPr>
            </w:pPr>
            <w:r>
              <w:rPr>
                <w:rFonts w:ascii="Arial" w:cs="Arial" w:eastAsia="Arial" w:hAnsi="Arial"/>
                <w:sz w:val="14"/>
                <w:szCs w:val="14"/>
                <w:color w:val="auto"/>
              </w:rPr>
              <w:t>Adjusted income from continuing operations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29.2</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99.2</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92.9</w:t>
            </w:r>
          </w:p>
        </w:tc>
      </w:tr>
      <w:tr>
        <w:trPr>
          <w:trHeight w:val="21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Items impacting comparability:</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9"/>
        </w:trPr>
        <w:tc>
          <w:tcPr>
            <w:tcW w:w="562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Gain from equity investment</w:t>
            </w:r>
            <w:r>
              <w:rPr>
                <w:rFonts w:ascii="Arial" w:cs="Arial" w:eastAsia="Arial" w:hAnsi="Arial"/>
                <w:sz w:val="21"/>
                <w:szCs w:val="21"/>
                <w:color w:val="auto"/>
                <w:vertAlign w:val="superscript"/>
              </w:rPr>
              <w:t>(a)</w:t>
            </w: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56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3"/>
                <w:szCs w:val="13"/>
                <w:color w:val="auto"/>
              </w:rPr>
              <w:t>CEO/CFO change</w:t>
            </w:r>
            <w:r>
              <w:rPr>
                <w:rFonts w:ascii="Arial" w:cs="Arial" w:eastAsia="Arial" w:hAnsi="Arial"/>
                <w:sz w:val="21"/>
                <w:szCs w:val="21"/>
                <w:color w:val="auto"/>
                <w:vertAlign w:val="superscript"/>
              </w:rPr>
              <w:t>(b)</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62"/>
        </w:trPr>
        <w:tc>
          <w:tcPr>
            <w:tcW w:w="5620" w:type="dxa"/>
            <w:vAlign w:val="bottom"/>
            <w:gridSpan w:val="2"/>
          </w:tcPr>
          <w:p>
            <w:pPr>
              <w:ind w:left="180"/>
              <w:spacing w:after="0"/>
              <w:rPr>
                <w:sz w:val="20"/>
                <w:szCs w:val="20"/>
                <w:color w:val="auto"/>
              </w:rPr>
            </w:pPr>
            <w:r>
              <w:rPr>
                <w:rFonts w:ascii="Arial" w:cs="Arial" w:eastAsia="Arial" w:hAnsi="Arial"/>
                <w:sz w:val="14"/>
                <w:szCs w:val="14"/>
                <w:color w:val="auto"/>
              </w:rPr>
              <w:t>Self- insurance adjustment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(38.9)</w:t>
            </w:r>
          </w:p>
        </w:tc>
      </w:tr>
      <w:tr>
        <w:trPr>
          <w:trHeight w:val="162"/>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Rebranding</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89"/>
        </w:trPr>
        <w:tc>
          <w:tcPr>
            <w:tcW w:w="562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U.S. Foreign Corrupt Practices Act investigation</w:t>
            </w:r>
            <w:r>
              <w:rPr>
                <w:rFonts w:ascii="Arial" w:cs="Arial" w:eastAsia="Arial" w:hAnsi="Arial"/>
                <w:sz w:val="21"/>
                <w:szCs w:val="21"/>
                <w:color w:val="auto"/>
                <w:vertAlign w:val="superscript"/>
              </w:rPr>
              <w:t>(c)</w:t>
            </w:r>
          </w:p>
        </w:tc>
        <w:tc>
          <w:tcPr>
            <w:tcW w:w="2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62"/>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Onsite realignment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9"/>
        </w:trPr>
        <w:tc>
          <w:tcPr>
            <w:tcW w:w="562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Restructuring and related</w:t>
            </w:r>
            <w:r>
              <w:rPr>
                <w:rFonts w:ascii="Arial" w:cs="Arial" w:eastAsia="Arial" w:hAnsi="Arial"/>
                <w:sz w:val="21"/>
                <w:szCs w:val="21"/>
                <w:color w:val="auto"/>
                <w:vertAlign w:val="superscript"/>
              </w:rPr>
              <w:t>(d)</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62"/>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Acquisition costs</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89"/>
        </w:trPr>
        <w:tc>
          <w:tcPr>
            <w:tcW w:w="562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Litigation and other settlements</w:t>
            </w:r>
            <w:r>
              <w:rPr>
                <w:rFonts w:ascii="Arial" w:cs="Arial" w:eastAsia="Arial" w:hAnsi="Arial"/>
                <w:sz w:val="21"/>
                <w:szCs w:val="21"/>
                <w:color w:val="auto"/>
                <w:vertAlign w:val="superscript"/>
              </w:rPr>
              <w:t>(e)</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7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Impairment loss on Government business</w:t>
            </w:r>
          </w:p>
        </w:tc>
        <w:tc>
          <w:tcPr>
            <w:tcW w:w="2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6"/>
        </w:trPr>
        <w:tc>
          <w:tcPr>
            <w:tcW w:w="56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Total items impacting comparability</w:t>
            </w:r>
          </w:p>
        </w:tc>
        <w:tc>
          <w:tcPr>
            <w:tcW w:w="2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(34.2)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(15.2)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(93.5)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(66.3)</w:t>
            </w:r>
          </w:p>
        </w:tc>
      </w:tr>
      <w:tr>
        <w:trPr>
          <w:trHeight w:val="203"/>
        </w:trPr>
        <w:tc>
          <w:tcPr>
            <w:tcW w:w="56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4"/>
                <w:szCs w:val="14"/>
                <w:color w:val="auto"/>
              </w:rPr>
              <w:t>Income tax benefit</w:t>
            </w:r>
            <w:r>
              <w:rPr>
                <w:rFonts w:ascii="Arial" w:cs="Arial" w:eastAsia="Arial" w:hAnsi="Arial"/>
                <w:sz w:val="23"/>
                <w:szCs w:val="23"/>
                <w:color w:val="auto"/>
                <w:vertAlign w:val="superscript"/>
              </w:rPr>
              <w:t>(f)</w:t>
            </w: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r>
      <w:tr>
        <w:trPr>
          <w:trHeight w:val="156"/>
        </w:trPr>
        <w:tc>
          <w:tcPr>
            <w:tcW w:w="5620" w:type="dxa"/>
            <w:vAlign w:val="bottom"/>
            <w:tcBorders>
              <w:bottom w:val="single" w:sz="8" w:color="CCEEFF"/>
            </w:tcBorders>
            <w:gridSpan w:val="2"/>
          </w:tcPr>
          <w:p>
            <w:pPr>
              <w:ind w:left="60"/>
              <w:spacing w:after="0" w:line="155" w:lineRule="exact"/>
              <w:rPr>
                <w:sz w:val="20"/>
                <w:szCs w:val="20"/>
                <w:color w:val="auto"/>
              </w:rPr>
            </w:pPr>
            <w:r>
              <w:rPr>
                <w:rFonts w:ascii="Arial" w:cs="Arial" w:eastAsia="Arial" w:hAnsi="Arial"/>
                <w:sz w:val="14"/>
                <w:szCs w:val="14"/>
                <w:color w:val="auto"/>
              </w:rPr>
              <w:t>Items impacting comparability, net of taxes</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(38.8)</w:t>
            </w:r>
          </w:p>
        </w:tc>
      </w:tr>
      <w:tr>
        <w:trPr>
          <w:trHeight w:val="169"/>
        </w:trPr>
        <w:tc>
          <w:tcPr>
            <w:tcW w:w="562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Income from continuing operations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288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Three Months Ended October 31,</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Years Ended October 31,</w:t>
            </w:r>
          </w:p>
        </w:tc>
      </w:tr>
      <w:tr>
        <w:trPr>
          <w:trHeight w:val="196"/>
        </w:trPr>
        <w:tc>
          <w:tcPr>
            <w:tcW w:w="56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r>
      <w:tr>
        <w:trPr>
          <w:trHeight w:val="210"/>
        </w:trPr>
        <w:tc>
          <w:tcPr>
            <w:tcW w:w="562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Reconciliation of Adjusted EBITDA to Net Income</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62"/>
        </w:trPr>
        <w:tc>
          <w:tcPr>
            <w:tcW w:w="5620" w:type="dxa"/>
            <w:vAlign w:val="bottom"/>
          </w:tcPr>
          <w:p>
            <w:pPr>
              <w:ind w:left="60"/>
              <w:spacing w:after="0"/>
              <w:rPr>
                <w:sz w:val="20"/>
                <w:szCs w:val="20"/>
                <w:color w:val="auto"/>
              </w:rPr>
            </w:pPr>
            <w:r>
              <w:rPr>
                <w:rFonts w:ascii="Arial" w:cs="Arial" w:eastAsia="Arial" w:hAnsi="Arial"/>
                <w:sz w:val="14"/>
                <w:szCs w:val="14"/>
                <w:color w:val="auto"/>
              </w:rPr>
              <w:t>Adjusted EBITDA</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61.5</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69.4</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212.2</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206.0</w:t>
            </w:r>
          </w:p>
        </w:tc>
      </w:tr>
      <w:tr>
        <w:trPr>
          <w:trHeight w:val="162"/>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Items impacting comparability</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r>
      <w:tr>
        <w:trPr>
          <w:trHeight w:val="162"/>
        </w:trPr>
        <w:tc>
          <w:tcPr>
            <w:tcW w:w="5620" w:type="dxa"/>
            <w:vAlign w:val="bottom"/>
          </w:tcPr>
          <w:p>
            <w:pPr>
              <w:ind w:left="180"/>
              <w:spacing w:after="0"/>
              <w:rPr>
                <w:sz w:val="20"/>
                <w:szCs w:val="20"/>
                <w:color w:val="auto"/>
              </w:rPr>
            </w:pPr>
            <w:r>
              <w:rPr>
                <w:rFonts w:ascii="Arial" w:cs="Arial" w:eastAsia="Arial" w:hAnsi="Arial"/>
                <w:sz w:val="14"/>
                <w:szCs w:val="14"/>
                <w:color w:val="auto"/>
              </w:rPr>
              <w:t>Net (loss) income from discontinued operations</w:t>
            </w:r>
          </w:p>
        </w:tc>
        <w:tc>
          <w:tcPr>
            <w:tcW w:w="9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22.2</w:t>
            </w:r>
          </w:p>
        </w:tc>
      </w:tr>
      <w:tr>
        <w:trPr>
          <w:trHeight w:val="162"/>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(provision) benefit</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89"/>
        </w:trPr>
        <w:tc>
          <w:tcPr>
            <w:tcW w:w="5620" w:type="dxa"/>
            <w:vAlign w:val="bottom"/>
          </w:tcPr>
          <w:p>
            <w:pPr>
              <w:ind w:left="180"/>
              <w:spacing w:after="0" w:line="189" w:lineRule="exact"/>
              <w:rPr>
                <w:sz w:val="20"/>
                <w:szCs w:val="20"/>
                <w:color w:val="auto"/>
              </w:rPr>
            </w:pPr>
            <w:r>
              <w:rPr>
                <w:rFonts w:ascii="Arial" w:cs="Arial" w:eastAsia="Arial" w:hAnsi="Arial"/>
                <w:sz w:val="13"/>
                <w:szCs w:val="13"/>
                <w:color w:val="auto"/>
              </w:rPr>
              <w:t>Interest income from energy efficient government buildings</w:t>
            </w:r>
            <w:r>
              <w:rPr>
                <w:rFonts w:ascii="Arial" w:cs="Arial" w:eastAsia="Arial" w:hAnsi="Arial"/>
                <w:sz w:val="21"/>
                <w:szCs w:val="21"/>
                <w:color w:val="auto"/>
                <w:vertAlign w:val="superscript"/>
              </w:rPr>
              <w:t>(g)</w:t>
            </w:r>
          </w:p>
        </w:tc>
        <w:tc>
          <w:tcPr>
            <w:tcW w:w="90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2"/>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76"/>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Depreciation and amortization</w:t>
            </w: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r>
      <w:tr>
        <w:trPr>
          <w:trHeight w:val="169"/>
        </w:trPr>
        <w:tc>
          <w:tcPr>
            <w:tcW w:w="562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Net income</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288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Three Months Ended October 31,</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Years Ended October 31,</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29"/>
        </w:trPr>
        <w:tc>
          <w:tcPr>
            <w:tcW w:w="5620" w:type="dxa"/>
            <w:vAlign w:val="bottom"/>
            <w:shd w:val="clear" w:color="auto" w:fill="CCEEFF"/>
          </w:tcPr>
          <w:p>
            <w:pPr>
              <w:ind w:left="60"/>
              <w:spacing w:after="0" w:line="129" w:lineRule="exact"/>
              <w:rPr>
                <w:sz w:val="20"/>
                <w:szCs w:val="20"/>
                <w:color w:val="auto"/>
              </w:rPr>
            </w:pPr>
            <w:r>
              <w:rPr>
                <w:rFonts w:ascii="Arial" w:cs="Arial" w:eastAsia="Arial" w:hAnsi="Arial"/>
                <w:sz w:val="14"/>
                <w:szCs w:val="14"/>
                <w:b w:val="1"/>
                <w:bCs w:val="1"/>
                <w:color w:val="auto"/>
              </w:rPr>
              <w:t>Reconciliation of Adjusted Income from Continuing Operations per Diluted</w:t>
            </w: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60"/>
              <w:spacing w:after="0"/>
              <w:rPr>
                <w:sz w:val="20"/>
                <w:szCs w:val="20"/>
                <w:color w:val="auto"/>
              </w:rPr>
            </w:pPr>
            <w:r>
              <w:rPr>
                <w:rFonts w:ascii="Arial" w:cs="Arial" w:eastAsia="Arial" w:hAnsi="Arial"/>
                <w:sz w:val="14"/>
                <w:szCs w:val="14"/>
                <w:b w:val="1"/>
                <w:bCs w:val="1"/>
                <w:color w:val="auto"/>
              </w:rPr>
              <w:t>Share to Income from Continuing Operations per Diluted Share</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60"/>
              <w:spacing w:after="0"/>
              <w:rPr>
                <w:sz w:val="20"/>
                <w:szCs w:val="20"/>
                <w:color w:val="auto"/>
              </w:rPr>
            </w:pPr>
            <w:r>
              <w:rPr>
                <w:rFonts w:ascii="Arial" w:cs="Arial" w:eastAsia="Arial" w:hAnsi="Arial"/>
                <w:sz w:val="14"/>
                <w:szCs w:val="14"/>
                <w:color w:val="auto"/>
              </w:rPr>
              <w:t>Adjusted income from continuing operations per diluted share</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0.51</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0.55</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Items impacting comparability, net of taxes</w:t>
            </w:r>
          </w:p>
        </w:tc>
        <w:tc>
          <w:tcPr>
            <w:tcW w:w="9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169"/>
        </w:trPr>
        <w:tc>
          <w:tcPr>
            <w:tcW w:w="5620" w:type="dxa"/>
            <w:vAlign w:val="bottom"/>
          </w:tcPr>
          <w:p>
            <w:pPr>
              <w:ind w:left="60"/>
              <w:spacing w:after="0" w:line="157" w:lineRule="exact"/>
              <w:rPr>
                <w:sz w:val="20"/>
                <w:szCs w:val="20"/>
                <w:color w:val="auto"/>
              </w:rPr>
            </w:pPr>
            <w:r>
              <w:rPr>
                <w:rFonts w:ascii="Arial" w:cs="Arial" w:eastAsia="Arial" w:hAnsi="Arial"/>
                <w:sz w:val="14"/>
                <w:szCs w:val="14"/>
                <w:color w:val="auto"/>
              </w:rPr>
              <w:t>Income from continuing operations per diluted share</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0.16</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0.39</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60"/>
              <w:spacing w:after="0"/>
              <w:rPr>
                <w:sz w:val="20"/>
                <w:szCs w:val="20"/>
                <w:color w:val="auto"/>
              </w:rPr>
            </w:pPr>
            <w:r>
              <w:rPr>
                <w:rFonts w:ascii="Arial" w:cs="Arial" w:eastAsia="Arial" w:hAnsi="Arial"/>
                <w:sz w:val="14"/>
                <w:szCs w:val="14"/>
                <w:color w:val="auto"/>
              </w:rPr>
              <w:t>Diluted shares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jc w:val="right"/>
              <w:ind w:right="48"/>
              <w:spacing w:after="0" w:line="142" w:lineRule="exact"/>
              <w:rPr>
                <w:sz w:val="20"/>
                <w:szCs w:val="20"/>
                <w:color w:val="auto"/>
              </w:rPr>
            </w:pPr>
            <w:r>
              <w:rPr>
                <w:rFonts w:ascii="Arial" w:cs="Arial" w:eastAsia="Arial" w:hAnsi="Arial"/>
                <w:sz w:val="14"/>
                <w:szCs w:val="14"/>
                <w:color w:val="auto"/>
              </w:rPr>
              <w:t>56.9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28"/>
              <w:spacing w:after="0" w:line="142" w:lineRule="exact"/>
              <w:rPr>
                <w:sz w:val="20"/>
                <w:szCs w:val="20"/>
                <w:color w:val="auto"/>
              </w:rPr>
            </w:pPr>
            <w:r>
              <w:rPr>
                <w:rFonts w:ascii="Arial" w:cs="Arial" w:eastAsia="Arial" w:hAnsi="Arial"/>
                <w:sz w:val="14"/>
                <w:szCs w:val="14"/>
                <w:color w:val="auto"/>
              </w:rPr>
              <w:t>57.5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28"/>
              <w:spacing w:after="0" w:line="142" w:lineRule="exact"/>
              <w:rPr>
                <w:sz w:val="20"/>
                <w:szCs w:val="20"/>
                <w:color w:val="auto"/>
              </w:rPr>
            </w:pPr>
            <w:r>
              <w:rPr>
                <w:rFonts w:ascii="Arial" w:cs="Arial" w:eastAsia="Arial" w:hAnsi="Arial"/>
                <w:sz w:val="14"/>
                <w:szCs w:val="14"/>
                <w:color w:val="auto"/>
              </w:rPr>
              <w:t>56.9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28"/>
              <w:spacing w:after="0" w:line="142" w:lineRule="exact"/>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ind w:left="160" w:hanging="152"/>
        <w:spacing w:after="0" w:line="216"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The Company's share of a gain associated with property sales completed by one of its investments in a low income housing partnership.</w:t>
      </w:r>
    </w:p>
    <w:p>
      <w:pPr>
        <w:spacing w:after="0" w:line="171"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Represents severance and other costs related to the departure of our former CEO and CFO.</w:t>
      </w:r>
    </w:p>
    <w:p>
      <w:pPr>
        <w:spacing w:after="0" w:line="159"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4"/>
        </w:numPr>
        <w:rPr>
          <w:rFonts w:ascii="Arial" w:cs="Arial" w:eastAsia="Arial" w:hAnsi="Arial"/>
          <w:sz w:val="19"/>
          <w:szCs w:val="19"/>
          <w:color w:val="auto"/>
          <w:vertAlign w:val="superscript"/>
        </w:rPr>
      </w:pPr>
      <w:r>
        <w:rPr>
          <w:rFonts w:ascii="Arial" w:cs="Arial" w:eastAsia="Arial" w:hAnsi="Arial"/>
          <w:sz w:val="12"/>
          <w:szCs w:val="12"/>
          <w:color w:val="auto"/>
        </w:rPr>
        <w:t>Represents legal and other cost incurred in connection with an internal investigation into a foreign entity affiliated with a former joint venture partner.</w:t>
      </w:r>
    </w:p>
    <w:p>
      <w:pPr>
        <w:spacing w:after="0" w:line="171"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Represents costs for 2020 Vision Transformation Initiative, net of the reversal of certain share-based compensation costs.</w:t>
      </w:r>
    </w:p>
    <w:p>
      <w:pPr>
        <w:spacing w:after="0" w:line="226" w:lineRule="exact"/>
        <w:rPr>
          <w:rFonts w:ascii="Arial" w:cs="Arial" w:eastAsia="Arial" w:hAnsi="Arial"/>
          <w:sz w:val="18"/>
          <w:szCs w:val="18"/>
          <w:color w:val="auto"/>
          <w:vertAlign w:val="superscript"/>
        </w:rPr>
      </w:pPr>
    </w:p>
    <w:p>
      <w:pPr>
        <w:ind w:firstLine="8"/>
        <w:spacing w:after="0" w:line="206" w:lineRule="auto"/>
        <w:tabs>
          <w:tab w:leader="none" w:pos="157"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Full year 2016 amount includes costs related to a reserve established for an outstanding client receivable that is being litigated, and based on recent unfavorable developments, a significant portion of the outstanding receivable amount is no longer deemed collectible.</w:t>
      </w:r>
    </w:p>
    <w:p>
      <w:pPr>
        <w:spacing w:after="0" w:line="162" w:lineRule="exact"/>
        <w:rPr>
          <w:rFonts w:ascii="Arial" w:cs="Arial" w:eastAsia="Arial" w:hAnsi="Arial"/>
          <w:sz w:val="18"/>
          <w:szCs w:val="18"/>
          <w:color w:val="auto"/>
          <w:vertAlign w:val="superscript"/>
        </w:rPr>
      </w:pPr>
    </w:p>
    <w:p>
      <w:pPr>
        <w:ind w:left="140" w:hanging="132"/>
        <w:spacing w:after="0"/>
        <w:tabs>
          <w:tab w:leader="none" w:pos="140"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Full year 2016 amount includes a tax benefit of $18.4 million, primarily related to expiring statutes of limitations.</w:t>
      </w:r>
    </w:p>
    <w:p>
      <w:pPr>
        <w:spacing w:after="0" w:line="184" w:lineRule="exact"/>
        <w:rPr>
          <w:rFonts w:ascii="Arial" w:cs="Arial" w:eastAsia="Arial" w:hAnsi="Arial"/>
          <w:sz w:val="20"/>
          <w:szCs w:val="20"/>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Adjusted EBITDA does not include interest income for certain long term energy contracts, in which case a gross up of both interest income and interest expense is being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ABM INDUSTRIES INCORPORATED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2017 GUIDANCE</w:t>
      </w:r>
    </w:p>
    <w:p>
      <w:pPr>
        <w:spacing w:after="0" w:line="262" w:lineRule="exact"/>
        <w:rPr>
          <w:sz w:val="20"/>
          <w:szCs w:val="20"/>
          <w:color w:val="auto"/>
        </w:rPr>
      </w:pPr>
    </w:p>
    <w:p>
      <w:pPr>
        <w:ind w:left="8960"/>
        <w:spacing w:after="0"/>
        <w:rPr>
          <w:sz w:val="20"/>
          <w:szCs w:val="20"/>
          <w:color w:val="auto"/>
        </w:rPr>
      </w:pPr>
      <w:r>
        <w:rPr>
          <w:rFonts w:ascii="Arial" w:cs="Arial" w:eastAsia="Arial" w:hAnsi="Arial"/>
          <w:sz w:val="15"/>
          <w:szCs w:val="15"/>
          <w:b w:val="1"/>
          <w:bCs w:val="1"/>
          <w:color w:val="auto"/>
        </w:rPr>
        <w:t>Year Ended October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6985</wp:posOffset>
            </wp:positionV>
            <wp:extent cx="1800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Low Estimate</w:t>
            </w:r>
          </w:p>
        </w:tc>
        <w:tc>
          <w:tcPr>
            <w:tcW w:w="160" w:type="dxa"/>
            <w:vAlign w:val="bottom"/>
          </w:tcPr>
          <w:p>
            <w:pPr>
              <w:spacing w:after="0"/>
              <w:rPr>
                <w:sz w:val="15"/>
                <w:szCs w:val="15"/>
                <w:color w:val="auto"/>
              </w:rPr>
            </w:pPr>
          </w:p>
        </w:tc>
        <w:tc>
          <w:tcPr>
            <w:tcW w:w="1200" w:type="dxa"/>
            <w:vAlign w:val="bottom"/>
          </w:tcPr>
          <w:p>
            <w:pPr>
              <w:jc w:val="right"/>
              <w:ind w:right="121"/>
              <w:spacing w:after="0"/>
              <w:rPr>
                <w:sz w:val="20"/>
                <w:szCs w:val="20"/>
                <w:color w:val="auto"/>
              </w:rPr>
            </w:pPr>
            <w:r>
              <w:rPr>
                <w:rFonts w:ascii="Arial" w:cs="Arial" w:eastAsia="Arial" w:hAnsi="Arial"/>
                <w:sz w:val="14"/>
                <w:szCs w:val="14"/>
                <w:b w:val="1"/>
                <w:bCs w:val="1"/>
                <w:color w:val="auto"/>
              </w:rPr>
              <w:t>High Estimate</w:t>
            </w:r>
          </w:p>
        </w:tc>
      </w:tr>
      <w:tr>
        <w:trPr>
          <w:trHeight w:val="151"/>
        </w:trPr>
        <w:tc>
          <w:tcPr>
            <w:tcW w:w="8360" w:type="dxa"/>
            <w:vAlign w:val="bottom"/>
            <w:tcBorders>
              <w:top w:val="single" w:sz="8" w:color="CCEEFF"/>
            </w:tcBorders>
            <w:shd w:val="clear" w:color="auto" w:fill="CCEEFF"/>
          </w:tcPr>
          <w:p>
            <w:pPr>
              <w:ind w:left="60"/>
              <w:spacing w:after="0" w:line="151" w:lineRule="exact"/>
              <w:rPr>
                <w:sz w:val="20"/>
                <w:szCs w:val="20"/>
                <w:color w:val="auto"/>
              </w:rPr>
            </w:pPr>
            <w:r>
              <w:rPr>
                <w:rFonts w:ascii="Arial" w:cs="Arial" w:eastAsia="Arial" w:hAnsi="Arial"/>
                <w:sz w:val="16"/>
                <w:szCs w:val="16"/>
                <w:b w:val="1"/>
                <w:bCs w:val="1"/>
                <w:color w:val="auto"/>
              </w:rPr>
              <w:t>Reconciliation of Estimated Adjusted Income from Continuing Operations per Diluted Share to Estimated</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r>
      <w:tr>
        <w:trPr>
          <w:trHeight w:val="207"/>
        </w:trPr>
        <w:tc>
          <w:tcPr>
            <w:tcW w:w="836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Income from Continuing Operations per Diluted Share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360" w:type="dxa"/>
            <w:vAlign w:val="bottom"/>
          </w:tcPr>
          <w:p>
            <w:pPr>
              <w:ind w:left="60"/>
              <w:spacing w:after="0" w:line="230" w:lineRule="exact"/>
              <w:rPr>
                <w:sz w:val="20"/>
                <w:szCs w:val="20"/>
                <w:color w:val="auto"/>
              </w:rPr>
            </w:pPr>
            <w:r>
              <w:rPr>
                <w:rFonts w:ascii="Arial" w:cs="Arial" w:eastAsia="Arial" w:hAnsi="Arial"/>
                <w:sz w:val="16"/>
                <w:szCs w:val="16"/>
                <w:color w:val="auto"/>
              </w:rPr>
              <w:t>Adjusted income from continuing operations per diluted share</w:t>
            </w:r>
            <w:r>
              <w:rPr>
                <w:rFonts w:ascii="Arial" w:cs="Arial" w:eastAsia="Arial" w:hAnsi="Arial"/>
                <w:sz w:val="26"/>
                <w:szCs w:val="26"/>
                <w:color w:val="auto"/>
                <w:vertAlign w:val="superscript"/>
              </w:rPr>
              <w:t>(a)</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1.90</w:t>
            </w:r>
          </w:p>
        </w:tc>
      </w:tr>
      <w:tr>
        <w:trPr>
          <w:trHeight w:val="243"/>
        </w:trPr>
        <w:tc>
          <w:tcPr>
            <w:tcW w:w="8360" w:type="dxa"/>
            <w:vAlign w:val="bottom"/>
            <w:shd w:val="clear" w:color="auto" w:fill="CCEEFF"/>
          </w:tcPr>
          <w:p>
            <w:pPr>
              <w:ind w:left="60"/>
              <w:spacing w:after="0" w:line="242" w:lineRule="exact"/>
              <w:rPr>
                <w:sz w:val="20"/>
                <w:szCs w:val="20"/>
                <w:color w:val="auto"/>
              </w:rPr>
            </w:pPr>
            <w:r>
              <w:rPr>
                <w:rFonts w:ascii="Arial" w:cs="Arial" w:eastAsia="Arial" w:hAnsi="Arial"/>
                <w:sz w:val="16"/>
                <w:szCs w:val="16"/>
                <w:color w:val="auto"/>
              </w:rPr>
              <w:t>Adjustments</w:t>
            </w:r>
            <w:r>
              <w:rPr>
                <w:rFonts w:ascii="Arial" w:cs="Arial" w:eastAsia="Arial" w:hAnsi="Arial"/>
                <w:sz w:val="27"/>
                <w:szCs w:val="27"/>
                <w:color w:val="auto"/>
                <w:vertAlign w:val="superscript"/>
              </w:rPr>
              <w:t>(b)</w:t>
            </w:r>
          </w:p>
        </w:tc>
        <w:tc>
          <w:tcPr>
            <w:tcW w:w="2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r>
      <w:tr>
        <w:trPr>
          <w:trHeight w:val="237"/>
        </w:trPr>
        <w:tc>
          <w:tcPr>
            <w:tcW w:w="8360" w:type="dxa"/>
            <w:vAlign w:val="bottom"/>
          </w:tcPr>
          <w:p>
            <w:pPr>
              <w:ind w:left="60"/>
              <w:spacing w:after="0" w:line="236" w:lineRule="exact"/>
              <w:rPr>
                <w:sz w:val="20"/>
                <w:szCs w:val="20"/>
                <w:color w:val="auto"/>
              </w:rPr>
            </w:pPr>
            <w:r>
              <w:rPr>
                <w:rFonts w:ascii="Arial" w:cs="Arial" w:eastAsia="Arial" w:hAnsi="Arial"/>
                <w:sz w:val="16"/>
                <w:szCs w:val="16"/>
                <w:color w:val="auto"/>
              </w:rPr>
              <w:t>Income from continuing operations per diluted share</w:t>
            </w:r>
            <w:r>
              <w:rPr>
                <w:rFonts w:ascii="Arial" w:cs="Arial" w:eastAsia="Arial" w:hAnsi="Arial"/>
                <w:sz w:val="27"/>
                <w:szCs w:val="27"/>
                <w:color w:val="auto"/>
                <w:vertAlign w:val="superscript"/>
              </w:rPr>
              <w:t>(a)</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1.50</w:t>
            </w:r>
          </w:p>
        </w:tc>
      </w:tr>
      <w:tr>
        <w:trPr>
          <w:trHeight w:val="20"/>
        </w:trPr>
        <w:tc>
          <w:tcPr>
            <w:tcW w:w="8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firstLine="8"/>
        <w:spacing w:after="0" w:line="188" w:lineRule="auto"/>
        <w:tabs>
          <w:tab w:leader="none" w:pos="196"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With the exception of the 2017 Work Opportunity Tax Credits, this guidance does not include any potential benefits associated with certain other discrete tax items and other unrecognized tax benefits.</w:t>
      </w:r>
    </w:p>
    <w:p>
      <w:pPr>
        <w:spacing w:after="0" w:line="233" w:lineRule="exact"/>
        <w:rPr>
          <w:rFonts w:ascii="Arial" w:cs="Arial" w:eastAsia="Arial" w:hAnsi="Arial"/>
          <w:sz w:val="23"/>
          <w:szCs w:val="23"/>
          <w:color w:val="auto"/>
          <w:vertAlign w:val="superscript"/>
        </w:rPr>
      </w:pPr>
    </w:p>
    <w:p>
      <w:pPr>
        <w:ind w:right="20" w:firstLine="8"/>
        <w:spacing w:after="0" w:line="199" w:lineRule="auto"/>
        <w:tabs>
          <w:tab w:leader="none" w:pos="194" w:val="left"/>
        </w:tabs>
        <w:numPr>
          <w:ilvl w:val="0"/>
          <w:numId w:val="5"/>
        </w:numPr>
        <w:rPr>
          <w:rFonts w:ascii="Arial" w:cs="Arial" w:eastAsia="Arial" w:hAnsi="Arial"/>
          <w:sz w:val="22"/>
          <w:szCs w:val="22"/>
          <w:color w:val="auto"/>
          <w:vertAlign w:val="superscript"/>
        </w:rPr>
      </w:pPr>
      <w:r>
        <w:rPr>
          <w:rFonts w:ascii="Arial" w:cs="Arial" w:eastAsia="Arial" w:hAnsi="Arial"/>
          <w:sz w:val="13"/>
          <w:szCs w:val="13"/>
          <w:color w:val="auto"/>
        </w:rPr>
        <w:t>Adjustments include costs associated with the strategic review and realignment, legal settlements, adjustments to self-insurance reserves pertaining to prior year's claims and other unique items impacting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7" w:name="page18"/>
    <w:bookmarkEnd w:id="17"/>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5737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28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728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54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54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737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855"/>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2019-12-05T18:05:33Z</dcterms:created>
  <dcterms:modified xsi:type="dcterms:W3CDTF">2019-12-05T18:05:33Z</dcterms:modified>
</cp:coreProperties>
</file>