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142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0"/>
          <w:szCs w:val="20"/>
          <w:color w:val="auto"/>
        </w:rPr>
      </w:pPr>
    </w:p>
    <w:p>
      <w:pPr>
        <w:jc w:val="center"/>
        <w:ind w:right="142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ind w:right="1420"/>
        <w:spacing w:after="0"/>
        <w:rPr>
          <w:sz w:val="20"/>
          <w:szCs w:val="20"/>
          <w:color w:val="auto"/>
        </w:rPr>
      </w:pPr>
      <w:r>
        <w:rPr>
          <w:rFonts w:ascii="Arial" w:cs="Arial" w:eastAsia="Arial" w:hAnsi="Arial"/>
          <w:sz w:val="22"/>
          <w:szCs w:val="22"/>
          <w:b w:val="1"/>
          <w:bCs w:val="1"/>
          <w:color w:val="auto"/>
        </w:rPr>
        <w:t>WASHINGTON, D.C. 20549</w:t>
      </w:r>
    </w:p>
    <w:p>
      <w:pPr>
        <w:spacing w:after="0" w:line="149" w:lineRule="exact"/>
        <w:rPr>
          <w:sz w:val="20"/>
          <w:szCs w:val="20"/>
          <w:color w:val="auto"/>
        </w:rPr>
      </w:pPr>
    </w:p>
    <w:p>
      <w:pPr>
        <w:ind w:left="4120"/>
        <w:spacing w:after="0"/>
        <w:rPr>
          <w:sz w:val="20"/>
          <w:szCs w:val="20"/>
          <w:color w:val="auto"/>
        </w:rPr>
      </w:pPr>
      <w:r>
        <w:rPr>
          <w:rFonts w:ascii="Arial" w:cs="Arial" w:eastAsia="Arial" w:hAnsi="Arial"/>
          <w:sz w:val="32"/>
          <w:szCs w:val="32"/>
          <w:b w:val="1"/>
          <w:bCs w:val="1"/>
          <w:color w:val="auto"/>
        </w:rPr>
        <w:t>FORM 10-Q</w:t>
      </w:r>
    </w:p>
    <w:p>
      <w:pPr>
        <w:spacing w:after="0" w:line="216" w:lineRule="exact"/>
        <w:rPr>
          <w:sz w:val="20"/>
          <w:szCs w:val="20"/>
          <w:color w:val="auto"/>
        </w:rPr>
      </w:pPr>
    </w:p>
    <w:p>
      <w:pPr>
        <w:ind w:left="1460" w:right="2920" w:hanging="890"/>
        <w:spacing w:after="0" w:line="261"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1"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April 30, 2010</w:t>
      </w:r>
    </w:p>
    <w:p>
      <w:pPr>
        <w:spacing w:after="0" w:line="171"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OR</w:t>
      </w:r>
    </w:p>
    <w:p>
      <w:pPr>
        <w:spacing w:after="0" w:line="189" w:lineRule="exact"/>
        <w:rPr>
          <w:sz w:val="20"/>
          <w:szCs w:val="20"/>
          <w:color w:val="auto"/>
        </w:rPr>
      </w:pPr>
    </w:p>
    <w:p>
      <w:pPr>
        <w:ind w:left="1460" w:right="2940" w:hanging="850"/>
        <w:spacing w:after="0" w:line="261"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0"/>
          <w:szCs w:val="20"/>
          <w:color w:val="auto"/>
        </w:rPr>
      </w:pPr>
    </w:p>
    <w:p>
      <w:pPr>
        <w:ind w:left="2580"/>
        <w:spacing w:after="0"/>
        <w:tabs>
          <w:tab w:leader="none" w:pos="6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-5080</wp:posOffset>
            </wp:positionV>
            <wp:extent cx="1441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1450" cy="8890"/>
                    </a:xfrm>
                    <a:prstGeom prst="rect">
                      <a:avLst/>
                    </a:prstGeom>
                    <a:noFill/>
                  </pic:spPr>
                </pic:pic>
              </a:graphicData>
            </a:graphic>
          </wp:anchor>
        </w:drawing>
      </w:r>
    </w:p>
    <w:p>
      <w:pPr>
        <w:spacing w:after="0" w:line="151"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141" w:lineRule="exact"/>
        <w:rPr>
          <w:sz w:val="20"/>
          <w:szCs w:val="20"/>
          <w:color w:val="auto"/>
        </w:rPr>
      </w:pPr>
    </w:p>
    <w:p>
      <w:pPr>
        <w:jc w:val="center"/>
        <w:ind w:right="1420"/>
        <w:spacing w:after="0"/>
        <w:rPr>
          <w:sz w:val="20"/>
          <w:szCs w:val="20"/>
          <w:color w:val="auto"/>
        </w:rPr>
      </w:pPr>
      <w:r>
        <w:rPr>
          <w:rFonts w:ascii="Arial" w:cs="Arial" w:eastAsia="Arial" w:hAnsi="Arial"/>
          <w:sz w:val="43"/>
          <w:szCs w:val="43"/>
          <w:b w:val="1"/>
          <w:bCs w:val="1"/>
          <w:color w:val="auto"/>
        </w:rPr>
        <w:t>ABM INDUSTRIES INCORPORATED</w:t>
      </w:r>
    </w:p>
    <w:p>
      <w:pPr>
        <w:spacing w:after="0" w:line="58"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4900" w:type="dxa"/>
            <w:vAlign w:val="bottom"/>
            <w:gridSpan w:val="2"/>
          </w:tcPr>
          <w:p>
            <w:pPr>
              <w:jc w:val="right"/>
              <w:ind w:right="1650"/>
              <w:spacing w:after="0"/>
              <w:rPr>
                <w:sz w:val="20"/>
                <w:szCs w:val="20"/>
                <w:color w:val="auto"/>
              </w:rPr>
            </w:pPr>
            <w:r>
              <w:rPr>
                <w:rFonts w:ascii="Arial" w:cs="Arial" w:eastAsia="Arial" w:hAnsi="Arial"/>
                <w:sz w:val="18"/>
                <w:szCs w:val="18"/>
                <w:b w:val="1"/>
                <w:bCs w:val="1"/>
                <w:color w:val="auto"/>
              </w:rPr>
              <w:t>94-1369354</w:t>
            </w:r>
          </w:p>
        </w:tc>
      </w:tr>
      <w:tr>
        <w:trPr>
          <w:trHeight w:val="209"/>
        </w:trPr>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(State or other jurisdiction of</w:t>
            </w:r>
          </w:p>
        </w:tc>
        <w:tc>
          <w:tcPr>
            <w:tcW w:w="460" w:type="dxa"/>
            <w:vAlign w:val="bottom"/>
          </w:tcPr>
          <w:p>
            <w:pPr>
              <w:spacing w:after="0"/>
              <w:rPr>
                <w:sz w:val="18"/>
                <w:szCs w:val="18"/>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4420" w:type="dxa"/>
            <w:vAlign w:val="bottom"/>
          </w:tcPr>
          <w:p>
            <w:pPr>
              <w:jc w:val="center"/>
              <w:spacing w:after="0"/>
              <w:rPr>
                <w:sz w:val="20"/>
                <w:szCs w:val="20"/>
                <w:color w:val="auto"/>
              </w:rPr>
            </w:pPr>
            <w:r>
              <w:rPr>
                <w:rFonts w:ascii="Arial" w:cs="Arial" w:eastAsia="Arial" w:hAnsi="Arial"/>
                <w:sz w:val="18"/>
                <w:szCs w:val="18"/>
                <w:color w:val="auto"/>
                <w:w w:val="99"/>
              </w:rPr>
              <w:t>incorporation or organization)</w:t>
            </w:r>
          </w:p>
        </w:tc>
        <w:tc>
          <w:tcPr>
            <w:tcW w:w="46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369"/>
        </w:trPr>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99"/>
              </w:rPr>
              <w:t>551 Fifth Avenue, Suite 300, New York,</w:t>
            </w:r>
          </w:p>
        </w:tc>
        <w:tc>
          <w:tcPr>
            <w:tcW w:w="46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25"/>
        </w:trPr>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99"/>
              </w:rPr>
              <w:t>New York</w:t>
            </w:r>
          </w:p>
        </w:tc>
        <w:tc>
          <w:tcPr>
            <w:tcW w:w="4900" w:type="dxa"/>
            <w:vAlign w:val="bottom"/>
            <w:gridSpan w:val="2"/>
          </w:tcPr>
          <w:p>
            <w:pPr>
              <w:jc w:val="right"/>
              <w:ind w:right="1870"/>
              <w:spacing w:after="0"/>
              <w:rPr>
                <w:sz w:val="20"/>
                <w:szCs w:val="20"/>
                <w:color w:val="auto"/>
              </w:rPr>
            </w:pPr>
            <w:r>
              <w:rPr>
                <w:rFonts w:ascii="Arial" w:cs="Arial" w:eastAsia="Arial" w:hAnsi="Arial"/>
                <w:sz w:val="18"/>
                <w:szCs w:val="18"/>
                <w:b w:val="1"/>
                <w:bCs w:val="1"/>
                <w:color w:val="auto"/>
              </w:rPr>
              <w:t>10176</w:t>
            </w:r>
          </w:p>
        </w:tc>
      </w:tr>
      <w:tr>
        <w:trPr>
          <w:trHeight w:val="223"/>
        </w:trPr>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46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(Zip Code)</w:t>
            </w:r>
          </w:p>
        </w:tc>
      </w:tr>
    </w:tbl>
    <w:p>
      <w:pPr>
        <w:spacing w:after="0" w:line="153"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212/297-0200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11430</wp:posOffset>
            </wp:positionV>
            <wp:extent cx="2684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1"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(Registrant’s telephone number, including area code)</w:t>
      </w:r>
    </w:p>
    <w:p>
      <w:pPr>
        <w:spacing w:after="0" w:line="14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None</w:t>
      </w:r>
    </w:p>
    <w:p>
      <w:pPr>
        <w:spacing w:after="0" w:line="18"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71" w:lineRule="exact"/>
        <w:rPr>
          <w:sz w:val="20"/>
          <w:szCs w:val="20"/>
          <w:color w:val="auto"/>
        </w:rPr>
      </w:pPr>
    </w:p>
    <w:p>
      <w:pPr>
        <w:jc w:val="both"/>
        <w:ind w:left="340" w:right="176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70" w:lineRule="exact"/>
        <w:rPr>
          <w:sz w:val="20"/>
          <w:szCs w:val="20"/>
          <w:color w:val="auto"/>
        </w:rPr>
      </w:pPr>
    </w:p>
    <w:p>
      <w:pPr>
        <w:jc w:val="both"/>
        <w:ind w:left="340" w:right="1760"/>
        <w:spacing w:after="0" w:line="23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75" w:lineRule="exact"/>
        <w:rPr>
          <w:sz w:val="20"/>
          <w:szCs w:val="20"/>
          <w:color w:val="auto"/>
        </w:rPr>
      </w:pPr>
    </w:p>
    <w:p>
      <w:pPr>
        <w:jc w:val="both"/>
        <w:ind w:left="340" w:right="176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3" w:lineRule="exact"/>
        <w:rPr>
          <w:sz w:val="20"/>
          <w:szCs w:val="20"/>
          <w:color w:val="auto"/>
        </w:rPr>
      </w:pPr>
    </w:p>
    <w:p>
      <w:pPr>
        <w:ind w:left="2980" w:right="1780" w:hanging="4653"/>
        <w:spacing w:after="0" w:line="216" w:lineRule="exact"/>
        <w:tabs>
          <w:tab w:leader="none" w:pos="29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w:t>
      </w:r>
    </w:p>
    <w:p>
      <w:pPr>
        <w:spacing w:after="0" w:line="3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reporting company)</w:t>
      </w:r>
    </w:p>
    <w:p>
      <w:pPr>
        <w:spacing w:after="0" w:line="171" w:lineRule="exact"/>
        <w:rPr>
          <w:sz w:val="20"/>
          <w:szCs w:val="20"/>
          <w:color w:val="auto"/>
        </w:rPr>
      </w:pPr>
    </w:p>
    <w:p>
      <w:pPr>
        <w:ind w:left="340" w:right="1760"/>
        <w:spacing w:after="0" w:line="2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70" w:lineRule="exact"/>
        <w:rPr>
          <w:sz w:val="20"/>
          <w:szCs w:val="20"/>
          <w:color w:val="auto"/>
        </w:rPr>
      </w:pPr>
    </w:p>
    <w:p>
      <w:pPr>
        <w:ind w:left="340" w:right="1760"/>
        <w:spacing w:after="0" w:line="246"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Class</w:t>
            </w:r>
          </w:p>
        </w:tc>
        <w:tc>
          <w:tcPr>
            <w:tcW w:w="460" w:type="dxa"/>
            <w:vAlign w:val="bottom"/>
          </w:tcPr>
          <w:p>
            <w:pPr>
              <w:spacing w:after="0"/>
              <w:rPr>
                <w:sz w:val="18"/>
                <w:szCs w:val="18"/>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Outstanding at May 28, 2010</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9"/>
              </w:rPr>
              <w:t>Common Stock, $0.01 par value per share</w:t>
            </w:r>
          </w:p>
        </w:tc>
        <w:tc>
          <w:tcPr>
            <w:tcW w:w="4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52,038,568 shares</w:t>
            </w:r>
          </w:p>
        </w:tc>
        <w:tc>
          <w:tcPr>
            <w:tcW w:w="1760" w:type="dxa"/>
            <w:vAlign w:val="bottom"/>
          </w:tcPr>
          <w:p>
            <w:pPr>
              <w:spacing w:after="0"/>
              <w:rPr>
                <w:sz w:val="19"/>
                <w:szCs w:val="19"/>
                <w:color w:val="auto"/>
              </w:rPr>
            </w:pPr>
          </w:p>
        </w:tc>
      </w:tr>
      <w:tr>
        <w:trPr>
          <w:trHeight w:val="176"/>
        </w:trPr>
        <w:tc>
          <w:tcPr>
            <w:tcW w:w="340" w:type="dxa"/>
            <w:vAlign w:val="bottom"/>
          </w:tcPr>
          <w:p>
            <w:pPr>
              <w:spacing w:after="0"/>
              <w:rPr>
                <w:sz w:val="15"/>
                <w:szCs w:val="15"/>
                <w:color w:val="auto"/>
              </w:rPr>
            </w:pPr>
          </w:p>
        </w:tc>
        <w:tc>
          <w:tcPr>
            <w:tcW w:w="4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1760" w:type="dxa"/>
            <w:vAlign w:val="bottom"/>
          </w:tcPr>
          <w:p>
            <w:pPr>
              <w:spacing w:after="0"/>
              <w:rPr>
                <w:sz w:val="15"/>
                <w:szCs w:val="15"/>
                <w:color w:val="auto"/>
              </w:rPr>
            </w:pPr>
          </w:p>
        </w:tc>
      </w:tr>
      <w:tr>
        <w:trPr>
          <w:trHeight w:val="28"/>
        </w:trPr>
        <w:tc>
          <w:tcPr>
            <w:tcW w:w="34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r>
      <w:tr>
        <w:trPr>
          <w:trHeight w:val="996"/>
        </w:trPr>
        <w:tc>
          <w:tcPr>
            <w:tcW w:w="34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802"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80" w:type="dxa"/>
            <w:vAlign w:val="bottom"/>
            <w:gridSpan w:val="11"/>
          </w:tcPr>
          <w:p>
            <w:pPr>
              <w:jc w:val="center"/>
              <w:ind w:right="1120"/>
              <w:spacing w:after="0"/>
              <w:rPr>
                <w:sz w:val="20"/>
                <w:szCs w:val="20"/>
                <w:color w:val="auto"/>
              </w:rPr>
            </w:pPr>
            <w:r>
              <w:rPr>
                <w:rFonts w:ascii="Arial" w:cs="Arial" w:eastAsia="Arial" w:hAnsi="Arial"/>
                <w:sz w:val="18"/>
                <w:szCs w:val="18"/>
                <w:b w:val="1"/>
                <w:bCs w:val="1"/>
                <w:color w:val="auto"/>
                <w:w w:val="99"/>
              </w:rPr>
              <w:t>ABM INDUSTRIES INCORPORATED AND SUBSIDIARIES</w:t>
            </w:r>
          </w:p>
        </w:tc>
        <w:tc>
          <w:tcPr>
            <w:tcW w:w="88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20" w:type="dxa"/>
            <w:vAlign w:val="bottom"/>
            <w:gridSpan w:val="5"/>
          </w:tcPr>
          <w:p>
            <w:pPr>
              <w:jc w:val="center"/>
              <w:ind w:right="3000"/>
              <w:spacing w:after="0"/>
              <w:rPr>
                <w:sz w:val="20"/>
                <w:szCs w:val="20"/>
                <w:color w:val="auto"/>
              </w:rPr>
            </w:pPr>
            <w:r>
              <w:rPr>
                <w:rFonts w:ascii="Arial" w:cs="Arial" w:eastAsia="Arial" w:hAnsi="Arial"/>
                <w:sz w:val="18"/>
                <w:szCs w:val="18"/>
                <w:b w:val="1"/>
                <w:bCs w:val="1"/>
                <w:color w:val="auto"/>
                <w:w w:val="99"/>
              </w:rPr>
              <w:t>FORM 10-Q</w:t>
            </w:r>
          </w:p>
        </w:tc>
        <w:tc>
          <w:tcPr>
            <w:tcW w:w="88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8"/>
          </w:tcPr>
          <w:p>
            <w:pPr>
              <w:jc w:val="center"/>
              <w:ind w:right="1700"/>
              <w:spacing w:after="0"/>
              <w:rPr>
                <w:sz w:val="20"/>
                <w:szCs w:val="20"/>
                <w:color w:val="auto"/>
              </w:rPr>
            </w:pPr>
            <w:r>
              <w:rPr>
                <w:rFonts w:ascii="Arial" w:cs="Arial" w:eastAsia="Arial" w:hAnsi="Arial"/>
                <w:sz w:val="18"/>
                <w:szCs w:val="18"/>
                <w:b w:val="1"/>
                <w:bCs w:val="1"/>
                <w:color w:val="auto"/>
              </w:rPr>
              <w:t>For the quarterly period ended April 30, 2010</w:t>
            </w:r>
          </w:p>
        </w:tc>
        <w:tc>
          <w:tcPr>
            <w:tcW w:w="88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gridSpan w:val="6"/>
          </w:tcPr>
          <w:p>
            <w:pPr>
              <w:jc w:val="center"/>
              <w:ind w:right="2180"/>
              <w:spacing w:after="0"/>
              <w:rPr>
                <w:sz w:val="20"/>
                <w:szCs w:val="20"/>
                <w:color w:val="auto"/>
              </w:rPr>
            </w:pPr>
            <w:r>
              <w:rPr>
                <w:rFonts w:ascii="Arial" w:cs="Arial" w:eastAsia="Arial" w:hAnsi="Arial"/>
                <w:sz w:val="18"/>
                <w:szCs w:val="18"/>
                <w:b w:val="1"/>
                <w:bCs w:val="1"/>
                <w:color w:val="auto"/>
                <w:w w:val="99"/>
              </w:rPr>
              <w:t>Table of Contents</w:t>
            </w:r>
          </w:p>
        </w:tc>
        <w:tc>
          <w:tcPr>
            <w:tcW w:w="880" w:type="dxa"/>
            <w:vAlign w:val="bottom"/>
          </w:tcPr>
          <w:p>
            <w:pPr>
              <w:spacing w:after="0"/>
              <w:rPr>
                <w:sz w:val="24"/>
                <w:szCs w:val="24"/>
                <w:color w:val="auto"/>
              </w:rPr>
            </w:pPr>
          </w:p>
        </w:tc>
      </w:tr>
      <w:tr>
        <w:trPr>
          <w:trHeight w:val="365"/>
        </w:trPr>
        <w:tc>
          <w:tcPr>
            <w:tcW w:w="8360" w:type="dxa"/>
            <w:vAlign w:val="bottom"/>
            <w:gridSpan w:val="2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22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Item 1. Financial Statements</w:t>
              </w:r>
            </w:hyperlink>
          </w:p>
        </w:tc>
        <w:tc>
          <w:tcPr>
            <w:tcW w:w="660" w:type="dxa"/>
            <w:vAlign w:val="bottom"/>
            <w:tcBorders>
              <w:top w:val="single" w:sz="8" w:color="0000EE"/>
            </w:tcBorders>
            <w:gridSpan w:val="3"/>
          </w:tcPr>
          <w:p>
            <w:pPr>
              <w:spacing w:after="0"/>
              <w:rPr>
                <w:sz w:val="24"/>
                <w:szCs w:val="24"/>
                <w:color w:val="auto"/>
              </w:rPr>
            </w:pPr>
          </w:p>
        </w:tc>
        <w:tc>
          <w:tcPr>
            <w:tcW w:w="5420" w:type="dxa"/>
            <w:vAlign w:val="bottom"/>
            <w:gridSpan w:val="7"/>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6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the Condensed Consolidated Financial Statements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5"/>
        </w:trPr>
        <w:tc>
          <w:tcPr>
            <w:tcW w:w="768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Item 2. Management’s Discussion and Analysis of Financial Condition and Results of Operations</w:t>
              </w:r>
            </w:hyperlink>
          </w:p>
        </w:tc>
        <w:tc>
          <w:tcPr>
            <w:tcW w:w="6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85"/>
        </w:trPr>
        <w:tc>
          <w:tcPr>
            <w:tcW w:w="836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 Quantitative and Qualitative Disclosures About Market Risk</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85"/>
        </w:trPr>
        <w:tc>
          <w:tcPr>
            <w:tcW w:w="5300" w:type="dxa"/>
            <w:vAlign w:val="bottom"/>
            <w:tcBorders>
              <w:top w:val="single" w:sz="8" w:color="0000EE"/>
            </w:tcBorders>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 Controls and Procedures</w:t>
              </w:r>
            </w:hyperlink>
          </w:p>
        </w:tc>
        <w:tc>
          <w:tcPr>
            <w:tcW w:w="3060" w:type="dxa"/>
            <w:vAlign w:val="bottom"/>
            <w:gridSpan w:val="3"/>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5"/>
        </w:trPr>
        <w:tc>
          <w:tcPr>
            <w:tcW w:w="2660" w:type="dxa"/>
            <w:vAlign w:val="bottom"/>
            <w:tcBorders>
              <w:bottom w:val="single" w:sz="8" w:color="0000EE"/>
            </w:tcBorders>
            <w:gridSpan w:val="12"/>
          </w:tcPr>
          <w:p>
            <w:pPr>
              <w:spacing w:after="0"/>
              <w:rPr>
                <w:rFonts w:ascii="Arial" w:cs="Arial" w:eastAsia="Arial" w:hAnsi="Arial"/>
                <w:sz w:val="18"/>
                <w:szCs w:val="18"/>
                <w:b w:val="1"/>
                <w:bCs w:val="1"/>
                <w:color w:val="0000EE"/>
                <w:w w:val="98"/>
              </w:rPr>
            </w:pPr>
            <w:hyperlink w:anchor="page32">
              <w:r>
                <w:rPr>
                  <w:rFonts w:ascii="Arial" w:cs="Arial" w:eastAsia="Arial" w:hAnsi="Arial"/>
                  <w:sz w:val="18"/>
                  <w:szCs w:val="18"/>
                  <w:b w:val="1"/>
                  <w:bCs w:val="1"/>
                  <w:color w:val="0000EE"/>
                  <w:w w:val="98"/>
                </w:rPr>
                <w:t>PART II. OTHER INFORMATION</w:t>
              </w:r>
            </w:hyperlink>
          </w:p>
        </w:tc>
        <w:tc>
          <w:tcPr>
            <w:tcW w:w="5700" w:type="dxa"/>
            <w:vAlign w:val="bottom"/>
            <w:gridSpan w:val="8"/>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85"/>
        </w:trPr>
        <w:tc>
          <w:tcPr>
            <w:tcW w:w="836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 Legal Proceedings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85"/>
        </w:trPr>
        <w:tc>
          <w:tcPr>
            <w:tcW w:w="2080" w:type="dxa"/>
            <w:vAlign w:val="bottom"/>
            <w:tcBorders>
              <w:top w:val="single" w:sz="8" w:color="0000EE"/>
            </w:tcBorders>
            <w:gridSpan w:val="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 Risk Factors</w:t>
              </w:r>
            </w:hyperlink>
          </w:p>
        </w:tc>
        <w:tc>
          <w:tcPr>
            <w:tcW w:w="6280" w:type="dxa"/>
            <w:vAlign w:val="bottom"/>
            <w:gridSpan w:val="11"/>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5"/>
        </w:trPr>
        <w:tc>
          <w:tcPr>
            <w:tcW w:w="836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 Unregistered Sales of Equity Securities and Use of Proceeds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85"/>
        </w:trPr>
        <w:tc>
          <w:tcPr>
            <w:tcW w:w="5440" w:type="dxa"/>
            <w:vAlign w:val="bottom"/>
            <w:tcBorders>
              <w:top w:val="single" w:sz="8" w:color="0000EE"/>
            </w:tcBorders>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3. Defaults Upon Senior Securities</w:t>
              </w:r>
            </w:hyperlink>
          </w:p>
        </w:tc>
        <w:tc>
          <w:tcPr>
            <w:tcW w:w="2920" w:type="dxa"/>
            <w:vAlign w:val="bottom"/>
            <w:gridSpan w:val="2"/>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85"/>
        </w:trPr>
        <w:tc>
          <w:tcPr>
            <w:tcW w:w="3140" w:type="dxa"/>
            <w:vAlign w:val="bottom"/>
            <w:tcBorders>
              <w:top w:val="single" w:sz="8" w:color="0000EE"/>
            </w:tcBorders>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 Reserved</w:t>
              </w:r>
            </w:hyperlink>
          </w:p>
        </w:tc>
        <w:tc>
          <w:tcPr>
            <w:tcW w:w="5220" w:type="dxa"/>
            <w:vAlign w:val="bottom"/>
            <w:gridSpan w:val="6"/>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360" w:type="dxa"/>
            <w:vAlign w:val="bottom"/>
            <w:gridSpan w:val="1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85"/>
        </w:trPr>
        <w:tc>
          <w:tcPr>
            <w:tcW w:w="200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Item 5. Other Information</w:t>
              </w:r>
            </w:hyperlink>
          </w:p>
        </w:tc>
        <w:tc>
          <w:tcPr>
            <w:tcW w:w="636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85"/>
        </w:trPr>
        <w:tc>
          <w:tcPr>
            <w:tcW w:w="83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85"/>
        </w:trPr>
        <w:tc>
          <w:tcPr>
            <w:tcW w:w="122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SIGNATURES</w:t>
              </w:r>
            </w:hyperlink>
          </w:p>
        </w:tc>
        <w:tc>
          <w:tcPr>
            <w:tcW w:w="7140" w:type="dxa"/>
            <w:vAlign w:val="bottom"/>
            <w:gridSpan w:val="15"/>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85"/>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5"/>
              </w:rPr>
              <w:t>Exhibit 10.4</w:t>
            </w:r>
          </w:p>
        </w:tc>
        <w:tc>
          <w:tcPr>
            <w:tcW w:w="200" w:type="dxa"/>
            <w:vAlign w:val="bottom"/>
            <w:tcBorders>
              <w:top w:val="single" w:sz="8" w:color="0000EE"/>
            </w:tcBorders>
          </w:tcPr>
          <w:p>
            <w:pPr>
              <w:spacing w:after="0"/>
              <w:rPr>
                <w:sz w:val="24"/>
                <w:szCs w:val="24"/>
                <w:color w:val="auto"/>
              </w:rPr>
            </w:pPr>
          </w:p>
        </w:tc>
        <w:tc>
          <w:tcPr>
            <w:tcW w:w="7200" w:type="dxa"/>
            <w:vAlign w:val="bottom"/>
            <w:gridSpan w:val="16"/>
          </w:tcPr>
          <w:p>
            <w:pPr>
              <w:spacing w:after="0"/>
              <w:rPr>
                <w:sz w:val="24"/>
                <w:szCs w:val="24"/>
                <w:color w:val="auto"/>
              </w:rPr>
            </w:pPr>
          </w:p>
        </w:tc>
        <w:tc>
          <w:tcPr>
            <w:tcW w:w="88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92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5"/>
              </w:rPr>
              <w:t>Exhibit 10.5</w:t>
            </w:r>
          </w:p>
        </w:tc>
        <w:tc>
          <w:tcPr>
            <w:tcW w:w="7400" w:type="dxa"/>
            <w:vAlign w:val="bottom"/>
            <w:gridSpan w:val="17"/>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92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5"/>
              </w:rPr>
              <w:t>Exhibit 31.1</w:t>
            </w:r>
          </w:p>
        </w:tc>
        <w:tc>
          <w:tcPr>
            <w:tcW w:w="7400" w:type="dxa"/>
            <w:vAlign w:val="bottom"/>
            <w:gridSpan w:val="17"/>
          </w:tcPr>
          <w:p>
            <w:pPr>
              <w:spacing w:after="0"/>
              <w:rPr>
                <w:sz w:val="15"/>
                <w:szCs w:val="15"/>
                <w:color w:val="auto"/>
              </w:rPr>
            </w:pPr>
          </w:p>
        </w:tc>
        <w:tc>
          <w:tcPr>
            <w:tcW w:w="880" w:type="dxa"/>
            <w:vAlign w:val="bottom"/>
          </w:tcPr>
          <w:p>
            <w:pPr>
              <w:spacing w:after="0"/>
              <w:rPr>
                <w:sz w:val="15"/>
                <w:szCs w:val="15"/>
                <w:color w:val="auto"/>
              </w:rPr>
            </w:pPr>
          </w:p>
        </w:tc>
      </w:tr>
    </w:tbl>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ind w:left="40"/>
        <w:spacing w:after="0"/>
        <w:rPr>
          <w:sz w:val="20"/>
          <w:szCs w:val="20"/>
          <w:color w:val="auto"/>
        </w:rPr>
      </w:pPr>
      <w:r>
        <w:rPr>
          <w:rFonts w:ascii="Arial" w:cs="Arial" w:eastAsia="Arial" w:hAnsi="Arial"/>
          <w:sz w:val="18"/>
          <w:szCs w:val="18"/>
          <w:u w:val="single" w:color="auto"/>
          <w:color w:val="0000EE"/>
        </w:rPr>
        <w:t>Exhibit 32</w:t>
      </w:r>
    </w:p>
    <w:p>
      <w:pPr>
        <w:spacing w:after="0" w:line="200" w:lineRule="exact"/>
        <w:rPr>
          <w:sz w:val="20"/>
          <w:szCs w:val="20"/>
          <w:color w:val="auto"/>
        </w:rPr>
      </w:pPr>
    </w:p>
    <w:p>
      <w:pPr>
        <w:spacing w:after="0" w:line="35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30,</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October 31,</w:t>
            </w:r>
          </w:p>
        </w:tc>
      </w:tr>
      <w:tr>
        <w:trPr>
          <w:trHeight w:val="225"/>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share amounts)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5"/>
          </w:tcPr>
          <w:p>
            <w:pPr>
              <w:jc w:val="right"/>
              <w:ind w:right="840"/>
              <w:spacing w:after="0" w:line="196" w:lineRule="exact"/>
              <w:rPr>
                <w:sz w:val="20"/>
                <w:szCs w:val="20"/>
                <w:color w:val="auto"/>
              </w:rPr>
            </w:pPr>
            <w:r>
              <w:rPr>
                <w:rFonts w:ascii="Arial" w:cs="Arial" w:eastAsia="Arial" w:hAnsi="Arial"/>
                <w:sz w:val="18"/>
                <w:szCs w:val="18"/>
                <w:color w:val="auto"/>
              </w:rPr>
              <w:t>(Unaudited)</w:t>
            </w: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405"/>
        </w:trPr>
        <w:tc>
          <w:tcPr>
            <w:tcW w:w="65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20,943</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34,153</w:t>
            </w:r>
          </w:p>
        </w:tc>
      </w:tr>
      <w:tr>
        <w:trPr>
          <w:trHeight w:val="202"/>
        </w:trPr>
        <w:tc>
          <w:tcPr>
            <w:tcW w:w="6520" w:type="dxa"/>
            <w:vAlign w:val="bottom"/>
          </w:tcPr>
          <w:p>
            <w:pPr>
              <w:ind w:left="200"/>
              <w:spacing w:after="0" w:line="201" w:lineRule="exact"/>
              <w:rPr>
                <w:sz w:val="20"/>
                <w:szCs w:val="20"/>
                <w:color w:val="auto"/>
              </w:rPr>
            </w:pPr>
            <w:r>
              <w:rPr>
                <w:rFonts w:ascii="Arial" w:cs="Arial" w:eastAsia="Arial" w:hAnsi="Arial"/>
                <w:sz w:val="18"/>
                <w:szCs w:val="18"/>
                <w:color w:val="auto"/>
              </w:rPr>
              <w:t>Trade accounts receivable, net of allowances of $10,184 and $10,772 at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20" w:type="dxa"/>
            <w:vAlign w:val="bottom"/>
          </w:tcPr>
          <w:p>
            <w:pPr>
              <w:ind w:left="400"/>
              <w:spacing w:after="0" w:line="203" w:lineRule="exact"/>
              <w:rPr>
                <w:sz w:val="20"/>
                <w:szCs w:val="20"/>
                <w:color w:val="auto"/>
              </w:rPr>
            </w:pPr>
            <w:r>
              <w:rPr>
                <w:rFonts w:ascii="Arial" w:cs="Arial" w:eastAsia="Arial" w:hAnsi="Arial"/>
                <w:sz w:val="18"/>
                <w:szCs w:val="18"/>
                <w:color w:val="auto"/>
              </w:rPr>
              <w:t>April 30, 2010 and October 31, 2009, respectively</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442,709</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445,241</w:t>
            </w:r>
          </w:p>
        </w:tc>
      </w:tr>
      <w:tr>
        <w:trPr>
          <w:trHeight w:val="203"/>
        </w:trPr>
        <w:tc>
          <w:tcPr>
            <w:tcW w:w="6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income taxes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12,913</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13,473</w:t>
            </w: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Current assets of discontinued operations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6,009</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10,787</w:t>
            </w:r>
          </w:p>
        </w:tc>
      </w:tr>
      <w:tr>
        <w:trPr>
          <w:trHeight w:val="203"/>
        </w:trPr>
        <w:tc>
          <w:tcPr>
            <w:tcW w:w="6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39,271</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38,781</w:t>
            </w: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Notes receivable and other</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18,155</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21,374</w:t>
            </w:r>
          </w:p>
        </w:tc>
      </w:tr>
      <w:tr>
        <w:trPr>
          <w:trHeight w:val="203"/>
        </w:trPr>
        <w:tc>
          <w:tcPr>
            <w:tcW w:w="6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 net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52,347</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52,171</w:t>
            </w: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Insurance recoverables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4,898</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5,017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597,245</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620,997</w:t>
            </w:r>
          </w:p>
        </w:tc>
      </w:tr>
      <w:tr>
        <w:trPr>
          <w:trHeight w:val="20"/>
        </w:trPr>
        <w:tc>
          <w:tcPr>
            <w:tcW w:w="6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652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2,792</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4,567</w:t>
            </w: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 deposits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42,179</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42,500</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Other investments and long-term receivables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5,668</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6,240</w:t>
            </w: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net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57,815</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63,444</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Insurance recoverables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65,819</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67,100</w:t>
            </w: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31,749</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32,446</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Investments in auction rate securities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19,634</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19,531</w:t>
            </w:r>
          </w:p>
        </w:tc>
      </w:tr>
      <w:tr>
        <w:trPr>
          <w:trHeight w:val="202"/>
        </w:trPr>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plant and equipment, net of accumulated depreciation of $99,592 and</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5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$92,563 at April 30, 2010 and October 31, 2009, respectively</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56,397</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56,892</w:t>
            </w:r>
          </w:p>
        </w:tc>
      </w:tr>
      <w:tr>
        <w:trPr>
          <w:trHeight w:val="202"/>
        </w:trPr>
        <w:tc>
          <w:tcPr>
            <w:tcW w:w="6520" w:type="dxa"/>
            <w:vAlign w:val="bottom"/>
          </w:tcPr>
          <w:p>
            <w:pPr>
              <w:spacing w:after="0" w:line="201" w:lineRule="exact"/>
              <w:rPr>
                <w:sz w:val="20"/>
                <w:szCs w:val="20"/>
                <w:color w:val="auto"/>
              </w:rPr>
            </w:pPr>
            <w:r>
              <w:rPr>
                <w:rFonts w:ascii="Arial" w:cs="Arial" w:eastAsia="Arial" w:hAnsi="Arial"/>
                <w:sz w:val="18"/>
                <w:szCs w:val="18"/>
                <w:color w:val="auto"/>
              </w:rPr>
              <w:t>Other intangible assets, net of accumulated amortization of $48,933 and $43,464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20" w:type="dxa"/>
            <w:vAlign w:val="bottom"/>
          </w:tcPr>
          <w:p>
            <w:pPr>
              <w:ind w:left="200"/>
              <w:spacing w:after="0" w:line="203" w:lineRule="exact"/>
              <w:rPr>
                <w:sz w:val="20"/>
                <w:szCs w:val="20"/>
                <w:color w:val="auto"/>
              </w:rPr>
            </w:pPr>
            <w:r>
              <w:rPr>
                <w:rFonts w:ascii="Arial" w:cs="Arial" w:eastAsia="Arial" w:hAnsi="Arial"/>
                <w:sz w:val="18"/>
                <w:szCs w:val="18"/>
                <w:color w:val="auto"/>
              </w:rPr>
              <w:t>at April 30, 2010 and October 31, 2009, respectively</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54,731</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60,199</w:t>
            </w: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547,880</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547,237</w:t>
            </w:r>
          </w:p>
        </w:tc>
      </w:tr>
      <w:tr>
        <w:trPr>
          <w:trHeight w:val="20"/>
        </w:trPr>
        <w:tc>
          <w:tcPr>
            <w:tcW w:w="6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1,481,909</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1,521,153</w:t>
            </w:r>
          </w:p>
        </w:tc>
      </w:tr>
      <w:tr>
        <w:trPr>
          <w:trHeight w:val="20"/>
        </w:trPr>
        <w:tc>
          <w:tcPr>
            <w:tcW w:w="6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8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14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ABM INDUSTRIES INCORPORATED AND SUBSIDIARIES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CONDENSED CONSOLIDATED BALANCE SHEETS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(Continued)</w:t>
            </w:r>
          </w:p>
        </w:tc>
      </w:tr>
      <w:tr>
        <w:trPr>
          <w:trHeight w:val="369"/>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April 30,</w:t>
            </w:r>
          </w:p>
        </w:tc>
        <w:tc>
          <w:tcPr>
            <w:tcW w:w="11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October 31,</w:t>
            </w:r>
          </w:p>
        </w:tc>
      </w:tr>
      <w:tr>
        <w:trPr>
          <w:trHeight w:val="225"/>
        </w:trPr>
        <w:tc>
          <w:tcPr>
            <w:tcW w:w="340" w:type="dxa"/>
            <w:vAlign w:val="bottom"/>
          </w:tcPr>
          <w:p>
            <w:pPr>
              <w:spacing w:after="0"/>
              <w:rPr>
                <w:sz w:val="19"/>
                <w:szCs w:val="19"/>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 except share amounts)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5"/>
          </w:tcPr>
          <w:p>
            <w:pPr>
              <w:jc w:val="right"/>
              <w:ind w:right="840"/>
              <w:spacing w:after="0" w:line="196" w:lineRule="exact"/>
              <w:rPr>
                <w:sz w:val="20"/>
                <w:szCs w:val="20"/>
                <w:color w:val="auto"/>
              </w:rPr>
            </w:pPr>
            <w:r>
              <w:rPr>
                <w:rFonts w:ascii="Arial" w:cs="Arial" w:eastAsia="Arial" w:hAnsi="Arial"/>
                <w:sz w:val="18"/>
                <w:szCs w:val="18"/>
                <w:color w:val="auto"/>
              </w:rPr>
              <w:t>(Unaudited)</w:t>
            </w:r>
          </w:p>
        </w:tc>
      </w:tr>
      <w:tr>
        <w:trPr>
          <w:trHeight w:val="203"/>
        </w:trPr>
        <w:tc>
          <w:tcPr>
            <w:tcW w:w="340" w:type="dxa"/>
            <w:vAlign w:val="bottom"/>
          </w:tcPr>
          <w:p>
            <w:pPr>
              <w:spacing w:after="0"/>
              <w:rPr>
                <w:sz w:val="17"/>
                <w:szCs w:val="17"/>
                <w:color w:val="auto"/>
              </w:rPr>
            </w:pPr>
          </w:p>
        </w:tc>
        <w:tc>
          <w:tcPr>
            <w:tcW w:w="6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405"/>
        </w:trPr>
        <w:tc>
          <w:tcPr>
            <w:tcW w:w="34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6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Trade accounts payable</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57,011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84,701</w:t>
            </w:r>
          </w:p>
        </w:tc>
      </w:tr>
      <w:tr>
        <w:trPr>
          <w:trHeight w:val="203"/>
        </w:trPr>
        <w:tc>
          <w:tcPr>
            <w:tcW w:w="340" w:type="dxa"/>
            <w:vAlign w:val="bottom"/>
          </w:tcPr>
          <w:p>
            <w:pPr>
              <w:spacing w:after="0"/>
              <w:rPr>
                <w:sz w:val="17"/>
                <w:szCs w:val="17"/>
                <w:color w:val="auto"/>
              </w:rPr>
            </w:pPr>
          </w:p>
        </w:tc>
        <w:tc>
          <w:tcPr>
            <w:tcW w:w="6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5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Compensation</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85,282</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93,095</w:t>
            </w:r>
          </w:p>
        </w:tc>
      </w:tr>
      <w:tr>
        <w:trPr>
          <w:trHeight w:val="203"/>
        </w:trPr>
        <w:tc>
          <w:tcPr>
            <w:tcW w:w="340" w:type="dxa"/>
            <w:vAlign w:val="bottom"/>
          </w:tcPr>
          <w:p>
            <w:pPr>
              <w:spacing w:after="0"/>
              <w:rPr>
                <w:sz w:val="17"/>
                <w:szCs w:val="17"/>
                <w:color w:val="auto"/>
              </w:rPr>
            </w:pPr>
          </w:p>
        </w:tc>
        <w:tc>
          <w:tcPr>
            <w:tcW w:w="65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Taxes — other than income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14,134</w:t>
            </w:r>
          </w:p>
        </w:tc>
        <w:tc>
          <w:tcPr>
            <w:tcW w:w="18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17,539</w:t>
            </w:r>
          </w:p>
        </w:tc>
      </w:tr>
      <w:tr>
        <w:trPr>
          <w:trHeight w:val="203"/>
        </w:trPr>
        <w:tc>
          <w:tcPr>
            <w:tcW w:w="340" w:type="dxa"/>
            <w:vAlign w:val="bottom"/>
          </w:tcPr>
          <w:p>
            <w:pPr>
              <w:spacing w:after="0"/>
              <w:rPr>
                <w:sz w:val="17"/>
                <w:szCs w:val="17"/>
                <w:color w:val="auto"/>
              </w:rPr>
            </w:pPr>
          </w:p>
        </w:tc>
        <w:tc>
          <w:tcPr>
            <w:tcW w:w="65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Insurance claims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78,803</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78,144</w:t>
            </w:r>
          </w:p>
        </w:tc>
      </w:tr>
      <w:tr>
        <w:trPr>
          <w:trHeight w:val="203"/>
        </w:trPr>
        <w:tc>
          <w:tcPr>
            <w:tcW w:w="340" w:type="dxa"/>
            <w:vAlign w:val="bottom"/>
          </w:tcPr>
          <w:p>
            <w:pPr>
              <w:spacing w:after="0"/>
              <w:rPr>
                <w:sz w:val="17"/>
                <w:szCs w:val="17"/>
                <w:color w:val="auto"/>
              </w:rPr>
            </w:pPr>
          </w:p>
        </w:tc>
        <w:tc>
          <w:tcPr>
            <w:tcW w:w="65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73,400</w:t>
            </w:r>
          </w:p>
        </w:tc>
        <w:tc>
          <w:tcPr>
            <w:tcW w:w="18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66,279</w:t>
            </w:r>
          </w:p>
        </w:tc>
      </w:tr>
      <w:tr>
        <w:trPr>
          <w:trHeight w:val="203"/>
        </w:trPr>
        <w:tc>
          <w:tcPr>
            <w:tcW w:w="340" w:type="dxa"/>
            <w:vAlign w:val="bottom"/>
          </w:tcPr>
          <w:p>
            <w:pPr>
              <w:spacing w:after="0"/>
              <w:rPr>
                <w:sz w:val="17"/>
                <w:szCs w:val="17"/>
                <w:color w:val="auto"/>
              </w:rPr>
            </w:pPr>
          </w:p>
        </w:tc>
        <w:tc>
          <w:tcPr>
            <w:tcW w:w="6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1,832</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1,871</w:t>
            </w:r>
          </w:p>
        </w:tc>
      </w:tr>
      <w:tr>
        <w:trPr>
          <w:trHeight w:val="203"/>
        </w:trPr>
        <w:tc>
          <w:tcPr>
            <w:tcW w:w="340" w:type="dxa"/>
            <w:vAlign w:val="bottom"/>
          </w:tcPr>
          <w:p>
            <w:pPr>
              <w:spacing w:after="0"/>
              <w:rPr>
                <w:sz w:val="17"/>
                <w:szCs w:val="17"/>
                <w:color w:val="auto"/>
              </w:rPr>
            </w:pPr>
          </w:p>
        </w:tc>
        <w:tc>
          <w:tcPr>
            <w:tcW w:w="6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Current liabilities of discontinued operations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1,270</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1,065</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340" w:type="dxa"/>
            <w:vAlign w:val="bottom"/>
          </w:tcPr>
          <w:p>
            <w:pPr>
              <w:spacing w:after="0"/>
              <w:rPr>
                <w:sz w:val="17"/>
                <w:szCs w:val="17"/>
                <w:color w:val="auto"/>
              </w:rPr>
            </w:pPr>
          </w:p>
        </w:tc>
        <w:tc>
          <w:tcPr>
            <w:tcW w:w="65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311,732</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342,694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25,327</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17,763</w:t>
            </w:r>
          </w:p>
        </w:tc>
      </w:tr>
      <w:tr>
        <w:trPr>
          <w:trHeight w:val="203"/>
        </w:trPr>
        <w:tc>
          <w:tcPr>
            <w:tcW w:w="340" w:type="dxa"/>
            <w:vAlign w:val="bottom"/>
          </w:tcPr>
          <w:p>
            <w:pPr>
              <w:spacing w:after="0"/>
              <w:rPr>
                <w:sz w:val="17"/>
                <w:szCs w:val="17"/>
                <w:color w:val="auto"/>
              </w:rPr>
            </w:pPr>
          </w:p>
        </w:tc>
        <w:tc>
          <w:tcPr>
            <w:tcW w:w="6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Line of credit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145,000</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172,500</w:t>
            </w:r>
          </w:p>
        </w:tc>
      </w:tr>
      <w:tr>
        <w:trPr>
          <w:trHeight w:val="203"/>
        </w:trPr>
        <w:tc>
          <w:tcPr>
            <w:tcW w:w="340" w:type="dxa"/>
            <w:vAlign w:val="bottom"/>
          </w:tcPr>
          <w:p>
            <w:pPr>
              <w:spacing w:after="0"/>
              <w:rPr>
                <w:sz w:val="17"/>
                <w:szCs w:val="17"/>
                <w:color w:val="auto"/>
              </w:rPr>
            </w:pPr>
          </w:p>
        </w:tc>
        <w:tc>
          <w:tcPr>
            <w:tcW w:w="6520" w:type="dxa"/>
            <w:vAlign w:val="bottom"/>
            <w:gridSpan w:val="2"/>
          </w:tcPr>
          <w:p>
            <w:pPr>
              <w:spacing w:after="0" w:line="202" w:lineRule="exact"/>
              <w:rPr>
                <w:sz w:val="20"/>
                <w:szCs w:val="20"/>
                <w:color w:val="auto"/>
              </w:rPr>
            </w:pPr>
            <w:r>
              <w:rPr>
                <w:rFonts w:ascii="Arial" w:cs="Arial" w:eastAsia="Arial" w:hAnsi="Arial"/>
                <w:sz w:val="18"/>
                <w:szCs w:val="18"/>
                <w:color w:val="auto"/>
              </w:rPr>
              <w:t>Retirement plans and other</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31,644</w:t>
            </w:r>
          </w:p>
        </w:tc>
        <w:tc>
          <w:tcPr>
            <w:tcW w:w="18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32,963</w:t>
            </w:r>
          </w:p>
        </w:tc>
      </w:tr>
      <w:tr>
        <w:trPr>
          <w:trHeight w:val="203"/>
        </w:trPr>
        <w:tc>
          <w:tcPr>
            <w:tcW w:w="340" w:type="dxa"/>
            <w:vAlign w:val="bottom"/>
          </w:tcPr>
          <w:p>
            <w:pPr>
              <w:spacing w:after="0"/>
              <w:rPr>
                <w:sz w:val="17"/>
                <w:szCs w:val="17"/>
                <w:color w:val="auto"/>
              </w:rPr>
            </w:pPr>
          </w:p>
        </w:tc>
        <w:tc>
          <w:tcPr>
            <w:tcW w:w="6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Insurance claims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266,572</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268,183</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52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780,275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834,103</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6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405"/>
        </w:trPr>
        <w:tc>
          <w:tcPr>
            <w:tcW w:w="34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6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Preferred stock, $0.01 par value; 500,000 shares authorized; none issued</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2"/>
        </w:trPr>
        <w:tc>
          <w:tcPr>
            <w:tcW w:w="340" w:type="dxa"/>
            <w:vAlign w:val="bottom"/>
          </w:tcPr>
          <w:p>
            <w:pPr>
              <w:spacing w:after="0"/>
              <w:rPr>
                <w:sz w:val="17"/>
                <w:szCs w:val="17"/>
                <w:color w:val="auto"/>
              </w:rPr>
            </w:pPr>
          </w:p>
        </w:tc>
        <w:tc>
          <w:tcPr>
            <w:tcW w:w="65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Common stock, $0.01 par value; 100,000,000 shares authorized; 52,018,718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5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and 51,688,218 shares issued at April 30, 2010 and October 31, 2009,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52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520</w:t>
            </w:r>
          </w:p>
        </w:tc>
        <w:tc>
          <w:tcPr>
            <w:tcW w:w="180" w:type="dxa"/>
            <w:vAlign w:val="bottom"/>
          </w:tcPr>
          <w:p>
            <w:pPr>
              <w:spacing w:after="0"/>
              <w:rPr>
                <w:sz w:val="17"/>
                <w:szCs w:val="17"/>
                <w:color w:val="auto"/>
              </w:rPr>
            </w:pPr>
          </w:p>
        </w:tc>
        <w:tc>
          <w:tcPr>
            <w:tcW w:w="9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517</w:t>
            </w:r>
          </w:p>
        </w:tc>
      </w:tr>
      <w:tr>
        <w:trPr>
          <w:trHeight w:val="203"/>
        </w:trPr>
        <w:tc>
          <w:tcPr>
            <w:tcW w:w="340" w:type="dxa"/>
            <w:vAlign w:val="bottom"/>
          </w:tcPr>
          <w:p>
            <w:pPr>
              <w:spacing w:after="0"/>
              <w:rPr>
                <w:sz w:val="17"/>
                <w:szCs w:val="17"/>
                <w:color w:val="auto"/>
              </w:rPr>
            </w:pPr>
          </w:p>
        </w:tc>
        <w:tc>
          <w:tcPr>
            <w:tcW w:w="6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183,377</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176,480</w:t>
            </w:r>
          </w:p>
        </w:tc>
      </w:tr>
      <w:tr>
        <w:trPr>
          <w:trHeight w:val="203"/>
        </w:trPr>
        <w:tc>
          <w:tcPr>
            <w:tcW w:w="340" w:type="dxa"/>
            <w:vAlign w:val="bottom"/>
          </w:tcPr>
          <w:p>
            <w:pPr>
              <w:spacing w:after="0"/>
              <w:rPr>
                <w:sz w:val="17"/>
                <w:szCs w:val="17"/>
                <w:color w:val="auto"/>
              </w:rPr>
            </w:pPr>
          </w:p>
        </w:tc>
        <w:tc>
          <w:tcPr>
            <w:tcW w:w="6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Accumulated other comprehensive loss, net of taxes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(1,832)</w:t>
            </w:r>
          </w:p>
        </w:tc>
        <w:tc>
          <w:tcPr>
            <w:tcW w:w="18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(2,423)</w:t>
            </w:r>
          </w:p>
        </w:tc>
      </w:tr>
      <w:tr>
        <w:trPr>
          <w:trHeight w:val="203"/>
        </w:trPr>
        <w:tc>
          <w:tcPr>
            <w:tcW w:w="340" w:type="dxa"/>
            <w:vAlign w:val="bottom"/>
          </w:tcPr>
          <w:p>
            <w:pPr>
              <w:spacing w:after="0"/>
              <w:rPr>
                <w:sz w:val="17"/>
                <w:szCs w:val="17"/>
                <w:color w:val="auto"/>
              </w:rPr>
            </w:pPr>
          </w:p>
        </w:tc>
        <w:tc>
          <w:tcPr>
            <w:tcW w:w="6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519,569</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512,476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520" w:type="dxa"/>
            <w:vAlign w:val="bottom"/>
            <w:gridSpan w:val="2"/>
          </w:tcPr>
          <w:p>
            <w:pPr>
              <w:ind w:left="60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701,634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687,050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6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stockholders’ equity</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1,481,909</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1,521,153</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22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4120" w:type="dxa"/>
            <w:vAlign w:val="bottom"/>
            <w:vMerge w:val="restart"/>
          </w:tcPr>
          <w:p>
            <w:pPr>
              <w:spacing w:after="0"/>
              <w:rPr>
                <w:sz w:val="20"/>
                <w:szCs w:val="20"/>
                <w:color w:val="auto"/>
              </w:rPr>
            </w:pPr>
            <w:r>
              <w:rPr>
                <w:rFonts w:ascii="Arial" w:cs="Arial" w:eastAsia="Arial" w:hAnsi="Arial"/>
                <w:sz w:val="18"/>
                <w:szCs w:val="18"/>
                <w:color w:val="auto"/>
              </w:rPr>
              <w:t>(in thousands, except per share data)</w:t>
            </w:r>
          </w:p>
        </w:tc>
        <w:tc>
          <w:tcPr>
            <w:tcW w:w="28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2010</w:t>
            </w: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right"/>
              <w:ind w:right="1000"/>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855,461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855,711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9"/>
              </w:rPr>
              <w:t>1,725,345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1,743,183</w:t>
            </w:r>
          </w:p>
        </w:tc>
        <w:tc>
          <w:tcPr>
            <w:tcW w:w="0" w:type="dxa"/>
            <w:vAlign w:val="bottom"/>
          </w:tcPr>
          <w:p>
            <w:pPr>
              <w:spacing w:after="0"/>
              <w:rPr>
                <w:sz w:val="1"/>
                <w:szCs w:val="1"/>
                <w:color w:val="auto"/>
              </w:rPr>
            </w:pPr>
          </w:p>
        </w:tc>
      </w:tr>
      <w:tr>
        <w:trPr>
          <w:trHeight w:val="405"/>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Operating</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771,974</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766,148</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9"/>
              </w:rPr>
              <w:t>1,554,075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1,553,416</w:t>
            </w:r>
          </w:p>
        </w:tc>
        <w:tc>
          <w:tcPr>
            <w:tcW w:w="0" w:type="dxa"/>
            <w:vAlign w:val="bottom"/>
          </w:tcPr>
          <w:p>
            <w:pPr>
              <w:spacing w:after="0"/>
              <w:rPr>
                <w:sz w:val="1"/>
                <w:szCs w:val="1"/>
                <w:color w:val="auto"/>
              </w:rPr>
            </w:pPr>
          </w:p>
        </w:tc>
      </w:tr>
      <w:tr>
        <w:trPr>
          <w:trHeight w:val="203"/>
        </w:trPr>
        <w:tc>
          <w:tcPr>
            <w:tcW w:w="4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65,244</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64,265</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128,046</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135,652</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2,694</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2,680</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5,469</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tcPr>
          <w:p>
            <w:pPr>
              <w:ind w:left="400"/>
              <w:spacing w:after="0"/>
              <w:rPr>
                <w:sz w:val="20"/>
                <w:szCs w:val="20"/>
                <w:color w:val="auto"/>
              </w:rPr>
            </w:pPr>
            <w:r>
              <w:rPr>
                <w:rFonts w:ascii="Arial" w:cs="Arial" w:eastAsia="Arial" w:hAnsi="Arial"/>
                <w:sz w:val="18"/>
                <w:szCs w:val="18"/>
                <w:color w:val="auto"/>
              </w:rPr>
              <w:t>Total expenses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839,912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833,093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1,687,590</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1,694,571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15,549</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22,618</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37,755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48,612</w:t>
            </w:r>
          </w:p>
        </w:tc>
        <w:tc>
          <w:tcPr>
            <w:tcW w:w="0" w:type="dxa"/>
            <w:vAlign w:val="bottom"/>
          </w:tcPr>
          <w:p>
            <w:pPr>
              <w:spacing w:after="0"/>
              <w:rPr>
                <w:sz w:val="1"/>
                <w:szCs w:val="1"/>
                <w:color w:val="auto"/>
              </w:rPr>
            </w:pPr>
          </w:p>
        </w:tc>
      </w:tr>
      <w:tr>
        <w:trPr>
          <w:trHeight w:val="202"/>
        </w:trPr>
        <w:tc>
          <w:tcPr>
            <w:tcW w:w="44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Other-than-temporary impairment losses on</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auction rate security:</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Gross impairment losses</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00" w:type="dxa"/>
            <w:vAlign w:val="bottom"/>
            <w:gridSpan w:val="2"/>
          </w:tcPr>
          <w:p>
            <w:pPr>
              <w:ind w:left="600"/>
              <w:spacing w:after="0" w:line="201" w:lineRule="exact"/>
              <w:rPr>
                <w:sz w:val="20"/>
                <w:szCs w:val="20"/>
                <w:color w:val="auto"/>
              </w:rPr>
            </w:pPr>
            <w:r>
              <w:rPr>
                <w:rFonts w:ascii="Arial" w:cs="Arial" w:eastAsia="Arial" w:hAnsi="Arial"/>
                <w:sz w:val="18"/>
                <w:szCs w:val="18"/>
                <w:color w:val="auto"/>
              </w:rPr>
              <w:t>Impairments recognized in 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800"/>
              <w:spacing w:after="0" w:line="203" w:lineRule="exact"/>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7"/>
                <w:szCs w:val="17"/>
                <w:color w:val="auto"/>
              </w:rPr>
            </w:pPr>
          </w:p>
        </w:tc>
        <w:tc>
          <w:tcPr>
            <w:tcW w:w="11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26</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91</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1,177</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2,392</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09"/>
        </w:trPr>
        <w:tc>
          <w:tcPr>
            <w:tcW w:w="44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taxes</w:t>
            </w:r>
          </w:p>
        </w:tc>
        <w:tc>
          <w:tcPr>
            <w:tcW w:w="160" w:type="dxa"/>
            <w:vAlign w:val="bottom"/>
          </w:tcPr>
          <w:p>
            <w:pPr>
              <w:spacing w:after="0"/>
              <w:rPr>
                <w:sz w:val="17"/>
                <w:szCs w:val="17"/>
                <w:color w:val="auto"/>
              </w:rPr>
            </w:pPr>
          </w:p>
        </w:tc>
        <w:tc>
          <w:tcPr>
            <w:tcW w:w="11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14,245</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21,305</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35,236</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45,631</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5,622</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8,256</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13,777</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17,827</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8,623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13,049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21,459</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27,804</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from discontinued operations, net of taxes</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8,577</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12,777</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21,352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26,994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per common share — Basic</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Income from continuing operations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0.16</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0.25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0.41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Loss from discontinued operations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0.25</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per common share — Diluted</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Income from continuing operations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0.16</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0.25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0.41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Loss from discontinued operations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0.25</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00" w:type="dxa"/>
            <w:vAlign w:val="bottom"/>
            <w:gridSpan w:val="2"/>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Weighted-average common and common</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equivalent shares outstanding</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Basic</w:t>
            </w:r>
          </w:p>
        </w:tc>
        <w:tc>
          <w:tcPr>
            <w:tcW w:w="16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52,007</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51,301</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51,914</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51,206</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52,719</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51,553</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52,633</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51,511</w:t>
            </w:r>
          </w:p>
        </w:tc>
        <w:tc>
          <w:tcPr>
            <w:tcW w:w="0" w:type="dxa"/>
            <w:vAlign w:val="bottom"/>
          </w:tcPr>
          <w:p>
            <w:pPr>
              <w:spacing w:after="0"/>
              <w:rPr>
                <w:sz w:val="1"/>
                <w:szCs w:val="1"/>
                <w:color w:val="auto"/>
              </w:rPr>
            </w:pPr>
          </w:p>
        </w:tc>
      </w:tr>
      <w:tr>
        <w:trPr>
          <w:trHeight w:val="419"/>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0.135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0.130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0.270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0.260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25"/>
        </w:trPr>
        <w:tc>
          <w:tcPr>
            <w:tcW w:w="644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300" w:type="dxa"/>
            <w:vAlign w:val="bottom"/>
            <w:vMerge w:val="restart"/>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rPr>
              <w:t>April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40" w:type="dxa"/>
            <w:vAlign w:val="bottom"/>
            <w:tcBorders>
              <w:bottom w:val="single" w:sz="8" w:color="auto"/>
            </w:tcBorders>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7"/>
                <w:szCs w:val="17"/>
                <w:color w:val="auto"/>
              </w:rPr>
            </w:pPr>
          </w:p>
        </w:tc>
        <w:tc>
          <w:tcPr>
            <w:tcW w:w="114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b w:val="1"/>
                <w:bCs w:val="1"/>
                <w:color w:val="auto"/>
                <w:w w:val="99"/>
              </w:rPr>
              <w:t xml:space="preserve">2009 </w:t>
            </w:r>
            <w:r>
              <w:rPr>
                <w:rFonts w:ascii="Arial" w:cs="Arial" w:eastAsia="Arial" w:hAnsi="Arial"/>
                <w:sz w:val="18"/>
                <w:szCs w:val="18"/>
                <w:color w:val="auto"/>
                <w:w w:val="99"/>
              </w:rPr>
              <w:t>(Note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gridSpan w:val="2"/>
          </w:tcPr>
          <w:p>
            <w:pPr>
              <w:spacing w:after="0" w:line="196" w:lineRule="exact"/>
              <w:rPr>
                <w:sz w:val="20"/>
                <w:szCs w:val="20"/>
                <w:color w:val="auto"/>
              </w:rPr>
            </w:pPr>
            <w:r>
              <w:rPr>
                <w:rFonts w:ascii="Arial" w:cs="Arial" w:eastAsia="Arial" w:hAnsi="Arial"/>
                <w:sz w:val="18"/>
                <w:szCs w:val="18"/>
                <w:color w:val="auto"/>
                <w:w w:val="78"/>
              </w:rPr>
              <w:t>(Unaudited)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21,352</w:t>
            </w:r>
          </w:p>
        </w:tc>
        <w:tc>
          <w:tcPr>
            <w:tcW w:w="360" w:type="dxa"/>
            <w:vAlign w:val="bottom"/>
          </w:tcPr>
          <w:p>
            <w:pPr>
              <w:spacing w:after="0"/>
              <w:rPr>
                <w:sz w:val="17"/>
                <w:szCs w:val="17"/>
                <w:color w:val="auto"/>
              </w:rPr>
            </w:pPr>
          </w:p>
        </w:tc>
        <w:tc>
          <w:tcPr>
            <w:tcW w:w="4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26,994</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from discontinued operations, net of taxes</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(107)</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21,459</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27,804</w:t>
            </w:r>
          </w:p>
        </w:tc>
        <w:tc>
          <w:tcPr>
            <w:tcW w:w="0" w:type="dxa"/>
            <w:vAlign w:val="bottom"/>
          </w:tcPr>
          <w:p>
            <w:pPr>
              <w:spacing w:after="0"/>
              <w:rPr>
                <w:sz w:val="1"/>
                <w:szCs w:val="1"/>
                <w:color w:val="auto"/>
              </w:rPr>
            </w:pPr>
          </w:p>
        </w:tc>
      </w:tr>
      <w:tr>
        <w:trPr>
          <w:trHeight w:val="180"/>
        </w:trPr>
        <w:tc>
          <w:tcPr>
            <w:tcW w:w="6740" w:type="dxa"/>
            <w:vAlign w:val="bottom"/>
            <w:gridSpan w:val="2"/>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Adjustments to reconcile income from continuing operations to net cash</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7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provided by continuing operating activities: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 of intangible assets</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17,044</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15,237</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5,453</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16,266</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3,610</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Provision for bad debt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1,569</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Discount accretion on insurance claims</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456</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Auction rate security credit loss impairment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Loss (gain) on sale of assets</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Trade accounts receivable</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962</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2,714</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Insurance recoverables</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1,400</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assets and long-term receivables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1,591</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7,748</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(7,306)</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Retirement plans and other non-current liabilities</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(1,055)</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Insurance claims payable</w:t>
            </w:r>
          </w:p>
        </w:tc>
        <w:tc>
          <w:tcPr>
            <w:tcW w:w="180" w:type="dxa"/>
            <w:vAlign w:val="bottom"/>
          </w:tcPr>
          <w:p>
            <w:pPr>
              <w:spacing w:after="0"/>
              <w:rPr>
                <w:sz w:val="17"/>
                <w:szCs w:val="17"/>
                <w:color w:val="auto"/>
              </w:rPr>
            </w:pPr>
          </w:p>
        </w:tc>
        <w:tc>
          <w:tcPr>
            <w:tcW w:w="11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(1,408)</w:t>
            </w:r>
          </w:p>
        </w:tc>
        <w:tc>
          <w:tcPr>
            <w:tcW w:w="4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Trade accounts payable and other accrued liabilities</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(23,961)</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16,281</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16,537</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continuing operating activities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37,740</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44,341</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 discontinued operating activities</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6,583</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22,861</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44,323</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67,202</w:t>
            </w:r>
          </w:p>
        </w:tc>
        <w:tc>
          <w:tcPr>
            <w:tcW w:w="0" w:type="dxa"/>
            <w:vAlign w:val="bottom"/>
          </w:tcPr>
          <w:p>
            <w:pPr>
              <w:spacing w:after="0"/>
              <w:rPr>
                <w:sz w:val="1"/>
                <w:szCs w:val="1"/>
                <w:color w:val="auto"/>
              </w:rPr>
            </w:pPr>
          </w:p>
        </w:tc>
      </w:tr>
      <w:tr>
        <w:trPr>
          <w:trHeight w:val="210"/>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Additions to property, plant and equipment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(12,238)</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(9,680)</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sale of assets</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1,087</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Purchase of businesses</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(588)</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(11,739)</w:t>
            </w: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(8,114)</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exercises of stock options (including income tax benefit)</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3,045</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(14,014)</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(13,314)</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Borrowings from line of credit</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229,000</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343,000</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Repayment of borrowings from line of credit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(256,500)</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(391,000)</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Changes in book cash overdrafts</w:t>
            </w:r>
          </w:p>
        </w:tc>
        <w:tc>
          <w:tcPr>
            <w:tcW w:w="180" w:type="dxa"/>
            <w:vAlign w:val="bottom"/>
          </w:tcPr>
          <w:p>
            <w:pPr>
              <w:spacing w:after="0"/>
              <w:rPr>
                <w:sz w:val="17"/>
                <w:szCs w:val="17"/>
                <w:color w:val="auto"/>
              </w:rPr>
            </w:pPr>
          </w:p>
        </w:tc>
        <w:tc>
          <w:tcPr>
            <w:tcW w:w="11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(7,325)</w:t>
            </w:r>
          </w:p>
        </w:tc>
        <w:tc>
          <w:tcPr>
            <w:tcW w:w="4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(45,794)</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(65,764)</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tcPr>
          <w:p>
            <w:pPr>
              <w:spacing w:after="0"/>
              <w:rPr>
                <w:sz w:val="18"/>
                <w:szCs w:val="18"/>
                <w:color w:val="auto"/>
              </w:rPr>
            </w:pP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(13,210)</w:t>
            </w: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34,153</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26,741</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20,943</w:t>
            </w:r>
          </w:p>
        </w:tc>
        <w:tc>
          <w:tcPr>
            <w:tcW w:w="3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20,065</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6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(Continued)</w:t>
            </w:r>
          </w:p>
        </w:tc>
        <w:tc>
          <w:tcPr>
            <w:tcW w:w="0" w:type="dxa"/>
            <w:vAlign w:val="bottom"/>
          </w:tcPr>
          <w:p>
            <w:pPr>
              <w:spacing w:after="0"/>
              <w:rPr>
                <w:sz w:val="1"/>
                <w:szCs w:val="1"/>
                <w:color w:val="auto"/>
              </w:rPr>
            </w:pPr>
          </w:p>
        </w:tc>
      </w:tr>
      <w:tr>
        <w:trPr>
          <w:trHeight w:val="369"/>
        </w:trPr>
        <w:tc>
          <w:tcPr>
            <w:tcW w:w="6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99"/>
              </w:rPr>
              <w:t>Six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44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300" w:type="dxa"/>
            <w:vAlign w:val="bottom"/>
            <w:vMerge w:val="restart"/>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rPr>
              <w:t>April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40" w:type="dxa"/>
            <w:vAlign w:val="bottom"/>
            <w:tcBorders>
              <w:bottom w:val="single" w:sz="8" w:color="auto"/>
            </w:tcBorders>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7"/>
                <w:szCs w:val="17"/>
                <w:color w:val="auto"/>
              </w:rPr>
            </w:pPr>
          </w:p>
        </w:tc>
        <w:tc>
          <w:tcPr>
            <w:tcW w:w="114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b w:val="1"/>
                <w:bCs w:val="1"/>
                <w:color w:val="auto"/>
                <w:w w:val="99"/>
              </w:rPr>
              <w:t xml:space="preserve">2009 </w:t>
            </w:r>
            <w:r>
              <w:rPr>
                <w:rFonts w:ascii="Arial" w:cs="Arial" w:eastAsia="Arial" w:hAnsi="Arial"/>
                <w:sz w:val="18"/>
                <w:szCs w:val="18"/>
                <w:color w:val="auto"/>
                <w:w w:val="99"/>
              </w:rPr>
              <w:t>(Note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(Unaudited)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Data:</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Cash (refunded) paid for income taxes, net of refunds received</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(75)</w:t>
            </w:r>
          </w:p>
        </w:tc>
        <w:tc>
          <w:tcPr>
            <w:tcW w:w="7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7"/>
              </w:rPr>
              <w:t>8,928</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Tax effect from exercise of options</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603</w:t>
            </w:r>
          </w:p>
        </w:tc>
        <w:tc>
          <w:tcPr>
            <w:tcW w:w="7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Cash received from exercise of options</w:t>
            </w:r>
          </w:p>
        </w:tc>
        <w:tc>
          <w:tcPr>
            <w:tcW w:w="180" w:type="dxa"/>
            <w:vAlign w:val="bottom"/>
          </w:tcPr>
          <w:p>
            <w:pPr>
              <w:spacing w:after="0"/>
              <w:rPr>
                <w:sz w:val="17"/>
                <w:szCs w:val="17"/>
                <w:color w:val="auto"/>
              </w:rPr>
            </w:pPr>
          </w:p>
        </w:tc>
        <w:tc>
          <w:tcPr>
            <w:tcW w:w="116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2,442</w:t>
            </w:r>
          </w:p>
        </w:tc>
        <w:tc>
          <w:tcPr>
            <w:tcW w:w="700" w:type="dxa"/>
            <w:vAlign w:val="bottom"/>
          </w:tcPr>
          <w:p>
            <w:pPr>
              <w:spacing w:after="0"/>
              <w:rPr>
                <w:sz w:val="17"/>
                <w:szCs w:val="17"/>
                <w:color w:val="auto"/>
              </w:rPr>
            </w:pP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7"/>
              </w:rPr>
              <w:t>1,640</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paid on line of credit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1,803</w:t>
            </w:r>
          </w:p>
        </w:tc>
        <w:tc>
          <w:tcPr>
            <w:tcW w:w="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2,843</w:t>
            </w:r>
          </w:p>
        </w:tc>
        <w:tc>
          <w:tcPr>
            <w:tcW w:w="0" w:type="dxa"/>
            <w:vAlign w:val="bottom"/>
          </w:tcPr>
          <w:p>
            <w:pPr>
              <w:spacing w:after="0"/>
              <w:rPr>
                <w:sz w:val="1"/>
                <w:szCs w:val="1"/>
                <w:color w:val="auto"/>
              </w:rPr>
            </w:pPr>
          </w:p>
        </w:tc>
      </w:tr>
      <w:tr>
        <w:trPr>
          <w:trHeight w:val="210"/>
        </w:trPr>
        <w:tc>
          <w:tcPr>
            <w:tcW w:w="6740" w:type="dxa"/>
            <w:vAlign w:val="bottom"/>
            <w:gridSpan w:val="2"/>
          </w:tcPr>
          <w:p>
            <w:pPr>
              <w:spacing w:after="0"/>
              <w:rPr>
                <w:sz w:val="20"/>
                <w:szCs w:val="20"/>
                <w:color w:val="auto"/>
              </w:rPr>
            </w:pPr>
            <w:r>
              <w:rPr>
                <w:rFonts w:ascii="Arial" w:cs="Arial" w:eastAsia="Arial" w:hAnsi="Arial"/>
                <w:sz w:val="18"/>
                <w:szCs w:val="18"/>
                <w:color w:val="auto"/>
              </w:rPr>
              <w:t>Non-cash investing activities:</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Common stock issued for business acquired</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1,198</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580" w:right="1520"/>
        <w:spacing w:after="0" w:line="539" w:lineRule="auto"/>
        <w:rPr>
          <w:sz w:val="20"/>
          <w:szCs w:val="20"/>
          <w:color w:val="auto"/>
        </w:rPr>
      </w:pPr>
      <w:r>
        <w:rPr>
          <w:rFonts w:ascii="Arial" w:cs="Arial" w:eastAsia="Arial" w:hAnsi="Arial"/>
          <w:sz w:val="18"/>
          <w:szCs w:val="18"/>
          <w:b w:val="1"/>
          <w:bCs w:val="1"/>
          <w:color w:val="auto"/>
        </w:rPr>
        <w:t>ABM INDUSTRIES INCORPORATED AND SUBSIDIARIES NOTES TO THE CONDENSED CONSOLIDATED FINANCIAL STATEMENTS (UNAUDITED)</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Basis of Presentation</w:t>
      </w:r>
    </w:p>
    <w:p>
      <w:pPr>
        <w:spacing w:after="0" w:line="207"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The accompanying condensed consolidated financial statements of ABM Industries Incorporated (“ABM”, and together with its subsidiaries, the “Company”) contained in this report are unaudited and should be read in conjunction with the consolidated financial statements and accompanying notes filed with the U.S. Securities and Exchange Commission (“SEC”) in ABM’s Annual Report on Form 10-K for the fiscal year ended October 31, 2009. All references to years are to the Company’s fiscal year, which ends on October 31.</w:t>
      </w:r>
    </w:p>
    <w:p>
      <w:pPr>
        <w:spacing w:after="0" w:line="162"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accounting principles generally accepted in the United States of America (“GAAP”). The preparation of financial statements in accordance with GAAP requires management to make estimates and assumptions that affect the amounts reported in ABM’s condensed consolidated financial statements and the accompanying notes. These estimates are based on information available as of the date of these financial statements. The current economic environment and its potential effect on the Company’s clients have combined to increase the uncertainty inherent in such estimates and assumptions. As future events and their effects cannot be determined with precision, actual results could differ significantly from these estimates. Changes in those estimates resulting from continuing changes in the economic environment will be reflected in the financial statements in future periods. In the opinion of management, the accompanying condensed consolidated financial statements reflect all adjustments, which are normal and recurring, necessary to fairly state the information for each period contained therein. The results of operations for the three and six months ended April 30, 2010 are not necessarily indicative of the operating results that might be expected for the full fiscal year or any future periods.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Immaterial Correction</w:t>
      </w:r>
    </w:p>
    <w:p>
      <w:pPr>
        <w:spacing w:after="0" w:line="203"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The presentation of the accompanying condensed consolidated statements of cash flows for the six months ended April 30, 2009, corrects the presentation of cash and cash equivalents and book cash overdrafts related to offsetting of positive and negative book cash balances. The effects of the correction, which had no impact on the Company’s previously reported earnings for any periods, are presented in the following table:</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4"/>
          </w:tcPr>
          <w:p>
            <w:pPr>
              <w:ind w:left="360"/>
              <w:spacing w:after="0"/>
              <w:rPr>
                <w:sz w:val="20"/>
                <w:szCs w:val="20"/>
                <w:color w:val="auto"/>
              </w:rPr>
            </w:pPr>
            <w:r>
              <w:rPr>
                <w:rFonts w:ascii="Arial" w:cs="Arial" w:eastAsia="Arial" w:hAnsi="Arial"/>
                <w:sz w:val="18"/>
                <w:szCs w:val="18"/>
                <w:color w:val="auto"/>
              </w:rPr>
              <w:t>Six Months Ended</w:t>
            </w:r>
          </w:p>
        </w:tc>
      </w:tr>
      <w:tr>
        <w:trPr>
          <w:trHeight w:val="203"/>
        </w:trPr>
        <w:tc>
          <w:tcPr>
            <w:tcW w:w="6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4"/>
          </w:tcPr>
          <w:p>
            <w:pPr>
              <w:ind w:left="540"/>
              <w:spacing w:after="0" w:line="203" w:lineRule="exact"/>
              <w:rPr>
                <w:sz w:val="20"/>
                <w:szCs w:val="20"/>
                <w:color w:val="auto"/>
              </w:rPr>
            </w:pPr>
            <w:r>
              <w:rPr>
                <w:rFonts w:ascii="Arial" w:cs="Arial" w:eastAsia="Arial" w:hAnsi="Arial"/>
                <w:sz w:val="18"/>
                <w:szCs w:val="18"/>
                <w:color w:val="auto"/>
              </w:rPr>
              <w:t>April 30, 2009</w:t>
            </w:r>
          </w:p>
        </w:tc>
      </w:tr>
      <w:tr>
        <w:trPr>
          <w:trHeight w:val="195"/>
        </w:trPr>
        <w:tc>
          <w:tcPr>
            <w:tcW w:w="6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As Previously</w:t>
            </w: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As</w:t>
            </w:r>
          </w:p>
        </w:tc>
        <w:tc>
          <w:tcPr>
            <w:tcW w:w="100" w:type="dxa"/>
            <w:vAlign w:val="bottom"/>
          </w:tcPr>
          <w:p>
            <w:pPr>
              <w:spacing w:after="0"/>
              <w:rPr>
                <w:sz w:val="16"/>
                <w:szCs w:val="16"/>
                <w:color w:val="auto"/>
              </w:rPr>
            </w:pPr>
          </w:p>
        </w:tc>
      </w:tr>
      <w:tr>
        <w:trPr>
          <w:trHeight w:val="203"/>
        </w:trPr>
        <w:tc>
          <w:tcPr>
            <w:tcW w:w="6740" w:type="dxa"/>
            <w:vAlign w:val="bottom"/>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17"/>
                <w:szCs w:val="17"/>
                <w:color w:val="auto"/>
              </w:rPr>
            </w:pPr>
          </w:p>
        </w:tc>
        <w:tc>
          <w:tcPr>
            <w:tcW w:w="1340" w:type="dxa"/>
            <w:vAlign w:val="bottom"/>
            <w:gridSpan w:val="2"/>
          </w:tcPr>
          <w:p>
            <w:pPr>
              <w:ind w:left="40"/>
              <w:spacing w:after="0" w:line="203" w:lineRule="exact"/>
              <w:rPr>
                <w:sz w:val="20"/>
                <w:szCs w:val="20"/>
                <w:color w:val="auto"/>
              </w:rPr>
            </w:pPr>
            <w:r>
              <w:rPr>
                <w:rFonts w:ascii="Arial" w:cs="Arial" w:eastAsia="Arial" w:hAnsi="Arial"/>
                <w:sz w:val="18"/>
                <w:szCs w:val="18"/>
                <w:color w:val="auto"/>
              </w:rPr>
              <w:t>Reported</w:t>
            </w:r>
          </w:p>
        </w:tc>
        <w:tc>
          <w:tcPr>
            <w:tcW w:w="1080" w:type="dxa"/>
            <w:vAlign w:val="bottom"/>
            <w:gridSpan w:val="2"/>
          </w:tcPr>
          <w:p>
            <w:pPr>
              <w:jc w:val="center"/>
              <w:ind w:right="100"/>
              <w:spacing w:after="0" w:line="203" w:lineRule="exact"/>
              <w:rPr>
                <w:sz w:val="20"/>
                <w:szCs w:val="20"/>
                <w:color w:val="auto"/>
              </w:rPr>
            </w:pPr>
            <w:r>
              <w:rPr>
                <w:rFonts w:ascii="Arial" w:cs="Arial" w:eastAsia="Arial" w:hAnsi="Arial"/>
                <w:sz w:val="18"/>
                <w:szCs w:val="18"/>
                <w:color w:val="auto"/>
                <w:w w:val="98"/>
              </w:rPr>
              <w:t>Corrected</w:t>
            </w:r>
          </w:p>
        </w:tc>
      </w:tr>
      <w:tr>
        <w:trPr>
          <w:trHeight w:val="196"/>
        </w:trPr>
        <w:tc>
          <w:tcPr>
            <w:tcW w:w="64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(59,798)</w:t>
            </w:r>
          </w:p>
        </w:tc>
        <w:tc>
          <w:tcPr>
            <w:tcW w:w="1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(65,764)</w:t>
            </w:r>
          </w:p>
        </w:tc>
      </w:tr>
    </w:tbl>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Recently Adopted Accounting Pronouncements</w:t>
      </w:r>
    </w:p>
    <w:p>
      <w:pPr>
        <w:spacing w:after="0" w:line="193"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 xml:space="preserve">Effective November 1, 2009, the Company adopted the Financial Accounting Standards Board (“FASB”) updated authoritative standard for accounting for business combinations, which is included in Accounting Standards Codification </w:t>
      </w:r>
      <w:r>
        <w:rPr>
          <w:rFonts w:ascii="Arial" w:cs="Arial" w:eastAsia="Arial" w:hAnsi="Arial"/>
          <w:sz w:val="15"/>
          <w:szCs w:val="15"/>
          <w:color w:val="auto"/>
        </w:rPr>
        <w:t>TM</w:t>
      </w:r>
      <w:r>
        <w:rPr>
          <w:rFonts w:ascii="Arial" w:cs="Arial" w:eastAsia="Arial" w:hAnsi="Arial"/>
          <w:sz w:val="18"/>
          <w:szCs w:val="18"/>
          <w:color w:val="auto"/>
        </w:rPr>
        <w:t xml:space="preserve"> (“ASC”) Topic 805 “Business Combinations” (“ASC 805”). Upon adoption, on November 1, 2009, the Company expensed approximately $1.0 million of deferred acquisition costs for acquisitions currently being pursued. This authoritative standard will impact the way in which the Company accounts for future business combinations.</w:t>
      </w:r>
    </w:p>
    <w:p>
      <w:pPr>
        <w:spacing w:after="0" w:line="176"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Effective November 1, 2009, the Company adopted the FASB updated authoritative standard for determining the useful life of intangible assets, which is included in ASC Topic 350-30 “General Intangibles Other than Goodwill” (“ASC 350-30”). This authoritative standard amends the factors that should be considered in developing renewal or extension assumptions used to determine the useful life of a recognized intangible asset and requires additional disclosures. The disclosure requirements must be applied prospectively to all intangible assets recognized as of the effective date. This authoritative standard had no impact on the Company’s condensed consolidated interim financial statements, but could impact the way in which the useful lives of intangible assets acquired in a business combination will be determined for future acquisitions, if renewal or extension terms are apparent.</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Effective November 1, 2009, the Company adopted the FASB updated authoritative standard on employers’ disclosures about post-retirement benefit plan assets, which is included in ASC Topic 715 “Compensation— Retirement Benefits” (“ASC 715”). The authoritative standard expands the annual disclosures by adding required disclosures about how investment allocation decisions are made by management, major categories of plan assets and significant concentrations of risk. Additionally, it is now required for an employer to disclose information about the valuation of plan assets similar to that required under ASC Topic 820 “Fair Value Measurements and Disclosures” (“ASC 820”). This authoritative standard will not have an impact on the Company’s condensed consolidated interim financial statements as it only amends required annual disclosures.</w:t>
      </w:r>
    </w:p>
    <w:p>
      <w:pPr>
        <w:spacing w:after="0" w:line="181"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Effective November 1, 2009, the Company adopted the FASB authoritative standard on fair value measurements for non-financial assets and non-financial liabilities measured on a non-recurring basis, which is included in ASC 820. The Company’s non-financial assets and non-financial liabilities principally consist of intangible assets acquired through business combinations and long-lived assets. During the six months ended April 30, 2010, the Company did not re-measure any non-financial assets or non-financial liabilities at fair value, therefore, this authoritative standard did not have an impact on the Company’s condensed consolidated interim financial statements. This authoritative standard will impact the way in which fair value is measured and disclosed for non-financial assets and non-financial liabilities that are measured at fair value on a non-recurring basis in periods subsequent to initial recognition.</w:t>
      </w:r>
    </w:p>
    <w:p>
      <w:pPr>
        <w:spacing w:after="0" w:line="168"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Effective February 1, 2010, the Company adopted FASB accounting standard update No. 2010-6, “Improving Disclosures about Fair Value Measurements”, issued in January 2010 related to fair value measurements and disclosures, except for the additional gross presentation disclosure requirements for Level 3 changes which will be adopted in the first quarter of 2012. The update requires entities to make new disclosures about recurring or nonrecurring fair value measurements of assets and liabilities, including (1) the amounts of significant transfers between Level 1 and Level 2 fair value measurements and the reasons for the transfers, (2) the reasons for any transfers in or out of Level 3, and (3) information on purchases, sales, issuances and settlements on a gross basis in the reconciliation of recurring Level 3 fair value measurements. The FASB also clarified existing fair value measurement disclosure guidance about the level of disaggregation of assets and liabilities, and information about the valuation techniques and inputs used in estimating Level 2 and Level 3 fair value measurements. The Company did not have transfers of assets and liabilities between Level 1, Level 2 and/or Level 3 and the required additional disclosures had no impact on the Company’s financial position or results of operations. See Note 3, “Fair Value Measurements” and Note 4, “Auction Rate Securities”.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Fair Value Measurements</w:t>
      </w:r>
    </w:p>
    <w:p>
      <w:pPr>
        <w:spacing w:after="0" w:line="207"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As required by ASC 820, fair value is determined based on inputs or assumptions that market participants would use in pricing an asset or a liability. These assumptions consist of (1) observable inputs — market data obtained from independent sources, or (2) unobservable inputs - market data determined using the company’s own assumptions about valuation. ASC 820 establishes a hierarchy to prioritize the inputs to valuation techniques, with the highest priority being given to Level 1 inputs and the lowest priority to Level 3 inputs, as described below:</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instruments in active markets;</w:t>
      </w:r>
    </w:p>
    <w:p>
      <w:pPr>
        <w:spacing w:after="0" w:line="171" w:lineRule="exact"/>
        <w:rPr>
          <w:sz w:val="20"/>
          <w:szCs w:val="20"/>
          <w:color w:val="auto"/>
        </w:rPr>
      </w:pPr>
    </w:p>
    <w:p>
      <w:pPr>
        <w:jc w:val="both"/>
        <w:ind w:left="700" w:right="559"/>
        <w:spacing w:after="0" w:line="253"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instruments in active markets; quoted prices for identical or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in markets that are not active; and model-derived valuations in which all significant inputs or significant value-drivers are observable in active markets; and</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w:t>
      </w:r>
    </w:p>
    <w:p>
      <w:pPr>
        <w:spacing w:after="0" w:line="200" w:lineRule="exact"/>
        <w:rPr>
          <w:sz w:val="20"/>
          <w:szCs w:val="20"/>
          <w:color w:val="auto"/>
        </w:rPr>
      </w:pPr>
    </w:p>
    <w:p>
      <w:pPr>
        <w:spacing w:after="0" w:line="3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The following tables presents the Company’s hierarchy for financial assets and liabilities measured at fair value on a recurring basis as of April 30, 2010 and October 31, 2009:</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gridSpan w:val="8"/>
          </w:tcPr>
          <w:p>
            <w:pPr>
              <w:jc w:val="center"/>
              <w:ind w:right="240"/>
              <w:spacing w:after="0"/>
              <w:rPr>
                <w:sz w:val="20"/>
                <w:szCs w:val="20"/>
                <w:color w:val="auto"/>
              </w:rPr>
            </w:pPr>
            <w:r>
              <w:rPr>
                <w:rFonts w:ascii="Arial" w:cs="Arial" w:eastAsia="Arial" w:hAnsi="Arial"/>
                <w:sz w:val="18"/>
                <w:szCs w:val="18"/>
                <w:color w:val="auto"/>
                <w:w w:val="98"/>
              </w:rPr>
              <w:t>Fair Value Measurements</w:t>
            </w:r>
          </w:p>
        </w:tc>
      </w:tr>
      <w:tr>
        <w:trPr>
          <w:trHeight w:val="203"/>
        </w:trPr>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4"/>
          </w:tcPr>
          <w:p>
            <w:pPr>
              <w:ind w:left="60"/>
              <w:spacing w:after="0" w:line="203" w:lineRule="exact"/>
              <w:rPr>
                <w:sz w:val="20"/>
                <w:szCs w:val="20"/>
                <w:color w:val="auto"/>
              </w:rPr>
            </w:pPr>
            <w:r>
              <w:rPr>
                <w:rFonts w:ascii="Arial" w:cs="Arial" w:eastAsia="Arial" w:hAnsi="Arial"/>
                <w:sz w:val="18"/>
                <w:szCs w:val="18"/>
                <w:color w:val="auto"/>
              </w:rPr>
              <w:t>Fair Value at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gridSpan w:val="8"/>
          </w:tcPr>
          <w:p>
            <w:pPr>
              <w:jc w:val="center"/>
              <w:ind w:right="260"/>
              <w:spacing w:after="0" w:line="203" w:lineRule="exact"/>
              <w:rPr>
                <w:sz w:val="20"/>
                <w:szCs w:val="20"/>
                <w:color w:val="auto"/>
              </w:rPr>
            </w:pPr>
            <w:r>
              <w:rPr>
                <w:rFonts w:ascii="Arial" w:cs="Arial" w:eastAsia="Arial" w:hAnsi="Arial"/>
                <w:sz w:val="18"/>
                <w:szCs w:val="18"/>
                <w:color w:val="auto"/>
              </w:rPr>
              <w:t>Using Inputs Considered as</w:t>
            </w:r>
          </w:p>
        </w:tc>
      </w:tr>
      <w:tr>
        <w:trPr>
          <w:trHeight w:val="196"/>
        </w:trPr>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4"/>
          </w:tcPr>
          <w:p>
            <w:pPr>
              <w:spacing w:after="0" w:line="196" w:lineRule="exact"/>
              <w:rPr>
                <w:sz w:val="20"/>
                <w:szCs w:val="20"/>
                <w:color w:val="auto"/>
              </w:rPr>
            </w:pPr>
            <w:r>
              <w:rPr>
                <w:rFonts w:ascii="Arial" w:cs="Arial" w:eastAsia="Arial" w:hAnsi="Arial"/>
                <w:sz w:val="18"/>
                <w:szCs w:val="18"/>
                <w:color w:val="auto"/>
              </w:rPr>
              <w:t>April 30, 2010</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580"/>
              <w:spacing w:after="0" w:line="196" w:lineRule="exact"/>
              <w:rPr>
                <w:sz w:val="20"/>
                <w:szCs w:val="20"/>
                <w:color w:val="auto"/>
              </w:rPr>
            </w:pPr>
            <w:r>
              <w:rPr>
                <w:rFonts w:ascii="Arial" w:cs="Arial" w:eastAsia="Arial" w:hAnsi="Arial"/>
                <w:sz w:val="18"/>
                <w:szCs w:val="18"/>
                <w:color w:val="auto"/>
                <w:w w:val="96"/>
              </w:rPr>
              <w:t>Level 1</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540"/>
              <w:spacing w:after="0" w:line="196" w:lineRule="exact"/>
              <w:rPr>
                <w:sz w:val="20"/>
                <w:szCs w:val="20"/>
                <w:color w:val="auto"/>
              </w:rPr>
            </w:pPr>
            <w:r>
              <w:rPr>
                <w:rFonts w:ascii="Arial" w:cs="Arial" w:eastAsia="Arial" w:hAnsi="Arial"/>
                <w:sz w:val="18"/>
                <w:szCs w:val="18"/>
                <w:color w:val="auto"/>
                <w:w w:val="99"/>
              </w:rPr>
              <w:t>Level 2</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40"/>
              <w:spacing w:after="0" w:line="196" w:lineRule="exact"/>
              <w:rPr>
                <w:sz w:val="20"/>
                <w:szCs w:val="20"/>
                <w:color w:val="auto"/>
              </w:rPr>
            </w:pPr>
            <w:r>
              <w:rPr>
                <w:rFonts w:ascii="Arial" w:cs="Arial" w:eastAsia="Arial" w:hAnsi="Arial"/>
                <w:sz w:val="18"/>
                <w:szCs w:val="18"/>
                <w:color w:val="auto"/>
              </w:rPr>
              <w:t>Level 3</w:t>
            </w:r>
          </w:p>
        </w:tc>
        <w:tc>
          <w:tcPr>
            <w:tcW w:w="80" w:type="dxa"/>
            <w:vAlign w:val="bottom"/>
          </w:tcPr>
          <w:p>
            <w:pPr>
              <w:spacing w:after="0"/>
              <w:rPr>
                <w:sz w:val="17"/>
                <w:szCs w:val="17"/>
                <w:color w:val="auto"/>
              </w:rPr>
            </w:pPr>
          </w:p>
        </w:tc>
      </w:tr>
      <w:tr>
        <w:trPr>
          <w:trHeight w:val="196"/>
        </w:trPr>
        <w:tc>
          <w:tcPr>
            <w:tcW w:w="38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39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Assets held in funded deferred compensation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98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plan</w:t>
            </w:r>
          </w:p>
        </w:tc>
        <w:tc>
          <w:tcPr>
            <w:tcW w:w="600" w:type="dxa"/>
            <w:vAlign w:val="bottom"/>
            <w:gridSpan w:val="3"/>
          </w:tcPr>
          <w:p>
            <w:pPr>
              <w:ind w:left="26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5,704</w:t>
            </w:r>
          </w:p>
        </w:tc>
        <w:tc>
          <w:tcPr>
            <w:tcW w:w="260" w:type="dxa"/>
            <w:vAlign w:val="bottom"/>
          </w:tcPr>
          <w:p>
            <w:pPr>
              <w:spacing w:after="0"/>
              <w:rPr>
                <w:sz w:val="17"/>
                <w:szCs w:val="17"/>
                <w:color w:val="auto"/>
              </w:rPr>
            </w:pPr>
          </w:p>
        </w:tc>
        <w:tc>
          <w:tcPr>
            <w:tcW w:w="1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5,704</w:t>
            </w:r>
          </w:p>
        </w:tc>
        <w:tc>
          <w:tcPr>
            <w:tcW w:w="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r>
      <w:tr>
        <w:trPr>
          <w:trHeight w:val="203"/>
        </w:trPr>
        <w:tc>
          <w:tcPr>
            <w:tcW w:w="39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Investments in auction rate securities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19,634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19,634</w:t>
            </w:r>
          </w:p>
        </w:tc>
      </w:tr>
      <w:tr>
        <w:trPr>
          <w:trHeight w:val="20"/>
        </w:trPr>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25,338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5,704</w:t>
            </w:r>
          </w:p>
        </w:tc>
        <w:tc>
          <w:tcPr>
            <w:tcW w:w="3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19,634</w:t>
            </w:r>
          </w:p>
        </w:tc>
      </w:tr>
      <w:tr>
        <w:trPr>
          <w:trHeight w:val="210"/>
        </w:trPr>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9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Interest rate swap</w:t>
            </w:r>
          </w:p>
        </w:tc>
        <w:tc>
          <w:tcPr>
            <w:tcW w:w="60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802</w:t>
            </w:r>
          </w:p>
        </w:tc>
        <w:tc>
          <w:tcPr>
            <w:tcW w:w="260" w:type="dxa"/>
            <w:vAlign w:val="bottom"/>
          </w:tcPr>
          <w:p>
            <w:pPr>
              <w:spacing w:after="0"/>
              <w:rPr>
                <w:sz w:val="17"/>
                <w:szCs w:val="17"/>
                <w:color w:val="auto"/>
              </w:rPr>
            </w:pPr>
          </w:p>
        </w:tc>
        <w:tc>
          <w:tcPr>
            <w:tcW w:w="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802</w:t>
            </w:r>
          </w:p>
        </w:tc>
        <w:tc>
          <w:tcPr>
            <w:tcW w:w="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10"/>
        </w:trPr>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9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liabilities</w:t>
            </w:r>
          </w:p>
        </w:tc>
        <w:tc>
          <w:tcPr>
            <w:tcW w:w="260" w:type="dxa"/>
            <w:vAlign w:val="bottom"/>
            <w:gridSpan w:val="2"/>
            <w:shd w:val="clear" w:color="auto" w:fill="CCEEFF"/>
          </w:tcPr>
          <w:p>
            <w:pPr>
              <w:spacing w:after="0"/>
              <w:rPr>
                <w:sz w:val="17"/>
                <w:szCs w:val="17"/>
                <w:color w:val="auto"/>
              </w:rPr>
            </w:pP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w:t>
            </w:r>
          </w:p>
        </w:tc>
        <w:tc>
          <w:tcPr>
            <w:tcW w:w="3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
        </w:trPr>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1"/>
        </w:trPr>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8"/>
          </w:tcPr>
          <w:p>
            <w:pPr>
              <w:jc w:val="center"/>
              <w:ind w:right="180"/>
              <w:spacing w:after="0"/>
              <w:rPr>
                <w:sz w:val="20"/>
                <w:szCs w:val="20"/>
                <w:color w:val="auto"/>
              </w:rPr>
            </w:pPr>
            <w:r>
              <w:rPr>
                <w:rFonts w:ascii="Arial" w:cs="Arial" w:eastAsia="Arial" w:hAnsi="Arial"/>
                <w:sz w:val="18"/>
                <w:szCs w:val="18"/>
                <w:color w:val="auto"/>
                <w:w w:val="99"/>
              </w:rPr>
              <w:t>Fair Value Measurements</w:t>
            </w:r>
          </w:p>
        </w:tc>
      </w:tr>
      <w:tr>
        <w:trPr>
          <w:trHeight w:val="203"/>
        </w:trPr>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5"/>
          </w:tcPr>
          <w:p>
            <w:pPr>
              <w:ind w:left="180"/>
              <w:spacing w:after="0" w:line="203" w:lineRule="exact"/>
              <w:rPr>
                <w:sz w:val="20"/>
                <w:szCs w:val="20"/>
                <w:color w:val="auto"/>
              </w:rPr>
            </w:pPr>
            <w:r>
              <w:rPr>
                <w:rFonts w:ascii="Arial" w:cs="Arial" w:eastAsia="Arial" w:hAnsi="Arial"/>
                <w:sz w:val="18"/>
                <w:szCs w:val="18"/>
                <w:color w:val="auto"/>
              </w:rPr>
              <w:t>Fair Value at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gridSpan w:val="8"/>
          </w:tcPr>
          <w:p>
            <w:pPr>
              <w:jc w:val="center"/>
              <w:ind w:right="180"/>
              <w:spacing w:after="0" w:line="203" w:lineRule="exact"/>
              <w:rPr>
                <w:sz w:val="20"/>
                <w:szCs w:val="20"/>
                <w:color w:val="auto"/>
              </w:rPr>
            </w:pPr>
            <w:r>
              <w:rPr>
                <w:rFonts w:ascii="Arial" w:cs="Arial" w:eastAsia="Arial" w:hAnsi="Arial"/>
                <w:sz w:val="18"/>
                <w:szCs w:val="18"/>
                <w:color w:val="auto"/>
              </w:rPr>
              <w:t>Using Inputs Considered as</w:t>
            </w:r>
          </w:p>
        </w:tc>
      </w:tr>
      <w:tr>
        <w:trPr>
          <w:trHeight w:val="196"/>
        </w:trPr>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7"/>
                <w:szCs w:val="17"/>
                <w:color w:val="auto"/>
              </w:rPr>
            </w:pPr>
          </w:p>
        </w:tc>
        <w:tc>
          <w:tcPr>
            <w:tcW w:w="1640" w:type="dxa"/>
            <w:vAlign w:val="bottom"/>
            <w:gridSpan w:val="5"/>
          </w:tcPr>
          <w:p>
            <w:pPr>
              <w:spacing w:after="0" w:line="196" w:lineRule="exact"/>
              <w:rPr>
                <w:sz w:val="20"/>
                <w:szCs w:val="20"/>
                <w:color w:val="auto"/>
              </w:rPr>
            </w:pPr>
            <w:r>
              <w:rPr>
                <w:rFonts w:ascii="Arial" w:cs="Arial" w:eastAsia="Arial" w:hAnsi="Arial"/>
                <w:sz w:val="18"/>
                <w:szCs w:val="18"/>
                <w:color w:val="auto"/>
              </w:rPr>
              <w:t>October 31, 2009</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520"/>
              <w:spacing w:after="0" w:line="196" w:lineRule="exact"/>
              <w:rPr>
                <w:sz w:val="20"/>
                <w:szCs w:val="20"/>
                <w:color w:val="auto"/>
              </w:rPr>
            </w:pPr>
            <w:r>
              <w:rPr>
                <w:rFonts w:ascii="Arial" w:cs="Arial" w:eastAsia="Arial" w:hAnsi="Arial"/>
                <w:sz w:val="18"/>
                <w:szCs w:val="18"/>
                <w:color w:val="auto"/>
              </w:rPr>
              <w:t>Level 1</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460"/>
              <w:spacing w:after="0" w:line="196" w:lineRule="exact"/>
              <w:rPr>
                <w:sz w:val="20"/>
                <w:szCs w:val="20"/>
                <w:color w:val="auto"/>
              </w:rPr>
            </w:pPr>
            <w:r>
              <w:rPr>
                <w:rFonts w:ascii="Arial" w:cs="Arial" w:eastAsia="Arial" w:hAnsi="Arial"/>
                <w:sz w:val="18"/>
                <w:szCs w:val="18"/>
                <w:color w:val="auto"/>
                <w:w w:val="99"/>
              </w:rPr>
              <w:t>Level 2</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40"/>
              <w:spacing w:after="0" w:line="196" w:lineRule="exact"/>
              <w:rPr>
                <w:sz w:val="20"/>
                <w:szCs w:val="20"/>
                <w:color w:val="auto"/>
              </w:rPr>
            </w:pPr>
            <w:r>
              <w:rPr>
                <w:rFonts w:ascii="Arial" w:cs="Arial" w:eastAsia="Arial" w:hAnsi="Arial"/>
                <w:sz w:val="18"/>
                <w:szCs w:val="18"/>
                <w:color w:val="auto"/>
              </w:rPr>
              <w:t>Level 3</w:t>
            </w:r>
          </w:p>
        </w:tc>
        <w:tc>
          <w:tcPr>
            <w:tcW w:w="80" w:type="dxa"/>
            <w:vAlign w:val="bottom"/>
          </w:tcPr>
          <w:p>
            <w:pPr>
              <w:spacing w:after="0"/>
              <w:rPr>
                <w:sz w:val="17"/>
                <w:szCs w:val="17"/>
                <w:color w:val="auto"/>
              </w:rPr>
            </w:pPr>
          </w:p>
        </w:tc>
      </w:tr>
      <w:tr>
        <w:trPr>
          <w:trHeight w:val="196"/>
        </w:trPr>
        <w:tc>
          <w:tcPr>
            <w:tcW w:w="3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39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Assets held in funded deferred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98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compensation plan</w:t>
            </w:r>
          </w:p>
        </w:tc>
        <w:tc>
          <w:tcPr>
            <w:tcW w:w="26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20" w:type="dxa"/>
            <w:vAlign w:val="bottom"/>
            <w:gridSpan w:val="3"/>
          </w:tcPr>
          <w:p>
            <w:pPr>
              <w:jc w:val="right"/>
              <w:ind w:right="260"/>
              <w:spacing w:after="0" w:line="203" w:lineRule="exact"/>
              <w:rPr>
                <w:sz w:val="20"/>
                <w:szCs w:val="20"/>
                <w:color w:val="auto"/>
              </w:rPr>
            </w:pPr>
            <w:r>
              <w:rPr>
                <w:rFonts w:ascii="Arial" w:cs="Arial" w:eastAsia="Arial" w:hAnsi="Arial"/>
                <w:sz w:val="18"/>
                <w:szCs w:val="18"/>
                <w:color w:val="auto"/>
              </w:rPr>
              <w:t>6,006</w:t>
            </w:r>
          </w:p>
        </w:tc>
        <w:tc>
          <w:tcPr>
            <w:tcW w:w="1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6,006</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r>
      <w:tr>
        <w:trPr>
          <w:trHeight w:val="203"/>
        </w:trPr>
        <w:tc>
          <w:tcPr>
            <w:tcW w:w="39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 in auction rate securities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19,531</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19,531</w:t>
            </w:r>
          </w:p>
        </w:tc>
      </w:tr>
      <w:tr>
        <w:trPr>
          <w:trHeight w:val="20"/>
        </w:trPr>
        <w:tc>
          <w:tcPr>
            <w:tcW w:w="3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25,537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6,006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19,531</w:t>
            </w:r>
          </w:p>
        </w:tc>
      </w:tr>
      <w:tr>
        <w:trPr>
          <w:trHeight w:val="210"/>
        </w:trPr>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9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Interest rate swap</w:t>
            </w:r>
          </w:p>
        </w:tc>
        <w:tc>
          <w:tcPr>
            <w:tcW w:w="2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1,014</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1,014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10"/>
        </w:trPr>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9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liabilities</w:t>
            </w:r>
          </w:p>
        </w:tc>
        <w:tc>
          <w:tcPr>
            <w:tcW w:w="2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1,014</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1,014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
        </w:trPr>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 assets held in the funded deferred compensation plan is based on quoted market prices.</w:t>
      </w:r>
    </w:p>
    <w:p>
      <w:pPr>
        <w:spacing w:after="0" w:line="171"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The fair value of the investments in auction rate securities is based on discounted cash flow valuation models, primarily utilizing unobservable inputs. During the six months ended April 30, 2010, the Company had no transfers of assets or liabilities between any of the above hierarchy levels. See Note 4, “Auction Rate Securities”, for the roll-forwards of assets measured at fair value using significant unobservable Level 3 inputs.</w:t>
      </w:r>
    </w:p>
    <w:p>
      <w:pPr>
        <w:spacing w:after="0" w:line="161"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The fair value of the interest rate swap is estimated based on the present value of the difference between expected cash flows calculated at the contracted interest rates and the expected cash flows at current market interest rates using observable benchmarks for LIBOR forward rates at the end of the period. See Note 7, “Line of Credit Facility”.</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189"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Due to the short-term maturities of the Company’s cash, cash equivalents, receivables, payables, and current assets and liabilities of discontinued operations, the carrying value of these financial instruments approximates their fair market values. Due to the variable interest rates, the fair value of outstanding borrowings under the Company’s $450.0 million line of credit approximates its carrying value of $145.0 million. The carrying value of the receivables included in non-current assets of discontinued operations of $2.8 million and the acquired insurance deposits related to acquired self-insurance claims of $42.2 million approximates fair market value.</w:t>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Auction Rate Securities</w:t>
      </w:r>
    </w:p>
    <w:p>
      <w:pPr>
        <w:spacing w:after="0" w:line="207" w:lineRule="exact"/>
        <w:rPr>
          <w:sz w:val="20"/>
          <w:szCs w:val="20"/>
          <w:color w:val="auto"/>
        </w:rPr>
      </w:pPr>
    </w:p>
    <w:p>
      <w:pPr>
        <w:jc w:val="both"/>
        <w:ind w:left="340" w:right="1760"/>
        <w:spacing w:after="0" w:line="237" w:lineRule="auto"/>
        <w:rPr>
          <w:sz w:val="20"/>
          <w:szCs w:val="20"/>
          <w:color w:val="auto"/>
        </w:rPr>
      </w:pPr>
      <w:r>
        <w:rPr>
          <w:rFonts w:ascii="Arial" w:cs="Arial" w:eastAsia="Arial" w:hAnsi="Arial"/>
          <w:sz w:val="18"/>
          <w:szCs w:val="18"/>
          <w:color w:val="auto"/>
        </w:rPr>
        <w:t>As of April 30, 2010, the Company held investments in auction rate securities from five different issuers having an original principal amount of $5.0 million each (aggregating $25.0 million). At April 30, 2010 and October 31, 2009, the estimated fair value of these securities, in total, was approximately $19.6 million and $19.5 million, respectively. These auction rate securities are debt instruments with stated maturities ranging from 2025 to 2050, for which the interest rate is designed to be reset through Dutch auctions approximately every 30 days. Auctions for these securities have not occurred since August 2007.</w:t>
      </w:r>
    </w:p>
    <w:p>
      <w:pPr>
        <w:spacing w:after="0" w:line="165" w:lineRule="exact"/>
        <w:rPr>
          <w:sz w:val="20"/>
          <w:szCs w:val="20"/>
          <w:color w:val="auto"/>
        </w:rPr>
      </w:pPr>
    </w:p>
    <w:p>
      <w:pPr>
        <w:jc w:val="both"/>
        <w:ind w:left="340" w:right="1760"/>
        <w:spacing w:after="0" w:line="237" w:lineRule="auto"/>
        <w:rPr>
          <w:sz w:val="20"/>
          <w:szCs w:val="20"/>
          <w:color w:val="auto"/>
        </w:rPr>
      </w:pPr>
      <w:r>
        <w:rPr>
          <w:rFonts w:ascii="Arial" w:cs="Arial" w:eastAsia="Arial" w:hAnsi="Arial"/>
          <w:sz w:val="18"/>
          <w:szCs w:val="18"/>
          <w:color w:val="auto"/>
        </w:rPr>
        <w:t>The Company estimates the fair values of auction rate securities it holds utilizing a discounted cash flow model, which considers, among other factors, assumptions about: (1) the underlying collateral; (2) credit risks associated with the issuer; (3) contractual maturity; (4) credit enhancements associated with financial insurance guarantees, if any; and (5) assumptions about when, if ever, the security might be re-financed by the issuer or have a successful auction. Since there can be no assurance that auctions for these securities will be successful in the near future, the Company has classified its auction rate securities as long-term investments.</w:t>
      </w:r>
    </w:p>
    <w:p>
      <w:pPr>
        <w:spacing w:after="0" w:line="165" w:lineRule="exact"/>
        <w:rPr>
          <w:sz w:val="20"/>
          <w:szCs w:val="20"/>
          <w:color w:val="auto"/>
        </w:rPr>
      </w:pPr>
    </w:p>
    <w:p>
      <w:pPr>
        <w:jc w:val="both"/>
        <w:ind w:left="340" w:right="1760"/>
        <w:spacing w:after="0" w:line="246" w:lineRule="auto"/>
        <w:rPr>
          <w:sz w:val="20"/>
          <w:szCs w:val="20"/>
          <w:color w:val="auto"/>
        </w:rPr>
      </w:pPr>
      <w:r>
        <w:rPr>
          <w:rFonts w:ascii="Arial" w:cs="Arial" w:eastAsia="Arial" w:hAnsi="Arial"/>
          <w:sz w:val="18"/>
          <w:szCs w:val="18"/>
          <w:color w:val="auto"/>
        </w:rPr>
        <w:t>The following table presents the significant assumptions used to determine the fair value of the Company’s auction rate securities at April 30, 2010 and October 31, 2009:</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Assumption</w:t>
            </w:r>
          </w:p>
        </w:tc>
        <w:tc>
          <w:tcPr>
            <w:tcW w:w="220" w:type="dxa"/>
            <w:vAlign w:val="bottom"/>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April 30, 2010</w:t>
            </w:r>
          </w:p>
        </w:tc>
        <w:tc>
          <w:tcPr>
            <w:tcW w:w="220" w:type="dxa"/>
            <w:vAlign w:val="bottom"/>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October 31, 2009</w:t>
            </w: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 rates</w:t>
            </w: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L + 0.34% - L + 22.17%</w:t>
            </w: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L + 0.34% - L + 24.43%</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Yields</w:t>
            </w:r>
          </w:p>
        </w:tc>
        <w:tc>
          <w:tcPr>
            <w:tcW w:w="2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color w:val="auto"/>
              </w:rPr>
              <w:t>L + 2.0% - L + 3.5%</w:t>
            </w:r>
          </w:p>
        </w:tc>
        <w:tc>
          <w:tcPr>
            <w:tcW w:w="22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Arial" w:cs="Arial" w:eastAsia="Arial" w:hAnsi="Arial"/>
                <w:sz w:val="18"/>
                <w:szCs w:val="18"/>
                <w:color w:val="auto"/>
                <w:w w:val="99"/>
              </w:rPr>
              <w:t>L + 2.0% - L + 3.5%</w:t>
            </w: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expected lives</w:t>
            </w: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4 - 10 years</w:t>
            </w: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4 - 8 years</w:t>
            </w:r>
          </w:p>
        </w:tc>
      </w:tr>
      <w:tr>
        <w:trPr>
          <w:trHeight w:val="419"/>
        </w:trPr>
        <w:tc>
          <w:tcPr>
            <w:tcW w:w="5060" w:type="dxa"/>
            <w:vAlign w:val="bottom"/>
          </w:tcPr>
          <w:p>
            <w:pPr>
              <w:spacing w:after="0"/>
              <w:rPr>
                <w:sz w:val="20"/>
                <w:szCs w:val="20"/>
                <w:color w:val="auto"/>
              </w:rPr>
            </w:pPr>
            <w:r>
              <w:rPr>
                <w:rFonts w:ascii="Arial" w:cs="Arial" w:eastAsia="Arial" w:hAnsi="Arial"/>
                <w:sz w:val="18"/>
                <w:szCs w:val="18"/>
                <w:color w:val="auto"/>
              </w:rPr>
              <w:t>L — London Interbank Offered Rate</w:t>
            </w: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175" w:lineRule="exact"/>
        <w:rPr>
          <w:sz w:val="20"/>
          <w:szCs w:val="20"/>
          <w:color w:val="auto"/>
        </w:rPr>
      </w:pPr>
    </w:p>
    <w:p>
      <w:pPr>
        <w:jc w:val="both"/>
        <w:ind w:left="340" w:right="1760"/>
        <w:spacing w:after="0" w:line="236" w:lineRule="auto"/>
        <w:rPr>
          <w:sz w:val="20"/>
          <w:szCs w:val="20"/>
          <w:color w:val="auto"/>
        </w:rPr>
      </w:pPr>
      <w:r>
        <w:rPr>
          <w:rFonts w:ascii="Arial" w:cs="Arial" w:eastAsia="Arial" w:hAnsi="Arial"/>
          <w:sz w:val="18"/>
          <w:szCs w:val="18"/>
          <w:color w:val="auto"/>
        </w:rPr>
        <w:t>The Company’s determination of whether impairments of its auction rate securities are other-than-temporary is based on an evaluation of several factors, circumstances and known or reasonably supportable trends including, but not limited to: (1) the Company’s intent to not sell the securities; (2) the Company’s assessment that it is not more likely than not that the Company will be required to sell the securities before recovering its cost basis; (3) expected defaults; (4) available ratings for the securities or the underlying collateral; (5) the rating of the associated guarantor (where applicable); (6) the nature and value of the underlying collateral expected to service the investment; (7) actual historical performance of the security in servicing its obligations; and (8) actuarial experience of the underlying re-insurance arrangement (where applicable) which in certain circumstances may have preferential rights to the underlying collateral.</w:t>
      </w:r>
    </w:p>
    <w:p>
      <w:pPr>
        <w:spacing w:after="0" w:line="167" w:lineRule="exact"/>
        <w:rPr>
          <w:sz w:val="20"/>
          <w:szCs w:val="20"/>
          <w:color w:val="auto"/>
        </w:rPr>
      </w:pPr>
    </w:p>
    <w:p>
      <w:pPr>
        <w:jc w:val="both"/>
        <w:ind w:left="340" w:right="1760"/>
        <w:spacing w:after="0" w:line="248" w:lineRule="auto"/>
        <w:rPr>
          <w:sz w:val="20"/>
          <w:szCs w:val="20"/>
          <w:color w:val="auto"/>
        </w:rPr>
      </w:pPr>
      <w:r>
        <w:rPr>
          <w:rFonts w:ascii="Arial" w:cs="Arial" w:eastAsia="Arial" w:hAnsi="Arial"/>
          <w:sz w:val="17"/>
          <w:szCs w:val="17"/>
          <w:color w:val="auto"/>
        </w:rPr>
        <w:t>Based primarily on an unfavorable development in the Company’s assumption about the expected life for one security, for the three months ended at April 30, 2010, the Company recognized an additional other-than-temporary impairment credit loss of $0.1 million. The Company had previously recognized an other-than-temporary impairment credit loss of $1.6 million for this security in 2009. The credit loss was based upon the difference between the present value of the expected cash flows to be collected and the amortized cost basis of the security. Significant assumptions used in estimating the credit loss include: (1) default rates for the security and the mono-line insurer, if any (which were based on published historical default rates of similar securities and consideration of current market trends) and</w:t>
      </w:r>
    </w:p>
    <w:p>
      <w:pPr>
        <w:spacing w:after="0" w:line="4" w:lineRule="exact"/>
        <w:rPr>
          <w:sz w:val="20"/>
          <w:szCs w:val="20"/>
          <w:color w:val="auto"/>
        </w:rPr>
      </w:pPr>
    </w:p>
    <w:p>
      <w:pPr>
        <w:jc w:val="both"/>
        <w:ind w:left="340" w:right="1760" w:hanging="8"/>
        <w:spacing w:after="0"/>
        <w:tabs>
          <w:tab w:leader="none" w:pos="61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life of the security (which represents the Company’s view of when market efficiencies for securities may be restored). Adverse changes in any of these factors could result in additional declines in fair value and further other-than-temporary impairments in the future.</w:t>
      </w:r>
    </w:p>
    <w:p>
      <w:pPr>
        <w:spacing w:after="0" w:line="162" w:lineRule="exact"/>
        <w:rPr>
          <w:sz w:val="20"/>
          <w:szCs w:val="20"/>
          <w:color w:val="auto"/>
        </w:rPr>
      </w:pPr>
    </w:p>
    <w:p>
      <w:pPr>
        <w:ind w:left="340" w:right="1760"/>
        <w:spacing w:after="0" w:line="246" w:lineRule="auto"/>
        <w:rPr>
          <w:sz w:val="20"/>
          <w:szCs w:val="20"/>
          <w:color w:val="auto"/>
        </w:rPr>
      </w:pPr>
      <w:r>
        <w:rPr>
          <w:rFonts w:ascii="Arial" w:cs="Arial" w:eastAsia="Arial" w:hAnsi="Arial"/>
          <w:sz w:val="18"/>
          <w:szCs w:val="18"/>
          <w:color w:val="auto"/>
        </w:rPr>
        <w:t>The following tables presents the changes in the cost basis and fair value of the Company’s auction rate securities for the six months ended April 30, 2010: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Fair Value</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00" w:type="dxa"/>
            <w:vAlign w:val="bottom"/>
          </w:tcPr>
          <w:p>
            <w:pPr>
              <w:spacing w:after="0" w:line="203" w:lineRule="exact"/>
              <w:rPr>
                <w:sz w:val="20"/>
                <w:szCs w:val="20"/>
                <w:color w:val="auto"/>
              </w:rPr>
            </w:pPr>
            <w:r>
              <w:rPr>
                <w:rFonts w:ascii="Arial" w:cs="Arial" w:eastAsia="Arial" w:hAnsi="Arial"/>
                <w:sz w:val="18"/>
                <w:szCs w:val="18"/>
                <w:color w:val="auto"/>
              </w:rPr>
              <w:t>(in thousands)</w:t>
            </w: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right"/>
              <w:ind w:right="420"/>
              <w:spacing w:after="0" w:line="203" w:lineRule="exact"/>
              <w:rPr>
                <w:sz w:val="20"/>
                <w:szCs w:val="20"/>
                <w:color w:val="auto"/>
              </w:rPr>
            </w:pPr>
            <w:r>
              <w:rPr>
                <w:rFonts w:ascii="Arial" w:cs="Arial" w:eastAsia="Arial" w:hAnsi="Arial"/>
                <w:sz w:val="18"/>
                <w:szCs w:val="18"/>
                <w:color w:val="auto"/>
              </w:rPr>
              <w:t>Cost Basis</w:t>
            </w:r>
          </w:p>
        </w:tc>
        <w:tc>
          <w:tcPr>
            <w:tcW w:w="100" w:type="dxa"/>
            <w:vAlign w:val="bottom"/>
          </w:tcPr>
          <w:p>
            <w:pPr>
              <w:spacing w:after="0"/>
              <w:rPr>
                <w:sz w:val="17"/>
                <w:szCs w:val="17"/>
                <w:color w:val="auto"/>
              </w:rPr>
            </w:pPr>
          </w:p>
        </w:tc>
        <w:tc>
          <w:tcPr>
            <w:tcW w:w="10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(Level 3)</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50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year</w:t>
            </w:r>
          </w:p>
        </w:tc>
        <w:tc>
          <w:tcPr>
            <w:tcW w:w="2620" w:type="dxa"/>
            <w:vAlign w:val="bottom"/>
            <w:gridSpan w:val="3"/>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23,434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19,531</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8"/>
                <w:szCs w:val="18"/>
                <w:color w:val="auto"/>
              </w:rPr>
              <w:t>Unrealized gains</w:t>
            </w: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201</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losses</w:t>
            </w:r>
          </w:p>
        </w:tc>
        <w:tc>
          <w:tcPr>
            <w:tcW w:w="2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8"/>
                <w:szCs w:val="18"/>
                <w:color w:val="auto"/>
              </w:rPr>
              <w:t>Other-than-temporary credit loss recognized in earnings</w:t>
            </w: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(127)</w:t>
            </w:r>
          </w:p>
        </w:tc>
        <w:tc>
          <w:tcPr>
            <w:tcW w:w="10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April 30, 2010</w:t>
            </w:r>
          </w:p>
        </w:tc>
        <w:tc>
          <w:tcPr>
            <w:tcW w:w="2340" w:type="dxa"/>
            <w:vAlign w:val="bottom"/>
            <w:gridSpan w:val="2"/>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23,307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19,634</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60" w:type="dxa"/>
            <w:vAlign w:val="bottom"/>
            <w:vMerge w:val="restart"/>
          </w:tcPr>
          <w:p>
            <w:pPr>
              <w:jc w:val="right"/>
              <w:ind w:right="171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4500" w:type="dxa"/>
            <w:vAlign w:val="bottom"/>
            <w:tcBorders>
              <w:bottom w:val="single" w:sz="8" w:color="808080"/>
            </w:tcBorders>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40" w:right="1760"/>
        <w:spacing w:after="0" w:line="246" w:lineRule="auto"/>
        <w:rPr>
          <w:sz w:val="20"/>
          <w:szCs w:val="20"/>
          <w:color w:val="auto"/>
        </w:rPr>
      </w:pPr>
      <w:r>
        <w:rPr>
          <w:rFonts w:ascii="Arial" w:cs="Arial" w:eastAsia="Arial" w:hAnsi="Arial"/>
          <w:sz w:val="18"/>
          <w:szCs w:val="18"/>
          <w:color w:val="auto"/>
        </w:rPr>
        <w:t>The other-than-temporary impairment (“OTTI”) related to credit losses recognized in earnings for the six months ended April 30, 2010 is as follows:</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color w:val="auto"/>
              </w:rPr>
              <w:t>Beginning balance of</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4"/>
                <w:szCs w:val="14"/>
                <w:color w:val="auto"/>
              </w:rPr>
              <w:t>Ending balance of the</w:t>
            </w:r>
          </w:p>
        </w:tc>
      </w:tr>
      <w:tr>
        <w:trPr>
          <w:trHeight w:val="162"/>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color w:val="auto"/>
              </w:rPr>
              <w:t>OTTI credit losses</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rPr>
              <w:t>Reductions for</w:t>
            </w:r>
          </w:p>
        </w:tc>
        <w:tc>
          <w:tcPr>
            <w:tcW w:w="12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color w:val="auto"/>
              </w:rPr>
              <w:t>amount related to</w:t>
            </w:r>
          </w:p>
        </w:tc>
      </w:tr>
      <w:tr>
        <w:trPr>
          <w:trHeight w:val="162"/>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color w:val="auto"/>
              </w:rPr>
              <w:t>recognized for the</w:t>
            </w: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rPr>
              <w:t>Additions for</w:t>
            </w:r>
          </w:p>
        </w:tc>
        <w:tc>
          <w:tcPr>
            <w:tcW w:w="12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rPr>
              <w:t>increases in</w:t>
            </w:r>
          </w:p>
        </w:tc>
        <w:tc>
          <w:tcPr>
            <w:tcW w:w="1460" w:type="dxa"/>
            <w:vAlign w:val="bottom"/>
            <w:gridSpan w:val="3"/>
          </w:tcPr>
          <w:p>
            <w:pPr>
              <w:jc w:val="center"/>
              <w:ind w:right="60"/>
              <w:spacing w:after="0"/>
              <w:rPr>
                <w:sz w:val="20"/>
                <w:szCs w:val="20"/>
                <w:color w:val="auto"/>
              </w:rPr>
            </w:pPr>
            <w:r>
              <w:rPr>
                <w:rFonts w:ascii="Arial" w:cs="Arial" w:eastAsia="Arial" w:hAnsi="Arial"/>
                <w:sz w:val="14"/>
                <w:szCs w:val="14"/>
                <w:color w:val="auto"/>
              </w:rPr>
              <w:t>credit losses held at</w:t>
            </w:r>
          </w:p>
        </w:tc>
      </w:tr>
      <w:tr>
        <w:trPr>
          <w:trHeight w:val="162"/>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color w:val="auto"/>
              </w:rPr>
              <w:t>auction rate security</w:t>
            </w: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rPr>
              <w:t>the amount</w:t>
            </w: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color w:val="auto"/>
              </w:rPr>
              <w:t>increases to the</w:t>
            </w: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rPr>
              <w:t>cash flows</w:t>
            </w:r>
          </w:p>
        </w:tc>
        <w:tc>
          <w:tcPr>
            <w:tcW w:w="1460" w:type="dxa"/>
            <w:vAlign w:val="bottom"/>
            <w:gridSpan w:val="3"/>
          </w:tcPr>
          <w:p>
            <w:pPr>
              <w:jc w:val="center"/>
              <w:ind w:right="60"/>
              <w:spacing w:after="0"/>
              <w:rPr>
                <w:sz w:val="20"/>
                <w:szCs w:val="20"/>
                <w:color w:val="auto"/>
              </w:rPr>
            </w:pPr>
            <w:r>
              <w:rPr>
                <w:rFonts w:ascii="Arial" w:cs="Arial" w:eastAsia="Arial" w:hAnsi="Arial"/>
                <w:sz w:val="14"/>
                <w:szCs w:val="14"/>
                <w:color w:val="auto"/>
              </w:rPr>
              <w:t>the end of the period</w:t>
            </w:r>
          </w:p>
        </w:tc>
      </w:tr>
      <w:tr>
        <w:trPr>
          <w:trHeight w:val="162"/>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4"/>
                <w:szCs w:val="14"/>
                <w:color w:val="auto"/>
              </w:rPr>
              <w:t>held at the beginning of</w:t>
            </w: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color w:val="auto"/>
              </w:rPr>
              <w:t>related to credit</w:t>
            </w: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color w:val="auto"/>
              </w:rPr>
              <w:t>amount related</w:t>
            </w: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color w:val="auto"/>
              </w:rPr>
              <w:t>expected to be</w:t>
            </w:r>
          </w:p>
        </w:tc>
        <w:tc>
          <w:tcPr>
            <w:tcW w:w="1460" w:type="dxa"/>
            <w:vAlign w:val="bottom"/>
            <w:gridSpan w:val="3"/>
          </w:tcPr>
          <w:p>
            <w:pPr>
              <w:jc w:val="center"/>
              <w:ind w:right="40"/>
              <w:spacing w:after="0"/>
              <w:rPr>
                <w:sz w:val="20"/>
                <w:szCs w:val="20"/>
                <w:color w:val="auto"/>
              </w:rPr>
            </w:pPr>
            <w:r>
              <w:rPr>
                <w:rFonts w:ascii="Arial" w:cs="Arial" w:eastAsia="Arial" w:hAnsi="Arial"/>
                <w:sz w:val="14"/>
                <w:szCs w:val="14"/>
                <w:color w:val="auto"/>
              </w:rPr>
              <w:t>for which a portion of</w:t>
            </w:r>
          </w:p>
        </w:tc>
      </w:tr>
      <w:tr>
        <w:trPr>
          <w:trHeight w:val="162"/>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4"/>
                <w:szCs w:val="14"/>
                <w:color w:val="auto"/>
              </w:rPr>
              <w:t>the period for which a</w:t>
            </w: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color w:val="auto"/>
              </w:rPr>
              <w:t>loss for which</w:t>
            </w: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color w:val="auto"/>
              </w:rPr>
              <w:t>to credit loss for</w:t>
            </w: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color w:val="auto"/>
              </w:rPr>
              <w:t>collected that are</w:t>
            </w:r>
          </w:p>
        </w:tc>
        <w:tc>
          <w:tcPr>
            <w:tcW w:w="1460" w:type="dxa"/>
            <w:vAlign w:val="bottom"/>
            <w:gridSpan w:val="3"/>
          </w:tcPr>
          <w:p>
            <w:pPr>
              <w:jc w:val="center"/>
              <w:ind w:right="60"/>
              <w:spacing w:after="0"/>
              <w:rPr>
                <w:sz w:val="20"/>
                <w:szCs w:val="20"/>
                <w:color w:val="auto"/>
              </w:rPr>
            </w:pPr>
            <w:r>
              <w:rPr>
                <w:rFonts w:ascii="Arial" w:cs="Arial" w:eastAsia="Arial" w:hAnsi="Arial"/>
                <w:sz w:val="14"/>
                <w:szCs w:val="14"/>
                <w:color w:val="auto"/>
              </w:rPr>
              <w:t>OTTI was recognized</w:t>
            </w:r>
          </w:p>
        </w:tc>
      </w:tr>
      <w:tr>
        <w:trPr>
          <w:trHeight w:val="162"/>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color w:val="auto"/>
              </w:rPr>
              <w:t>portion of OTTI was</w:t>
            </w: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color w:val="auto"/>
              </w:rPr>
              <w:t>OTTI was not</w:t>
            </w: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color w:val="auto"/>
              </w:rPr>
              <w:t>which an OTTI</w:t>
            </w: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color w:val="auto"/>
              </w:rPr>
              <w:t>recognized over</w:t>
            </w:r>
          </w:p>
        </w:tc>
        <w:tc>
          <w:tcPr>
            <w:tcW w:w="12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color w:val="auto"/>
              </w:rPr>
              <w:t>in Other</w:t>
            </w:r>
          </w:p>
        </w:tc>
      </w:tr>
      <w:tr>
        <w:trPr>
          <w:trHeight w:val="162"/>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color w:val="auto"/>
              </w:rPr>
              <w:t>recognized in Other</w:t>
            </w: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rPr>
              <w:t>previously</w:t>
            </w: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color w:val="auto"/>
              </w:rPr>
              <w:t>was previously</w:t>
            </w: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color w:val="auto"/>
              </w:rPr>
              <w:t>the remaining life</w:t>
            </w:r>
          </w:p>
        </w:tc>
        <w:tc>
          <w:tcPr>
            <w:tcW w:w="12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color w:val="auto"/>
              </w:rPr>
              <w:t>Comprehensive</w:t>
            </w:r>
          </w:p>
        </w:tc>
      </w:tr>
      <w:tr>
        <w:trPr>
          <w:trHeight w:val="157"/>
        </w:trPr>
        <w:tc>
          <w:tcPr>
            <w:tcW w:w="2040" w:type="dxa"/>
            <w:vAlign w:val="bottom"/>
          </w:tcPr>
          <w:p>
            <w:pPr>
              <w:spacing w:after="0" w:line="157"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3"/>
                <w:szCs w:val="13"/>
                <w:color w:val="auto"/>
              </w:rPr>
            </w:pPr>
          </w:p>
        </w:tc>
        <w:tc>
          <w:tcPr>
            <w:tcW w:w="1760" w:type="dxa"/>
            <w:vAlign w:val="bottom"/>
            <w:gridSpan w:val="3"/>
          </w:tcPr>
          <w:p>
            <w:pPr>
              <w:jc w:val="center"/>
              <w:ind w:right="240"/>
              <w:spacing w:after="0" w:line="157" w:lineRule="exact"/>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13"/>
                <w:szCs w:val="13"/>
                <w:color w:val="auto"/>
              </w:rPr>
            </w:pPr>
          </w:p>
        </w:tc>
        <w:tc>
          <w:tcPr>
            <w:tcW w:w="114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rPr>
              <w:t>recognized</w:t>
            </w: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7" w:lineRule="exact"/>
              <w:rPr>
                <w:sz w:val="20"/>
                <w:szCs w:val="20"/>
                <w:color w:val="auto"/>
              </w:rPr>
            </w:pPr>
            <w:r>
              <w:rPr>
                <w:rFonts w:ascii="Arial" w:cs="Arial" w:eastAsia="Arial" w:hAnsi="Arial"/>
                <w:sz w:val="14"/>
                <w:szCs w:val="14"/>
                <w:color w:val="auto"/>
              </w:rPr>
              <w:t>recognized</w:t>
            </w:r>
          </w:p>
        </w:tc>
        <w:tc>
          <w:tcPr>
            <w:tcW w:w="80" w:type="dxa"/>
            <w:vAlign w:val="bottom"/>
          </w:tcPr>
          <w:p>
            <w:pPr>
              <w:spacing w:after="0"/>
              <w:rPr>
                <w:sz w:val="13"/>
                <w:szCs w:val="13"/>
                <w:color w:val="auto"/>
              </w:rPr>
            </w:pP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4"/>
                <w:szCs w:val="14"/>
                <w:color w:val="auto"/>
              </w:rPr>
              <w:t>of the security</w:t>
            </w:r>
          </w:p>
        </w:tc>
        <w:tc>
          <w:tcPr>
            <w:tcW w:w="120" w:type="dxa"/>
            <w:vAlign w:val="bottom"/>
          </w:tcPr>
          <w:p>
            <w:pPr>
              <w:spacing w:after="0"/>
              <w:rPr>
                <w:sz w:val="13"/>
                <w:szCs w:val="13"/>
                <w:color w:val="auto"/>
              </w:rPr>
            </w:pPr>
          </w:p>
        </w:tc>
        <w:tc>
          <w:tcPr>
            <w:tcW w:w="1340" w:type="dxa"/>
            <w:vAlign w:val="bottom"/>
            <w:gridSpan w:val="2"/>
          </w:tcPr>
          <w:p>
            <w:pPr>
              <w:jc w:val="center"/>
              <w:ind w:right="180"/>
              <w:spacing w:after="0" w:line="157" w:lineRule="exact"/>
              <w:rPr>
                <w:sz w:val="20"/>
                <w:szCs w:val="20"/>
                <w:color w:val="auto"/>
              </w:rPr>
            </w:pPr>
            <w:r>
              <w:rPr>
                <w:rFonts w:ascii="Arial" w:cs="Arial" w:eastAsia="Arial" w:hAnsi="Arial"/>
                <w:sz w:val="14"/>
                <w:szCs w:val="14"/>
                <w:color w:val="auto"/>
              </w:rPr>
              <w:t>Income</w:t>
            </w:r>
          </w:p>
        </w:tc>
      </w:tr>
      <w:tr>
        <w:trPr>
          <w:trHeight w:val="160"/>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OTTI credit loss recognized for</w:t>
            </w: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7"/>
        </w:trPr>
        <w:tc>
          <w:tcPr>
            <w:tcW w:w="204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rPr>
              <w:t>auction rate security</w:t>
            </w:r>
          </w:p>
        </w:tc>
        <w:tc>
          <w:tcPr>
            <w:tcW w:w="2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1,566</w:t>
            </w:r>
          </w:p>
        </w:tc>
        <w:tc>
          <w:tcPr>
            <w:tcW w:w="1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ind w:left="7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ind w:left="8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1,693</w:t>
            </w:r>
          </w:p>
        </w:tc>
      </w:tr>
    </w:tbl>
    <w:p>
      <w:pPr>
        <w:spacing w:after="0" w:line="188" w:lineRule="exact"/>
        <w:rPr>
          <w:sz w:val="20"/>
          <w:szCs w:val="20"/>
          <w:color w:val="auto"/>
        </w:rPr>
      </w:pPr>
    </w:p>
    <w:p>
      <w:pPr>
        <w:jc w:val="both"/>
        <w:ind w:left="340" w:right="1760"/>
        <w:spacing w:after="0" w:line="246" w:lineRule="auto"/>
        <w:rPr>
          <w:sz w:val="20"/>
          <w:szCs w:val="20"/>
          <w:color w:val="auto"/>
        </w:rPr>
      </w:pPr>
      <w:r>
        <w:rPr>
          <w:rFonts w:ascii="Arial" w:cs="Arial" w:eastAsia="Arial" w:hAnsi="Arial"/>
          <w:sz w:val="18"/>
          <w:szCs w:val="18"/>
          <w:color w:val="auto"/>
        </w:rPr>
        <w:t>At April 30, 2010 and October 31, 2009, unrealized losses of $3.7 million ($2.2 million net of tax) and $3.9 million ($2.3 million net of tax) were recorded in accumulated other comprehensive loss, respectively.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Net Income per Common Share</w:t>
      </w:r>
    </w:p>
    <w:p>
      <w:pPr>
        <w:spacing w:after="0" w:line="193" w:lineRule="exact"/>
        <w:rPr>
          <w:sz w:val="20"/>
          <w:szCs w:val="20"/>
          <w:color w:val="auto"/>
        </w:rPr>
      </w:pPr>
    </w:p>
    <w:p>
      <w:pPr>
        <w:jc w:val="both"/>
        <w:ind w:left="340" w:right="1760"/>
        <w:spacing w:after="0" w:line="238" w:lineRule="auto"/>
        <w:rPr>
          <w:sz w:val="20"/>
          <w:szCs w:val="20"/>
          <w:color w:val="auto"/>
        </w:rPr>
      </w:pPr>
      <w:r>
        <w:rPr>
          <w:rFonts w:ascii="Arial" w:cs="Arial" w:eastAsia="Arial" w:hAnsi="Arial"/>
          <w:sz w:val="18"/>
          <w:szCs w:val="18"/>
          <w:color w:val="auto"/>
        </w:rPr>
        <w:t>Basic net income per common share is net income divided by the weighted average number of shares outstanding during the period. Diluted net income per common share is based on the weighted average number of shares outstanding during the period, adjusted to include the assumed exercise and conversion of certain stock options, restricted stock units and performance shares. The calculation of basic and diluted net income per common share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5"/>
          </w:tcPr>
          <w:p>
            <w:pPr>
              <w:jc w:val="right"/>
              <w:ind w:right="64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7"/>
                <w:szCs w:val="17"/>
                <w:color w:val="auto"/>
              </w:rPr>
            </w:pPr>
          </w:p>
        </w:tc>
        <w:tc>
          <w:tcPr>
            <w:tcW w:w="2140" w:type="dxa"/>
            <w:vAlign w:val="bottom"/>
            <w:gridSpan w:val="5"/>
          </w:tcPr>
          <w:p>
            <w:pPr>
              <w:jc w:val="right"/>
              <w:ind w:right="460"/>
              <w:spacing w:after="0"/>
              <w:rPr>
                <w:sz w:val="20"/>
                <w:szCs w:val="20"/>
                <w:color w:val="auto"/>
              </w:rPr>
            </w:pPr>
            <w:r>
              <w:rPr>
                <w:rFonts w:ascii="Arial" w:cs="Arial" w:eastAsia="Arial" w:hAnsi="Arial"/>
                <w:sz w:val="18"/>
                <w:szCs w:val="18"/>
                <w:color w:val="auto"/>
              </w:rPr>
              <w:t>Six Months Ended</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(in thousands, except per share data)</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April 30,</w:t>
            </w:r>
          </w:p>
        </w:tc>
        <w:tc>
          <w:tcPr>
            <w:tcW w:w="7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April 30,</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2009</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2009</w:t>
            </w: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8,623</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13,049</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21,459</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27,804</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Loss from discontinued operations,  net of taxes</w:t>
            </w:r>
          </w:p>
        </w:tc>
        <w:tc>
          <w:tcPr>
            <w:tcW w:w="12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(46)</w:t>
            </w:r>
          </w:p>
        </w:tc>
        <w:tc>
          <w:tcPr>
            <w:tcW w:w="22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(272)</w:t>
            </w:r>
          </w:p>
        </w:tc>
        <w:tc>
          <w:tcPr>
            <w:tcW w:w="18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(107)</w:t>
            </w:r>
          </w:p>
        </w:tc>
        <w:tc>
          <w:tcPr>
            <w:tcW w:w="22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(810)</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8,577</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12,777</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21,352</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26,994</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outstanding —</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40" w:type="dxa"/>
            <w:vAlign w:val="bottom"/>
          </w:tcPr>
          <w:p>
            <w:pPr>
              <w:spacing w:after="0"/>
              <w:rPr>
                <w:sz w:val="24"/>
                <w:szCs w:val="24"/>
                <w:color w:val="auto"/>
              </w:rPr>
            </w:pPr>
          </w:p>
        </w:tc>
        <w:tc>
          <w:tcPr>
            <w:tcW w:w="44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0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Basic</w:t>
            </w:r>
          </w:p>
        </w:tc>
        <w:tc>
          <w:tcPr>
            <w:tcW w:w="120" w:type="dxa"/>
            <w:vAlign w:val="bottom"/>
          </w:tcPr>
          <w:p>
            <w:pPr>
              <w:spacing w:after="0"/>
              <w:rPr>
                <w:sz w:val="17"/>
                <w:szCs w:val="17"/>
                <w:color w:val="auto"/>
              </w:rPr>
            </w:pPr>
          </w:p>
        </w:tc>
        <w:tc>
          <w:tcPr>
            <w:tcW w:w="11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52,007</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51,301</w:t>
            </w: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51,914</w:t>
            </w:r>
          </w:p>
        </w:tc>
        <w:tc>
          <w:tcPr>
            <w:tcW w:w="220" w:type="dxa"/>
            <w:vAlign w:val="bottom"/>
          </w:tcPr>
          <w:p>
            <w:pPr>
              <w:spacing w:after="0"/>
              <w:rPr>
                <w:sz w:val="17"/>
                <w:szCs w:val="17"/>
                <w:color w:val="auto"/>
              </w:rPr>
            </w:pPr>
          </w:p>
        </w:tc>
        <w:tc>
          <w:tcPr>
            <w:tcW w:w="8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51,206</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17"/>
                <w:szCs w:val="17"/>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432</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69</w:t>
            </w: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410</w:t>
            </w:r>
          </w:p>
        </w:tc>
        <w:tc>
          <w:tcPr>
            <w:tcW w:w="22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132</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Restricted stock units</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227</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130</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Performance shares</w:t>
            </w:r>
          </w:p>
        </w:tc>
        <w:tc>
          <w:tcPr>
            <w:tcW w:w="120" w:type="dxa"/>
            <w:vAlign w:val="bottom"/>
          </w:tcPr>
          <w:p>
            <w:pPr>
              <w:spacing w:after="0"/>
              <w:rPr>
                <w:sz w:val="18"/>
                <w:szCs w:val="18"/>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Weighted-average common shares outstanding —</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0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52,719</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51,553</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52,633</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51,511</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44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0.25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0.41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0.53</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0.41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0.52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9"/>
        </w:trPr>
        <w:tc>
          <w:tcPr>
            <w:tcW w:w="3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41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The diluted net income per common share excludes certain stock options and restricted stock units since the effect of including these stock options and restricted stock units would have been anti-dilutive as follows: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5"/>
          </w:tcPr>
          <w:p>
            <w:pPr>
              <w:ind w:left="300"/>
              <w:spacing w:after="0"/>
              <w:rPr>
                <w:sz w:val="20"/>
                <w:szCs w:val="20"/>
                <w:color w:val="auto"/>
              </w:rPr>
            </w:pPr>
            <w:r>
              <w:rPr>
                <w:rFonts w:ascii="Arial" w:cs="Arial" w:eastAsia="Arial" w:hAnsi="Arial"/>
                <w:sz w:val="18"/>
                <w:szCs w:val="18"/>
                <w:color w:val="auto"/>
              </w:rPr>
              <w:t>Three Months Ended</w:t>
            </w:r>
          </w:p>
        </w:tc>
        <w:tc>
          <w:tcPr>
            <w:tcW w:w="2280" w:type="dxa"/>
            <w:vAlign w:val="bottom"/>
            <w:gridSpan w:val="5"/>
          </w:tcPr>
          <w:p>
            <w:pPr>
              <w:jc w:val="center"/>
              <w:ind w:right="60"/>
              <w:spacing w:after="0"/>
              <w:rPr>
                <w:sz w:val="20"/>
                <w:szCs w:val="20"/>
                <w:color w:val="auto"/>
              </w:rPr>
            </w:pPr>
            <w:r>
              <w:rPr>
                <w:rFonts w:ascii="Arial" w:cs="Arial" w:eastAsia="Arial" w:hAnsi="Arial"/>
                <w:sz w:val="18"/>
                <w:szCs w:val="18"/>
                <w:color w:val="auto"/>
                <w:w w:val="99"/>
              </w:rPr>
              <w:t>Six Months Ended</w:t>
            </w:r>
          </w:p>
        </w:tc>
        <w:tc>
          <w:tcPr>
            <w:tcW w:w="0" w:type="dxa"/>
            <w:vAlign w:val="bottom"/>
          </w:tcPr>
          <w:p>
            <w:pPr>
              <w:spacing w:after="0"/>
              <w:rPr>
                <w:sz w:val="1"/>
                <w:szCs w:val="1"/>
                <w:color w:val="auto"/>
              </w:rPr>
            </w:pPr>
          </w:p>
        </w:tc>
      </w:tr>
      <w:tr>
        <w:trPr>
          <w:trHeight w:val="203"/>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1520" w:type="dxa"/>
            <w:vAlign w:val="bottom"/>
            <w:tcBorders>
              <w:bottom w:val="single" w:sz="8" w:color="auto"/>
            </w:tcBorders>
            <w:gridSpan w:val="3"/>
          </w:tcPr>
          <w:p>
            <w:pPr>
              <w:ind w:left="800"/>
              <w:spacing w:after="0" w:line="203" w:lineRule="exact"/>
              <w:rPr>
                <w:sz w:val="20"/>
                <w:szCs w:val="20"/>
                <w:color w:val="auto"/>
              </w:rPr>
            </w:pPr>
            <w:r>
              <w:rPr>
                <w:rFonts w:ascii="Arial" w:cs="Arial" w:eastAsia="Arial" w:hAnsi="Arial"/>
                <w:sz w:val="18"/>
                <w:szCs w:val="18"/>
                <w:color w:val="auto"/>
              </w:rPr>
              <w:t>April 30,</w:t>
            </w:r>
          </w:p>
        </w:tc>
        <w:tc>
          <w:tcPr>
            <w:tcW w:w="74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tcBorders>
              <w:bottom w:val="single" w:sz="8" w:color="auto"/>
            </w:tcBorders>
            <w:gridSpan w:val="3"/>
          </w:tcPr>
          <w:p>
            <w:pPr>
              <w:jc w:val="center"/>
              <w:ind w:left="650"/>
              <w:spacing w:after="0" w:line="203" w:lineRule="exact"/>
              <w:rPr>
                <w:sz w:val="20"/>
                <w:szCs w:val="20"/>
                <w:color w:val="auto"/>
              </w:rPr>
            </w:pPr>
            <w:r>
              <w:rPr>
                <w:rFonts w:ascii="Arial" w:cs="Arial" w:eastAsia="Arial" w:hAnsi="Arial"/>
                <w:sz w:val="18"/>
                <w:szCs w:val="18"/>
                <w:color w:val="auto"/>
                <w:w w:val="99"/>
              </w:rPr>
              <w:t>April 30,</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gridSpan w:val="2"/>
            <w:vMerge w:val="continue"/>
          </w:tcPr>
          <w:p>
            <w:pPr>
              <w:spacing w:after="0"/>
              <w:rPr>
                <w:sz w:val="17"/>
                <w:szCs w:val="17"/>
                <w:color w:val="auto"/>
              </w:rPr>
            </w:pPr>
          </w:p>
        </w:tc>
        <w:tc>
          <w:tcPr>
            <w:tcW w:w="940" w:type="dxa"/>
            <w:vAlign w:val="bottom"/>
          </w:tcPr>
          <w:p>
            <w:pPr>
              <w:ind w:left="260"/>
              <w:spacing w:after="0" w:line="196" w:lineRule="exact"/>
              <w:rPr>
                <w:sz w:val="20"/>
                <w:szCs w:val="20"/>
                <w:color w:val="auto"/>
              </w:rPr>
            </w:pPr>
            <w:r>
              <w:rPr>
                <w:rFonts w:ascii="Arial" w:cs="Arial" w:eastAsia="Arial" w:hAnsi="Arial"/>
                <w:sz w:val="18"/>
                <w:szCs w:val="18"/>
                <w:color w:val="auto"/>
              </w:rPr>
              <w:t>2010</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2009</w:t>
            </w:r>
          </w:p>
        </w:tc>
        <w:tc>
          <w:tcPr>
            <w:tcW w:w="380" w:type="dxa"/>
            <w:vAlign w:val="bottom"/>
          </w:tcPr>
          <w:p>
            <w:pPr>
              <w:spacing w:after="0"/>
              <w:rPr>
                <w:sz w:val="17"/>
                <w:szCs w:val="17"/>
                <w:color w:val="auto"/>
              </w:rPr>
            </w:pPr>
          </w:p>
        </w:tc>
        <w:tc>
          <w:tcPr>
            <w:tcW w:w="94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13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3,154</w:t>
            </w: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824</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17"/>
        </w:trPr>
        <w:tc>
          <w:tcPr>
            <w:tcW w:w="440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313</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Self-Insurance</w:t>
      </w:r>
    </w:p>
    <w:p>
      <w:pPr>
        <w:spacing w:after="0" w:line="193"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The Company provided for self-insurance expense during the six months ended April 30, 2010 using actuarial rates established from its most recent actuarial review, which used claims data from 2009, considering known or expected trends. Actuarial evaluations are expected to be performed during the third and fourth quarters of 2010 using claims data as of April 2010 and July 2010, respectively.</w:t>
      </w:r>
    </w:p>
    <w:p>
      <w:pPr>
        <w:spacing w:after="0" w:line="161"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At April 30, 2010, the Company had $101.0 million in standby letters of credit (primarily related to its workers’ compensation, general liability, automobile, and property damage programs), $ 42.2 million in restricted insurance deposits and $110.2 million in surety bonds supporting insurance claim liabilities. At October 31, 2009, the Company had $118.6 million in stand by letters of credit, $42.5 million in restricted insurance deposits and $103.2 million in surety bonds supporting insurance claim liabilities.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Line of Credit Facility</w:t>
      </w:r>
    </w:p>
    <w:p>
      <w:pPr>
        <w:spacing w:after="0" w:line="193"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The Company holds a $450.0 million five-year syndicated line of credit that is scheduled to expire on November 14, 2012 (the “Facility”). The Facility is available for working capital, the issuance of standby letters of credit, the financing of capital expenditures, and other general corporate purposes.</w:t>
      </w:r>
    </w:p>
    <w:p>
      <w:pPr>
        <w:spacing w:after="0" w:line="162"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The Facility includes covenants limiting liens, dispositions, fundamental changes, investments, indebtedness and certain transactions and payments. In addition, the Facility also requires that the Company maintain the following three financial covenants which are described in Note 9, “Line of Credit Facility”, to the Consolidated Financial Statements set forth in the Company’s Annual Report on Form 10-K for 2009: (1) a fixed charge coverage ratio; (2) a leverage ratio; and (3) a combined net worth test. The Company was in compliance with all covenants as of April 30, 2010 and expects to be in compliance in the foreseeable future.</w:t>
      </w:r>
    </w:p>
    <w:p>
      <w:pPr>
        <w:spacing w:after="0" w:line="178"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As of April 30, 2010, the total outstanding amount under the Facility in the form of cash borrowings was $145.0 million. Available credit under the line of credit was $204.0 million at April 30, 2010. The Company’s ability to draw down available amounts under its line of credit is subject to compliance with the covenants described above.</w:t>
      </w:r>
    </w:p>
    <w:p>
      <w:pPr>
        <w:spacing w:after="0" w:line="162"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As of April 30, 2010, the fair value of the interest rate swap was a $0.8 million liability, which is included in retirement plans and other on the accompanying condensed consolidated balance sheet. No ineffectiveness existed at April 30, 2010. The amount included in accumulated other comprehensive loss is $0.8 million ($0.5 million, net of taxes).</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Benefit Plans</w:t>
      </w:r>
    </w:p>
    <w:p>
      <w:pPr>
        <w:spacing w:after="0" w:line="207"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The components of net periodic benefit cost of the Company’s defined benefit plans and the post-retirement benefit plans, including participants associated with continuing operations, for the three and six months ended April 30, 2010 and 2009, were as follows: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7"/>
                <w:szCs w:val="17"/>
                <w:color w:val="auto"/>
              </w:rPr>
            </w:pPr>
          </w:p>
        </w:tc>
        <w:tc>
          <w:tcPr>
            <w:tcW w:w="2140" w:type="dxa"/>
            <w:vAlign w:val="bottom"/>
            <w:gridSpan w:val="5"/>
          </w:tcPr>
          <w:p>
            <w:pPr>
              <w:jc w:val="right"/>
              <w:ind w:right="4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3"/>
        </w:trPr>
        <w:tc>
          <w:tcPr>
            <w:tcW w:w="41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80" w:type="dxa"/>
            <w:vAlign w:val="bottom"/>
            <w:vMerge w:val="restart"/>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April 30,</w:t>
            </w:r>
          </w:p>
        </w:tc>
        <w:tc>
          <w:tcPr>
            <w:tcW w:w="7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April 30,</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2009</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Defined Benefit Plans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Service cost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22</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Expected loss on plan assets</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(100)</w:t>
            </w:r>
          </w:p>
        </w:tc>
        <w:tc>
          <w:tcPr>
            <w:tcW w:w="22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(80)</w:t>
            </w:r>
          </w:p>
        </w:tc>
        <w:tc>
          <w:tcPr>
            <w:tcW w:w="18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(200)</w:t>
            </w:r>
          </w:p>
        </w:tc>
        <w:tc>
          <w:tcPr>
            <w:tcW w:w="22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actuarial loss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tcPr>
          <w:p>
            <w:pPr>
              <w:spacing w:after="0"/>
              <w:rPr>
                <w:sz w:val="20"/>
                <w:szCs w:val="20"/>
                <w:color w:val="auto"/>
              </w:rPr>
            </w:pPr>
            <w:r>
              <w:rPr>
                <w:rFonts w:ascii="Arial" w:cs="Arial" w:eastAsia="Arial" w:hAnsi="Arial"/>
                <w:sz w:val="18"/>
                <w:szCs w:val="18"/>
                <w:color w:val="auto"/>
              </w:rPr>
              <w:t>Net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165</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154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Post-Retirement Benefit Plan</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Service cost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actuarial gain</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(51)</w:t>
            </w:r>
          </w:p>
        </w:tc>
        <w:tc>
          <w:tcPr>
            <w:tcW w:w="18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expense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Contingencies</w:t>
      </w:r>
    </w:p>
    <w:p>
      <w:pPr>
        <w:spacing w:after="0" w:line="193"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The Company has been named as a defendant in certain proceedings arising in the ordinary course of business. Litigation outcomes are often difficult to predict and often are resolved over long periods of time. Estimating probable losses requires the analysis of multiple possible outcomes that often depend on judgments about potential actions by third parties. Loss contingencies are recorded as liabilities in the accompanying condensed consolidated financial statements when it is both: (1) probable or known that a liability has been incurred and (2) the amount of the loss is reasonably estimable. If the reasonable estimate of the loss is a range and no amount within the range is a better estimate, the minimum amount of the range is recorded as a liability. Legal costs associated with loss contingencies are expensed as incurred.</w:t>
      </w:r>
    </w:p>
    <w:p>
      <w:pPr>
        <w:spacing w:after="0" w:line="181"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The Company accrues amounts it believes are adequate to cover any liabilities related to litigation and arbitration proceedings, and other contingencies that the Company believes will result in a probable loss. However, the ultimate resolution of such matters is always uncertain. It is possible that any such proceedings brought against the Company could have a material adverse impact on its financial condition and results of operations. The total amount accrued for probable losses at April 30, 2010 was $9.2 million.</w:t>
      </w:r>
    </w:p>
    <w:p>
      <w:pPr>
        <w:spacing w:after="0" w:line="162"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The Company is a defendant in several purported class action lawsuits related to alleged violations of federal or California wage-and-hour laws. The named plaintiffs in these lawsuits are current or former employees of ABM subsidiaries who allege, among other things, that they were required to work “off the clock,” were not paid for all overtime, were not provided work breaks or other benefits, and/or that they received pay stubs not conforming to California law. In all cases, the plaintiffs generally seek unspecified monetary damages, injunctive relief or both.</w:t>
      </w:r>
    </w:p>
    <w:p>
      <w:pPr>
        <w:spacing w:after="0" w:line="162" w:lineRule="exact"/>
        <w:rPr>
          <w:sz w:val="20"/>
          <w:szCs w:val="20"/>
          <w:color w:val="auto"/>
        </w:rPr>
      </w:pPr>
    </w:p>
    <w:p>
      <w:pPr>
        <w:jc w:val="both"/>
        <w:ind w:left="340" w:right="559"/>
        <w:spacing w:after="0" w:line="250" w:lineRule="auto"/>
        <w:rPr>
          <w:sz w:val="20"/>
          <w:szCs w:val="20"/>
          <w:color w:val="auto"/>
        </w:rPr>
      </w:pPr>
      <w:r>
        <w:rPr>
          <w:rFonts w:ascii="Arial" w:cs="Arial" w:eastAsia="Arial" w:hAnsi="Arial"/>
          <w:sz w:val="17"/>
          <w:szCs w:val="17"/>
          <w:color w:val="auto"/>
        </w:rPr>
        <w:t>The Company is a defendant in a lawsuit filed July 19, 2007 in the United States District Court, Eastern District of California, entitled U.S. Equal Employment Opportunity Commission, Plaintiff Erika Morales and Anonymous Plaintiffs One through Eight v. ABM Industries Incorporated et. al. (the “Morales case”). The plaintiffs in the Morales case allege sexual harassment, discrimination and retaliation. In 2009, fourteen claimants joined the lawsuit alleging various claims against the Company. The case involves both Title VII federal law claims and California state law claims. Title VII damages are limited to $300,000 per claimant; California state law claims do not contain such limitations and can include punitive damages as well. The Company has several motions pending relating to this matter. Since the Company believes that the allegations asserted by the claimants who joined the Morales case in 2009 are not related to those underlying the originally filed lawsuit, the Company has moved to separate these claims into two lawsuits. This motion was heard on May 28, 2010. The court has not ruled on this motion to date. In addition, motions to dismiss many of the claims on procedural and substantive grounds are scheduled to be heard by the court on June 17, 2010. The Morales case is currently scheduled for trial in August 2010. The Company intends to continue to vigorously defend itself. The Company has accrued its best estimate of the probable liability. There can be no assurance that any judgment or settlement relating to the Morales case will not be material to the Company.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Share-Based Compensation Plans</w:t>
      </w:r>
    </w:p>
    <w:p>
      <w:pPr>
        <w:spacing w:after="0" w:line="207" w:lineRule="exact"/>
        <w:rPr>
          <w:sz w:val="20"/>
          <w:szCs w:val="20"/>
          <w:color w:val="auto"/>
        </w:rPr>
      </w:pPr>
    </w:p>
    <w:p>
      <w:pPr>
        <w:jc w:val="both"/>
        <w:ind w:left="340" w:right="1760"/>
        <w:spacing w:after="0" w:line="239" w:lineRule="auto"/>
        <w:rPr>
          <w:sz w:val="20"/>
          <w:szCs w:val="20"/>
          <w:color w:val="auto"/>
        </w:rPr>
      </w:pPr>
      <w:r>
        <w:rPr>
          <w:rFonts w:ascii="Arial" w:cs="Arial" w:eastAsia="Arial" w:hAnsi="Arial"/>
          <w:sz w:val="18"/>
          <w:szCs w:val="18"/>
          <w:color w:val="auto"/>
        </w:rPr>
        <w:t>On January 11, 2010, the Company’s Compensation Committee approved the grant of 256,637 performance share awards under the terms of the Company’s 2006 Equity Incentive Plan, as amended and restated. The fair value of the performance share awards granted and valued as of January 28, 2010 was approximately $5.0 million and these awards vest over a period of three years.</w:t>
      </w:r>
    </w:p>
    <w:p>
      <w:pPr>
        <w:spacing w:after="0" w:line="161" w:lineRule="exact"/>
        <w:rPr>
          <w:sz w:val="20"/>
          <w:szCs w:val="20"/>
          <w:color w:val="auto"/>
        </w:rPr>
      </w:pPr>
    </w:p>
    <w:p>
      <w:pPr>
        <w:jc w:val="both"/>
        <w:ind w:left="340" w:right="1760"/>
        <w:spacing w:after="0" w:line="234" w:lineRule="auto"/>
        <w:rPr>
          <w:sz w:val="20"/>
          <w:szCs w:val="20"/>
          <w:color w:val="auto"/>
        </w:rPr>
      </w:pPr>
      <w:r>
        <w:rPr>
          <w:rFonts w:ascii="Arial" w:cs="Arial" w:eastAsia="Arial" w:hAnsi="Arial"/>
          <w:sz w:val="18"/>
          <w:szCs w:val="18"/>
          <w:color w:val="auto"/>
        </w:rPr>
        <w:t>On March 31, 2010 the Company’s Compensation Committee approved the following grants: 262,344 stock options and 80,185 restricted stock units, each under the terms of the Company’s 2006 Equity Incentive Plan, as amended and restated. The fair value of the awards granted on March 31, 2010 was approximately $3.4 million and these awards vest 100% on the fifth anniversary of the grant date. The Company estimates the fair value of stock options on the date of grant using the Black-Scholes option valuation model. The fair value of stock options granted was $6.41 per share. The assumptions used in the option valuation model for the stock options granted on March 31, 2010 were: (1) expected life from date of grant of 5.6 years; (2) expected stock price volatility of 38.52%;</w:t>
      </w:r>
    </w:p>
    <w:p>
      <w:pPr>
        <w:spacing w:after="0" w:line="5" w:lineRule="exact"/>
        <w:rPr>
          <w:sz w:val="20"/>
          <w:szCs w:val="20"/>
          <w:color w:val="auto"/>
        </w:rPr>
      </w:pPr>
    </w:p>
    <w:p>
      <w:pPr>
        <w:ind w:left="340" w:right="1760" w:hanging="8"/>
        <w:spacing w:after="0" w:line="246" w:lineRule="auto"/>
        <w:tabs>
          <w:tab w:leader="none" w:pos="622"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dividend yield of 2.66% and (4) a risk-free interest rate of 2.62%. The fair value of the restricted stock units granted was determined using the closing stock price on the date of grant.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Comprehensive Income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comprehensive income, net of taxes for the three months ended</w:t>
      </w:r>
    </w:p>
    <w:p>
      <w:pPr>
        <w:ind w:left="340"/>
        <w:spacing w:after="0"/>
        <w:rPr>
          <w:sz w:val="20"/>
          <w:szCs w:val="20"/>
          <w:color w:val="auto"/>
        </w:rPr>
      </w:pPr>
      <w:r>
        <w:rPr>
          <w:rFonts w:ascii="Arial" w:cs="Arial" w:eastAsia="Arial" w:hAnsi="Arial"/>
          <w:sz w:val="18"/>
          <w:szCs w:val="18"/>
          <w:color w:val="auto"/>
        </w:rPr>
        <w:t>April 30, 2010 and 2009: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5"/>
          </w:tcPr>
          <w:p>
            <w:pPr>
              <w:jc w:val="right"/>
              <w:ind w:right="440"/>
              <w:spacing w:after="0"/>
              <w:rPr>
                <w:sz w:val="20"/>
                <w:szCs w:val="20"/>
                <w:color w:val="auto"/>
              </w:rPr>
            </w:pPr>
            <w:r>
              <w:rPr>
                <w:rFonts w:ascii="Arial" w:cs="Arial" w:eastAsia="Arial" w:hAnsi="Arial"/>
                <w:sz w:val="18"/>
                <w:szCs w:val="18"/>
                <w:color w:val="auto"/>
              </w:rPr>
              <w:t>Three Months Ended</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April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68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2009</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65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8,577</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12,777</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4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Unrealized (losses) gains on auction rate securities, net of taxes of $7 and $244</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for April 30, 2010 and 2009, respectively</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377</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Reclass adjustment for credit losses recognized in earnings, net of taxes of $51</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4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for April 30, 2010</w:t>
            </w:r>
          </w:p>
        </w:tc>
        <w:tc>
          <w:tcPr>
            <w:tcW w:w="200" w:type="dxa"/>
            <w:vAlign w:val="bottom"/>
          </w:tcPr>
          <w:p>
            <w:pPr>
              <w:spacing w:after="0"/>
              <w:rPr>
                <w:sz w:val="17"/>
                <w:szCs w:val="17"/>
                <w:color w:val="auto"/>
              </w:rPr>
            </w:pPr>
          </w:p>
        </w:tc>
        <w:tc>
          <w:tcPr>
            <w:tcW w:w="116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76</w:t>
            </w:r>
          </w:p>
        </w:tc>
        <w:tc>
          <w:tcPr>
            <w:tcW w:w="240" w:type="dxa"/>
            <w:vAlign w:val="bottom"/>
          </w:tcPr>
          <w:p>
            <w:pPr>
              <w:spacing w:after="0"/>
              <w:rPr>
                <w:sz w:val="17"/>
                <w:szCs w:val="17"/>
                <w:color w:val="auto"/>
              </w:rPr>
            </w:pPr>
          </w:p>
        </w:tc>
        <w:tc>
          <w:tcPr>
            <w:tcW w:w="8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Unrealized gain (loss) on interest rate swap agreement, net of taxes of $106</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and $ 302 for April 30, 2010 and 2009, respectively</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(466)</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Foreign currency translation, net of taxes of $197 and $92 for April 30, 2010</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4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and 2009, respectively</w:t>
            </w:r>
          </w:p>
        </w:tc>
        <w:tc>
          <w:tcPr>
            <w:tcW w:w="200" w:type="dxa"/>
            <w:vAlign w:val="bottom"/>
          </w:tcPr>
          <w:p>
            <w:pPr>
              <w:spacing w:after="0"/>
              <w:rPr>
                <w:sz w:val="17"/>
                <w:szCs w:val="17"/>
                <w:color w:val="auto"/>
              </w:rPr>
            </w:pPr>
          </w:p>
        </w:tc>
        <w:tc>
          <w:tcPr>
            <w:tcW w:w="116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288</w:t>
            </w:r>
          </w:p>
        </w:tc>
        <w:tc>
          <w:tcPr>
            <w:tcW w:w="240" w:type="dxa"/>
            <w:vAlign w:val="bottom"/>
          </w:tcPr>
          <w:p>
            <w:pPr>
              <w:spacing w:after="0"/>
              <w:rPr>
                <w:sz w:val="17"/>
                <w:szCs w:val="17"/>
                <w:color w:val="auto"/>
              </w:rPr>
            </w:pPr>
          </w:p>
        </w:tc>
        <w:tc>
          <w:tcPr>
            <w:tcW w:w="8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142</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Actuarial gain (loss) — adjustments to pension &amp; other post-retirement plans,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68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net of taxes of $7 and $8 for April 30, 2010 and 2009, respectively</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(12)</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9,097</w:t>
            </w:r>
          </w:p>
        </w:tc>
        <w:tc>
          <w:tcPr>
            <w:tcW w:w="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12,818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vMerge w:val="restart"/>
          </w:tcPr>
          <w:p>
            <w:pPr>
              <w:ind w:left="456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4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65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comprehensive income, net of taxes for the six months ended</w:t>
      </w:r>
    </w:p>
    <w:p>
      <w:pPr>
        <w:ind w:left="340"/>
        <w:spacing w:after="0"/>
        <w:rPr>
          <w:sz w:val="20"/>
          <w:szCs w:val="20"/>
          <w:color w:val="auto"/>
        </w:rPr>
      </w:pPr>
      <w:r>
        <w:rPr>
          <w:rFonts w:ascii="Arial" w:cs="Arial" w:eastAsia="Arial" w:hAnsi="Arial"/>
          <w:sz w:val="18"/>
          <w:szCs w:val="18"/>
          <w:color w:val="auto"/>
        </w:rPr>
        <w:t>April 30, 2010 and 2009:</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5"/>
          </w:tcPr>
          <w:p>
            <w:pPr>
              <w:jc w:val="right"/>
              <w:ind w:right="5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3"/>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April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2009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21,352</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26,994</w:t>
            </w: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Unrealized gains on auction rate securities, net of taxes of $42 and $189 for</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April 30, 2010 and 2009, respectively</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2"/>
        </w:trPr>
        <w:tc>
          <w:tcPr>
            <w:tcW w:w="68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Reclass adjustment for credit losses recognized in earnings, net of taxes of $51</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for April 30, 2010</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76</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Unrealized gain (loss) on interest rate swap agreement, net of taxes of $86 and</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$302 for April 30, 2010 and 2009, respectively</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126</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2"/>
        </w:trPr>
        <w:tc>
          <w:tcPr>
            <w:tcW w:w="68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Foreign currency translation, net of taxes of $211 and $44 for April 30, 2010</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and 2009, respectively</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306</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68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Actuarial gain (loss) — adjustments to pension &amp; other post-retirement plans,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net of taxes of $14 and $17 for April 30, 2010 and 2009, respectively</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8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21,943</w:t>
            </w:r>
          </w:p>
        </w:tc>
        <w:tc>
          <w:tcPr>
            <w:tcW w:w="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26,862</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Income Taxes</w:t>
      </w:r>
    </w:p>
    <w:p>
      <w:pPr>
        <w:spacing w:after="0" w:line="193"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At April 30, 2010, the Company had unrecognized tax benefits of $102.5 million, all of which, if recognized in the future, would affect its effective tax rate. The Company includes interest and penalties related to unrecognized tax benefits in income tax expense. As of April 30, 2010, the Company had accrued interest related to uncertain tax positions of $0.8 million. The Company has recorded $2.1 million of the unrecognized tax benefits as a current liability.</w:t>
      </w:r>
    </w:p>
    <w:p>
      <w:pPr>
        <w:spacing w:after="0" w:line="162"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The effective tax rate on income from continuing operations for the three months ended April 30, 2010 and 2009 were 39.5% and 38.8%, respectively. The effective tax rate on income from continuing operations for the six months ended April 30, 2010 and 2009 was 39.1%.</w:t>
      </w:r>
    </w:p>
    <w:p>
      <w:pPr>
        <w:spacing w:after="0" w:line="176"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The Company’s major tax jurisdiction is the United States. ABM and OneSource Services, Inc. U.S. federal income tax returns remain open for examination for the periods ending October 31, 2006 through October 31, 2009 and March 31, 2000 through November 14, 2007, respectively. ABM has been notified by the Internal Revenue Service that tax years 2006-2008 will be examined beginning in the third quarter of 2010. The Company does business in all 50 states, significantly in California, Texas and New York, as well as Puerto Rico and Canada. In major state jurisdictions, the tax years 2005-2009 remain open and subject to examination by the appropriate tax authorities. The Company is currently being examined by Illinois, Minnesota, Arizona, Utah, New Jersey, Massachusetts, and Puerto Rico. The Company does not believe that the examinations by the Internal Revenue Service or the state tax authorities will have a significant impact on its results of operations.</w:t>
      </w: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Segment Information</w:t>
      </w:r>
    </w:p>
    <w:p>
      <w:pPr>
        <w:spacing w:after="0" w:line="207"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The Company is organized into four reportable operating segments, Janitorial, Parking, Security and Engineering, which are summarized as follows: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7"/>
                <w:szCs w:val="17"/>
                <w:color w:val="auto"/>
              </w:rPr>
            </w:pPr>
          </w:p>
        </w:tc>
        <w:tc>
          <w:tcPr>
            <w:tcW w:w="2200" w:type="dxa"/>
            <w:vAlign w:val="bottom"/>
            <w:gridSpan w:val="5"/>
          </w:tcPr>
          <w:p>
            <w:pPr>
              <w:jc w:val="right"/>
              <w:ind w:right="4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3"/>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7"/>
                <w:szCs w:val="17"/>
                <w:color w:val="auto"/>
              </w:rPr>
            </w:pPr>
          </w:p>
        </w:tc>
        <w:tc>
          <w:tcPr>
            <w:tcW w:w="13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April 30,</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5"/>
          </w:tcPr>
          <w:p>
            <w:pPr>
              <w:jc w:val="right"/>
              <w:ind w:right="860"/>
              <w:spacing w:after="0" w:line="203" w:lineRule="exact"/>
              <w:rPr>
                <w:sz w:val="20"/>
                <w:szCs w:val="20"/>
                <w:color w:val="auto"/>
              </w:rPr>
            </w:pPr>
            <w:r>
              <w:rPr>
                <w:rFonts w:ascii="Arial" w:cs="Arial" w:eastAsia="Arial" w:hAnsi="Arial"/>
                <w:sz w:val="18"/>
                <w:szCs w:val="18"/>
                <w:color w:val="auto"/>
              </w:rPr>
              <w:t>April 30,</w:t>
            </w:r>
          </w:p>
        </w:tc>
        <w:tc>
          <w:tcPr>
            <w:tcW w:w="0" w:type="dxa"/>
            <w:vAlign w:val="bottom"/>
          </w:tcPr>
          <w:p>
            <w:pPr>
              <w:spacing w:after="0"/>
              <w:rPr>
                <w:sz w:val="1"/>
                <w:szCs w:val="1"/>
                <w:color w:val="auto"/>
              </w:rPr>
            </w:pPr>
          </w:p>
        </w:tc>
      </w:tr>
      <w:tr>
        <w:trPr>
          <w:trHeight w:val="196"/>
        </w:trPr>
        <w:tc>
          <w:tcPr>
            <w:tcW w:w="4400" w:type="dxa"/>
            <w:vAlign w:val="bottom"/>
            <w:gridSpan w:val="2"/>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2010</w:t>
            </w: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2009</w:t>
            </w: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2010</w:t>
            </w:r>
          </w:p>
        </w:tc>
        <w:tc>
          <w:tcPr>
            <w:tcW w:w="3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Janitorial</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574,046</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589,344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9"/>
              </w:rPr>
              <w:t>1,158,125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9"/>
              </w:rPr>
              <w:t>1,197,764</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114,003</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113,347</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226,591</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229,016</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Security</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80,712</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82,403</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164,309</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167,986</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86,190</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70,194</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175,541</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147,410</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510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423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779</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855,461</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855,711</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9"/>
              </w:rPr>
              <w:t>1,725,345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1,743,183</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Janitorial</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29,025</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34,894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63,109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67,205</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Parking</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5,184</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4,859</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10,210</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9,001</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Security</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941</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1,397</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2,287</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Engineering</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4,856</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4,038</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9,848</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(24,457)</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(22,570)</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(47,699)</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(39,489)</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15,549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22,618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37,755</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48,612</w:t>
            </w:r>
          </w:p>
        </w:tc>
        <w:tc>
          <w:tcPr>
            <w:tcW w:w="0" w:type="dxa"/>
            <w:vAlign w:val="bottom"/>
          </w:tcPr>
          <w:p>
            <w:pPr>
              <w:spacing w:after="0"/>
              <w:rPr>
                <w:sz w:val="1"/>
                <w:szCs w:val="1"/>
                <w:color w:val="auto"/>
              </w:rPr>
            </w:pPr>
          </w:p>
        </w:tc>
      </w:tr>
      <w:tr>
        <w:trPr>
          <w:trHeight w:val="202"/>
        </w:trPr>
        <w:tc>
          <w:tcPr>
            <w:tcW w:w="44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Other-than-temporary impairment losses on</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auction rate security:</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Gross impairment losses</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36</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0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Impairments recognized in other</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600"/>
              <w:spacing w:after="0" w:line="203" w:lineRule="exact"/>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1,177</w:t>
            </w:r>
          </w:p>
        </w:tc>
        <w:tc>
          <w:tcPr>
            <w:tcW w:w="220" w:type="dxa"/>
            <w:vAlign w:val="bottom"/>
          </w:tcPr>
          <w:p>
            <w:pPr>
              <w:spacing w:after="0"/>
              <w:rPr>
                <w:sz w:val="18"/>
                <w:szCs w:val="18"/>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1,313</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2,392</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02"/>
        </w:trPr>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before income</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14,245</w:t>
            </w: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21,305</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35,236</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45,631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Most Corporate expenses are not allocated. Such expenses include the adjustments to the Company’s self-insurance reserves relating to prior years, certain legal costs and settlements, certain information technology costs, share-based compensation costs, severance costs associated with acquisitions and certain chief executive officer, and other finance and human resource departmental costs. Corporate expenses for the six months ended April 30, 2009 included the net benefit of a $9.6 million legal settlement related to a claim that was settled and resolved in the three months ended January 31, 2009.</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Discontinued Operations</w:t>
      </w:r>
    </w:p>
    <w:p>
      <w:pPr>
        <w:spacing w:after="0" w:line="207"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On October 31, 2008, the Company completed the sale of substantially all of the assets of its former Lighting segment, excluding accounts receivable and certain other assets and liabilities, to Sylvania Lighting Services Corp (“Sylvania”). The remaining assets and liabilities associated with the Lighting segment have been classified as assets and liabilities of discontinued operations for all periods presented. The results of operations of the Lighting segment for all periods presented are classified as “Loss from discontinued operations, net of taxes.”</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559"/>
        <w:spacing w:after="0" w:line="246" w:lineRule="auto"/>
        <w:rPr>
          <w:sz w:val="20"/>
          <w:szCs w:val="20"/>
          <w:color w:val="auto"/>
        </w:rPr>
      </w:pPr>
      <w:r>
        <w:rPr>
          <w:rFonts w:ascii="Arial" w:cs="Arial" w:eastAsia="Arial" w:hAnsi="Arial"/>
          <w:sz w:val="18"/>
          <w:szCs w:val="18"/>
          <w:color w:val="auto"/>
        </w:rPr>
        <w:t>The carrying amounts of the major classes of assets and liabilities of the Lighting segment included in discontinued operations are as follows: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April 30,</w:t>
            </w:r>
          </w:p>
        </w:tc>
        <w:tc>
          <w:tcPr>
            <w:tcW w:w="114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October 31,</w:t>
            </w:r>
          </w:p>
        </w:tc>
      </w:tr>
      <w:tr>
        <w:trPr>
          <w:trHeight w:val="203"/>
        </w:trPr>
        <w:tc>
          <w:tcPr>
            <w:tcW w:w="65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2009</w:t>
            </w:r>
          </w:p>
        </w:tc>
        <w:tc>
          <w:tcPr>
            <w:tcW w:w="100" w:type="dxa"/>
            <w:vAlign w:val="bottom"/>
          </w:tcPr>
          <w:p>
            <w:pPr>
              <w:spacing w:after="0"/>
              <w:rPr>
                <w:sz w:val="17"/>
                <w:szCs w:val="17"/>
                <w:color w:val="auto"/>
              </w:rPr>
            </w:pPr>
          </w:p>
        </w:tc>
      </w:tr>
      <w:tr>
        <w:trPr>
          <w:trHeight w:val="196"/>
        </w:trPr>
        <w:tc>
          <w:tcPr>
            <w:tcW w:w="6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accounts receivable, net</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499</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Notes receivable and other</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1,216</w:t>
            </w:r>
          </w:p>
        </w:tc>
        <w:tc>
          <w:tcPr>
            <w:tcW w:w="2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1,937</w:t>
            </w: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 due from Sylvania (a)</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4,638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8,351</w:t>
            </w:r>
          </w:p>
        </w:tc>
      </w:tr>
      <w:tr>
        <w:trPr>
          <w:trHeight w:val="20"/>
        </w:trPr>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8"/>
                <w:szCs w:val="18"/>
                <w:color w:val="auto"/>
              </w:rPr>
              <w:t>Current assets of discontinued operations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6,009</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10,787</w:t>
            </w:r>
          </w:p>
        </w:tc>
      </w:tr>
      <w:tr>
        <w:trPr>
          <w:trHeight w:val="210"/>
        </w:trPr>
        <w:tc>
          <w:tcPr>
            <w:tcW w:w="6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notes receivable</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580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976</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Other receivables due from Sylvania (a)</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2,212</w:t>
            </w:r>
          </w:p>
        </w:tc>
        <w:tc>
          <w:tcPr>
            <w:tcW w:w="2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3,591</w:t>
            </w: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assets of discontinued operations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2,792</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4,567</w:t>
            </w:r>
          </w:p>
        </w:tc>
      </w:tr>
      <w:tr>
        <w:trPr>
          <w:trHeight w:val="20"/>
        </w:trPr>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6540" w:type="dxa"/>
            <w:vAlign w:val="bottom"/>
          </w:tcPr>
          <w:p>
            <w:pPr>
              <w:spacing w:after="0"/>
              <w:rPr>
                <w:sz w:val="20"/>
                <w:szCs w:val="20"/>
                <w:color w:val="auto"/>
              </w:rPr>
            </w:pPr>
            <w:r>
              <w:rPr>
                <w:rFonts w:ascii="Arial" w:cs="Arial" w:eastAsia="Arial" w:hAnsi="Arial"/>
                <w:sz w:val="18"/>
                <w:szCs w:val="18"/>
                <w:color w:val="auto"/>
              </w:rPr>
              <w:t>Trade accounts payable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755</w:t>
            </w:r>
          </w:p>
        </w:tc>
        <w:tc>
          <w:tcPr>
            <w:tcW w:w="2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840</w:t>
            </w: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53</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Due to Sylvania, net (b)</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468</w:t>
            </w:r>
          </w:p>
        </w:tc>
        <w:tc>
          <w:tcPr>
            <w:tcW w:w="2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172</w:t>
            </w: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 of discontinued operations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1,270</w:t>
            </w:r>
          </w:p>
        </w:tc>
        <w:tc>
          <w:tcPr>
            <w:tcW w:w="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1,065</w:t>
            </w:r>
          </w:p>
        </w:tc>
      </w:tr>
      <w:tr>
        <w:trPr>
          <w:trHeight w:val="20"/>
        </w:trPr>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680" w:right="559"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the sale of the Lighting segment, Sylvania acquired certain contracts containing deferred charges. Payments received by Sylvania from clients with respect to the deferred charges for these contracts are paid to the Company.</w:t>
      </w:r>
    </w:p>
    <w:p>
      <w:pPr>
        <w:spacing w:after="0" w:line="54" w:lineRule="exact"/>
        <w:rPr>
          <w:rFonts w:ascii="Arial" w:cs="Arial" w:eastAsia="Arial" w:hAnsi="Arial"/>
          <w:sz w:val="18"/>
          <w:szCs w:val="18"/>
          <w:color w:val="auto"/>
        </w:rPr>
      </w:pPr>
    </w:p>
    <w:p>
      <w:pPr>
        <w:ind w:left="680" w:right="559" w:hanging="348"/>
        <w:spacing w:after="0" w:line="246"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net amounts collected on Sylvania’s behalf pursuant to a transition services agreement, which was entered into in connection with the sale of the Lighting segment.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Parking Revenue Presentation</w:t>
      </w:r>
    </w:p>
    <w:p>
      <w:pPr>
        <w:spacing w:after="0" w:line="193"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The Company’s Parking segment reports both revenues and expenses, in equal amounts, for costs directly reimbursed from its managed parking lot clients. Parking revenues related solely to the reimbursement of expenses totaled $57.2 million and $57.3 million for the three months ended April 30, 2010 and 2009, respectively, and $113.2 million and $117.8 million for the six months ended April 30, 2010 and 2009,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7"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The following discussion should be read in conjunction with the unaudited accompanying condensed consolidated financial statements of ABM Industries Incorporated (“ABM”, and together with its subsidiaries, the “Company”) included in this Quarterly Report on Form 10-Q and with the consolidated financial statements and accompanying notes thereto and Management’s Discussion and Analysis of Financial Condition and Results of Operations included in the Company’s Annual Report on Form 10-K for the year ended October 31, 2009. All information in the discussion and references to years are based on the Company’s fiscal year, which ends on October 31.</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The Company provides janitorial, parking, security and engineering services for thousands of commercial, industrial, institutional and retail client facilities in hundreds of cities, primarily throughout the United States. The Company’s business is impacted by, among other things, commercial office building occupancy and rental rates, industrial activity, air travel levels, tourism and transportation needs at colleges, universities and health care service facilities. Revenues at the Company’s Janitorial, Security and Engineering segments are primarily based on the performance of labor-intensive services at contractually specified prices. Revenues at the Parking segment relate to parking and transportation services, which are less labor-intensive. In addition to services defined within the scope of client contracts, the Janitorial segment also generates revenues from extra services (or tags) such as, but not limited to, flood cleanup services and snow removal, which generally provide higher margins.</w:t>
      </w:r>
    </w:p>
    <w:p>
      <w:pPr>
        <w:spacing w:after="0" w:line="180"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During 2009, the Company experienced losses of client contracts that exceeded new business, reductions in the level and scope of client services, contract price compression and declines in the level of tag work, primarily in the Janitorial segment. These losses and reductions continued to influence results in the six months ended April 30, 2010. Total revenues in the six months ended April 30, 2010, as compared to the six months ended April 30, 2009, decreased $17.8 million, or 1.0%, primarily related to the losses and reductions experienced during 2009 and some reductions in the level and scope of client services and contract price compression in the six months ended April 30, 2010 in the Janitorial segment, partially offset by additional revenues from new clients and the expansion of services to existing clients in the Engineering segment. The Company’s operating profit, excluding Corporate, decreased $2.6 million, or 3.0%, in the six months ended April 30, 2010 compared to the six months ended April 30, 2009, primarily related to an increase in labor expenses resulting from one additional working day in the six months ended April 30, 2010 and increases in payroll related costs due to increases in state unemployment insurance rates that went into effect on January 1, 2010, which were partially offset by cost control measures. The second half of 2010 will benefit from one less working day, as compared to the second half of 2009.</w:t>
      </w:r>
    </w:p>
    <w:p>
      <w:pPr>
        <w:spacing w:after="0" w:line="163"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In addition to revenues and operating profit, the Company’s management views operating cash flows as a good indicator of financial performance, as strong operating cash flows provide opportunities for growth both organically and through acquisitions. Operating cash flows primarily depend on revenue levels, the timing of collections and payments to suppliers and other vendors, the quality of receivables, and the timing and amount of self-insured claims. The Company’s cash flows provided by continuing operating activities was $37.7 million for the six months ended April 30, 2010.</w:t>
      </w:r>
    </w:p>
    <w:p>
      <w:pPr>
        <w:spacing w:after="0" w:line="165"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The Company believes that achieving desired levels of revenues and profitability in the future will depend upon, among other things, its ability to attract and retain clients at desirable profit margins, to pass on cost increases to clients, and to keep overall costs low. In the short term, the Company plans to remain competitive by, among other things, continued cost control strategies. The Company is continuing to monitor, and in some cases exit, client arrangements where the Company believes the client is at high risk of bankruptcy or which produce low profit margins and focus on client arrangements that may generate less revenues but produce higher profit margins. Additionally, the Company is exploring acquisitions, both domestically and internationally. In the long-term, the Company expects to continue to grow organically and through acquisitions (including international expansion) in response to the perceived growing demand for a global integrated facility services solution provider.</w:t>
      </w:r>
    </w:p>
    <w:p>
      <w:pPr>
        <w:spacing w:after="0" w:line="200" w:lineRule="exact"/>
        <w:rPr>
          <w:sz w:val="20"/>
          <w:szCs w:val="20"/>
          <w:color w:val="auto"/>
        </w:rPr>
      </w:pP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99"/>
              </w:rPr>
              <w:t>April 30,</w:t>
            </w:r>
          </w:p>
        </w:tc>
        <w:tc>
          <w:tcPr>
            <w:tcW w:w="1320" w:type="dxa"/>
            <w:vAlign w:val="bottom"/>
            <w:gridSpan w:val="4"/>
          </w:tcPr>
          <w:p>
            <w:pPr>
              <w:ind w:left="20"/>
              <w:spacing w:after="0"/>
              <w:rPr>
                <w:sz w:val="20"/>
                <w:szCs w:val="20"/>
                <w:color w:val="auto"/>
              </w:rPr>
            </w:pPr>
            <w:r>
              <w:rPr>
                <w:rFonts w:ascii="Arial" w:cs="Arial" w:eastAsia="Arial" w:hAnsi="Arial"/>
                <w:sz w:val="18"/>
                <w:szCs w:val="18"/>
                <w:color w:val="auto"/>
              </w:rPr>
              <w:t>October 31,</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0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2010</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2009</w:t>
            </w: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Change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20,943</w:t>
            </w:r>
          </w:p>
        </w:tc>
        <w:tc>
          <w:tcPr>
            <w:tcW w:w="3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34,153</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(13,210)</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285,513</w:t>
            </w:r>
          </w:p>
        </w:tc>
        <w:tc>
          <w:tcPr>
            <w:tcW w:w="3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278,303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4"/>
                <w:szCs w:val="24"/>
                <w:color w:val="auto"/>
              </w:rPr>
            </w:pPr>
          </w:p>
        </w:tc>
        <w:tc>
          <w:tcPr>
            <w:tcW w:w="2600" w:type="dxa"/>
            <w:vAlign w:val="bottom"/>
            <w:gridSpan w:val="8"/>
          </w:tcPr>
          <w:p>
            <w:pPr>
              <w:jc w:val="right"/>
              <w:ind w:right="400"/>
              <w:spacing w:after="0"/>
              <w:rPr>
                <w:sz w:val="20"/>
                <w:szCs w:val="20"/>
                <w:color w:val="auto"/>
              </w:rPr>
            </w:pPr>
            <w:r>
              <w:rPr>
                <w:rFonts w:ascii="Arial" w:cs="Arial" w:eastAsia="Arial" w:hAnsi="Arial"/>
                <w:sz w:val="18"/>
                <w:szCs w:val="18"/>
                <w:color w:val="auto"/>
              </w:rPr>
              <w:t>Six Months Ended April 30,</w:t>
            </w:r>
          </w:p>
        </w:tc>
        <w:tc>
          <w:tcPr>
            <w:tcW w:w="120" w:type="dxa"/>
            <w:vAlign w:val="bottom"/>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Change</w:t>
            </w:r>
          </w:p>
        </w:tc>
        <w:tc>
          <w:tcPr>
            <w:tcW w:w="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400" w:type="dxa"/>
            <w:vAlign w:val="bottom"/>
            <w:tcBorders>
              <w:bottom w:val="single" w:sz="8" w:color="auto"/>
            </w:tcBorders>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2010</w:t>
            </w:r>
          </w:p>
        </w:tc>
        <w:tc>
          <w:tcPr>
            <w:tcW w:w="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2009</w:t>
            </w: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44,323</w:t>
            </w:r>
          </w:p>
        </w:tc>
        <w:tc>
          <w:tcPr>
            <w:tcW w:w="2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67,202</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(22,879)</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(11,739)</w:t>
            </w:r>
          </w:p>
        </w:tc>
        <w:tc>
          <w:tcPr>
            <w:tcW w:w="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(8,114)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(45,794)</w:t>
            </w:r>
          </w:p>
        </w:tc>
        <w:tc>
          <w:tcPr>
            <w:tcW w:w="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(65,764)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19,970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As of April 30, 2010, the Company’s cash and cash equivalents balance was $20.9 million, compared to $ 34.2 million as of October 31, 2009. The decrease in cash is principally due to the timing of net borrowings under the Company’s line of credit, payments made on vendor invoices and collections of accounts receivable.</w:t>
      </w:r>
    </w:p>
    <w:p>
      <w:pPr>
        <w:spacing w:after="0" w:line="162"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The Company believes that the cash generated from operations and amounts available under its $450.0 million line of credit will be sufficient to meet the Company’s cash requirements for the long-term, except to the extent cash is required for significant acquisitions, if any. As of April 30, 2010, the total outstanding amounts under the Company’s line of credit in the form of cash borrowings and standby letters of credit were $145.0 million and $101.0 million, respectively. Available credit under the line of credit was $204.0 million as of April 30, 2010. The Company’s ability to draw down available amounts under its $450.0 million line of credit is subject to compliance with certain financial covenants, including covenants relating to consolidated net worth, a fixed charge coverage ratio and a leverage ratio. In addition, other covenants under the line of credit include limitations on liens, dispositions, fundamental changes, investments and certain transactions and payments. As of April 30, 2010, the Company was in compliance with all covenants and expects to be in the foreseeable future.</w:t>
      </w:r>
    </w:p>
    <w:p>
      <w:pPr>
        <w:spacing w:after="0" w:line="144"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Working capital increased by $7.2 million to $285.5 million at April 30, 2010 from $278.3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31, 2009. Excluding the effects of discontinued operations, working capital increased by $12.2 million to $280.8 million at April 30, 2010 from $268.6 million at October 31, 2009.</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was primarily related to:</w:t>
      </w:r>
    </w:p>
    <w:p>
      <w:pPr>
        <w:spacing w:after="0" w:line="171" w:lineRule="exact"/>
        <w:rPr>
          <w:sz w:val="20"/>
          <w:szCs w:val="20"/>
          <w:color w:val="auto"/>
        </w:rPr>
      </w:pPr>
    </w:p>
    <w:p>
      <w:pPr>
        <w:ind w:left="1040" w:right="559" w:hanging="343"/>
        <w:spacing w:after="0" w:line="246" w:lineRule="auto"/>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$35.5 million decrease in trade accounts payable and accrued liabilities, primarily related to the timing of payments made on vendor invoices;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partially offset by:</w:t>
      </w:r>
    </w:p>
    <w:p>
      <w:pPr>
        <w:spacing w:after="0" w:line="185" w:lineRule="exact"/>
        <w:rPr>
          <w:sz w:val="20"/>
          <w:szCs w:val="20"/>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$13.2 million decrease in cash and cash equivalents;</w:t>
      </w:r>
    </w:p>
    <w:p>
      <w:pPr>
        <w:spacing w:after="0" w:line="171"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$4.4 million increase for a litigation contingency recorded in other accrued liabilities;</w:t>
      </w:r>
    </w:p>
    <w:p>
      <w:pPr>
        <w:spacing w:after="0" w:line="171"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$3.2 million decrease in notes receivable and other, primarily related to collections received during the six months ended April 30, 2010; and</w:t>
      </w:r>
    </w:p>
    <w:p>
      <w:pPr>
        <w:spacing w:after="0" w:line="169"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$2.5 million decrease in trade accounts receivable, net, primarily related to the timing of collections received from clients.</w:t>
      </w:r>
    </w:p>
    <w:p>
      <w:pPr>
        <w:spacing w:after="0" w:line="134" w:lineRule="exact"/>
        <w:rPr>
          <w:sz w:val="20"/>
          <w:szCs w:val="20"/>
          <w:color w:val="auto"/>
        </w:rPr>
      </w:pPr>
    </w:p>
    <w:p>
      <w:pPr>
        <w:ind w:left="340" w:right="559"/>
        <w:spacing w:after="0" w:line="271" w:lineRule="auto"/>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 Net cash provided by operating activities was $44.3 million for the six</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April 30, 2010, compared to $67.2 million for the six months ended April 30, 2009.</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cash flows from operating activities was primarily related to:</w:t>
      </w:r>
    </w:p>
    <w:p>
      <w:pPr>
        <w:spacing w:after="0" w:line="185" w:lineRule="exact"/>
        <w:rPr>
          <w:sz w:val="20"/>
          <w:szCs w:val="20"/>
          <w:color w:val="auto"/>
        </w:rPr>
      </w:pPr>
    </w:p>
    <w:p>
      <w:pPr>
        <w:ind w:left="1040" w:right="559" w:hanging="343"/>
        <w:spacing w:after="0" w:line="246" w:lineRule="auto"/>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$24.6 million period-over-period decrease in trade accounts payable and accrued liabilities, primarily related to the timing of payments made on vendor invoices; and</w:t>
      </w:r>
    </w:p>
    <w:p>
      <w:pPr>
        <w:spacing w:after="0" w:line="156" w:lineRule="exact"/>
        <w:rPr>
          <w:rFonts w:ascii="Arial" w:cs="Arial" w:eastAsia="Arial" w:hAnsi="Arial"/>
          <w:sz w:val="18"/>
          <w:szCs w:val="18"/>
          <w:b w:val="1"/>
          <w:bCs w:val="1"/>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$16.3 million decrease in net cash provided by discontinued operating activities;</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partially offset by:</w:t>
      </w:r>
    </w:p>
    <w:p>
      <w:pPr>
        <w:spacing w:after="0" w:line="171" w:lineRule="exact"/>
        <w:rPr>
          <w:sz w:val="20"/>
          <w:szCs w:val="20"/>
          <w:color w:val="auto"/>
        </w:rPr>
      </w:pPr>
    </w:p>
    <w:p>
      <w:pPr>
        <w:jc w:val="both"/>
        <w:ind w:left="1040" w:right="559" w:hanging="343"/>
        <w:spacing w:after="0"/>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$15.1 million period-over-period increase in income taxes payable, primarily related to the timing of income tax payments and the utilization of deferred tax assets, including OneSource Services, Inc. deferred tax assets; and</w:t>
      </w:r>
    </w:p>
    <w:p>
      <w:pPr>
        <w:spacing w:after="0" w:line="162" w:lineRule="exact"/>
        <w:rPr>
          <w:rFonts w:ascii="Arial" w:cs="Arial" w:eastAsia="Arial" w:hAnsi="Arial"/>
          <w:sz w:val="18"/>
          <w:szCs w:val="18"/>
          <w:b w:val="1"/>
          <w:bCs w:val="1"/>
          <w:color w:val="auto"/>
        </w:rPr>
      </w:pPr>
    </w:p>
    <w:p>
      <w:pPr>
        <w:ind w:left="1040" w:hanging="343"/>
        <w:spacing w:after="0"/>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$4.4 million increase for a litigation contingency recorded in other accrued liabilities.</w:t>
      </w:r>
    </w:p>
    <w:p>
      <w:pPr>
        <w:spacing w:after="0" w:line="185"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Net cash provided by discontinued operating activities was $ 6.6 million for the six months ended April 30, 2010, compared to $22.9 million for the six months ended April 30, 2009. The cash provided by discontinued operating activities for the six months ended April 30, 2010 primarily related to cash collections from the transferred client contracts that contained deferred charges related to services performed by the Company prior to the sale.</w:t>
      </w:r>
    </w:p>
    <w:p>
      <w:pPr>
        <w:spacing w:after="0" w:line="139" w:lineRule="exact"/>
        <w:rPr>
          <w:sz w:val="20"/>
          <w:szCs w:val="20"/>
          <w:color w:val="auto"/>
        </w:rPr>
      </w:pPr>
    </w:p>
    <w:p>
      <w:pPr>
        <w:jc w:val="both"/>
        <w:ind w:left="340" w:right="559"/>
        <w:spacing w:after="0" w:line="247" w:lineRule="auto"/>
        <w:rPr>
          <w:sz w:val="20"/>
          <w:szCs w:val="20"/>
          <w:color w:val="auto"/>
        </w:rPr>
      </w:pPr>
      <w:r>
        <w:rPr>
          <w:rFonts w:ascii="Arial" w:cs="Arial" w:eastAsia="Arial" w:hAnsi="Arial"/>
          <w:sz w:val="18"/>
          <w:szCs w:val="18"/>
          <w:b w:val="1"/>
          <w:bCs w:val="1"/>
          <w:color w:val="auto"/>
        </w:rPr>
        <w:t xml:space="preserve">Cash Flows from Investing Activities. </w:t>
      </w:r>
      <w:r>
        <w:rPr>
          <w:rFonts w:ascii="Arial" w:cs="Arial" w:eastAsia="Arial" w:hAnsi="Arial"/>
          <w:sz w:val="18"/>
          <w:szCs w:val="18"/>
          <w:color w:val="auto"/>
        </w:rPr>
        <w:t>Net cash used in investing activities for the six months ended April 30, 2010</w:t>
      </w:r>
      <w:r>
        <w:rPr>
          <w:rFonts w:ascii="Arial" w:cs="Arial" w:eastAsia="Arial" w:hAnsi="Arial"/>
          <w:sz w:val="18"/>
          <w:szCs w:val="18"/>
          <w:b w:val="1"/>
          <w:bCs w:val="1"/>
          <w:color w:val="auto"/>
        </w:rPr>
        <w:t xml:space="preserve"> </w:t>
      </w:r>
      <w:r>
        <w:rPr>
          <w:rFonts w:ascii="Arial" w:cs="Arial" w:eastAsia="Arial" w:hAnsi="Arial"/>
          <w:sz w:val="18"/>
          <w:szCs w:val="18"/>
          <w:color w:val="auto"/>
        </w:rPr>
        <w:t>was $11.7 million, compared to $8.1 million for the six months ended April 30, 2009. The increase in cash used in investing activities was primarily related to an increase in capital expenditure purchases of $2.6 million during the six months ended April 30, 2010.</w:t>
      </w:r>
    </w:p>
    <w:p>
      <w:pPr>
        <w:spacing w:after="0" w:line="134" w:lineRule="exact"/>
        <w:rPr>
          <w:sz w:val="20"/>
          <w:szCs w:val="20"/>
          <w:color w:val="auto"/>
        </w:rPr>
      </w:pPr>
    </w:p>
    <w:p>
      <w:pPr>
        <w:jc w:val="both"/>
        <w:ind w:left="340" w:right="559"/>
        <w:spacing w:after="0" w:line="247" w:lineRule="auto"/>
        <w:rPr>
          <w:sz w:val="20"/>
          <w:szCs w:val="20"/>
          <w:color w:val="auto"/>
        </w:rPr>
      </w:pPr>
      <w:r>
        <w:rPr>
          <w:rFonts w:ascii="Arial" w:cs="Arial" w:eastAsia="Arial" w:hAnsi="Arial"/>
          <w:sz w:val="18"/>
          <w:szCs w:val="18"/>
          <w:b w:val="1"/>
          <w:bCs w:val="1"/>
          <w:color w:val="auto"/>
        </w:rPr>
        <w:t xml:space="preserve">Cash Flows from Financing Activities. </w:t>
      </w:r>
      <w:r>
        <w:rPr>
          <w:rFonts w:ascii="Arial" w:cs="Arial" w:eastAsia="Arial" w:hAnsi="Arial"/>
          <w:sz w:val="18"/>
          <w:szCs w:val="18"/>
          <w:color w:val="auto"/>
        </w:rPr>
        <w:t>Net cash used in financing activities was $45.8 million for the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April 30, 2010, compared to $65.8 million for the six months ended April 30, 2009. The decrease in cash used in financing activities was primarily related to a $20.5 million period-over-period decrease in net repayments from the Company’s line of credit.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Three Months Ended April 30, 2010 vs. Three Months Ended April 30, 2009</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auto"/>
              </w:rPr>
              <w:t>Three Months</w:t>
            </w:r>
          </w:p>
        </w:tc>
        <w:tc>
          <w:tcPr>
            <w:tcW w:w="1420" w:type="dxa"/>
            <w:vAlign w:val="bottom"/>
            <w:gridSpan w:val="3"/>
          </w:tcPr>
          <w:p>
            <w:pPr>
              <w:spacing w:after="0"/>
              <w:rPr>
                <w:sz w:val="20"/>
                <w:szCs w:val="20"/>
                <w:color w:val="auto"/>
              </w:rPr>
            </w:pPr>
            <w:r>
              <w:rPr>
                <w:rFonts w:ascii="Arial" w:cs="Arial" w:eastAsia="Arial" w:hAnsi="Arial"/>
                <w:sz w:val="18"/>
                <w:szCs w:val="18"/>
                <w:color w:val="auto"/>
              </w:rPr>
              <w:t>Three Months</w:t>
            </w:r>
          </w:p>
        </w:tc>
        <w:tc>
          <w:tcPr>
            <w:tcW w:w="12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Increase</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Increase</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Ended</w:t>
            </w:r>
          </w:p>
        </w:tc>
        <w:tc>
          <w:tcPr>
            <w:tcW w:w="200" w:type="dxa"/>
            <w:vAlign w:val="bottom"/>
          </w:tcPr>
          <w:p>
            <w:pPr>
              <w:spacing w:after="0"/>
              <w:rPr>
                <w:sz w:val="17"/>
                <w:szCs w:val="17"/>
                <w:color w:val="auto"/>
              </w:rPr>
            </w:pPr>
          </w:p>
        </w:tc>
        <w:tc>
          <w:tcPr>
            <w:tcW w:w="12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Ended</w:t>
            </w:r>
          </w:p>
        </w:tc>
        <w:tc>
          <w:tcPr>
            <w:tcW w:w="1280" w:type="dxa"/>
            <w:vAlign w:val="bottom"/>
            <w:gridSpan w:val="3"/>
          </w:tcPr>
          <w:p>
            <w:pPr>
              <w:jc w:val="center"/>
              <w:ind w:right="320"/>
              <w:spacing w:after="0" w:line="202" w:lineRule="exact"/>
              <w:rPr>
                <w:sz w:val="20"/>
                <w:szCs w:val="20"/>
                <w:color w:val="auto"/>
              </w:rPr>
            </w:pPr>
            <w:r>
              <w:rPr>
                <w:rFonts w:ascii="Arial" w:cs="Arial" w:eastAsia="Arial" w:hAnsi="Arial"/>
                <w:sz w:val="18"/>
                <w:szCs w:val="18"/>
                <w:color w:val="auto"/>
                <w:w w:val="98"/>
              </w:rPr>
              <w:t>(Decrease)</w:t>
            </w: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8"/>
              </w:rPr>
              <w:t>(Decrease)</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Arial" w:cs="Arial" w:eastAsia="Arial" w:hAnsi="Arial"/>
                <w:sz w:val="18"/>
                <w:szCs w:val="18"/>
                <w:color w:val="auto"/>
              </w:rPr>
              <w:t>($ in thousands)</w:t>
            </w:r>
          </w:p>
        </w:tc>
        <w:tc>
          <w:tcPr>
            <w:tcW w:w="240" w:type="dxa"/>
            <w:vAlign w:val="bottom"/>
          </w:tcPr>
          <w:p>
            <w:pPr>
              <w:spacing w:after="0"/>
              <w:rPr>
                <w:sz w:val="17"/>
                <w:szCs w:val="17"/>
                <w:color w:val="auto"/>
              </w:rPr>
            </w:pPr>
          </w:p>
        </w:tc>
        <w:tc>
          <w:tcPr>
            <w:tcW w:w="1440" w:type="dxa"/>
            <w:vAlign w:val="bottom"/>
            <w:gridSpan w:val="3"/>
          </w:tcPr>
          <w:p>
            <w:pPr>
              <w:spacing w:after="0" w:line="203" w:lineRule="exact"/>
              <w:rPr>
                <w:sz w:val="20"/>
                <w:szCs w:val="20"/>
                <w:color w:val="auto"/>
              </w:rPr>
            </w:pPr>
            <w:r>
              <w:rPr>
                <w:rFonts w:ascii="Arial" w:cs="Arial" w:eastAsia="Arial" w:hAnsi="Arial"/>
                <w:sz w:val="18"/>
                <w:szCs w:val="18"/>
                <w:color w:val="auto"/>
              </w:rPr>
              <w:t>April 30, 2010</w:t>
            </w:r>
          </w:p>
        </w:tc>
        <w:tc>
          <w:tcPr>
            <w:tcW w:w="1420" w:type="dxa"/>
            <w:vAlign w:val="bottom"/>
            <w:gridSpan w:val="3"/>
          </w:tcPr>
          <w:p>
            <w:pPr>
              <w:spacing w:after="0" w:line="203" w:lineRule="exact"/>
              <w:rPr>
                <w:sz w:val="20"/>
                <w:szCs w:val="20"/>
                <w:color w:val="auto"/>
              </w:rPr>
            </w:pPr>
            <w:r>
              <w:rPr>
                <w:rFonts w:ascii="Arial" w:cs="Arial" w:eastAsia="Arial" w:hAnsi="Arial"/>
                <w:sz w:val="18"/>
                <w:szCs w:val="18"/>
                <w:color w:val="auto"/>
              </w:rPr>
              <w:t>April 30, 2009</w:t>
            </w:r>
          </w:p>
        </w:tc>
        <w:tc>
          <w:tcPr>
            <w:tcW w:w="120" w:type="dxa"/>
            <w:vAlign w:val="bottom"/>
          </w:tcPr>
          <w:p>
            <w:pPr>
              <w:spacing w:after="0"/>
              <w:rPr>
                <w:sz w:val="17"/>
                <w:szCs w:val="17"/>
                <w:color w:val="auto"/>
              </w:rPr>
            </w:pPr>
          </w:p>
        </w:tc>
        <w:tc>
          <w:tcPr>
            <w:tcW w:w="840" w:type="dxa"/>
            <w:vAlign w:val="bottom"/>
          </w:tcPr>
          <w:p>
            <w:pPr>
              <w:jc w:val="center"/>
              <w:ind w:right="10"/>
              <w:spacing w:after="0" w:line="203"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7"/>
                <w:szCs w:val="17"/>
                <w:color w:val="auto"/>
              </w:rPr>
            </w:pPr>
          </w:p>
        </w:tc>
        <w:tc>
          <w:tcPr>
            <w:tcW w:w="92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855,461</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855,711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(250)</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05"/>
        </w:trPr>
        <w:tc>
          <w:tcPr>
            <w:tcW w:w="38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Operating</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771,974</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766,148</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5,826</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3"/>
        </w:trPr>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65,244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64,265</w:t>
            </w:r>
          </w:p>
        </w:tc>
        <w:tc>
          <w:tcPr>
            <w:tcW w:w="12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979</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2,694</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2,680</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ind w:left="400"/>
              <w:spacing w:after="0"/>
              <w:rPr>
                <w:sz w:val="20"/>
                <w:szCs w:val="20"/>
                <w:color w:val="auto"/>
              </w:rPr>
            </w:pPr>
            <w:r>
              <w:rPr>
                <w:rFonts w:ascii="Arial" w:cs="Arial" w:eastAsia="Arial" w:hAnsi="Arial"/>
                <w:sz w:val="18"/>
                <w:szCs w:val="18"/>
                <w:color w:val="auto"/>
              </w:rPr>
              <w:t>Total expense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839,912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833,093</w:t>
            </w: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6,819</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15,549</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22,618</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(7,069)</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2"/>
        </w:trPr>
        <w:tc>
          <w:tcPr>
            <w:tcW w:w="3800" w:type="dxa"/>
            <w:vAlign w:val="bottom"/>
          </w:tcPr>
          <w:p>
            <w:pPr>
              <w:ind w:left="200"/>
              <w:spacing w:after="0" w:line="201" w:lineRule="exact"/>
              <w:rPr>
                <w:sz w:val="20"/>
                <w:szCs w:val="20"/>
                <w:color w:val="auto"/>
              </w:rPr>
            </w:pPr>
            <w:r>
              <w:rPr>
                <w:rFonts w:ascii="Arial" w:cs="Arial" w:eastAsia="Arial" w:hAnsi="Arial"/>
                <w:sz w:val="18"/>
                <w:szCs w:val="18"/>
                <w:color w:val="auto"/>
              </w:rPr>
              <w:t>Other-than-temporary impairment losses on</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400"/>
              <w:spacing w:after="0" w:line="203" w:lineRule="exact"/>
              <w:rPr>
                <w:sz w:val="20"/>
                <w:szCs w:val="20"/>
                <w:color w:val="auto"/>
              </w:rPr>
            </w:pPr>
            <w:r>
              <w:rPr>
                <w:rFonts w:ascii="Arial" w:cs="Arial" w:eastAsia="Arial" w:hAnsi="Arial"/>
                <w:sz w:val="18"/>
                <w:szCs w:val="18"/>
                <w:color w:val="auto"/>
              </w:rPr>
              <w:t>auction rate security:</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Gross impairment losses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101</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3800" w:type="dxa"/>
            <w:vAlign w:val="bottom"/>
          </w:tcPr>
          <w:p>
            <w:pPr>
              <w:ind w:left="600"/>
              <w:spacing w:after="0" w:line="201" w:lineRule="exact"/>
              <w:rPr>
                <w:sz w:val="20"/>
                <w:szCs w:val="20"/>
                <w:color w:val="auto"/>
              </w:rPr>
            </w:pPr>
            <w:r>
              <w:rPr>
                <w:rFonts w:ascii="Arial" w:cs="Arial" w:eastAsia="Arial" w:hAnsi="Arial"/>
                <w:sz w:val="18"/>
                <w:szCs w:val="18"/>
                <w:color w:val="auto"/>
              </w:rPr>
              <w:t>Impairments recognized in other</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00"/>
              <w:spacing w:after="0" w:line="203" w:lineRule="exact"/>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26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26</w:t>
            </w:r>
          </w:p>
        </w:tc>
        <w:tc>
          <w:tcPr>
            <w:tcW w:w="11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1,177</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(136)</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20"/>
                <w:szCs w:val="20"/>
                <w:color w:val="auto"/>
              </w:rPr>
            </w:pPr>
            <w:r>
              <w:rPr>
                <w:rFonts w:ascii="Arial" w:cs="Arial" w:eastAsia="Arial" w:hAnsi="Arial"/>
                <w:sz w:val="18"/>
                <w:szCs w:val="18"/>
                <w:color w:val="auto"/>
              </w:rPr>
              <w:t>Income from continuing operations before</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00"/>
              <w:spacing w:after="0" w:line="203" w:lineRule="exact"/>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14,245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21,305</w:t>
            </w: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(7,060)</w:t>
            </w:r>
          </w:p>
        </w:tc>
        <w:tc>
          <w:tcPr>
            <w:tcW w:w="11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5,622</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8,256</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(2,634)</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8,623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13,049</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(4,426)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discontinued operations, net of taxes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226</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8,577</w:t>
            </w:r>
          </w:p>
        </w:tc>
        <w:tc>
          <w:tcPr>
            <w:tcW w:w="3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12,777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(4,200)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w:t>
        <w:tab/>
        <w:t>Not meaningful</w:t>
      </w:r>
    </w:p>
    <w:p>
      <w:pPr>
        <w:spacing w:after="0" w:line="149"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Net income in the three months ended April 30, 2010 decreased by $4.2 million, or 32.9%, to</w:t>
      </w:r>
      <w:r>
        <w:rPr>
          <w:rFonts w:ascii="Arial" w:cs="Arial" w:eastAsia="Arial" w:hAnsi="Arial"/>
          <w:sz w:val="18"/>
          <w:szCs w:val="18"/>
          <w:b w:val="1"/>
          <w:bCs w:val="1"/>
          <w:color w:val="auto"/>
        </w:rPr>
        <w:t xml:space="preserve"> </w:t>
      </w:r>
      <w:r>
        <w:rPr>
          <w:rFonts w:ascii="Arial" w:cs="Arial" w:eastAsia="Arial" w:hAnsi="Arial"/>
          <w:sz w:val="18"/>
          <w:szCs w:val="18"/>
          <w:color w:val="auto"/>
        </w:rPr>
        <w:t>$8.6 million ($0.16 per diluted share) from $12.8 million ($0.25 per diluted share) in the three months ended April 30, 2009.</w:t>
      </w:r>
    </w:p>
    <w:p>
      <w:pPr>
        <w:spacing w:after="0" w:line="200" w:lineRule="exact"/>
        <w:rPr>
          <w:sz w:val="20"/>
          <w:szCs w:val="20"/>
          <w:color w:val="auto"/>
        </w:rPr>
      </w:pPr>
    </w:p>
    <w:p>
      <w:pPr>
        <w:spacing w:after="0" w:line="3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b w:val="1"/>
          <w:bCs w:val="1"/>
          <w:color w:val="auto"/>
        </w:rPr>
        <w:t xml:space="preserve">Income from Continuing Operations. </w:t>
      </w:r>
      <w:r>
        <w:rPr>
          <w:rFonts w:ascii="Arial" w:cs="Arial" w:eastAsia="Arial" w:hAnsi="Arial"/>
          <w:sz w:val="18"/>
          <w:szCs w:val="18"/>
          <w:color w:val="auto"/>
        </w:rPr>
        <w:t>Income from continuing operations in the three months ended April 30, 2010</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decreased by $4.4 million, or 33.9%, to $ 8.6 million ($0.16 per diluted share) from $13.0 million ($0.25 per diluted share) in the three months ended April 30, 2009.</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income from continuing operations was primarily related to:</w:t>
      </w:r>
    </w:p>
    <w:p>
      <w:pPr>
        <w:spacing w:after="0" w:line="171" w:lineRule="exact"/>
        <w:rPr>
          <w:sz w:val="20"/>
          <w:szCs w:val="20"/>
          <w:color w:val="auto"/>
        </w:rPr>
      </w:pPr>
    </w:p>
    <w:p>
      <w:pPr>
        <w:jc w:val="both"/>
        <w:ind w:left="1040" w:right="559" w:hanging="343"/>
        <w:spacing w:after="0" w:line="239" w:lineRule="auto"/>
        <w:tabs>
          <w:tab w:leader="none" w:pos="10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$5.2 million decrease in operating profit, excluding the Corporate segment, primarily related to an increase in labor expenses resulting from one additional working day in the three months ended April 30, 2010 and increases in payroll related costs from increases in state unemployment insurance rates that went into effect on January 1, 2010; and</w:t>
      </w:r>
    </w:p>
    <w:p>
      <w:pPr>
        <w:spacing w:after="0" w:line="161" w:lineRule="exact"/>
        <w:rPr>
          <w:rFonts w:ascii="Arial" w:cs="Arial" w:eastAsia="Arial" w:hAnsi="Arial"/>
          <w:sz w:val="18"/>
          <w:szCs w:val="18"/>
          <w:b w:val="1"/>
          <w:bCs w:val="1"/>
          <w:color w:val="auto"/>
        </w:rPr>
      </w:pPr>
    </w:p>
    <w:p>
      <w:pPr>
        <w:ind w:left="1040" w:hanging="343"/>
        <w:spacing w:after="0"/>
        <w:tabs>
          <w:tab w:leader="none" w:pos="10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$4.4 million increase in a litigation contingency;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partially offset by:</w:t>
      </w:r>
    </w:p>
    <w:p>
      <w:pPr>
        <w:spacing w:after="0" w:line="171" w:lineRule="exact"/>
        <w:rPr>
          <w:sz w:val="20"/>
          <w:szCs w:val="20"/>
          <w:color w:val="auto"/>
        </w:rPr>
      </w:pPr>
    </w:p>
    <w:p>
      <w:pPr>
        <w:ind w:left="1040" w:right="559" w:hanging="343"/>
        <w:spacing w:after="0" w:line="246" w:lineRule="auto"/>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 $2.8 million year-over-year decrease in information technology costs, net of higher depreciation costs, primarily related to the upgrade of the payroll, human resources and accounting systems in 2009; and</w:t>
      </w:r>
    </w:p>
    <w:p>
      <w:pPr>
        <w:spacing w:after="0" w:line="156"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 $2.6 million decrease in income taxes, primarily related to the decrease in income from continuing operations before income taxes.</w:t>
      </w:r>
    </w:p>
    <w:p>
      <w:pPr>
        <w:spacing w:after="0" w:line="148"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Total revenues in the three months ended April 30, 2010 remained relatively flat, as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ended April 30, 2009.</w:t>
      </w:r>
    </w:p>
    <w:p>
      <w:pPr>
        <w:spacing w:after="0" w:line="113" w:lineRule="exact"/>
        <w:rPr>
          <w:sz w:val="20"/>
          <w:szCs w:val="20"/>
          <w:color w:val="auto"/>
        </w:rPr>
      </w:pPr>
    </w:p>
    <w:p>
      <w:pPr>
        <w:jc w:val="both"/>
        <w:ind w:left="340" w:right="559"/>
        <w:spacing w:after="0" w:line="244"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As a percentage of revenues, gross margin was 9.8% and 10.5% in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April 30, 2010 and 2009, respectively. The decrease in gross margin percentage was primarily related to an increase in labor expenses resulting from one additional working day in the three months ended April 30, 2010 and increases in payroll related costs from increases in state unemployment insurance rates that went into effect on January 1, 2010.</w:t>
      </w:r>
    </w:p>
    <w:p>
      <w:pPr>
        <w:spacing w:after="0" w:line="136"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$1.0 million, or 1.5%, in the three months ended April 30, 2010 compared to the three months ended April 30, 2009.</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selling, general and administrative expenses was primarily related to:</w:t>
      </w:r>
    </w:p>
    <w:p>
      <w:pPr>
        <w:spacing w:after="0" w:line="171" w:lineRule="exact"/>
        <w:rPr>
          <w:sz w:val="20"/>
          <w:szCs w:val="20"/>
          <w:color w:val="auto"/>
        </w:rPr>
      </w:pPr>
    </w:p>
    <w:p>
      <w:pPr>
        <w:ind w:left="340" w:right="5259" w:firstLine="357"/>
        <w:spacing w:after="0" w:line="433" w:lineRule="auto"/>
        <w:tabs>
          <w:tab w:leader="none" w:pos="1056"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$4.4 million increase in a litigation contingency; partially offset by:</w:t>
      </w:r>
    </w:p>
    <w:p>
      <w:pPr>
        <w:spacing w:after="0" w:line="22"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$2.8 million year-over-year decrease in information technology costs, net of higher depreciation costs, primarily related to the upgrade of the payroll, human resources and accounting systems in 2009; and</w:t>
      </w:r>
    </w:p>
    <w:p>
      <w:pPr>
        <w:spacing w:after="0" w:line="156"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$1.3 million decrease in selling, general and administrative costs at the Janitorial segment, primarily related to cost control measures.</w:t>
      </w:r>
    </w:p>
    <w:p>
      <w:pPr>
        <w:spacing w:after="0" w:line="134" w:lineRule="exact"/>
        <w:rPr>
          <w:sz w:val="20"/>
          <w:szCs w:val="20"/>
          <w:color w:val="auto"/>
        </w:rPr>
      </w:pPr>
    </w:p>
    <w:p>
      <w:pPr>
        <w:jc w:val="both"/>
        <w:ind w:left="340" w:right="559"/>
        <w:spacing w:after="0" w:line="242"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in the three months ended April 30, 2010 decreased $0.1 million, or 10.4%, to</w:t>
      </w:r>
      <w:r>
        <w:rPr>
          <w:rFonts w:ascii="Arial" w:cs="Arial" w:eastAsia="Arial" w:hAnsi="Arial"/>
          <w:sz w:val="18"/>
          <w:szCs w:val="18"/>
          <w:b w:val="1"/>
          <w:bCs w:val="1"/>
          <w:color w:val="auto"/>
        </w:rPr>
        <w:t xml:space="preserve"> </w:t>
      </w:r>
      <w:r>
        <w:rPr>
          <w:rFonts w:ascii="Arial" w:cs="Arial" w:eastAsia="Arial" w:hAnsi="Arial"/>
          <w:sz w:val="18"/>
          <w:szCs w:val="18"/>
          <w:color w:val="auto"/>
        </w:rPr>
        <w:t>$1.2 million from $1.3 million in the three months ended April 30, 2009. The decrease was primarily related to a lower average outstanding balance and a lower average interest rate under the line of credit in the three months ended April 30, 2010 compared to the three months ended April 30, 2009. The average outstanding balance under the Company’s line of credit was $164.9 million and $217.0 million during the three months ended April 30, 2010 and 2009, respectively.</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The revenues and operating profits for the Company’s reportable segments (Janitorial,</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Parking, Security, and Engineering) were as follows: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auto"/>
              </w:rPr>
              <w:t>Three Months</w:t>
            </w:r>
          </w:p>
        </w:tc>
        <w:tc>
          <w:tcPr>
            <w:tcW w:w="1420" w:type="dxa"/>
            <w:vAlign w:val="bottom"/>
            <w:gridSpan w:val="3"/>
          </w:tcPr>
          <w:p>
            <w:pPr>
              <w:spacing w:after="0"/>
              <w:rPr>
                <w:sz w:val="20"/>
                <w:szCs w:val="20"/>
                <w:color w:val="auto"/>
              </w:rPr>
            </w:pPr>
            <w:r>
              <w:rPr>
                <w:rFonts w:ascii="Arial" w:cs="Arial" w:eastAsia="Arial" w:hAnsi="Arial"/>
                <w:sz w:val="18"/>
                <w:szCs w:val="18"/>
                <w:color w:val="auto"/>
              </w:rPr>
              <w:t>Three Months</w:t>
            </w:r>
          </w:p>
        </w:tc>
        <w:tc>
          <w:tcPr>
            <w:tcW w:w="120" w:type="dxa"/>
            <w:vAlign w:val="bottom"/>
          </w:tcPr>
          <w:p>
            <w:pPr>
              <w:spacing w:after="0"/>
              <w:rPr>
                <w:sz w:val="17"/>
                <w:szCs w:val="17"/>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Increase</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Increase</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Ended</w:t>
            </w:r>
          </w:p>
        </w:tc>
        <w:tc>
          <w:tcPr>
            <w:tcW w:w="200" w:type="dxa"/>
            <w:vAlign w:val="bottom"/>
          </w:tcPr>
          <w:p>
            <w:pPr>
              <w:spacing w:after="0"/>
              <w:rPr>
                <w:sz w:val="17"/>
                <w:szCs w:val="17"/>
                <w:color w:val="auto"/>
              </w:rPr>
            </w:pPr>
          </w:p>
        </w:tc>
        <w:tc>
          <w:tcPr>
            <w:tcW w:w="12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Ended</w:t>
            </w:r>
          </w:p>
        </w:tc>
        <w:tc>
          <w:tcPr>
            <w:tcW w:w="1280" w:type="dxa"/>
            <w:vAlign w:val="bottom"/>
            <w:gridSpan w:val="3"/>
          </w:tcPr>
          <w:p>
            <w:pPr>
              <w:jc w:val="center"/>
              <w:ind w:right="320"/>
              <w:spacing w:after="0" w:line="202" w:lineRule="exact"/>
              <w:rPr>
                <w:sz w:val="20"/>
                <w:szCs w:val="20"/>
                <w:color w:val="auto"/>
              </w:rPr>
            </w:pPr>
            <w:r>
              <w:rPr>
                <w:rFonts w:ascii="Arial" w:cs="Arial" w:eastAsia="Arial" w:hAnsi="Arial"/>
                <w:sz w:val="18"/>
                <w:szCs w:val="18"/>
                <w:color w:val="auto"/>
                <w:w w:val="98"/>
              </w:rPr>
              <w:t>(Decrease)</w:t>
            </w: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8"/>
              </w:rPr>
              <w:t>(Decrease)</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Arial" w:cs="Arial" w:eastAsia="Arial" w:hAnsi="Arial"/>
                <w:sz w:val="18"/>
                <w:szCs w:val="18"/>
                <w:color w:val="auto"/>
              </w:rPr>
              <w:t>($ in thousands)</w:t>
            </w:r>
          </w:p>
        </w:tc>
        <w:tc>
          <w:tcPr>
            <w:tcW w:w="240" w:type="dxa"/>
            <w:vAlign w:val="bottom"/>
          </w:tcPr>
          <w:p>
            <w:pPr>
              <w:spacing w:after="0"/>
              <w:rPr>
                <w:sz w:val="17"/>
                <w:szCs w:val="17"/>
                <w:color w:val="auto"/>
              </w:rPr>
            </w:pPr>
          </w:p>
        </w:tc>
        <w:tc>
          <w:tcPr>
            <w:tcW w:w="1440" w:type="dxa"/>
            <w:vAlign w:val="bottom"/>
            <w:gridSpan w:val="3"/>
          </w:tcPr>
          <w:p>
            <w:pPr>
              <w:spacing w:after="0" w:line="203" w:lineRule="exact"/>
              <w:rPr>
                <w:sz w:val="20"/>
                <w:szCs w:val="20"/>
                <w:color w:val="auto"/>
              </w:rPr>
            </w:pPr>
            <w:r>
              <w:rPr>
                <w:rFonts w:ascii="Arial" w:cs="Arial" w:eastAsia="Arial" w:hAnsi="Arial"/>
                <w:sz w:val="18"/>
                <w:szCs w:val="18"/>
                <w:color w:val="auto"/>
              </w:rPr>
              <w:t>April 30, 2010</w:t>
            </w:r>
          </w:p>
        </w:tc>
        <w:tc>
          <w:tcPr>
            <w:tcW w:w="1420" w:type="dxa"/>
            <w:vAlign w:val="bottom"/>
            <w:gridSpan w:val="3"/>
          </w:tcPr>
          <w:p>
            <w:pPr>
              <w:spacing w:after="0" w:line="203" w:lineRule="exact"/>
              <w:rPr>
                <w:sz w:val="20"/>
                <w:szCs w:val="20"/>
                <w:color w:val="auto"/>
              </w:rPr>
            </w:pPr>
            <w:r>
              <w:rPr>
                <w:rFonts w:ascii="Arial" w:cs="Arial" w:eastAsia="Arial" w:hAnsi="Arial"/>
                <w:sz w:val="18"/>
                <w:szCs w:val="18"/>
                <w:color w:val="auto"/>
              </w:rPr>
              <w:t>April 30, 2009</w:t>
            </w:r>
          </w:p>
        </w:tc>
        <w:tc>
          <w:tcPr>
            <w:tcW w:w="120" w:type="dxa"/>
            <w:vAlign w:val="bottom"/>
          </w:tcPr>
          <w:p>
            <w:pPr>
              <w:spacing w:after="0"/>
              <w:rPr>
                <w:sz w:val="17"/>
                <w:szCs w:val="17"/>
                <w:color w:val="auto"/>
              </w:rPr>
            </w:pPr>
          </w:p>
        </w:tc>
        <w:tc>
          <w:tcPr>
            <w:tcW w:w="840" w:type="dxa"/>
            <w:vAlign w:val="bottom"/>
          </w:tcPr>
          <w:p>
            <w:pPr>
              <w:jc w:val="center"/>
              <w:ind w:right="10"/>
              <w:spacing w:after="0" w:line="203"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7"/>
                <w:szCs w:val="17"/>
                <w:color w:val="auto"/>
              </w:rPr>
            </w:pPr>
          </w:p>
        </w:tc>
        <w:tc>
          <w:tcPr>
            <w:tcW w:w="92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4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574,046</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589,344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(15,298)</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114,003</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113,347</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656</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80,712</w:t>
            </w:r>
          </w:p>
        </w:tc>
        <w:tc>
          <w:tcPr>
            <w:tcW w:w="20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82,403</w:t>
            </w: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(1,691)</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86,190</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70,194</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15,996</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510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423</w:t>
            </w:r>
          </w:p>
        </w:tc>
        <w:tc>
          <w:tcPr>
            <w:tcW w:w="12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87</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855,461</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855,711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(250)</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Janitorial</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29,025</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34,894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(5,869)</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Parking</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5,184</w:t>
            </w:r>
          </w:p>
        </w:tc>
        <w:tc>
          <w:tcPr>
            <w:tcW w:w="20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4,859</w:t>
            </w:r>
          </w:p>
        </w:tc>
        <w:tc>
          <w:tcPr>
            <w:tcW w:w="12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325</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Security</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941</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1,397</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(456)</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Engineering</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4,856</w:t>
            </w:r>
          </w:p>
        </w:tc>
        <w:tc>
          <w:tcPr>
            <w:tcW w:w="20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4,038</w:t>
            </w:r>
          </w:p>
        </w:tc>
        <w:tc>
          <w:tcPr>
            <w:tcW w:w="12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818</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(24,457)</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(22,570)</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(1,887)</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15,549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22,618</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(7,069)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Other-than-temporary impairment losses on</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auction rate security:</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400"/>
              <w:spacing w:after="0" w:line="202" w:lineRule="exact"/>
              <w:rPr>
                <w:sz w:val="20"/>
                <w:szCs w:val="20"/>
                <w:color w:val="auto"/>
              </w:rPr>
            </w:pPr>
            <w:r>
              <w:rPr>
                <w:rFonts w:ascii="Arial" w:cs="Arial" w:eastAsia="Arial" w:hAnsi="Arial"/>
                <w:sz w:val="18"/>
                <w:szCs w:val="18"/>
                <w:color w:val="auto"/>
              </w:rPr>
              <w:t>Gross impairment losses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101</w:t>
            </w: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Impairments recognized in other</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26</w:t>
            </w:r>
          </w:p>
        </w:tc>
        <w:tc>
          <w:tcPr>
            <w:tcW w:w="11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38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1,177</w:t>
            </w:r>
          </w:p>
        </w:tc>
        <w:tc>
          <w:tcPr>
            <w:tcW w:w="200" w:type="dxa"/>
            <w:vAlign w:val="bottom"/>
          </w:tcPr>
          <w:p>
            <w:pPr>
              <w:spacing w:after="0"/>
              <w:rPr>
                <w:sz w:val="18"/>
                <w:szCs w:val="18"/>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1,313</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(136)</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before</w:t>
            </w: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income taxes</w:t>
            </w:r>
          </w:p>
        </w:tc>
        <w:tc>
          <w:tcPr>
            <w:tcW w:w="440" w:type="dxa"/>
            <w:vAlign w:val="bottom"/>
            <w:gridSpan w:val="2"/>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14,245</w:t>
            </w: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21,305</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(7,060)</w:t>
            </w:r>
          </w:p>
        </w:tc>
        <w:tc>
          <w:tcPr>
            <w:tcW w:w="11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w:t>
        <w:tab/>
        <w:t>Not Meaningful</w:t>
      </w:r>
    </w:p>
    <w:p>
      <w:pPr>
        <w:spacing w:after="0" w:line="163" w:lineRule="exact"/>
        <w:rPr>
          <w:sz w:val="20"/>
          <w:szCs w:val="20"/>
          <w:color w:val="auto"/>
        </w:rPr>
      </w:pPr>
    </w:p>
    <w:p>
      <w:pPr>
        <w:jc w:val="both"/>
        <w:ind w:left="340" w:right="559"/>
        <w:spacing w:after="0" w:line="242" w:lineRule="auto"/>
        <w:rPr>
          <w:sz w:val="20"/>
          <w:szCs w:val="20"/>
          <w:color w:val="auto"/>
        </w:rPr>
      </w:pPr>
      <w:r>
        <w:rPr>
          <w:rFonts w:ascii="Arial" w:cs="Arial" w:eastAsia="Arial" w:hAnsi="Arial"/>
          <w:sz w:val="18"/>
          <w:szCs w:val="18"/>
          <w:b w:val="1"/>
          <w:bCs w:val="1"/>
          <w:color w:val="auto"/>
        </w:rPr>
        <w:t xml:space="preserve">Janitorial. </w:t>
      </w:r>
      <w:r>
        <w:rPr>
          <w:rFonts w:ascii="Arial" w:cs="Arial" w:eastAsia="Arial" w:hAnsi="Arial"/>
          <w:sz w:val="18"/>
          <w:szCs w:val="18"/>
          <w:color w:val="auto"/>
        </w:rPr>
        <w:t>Janitorial revenues decreased $15.3 million, or 2.6%, during the three months ended April 30, 2010</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three months ended April 30, 2009. During 2009, Janitorial experienced losses of client contracts that exceeded new business, reductions in the level and scope of client services, contract price compression and declines in the level of tag work, which continued to influence results in the three months ended April 30, 2010. In addition, during the six months ended April 30, 2010, Janitorial continued to experience some reductions in the level and scope of client services and contract price compression as a result of decreases in client discretionary spending.</w:t>
      </w:r>
    </w:p>
    <w:p>
      <w:pPr>
        <w:spacing w:after="0" w:line="161"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Operating profit decreased $5.9 million, or 16.8%, during the three months ended April 30, 2010 compared to the three months ended April 30, 2009. The decrease was primarily related to the reduction in revenues, an increase in labor expenses resulting from one additional working day in the three months ended April 30, 2010 and increases in payroll related costs from increases in state unemployment insurance rates that went into effect on January 1, 2010, partially offset by cost control measures.</w:t>
      </w:r>
    </w:p>
    <w:p>
      <w:pPr>
        <w:spacing w:after="0" w:line="140"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Parking revenues increased $0.7 million, or 0.6%, during the three months ended April 30, 2010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three months ended April 30, 2009. The increase was primarily related to additional revenues from new clients and the expansion of services to existing clients.</w:t>
      </w:r>
    </w:p>
    <w:p>
      <w:pPr>
        <w:spacing w:after="0" w:line="164"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Operating profit increased $0.3 million, or 6.7%, during the three months ended April 30, 2010 compared to the three months ended April 30, 2009. The increase was primarily related to cost control measures and the increase in revenues.</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340" w:right="559"/>
        <w:spacing w:after="0" w:line="247"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revenues decreased $1.7 million, or 2.1%, during the three months ended April 30, 2010</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three months ended April 30, 2009. The decrease in revenues was primarily related to reductions in the level and scope of client services and contract price compression as a result of decreases in client discretionary spending, partially offset by additional revenues from new clients in the three months ended April 30, 2010.</w:t>
      </w:r>
    </w:p>
    <w:p>
      <w:pPr>
        <w:spacing w:after="0" w:line="169"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Operating profit decreased $0.5 million, or 32.6%, in the three months ended April 30, 2010 compared to the three months ended April 30, 2009. The decrease was primarily related to the decrease in revenues, principally those with high gross profit margins, and increases in payroll related costs from increases in state unemployment insurance rates that went into effect on January 1, 2010.</w:t>
      </w:r>
    </w:p>
    <w:p>
      <w:pPr>
        <w:spacing w:after="0" w:line="139"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Engineering revenues increased $16.0 million, or 22.8%, during the three months ended April 30, 2010</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three months ended April 30, 2009. The increase was primarily related to additional revenues from new clients and the expansion of services to existing clients.</w:t>
      </w:r>
    </w:p>
    <w:p>
      <w:pPr>
        <w:spacing w:after="0" w:line="151"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Operating profit increased by $0.8 million, or 20.3%, in the three months ended April 30, 2010 compared to the three months ended April 30, 2009, primarily related to the increase in revenues.</w:t>
      </w:r>
    </w:p>
    <w:p>
      <w:pPr>
        <w:spacing w:after="0" w:line="148"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expense increased $1.9 million, or 8.4%, in the three months ended April 30, 2010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three months ended April 30, 2009.</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Corporate expense was primarily related to:</w:t>
      </w:r>
    </w:p>
    <w:p>
      <w:pPr>
        <w:spacing w:after="0" w:line="171" w:lineRule="exact"/>
        <w:rPr>
          <w:sz w:val="20"/>
          <w:szCs w:val="20"/>
          <w:color w:val="auto"/>
        </w:rPr>
      </w:pPr>
    </w:p>
    <w:p>
      <w:pPr>
        <w:ind w:left="340" w:right="5259" w:firstLine="357"/>
        <w:spacing w:after="0" w:line="433" w:lineRule="auto"/>
        <w:tabs>
          <w:tab w:leader="none" w:pos="1056"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 $4.4 million increase in a litigation contingency; partially offset by:</w:t>
      </w:r>
    </w:p>
    <w:p>
      <w:pPr>
        <w:spacing w:after="0" w:line="22"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 $2.8 million year-over-year decrease in information technology costs, net of higher depreciation costs, primarily related to the upgrade of the payroll, human resources and accounting systems in 2009.</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Six Months Ended April 30, 2010 vs. Six Months Ended April 30, 2009</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Six Months</w:t>
            </w:r>
          </w:p>
        </w:tc>
        <w:tc>
          <w:tcPr>
            <w:tcW w:w="10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Six Months</w:t>
            </w:r>
          </w:p>
        </w:tc>
        <w:tc>
          <w:tcPr>
            <w:tcW w:w="120" w:type="dxa"/>
            <w:vAlign w:val="bottom"/>
          </w:tcPr>
          <w:p>
            <w:pPr>
              <w:spacing w:after="0"/>
              <w:rPr>
                <w:sz w:val="17"/>
                <w:szCs w:val="17"/>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Increase</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Increase</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Ended</w:t>
            </w:r>
          </w:p>
        </w:tc>
        <w:tc>
          <w:tcPr>
            <w:tcW w:w="10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Ended</w:t>
            </w:r>
          </w:p>
        </w:tc>
        <w:tc>
          <w:tcPr>
            <w:tcW w:w="1280" w:type="dxa"/>
            <w:vAlign w:val="bottom"/>
            <w:gridSpan w:val="3"/>
          </w:tcPr>
          <w:p>
            <w:pPr>
              <w:jc w:val="center"/>
              <w:ind w:right="320"/>
              <w:spacing w:after="0" w:line="202" w:lineRule="exact"/>
              <w:rPr>
                <w:sz w:val="20"/>
                <w:szCs w:val="20"/>
                <w:color w:val="auto"/>
              </w:rPr>
            </w:pPr>
            <w:r>
              <w:rPr>
                <w:rFonts w:ascii="Arial" w:cs="Arial" w:eastAsia="Arial" w:hAnsi="Arial"/>
                <w:sz w:val="18"/>
                <w:szCs w:val="18"/>
                <w:color w:val="auto"/>
                <w:w w:val="98"/>
              </w:rPr>
              <w:t>(Decrease)</w:t>
            </w: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8"/>
              </w:rPr>
              <w:t>(Decrease)</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Arial" w:cs="Arial" w:eastAsia="Arial" w:hAnsi="Arial"/>
                <w:sz w:val="18"/>
                <w:szCs w:val="18"/>
                <w:color w:val="auto"/>
              </w:rPr>
              <w:t>($ in thousands)</w:t>
            </w:r>
          </w:p>
        </w:tc>
        <w:tc>
          <w:tcPr>
            <w:tcW w:w="240" w:type="dxa"/>
            <w:vAlign w:val="bottom"/>
          </w:tcPr>
          <w:p>
            <w:pPr>
              <w:spacing w:after="0"/>
              <w:rPr>
                <w:sz w:val="17"/>
                <w:szCs w:val="17"/>
                <w:color w:val="auto"/>
              </w:rPr>
            </w:pPr>
          </w:p>
        </w:tc>
        <w:tc>
          <w:tcPr>
            <w:tcW w:w="1440" w:type="dxa"/>
            <w:vAlign w:val="bottom"/>
            <w:gridSpan w:val="3"/>
          </w:tcPr>
          <w:p>
            <w:pPr>
              <w:spacing w:after="0" w:line="203" w:lineRule="exact"/>
              <w:rPr>
                <w:sz w:val="20"/>
                <w:szCs w:val="20"/>
                <w:color w:val="auto"/>
              </w:rPr>
            </w:pPr>
            <w:r>
              <w:rPr>
                <w:rFonts w:ascii="Arial" w:cs="Arial" w:eastAsia="Arial" w:hAnsi="Arial"/>
                <w:sz w:val="18"/>
                <w:szCs w:val="18"/>
                <w:color w:val="auto"/>
              </w:rPr>
              <w:t>April 30, 2010</w:t>
            </w:r>
          </w:p>
        </w:tc>
        <w:tc>
          <w:tcPr>
            <w:tcW w:w="1420" w:type="dxa"/>
            <w:vAlign w:val="bottom"/>
            <w:gridSpan w:val="3"/>
          </w:tcPr>
          <w:p>
            <w:pPr>
              <w:spacing w:after="0" w:line="203" w:lineRule="exact"/>
              <w:rPr>
                <w:sz w:val="20"/>
                <w:szCs w:val="20"/>
                <w:color w:val="auto"/>
              </w:rPr>
            </w:pPr>
            <w:r>
              <w:rPr>
                <w:rFonts w:ascii="Arial" w:cs="Arial" w:eastAsia="Arial" w:hAnsi="Arial"/>
                <w:sz w:val="18"/>
                <w:szCs w:val="18"/>
                <w:color w:val="auto"/>
              </w:rPr>
              <w:t>April 30, 2009</w:t>
            </w:r>
          </w:p>
        </w:tc>
        <w:tc>
          <w:tcPr>
            <w:tcW w:w="120" w:type="dxa"/>
            <w:vAlign w:val="bottom"/>
          </w:tcPr>
          <w:p>
            <w:pPr>
              <w:spacing w:after="0"/>
              <w:rPr>
                <w:sz w:val="17"/>
                <w:szCs w:val="17"/>
                <w:color w:val="auto"/>
              </w:rPr>
            </w:pPr>
          </w:p>
        </w:tc>
        <w:tc>
          <w:tcPr>
            <w:tcW w:w="840" w:type="dxa"/>
            <w:vAlign w:val="bottom"/>
          </w:tcPr>
          <w:p>
            <w:pPr>
              <w:jc w:val="center"/>
              <w:ind w:right="10"/>
              <w:spacing w:after="0" w:line="203"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7"/>
                <w:szCs w:val="17"/>
                <w:color w:val="auto"/>
              </w:rPr>
            </w:pPr>
          </w:p>
        </w:tc>
        <w:tc>
          <w:tcPr>
            <w:tcW w:w="92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3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1,725,345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1,743,183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(17,838)</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05"/>
        </w:trPr>
        <w:tc>
          <w:tcPr>
            <w:tcW w:w="38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Operating</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1,554,075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1,553,416</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659</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128,046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135,652</w:t>
            </w: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(7,606)</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5,469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5,503</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ind w:left="400"/>
              <w:spacing w:after="0"/>
              <w:rPr>
                <w:sz w:val="20"/>
                <w:szCs w:val="20"/>
                <w:color w:val="auto"/>
              </w:rPr>
            </w:pPr>
            <w:r>
              <w:rPr>
                <w:rFonts w:ascii="Arial" w:cs="Arial" w:eastAsia="Arial" w:hAnsi="Arial"/>
                <w:sz w:val="18"/>
                <w:szCs w:val="18"/>
                <w:color w:val="auto"/>
              </w:rPr>
              <w:t>Total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1,687,590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1,694,571</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(6,981)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37,755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48,612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(10,857)</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2"/>
        </w:trPr>
        <w:tc>
          <w:tcPr>
            <w:tcW w:w="3800" w:type="dxa"/>
            <w:vAlign w:val="bottom"/>
          </w:tcPr>
          <w:p>
            <w:pPr>
              <w:ind w:left="200"/>
              <w:spacing w:after="0" w:line="201" w:lineRule="exact"/>
              <w:rPr>
                <w:sz w:val="20"/>
                <w:szCs w:val="20"/>
                <w:color w:val="auto"/>
              </w:rPr>
            </w:pPr>
            <w:r>
              <w:rPr>
                <w:rFonts w:ascii="Arial" w:cs="Arial" w:eastAsia="Arial" w:hAnsi="Arial"/>
                <w:sz w:val="18"/>
                <w:szCs w:val="18"/>
                <w:color w:val="auto"/>
              </w:rPr>
              <w:t>Other-than-temporary impairment losses 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400"/>
              <w:spacing w:after="0" w:line="203" w:lineRule="exact"/>
              <w:rPr>
                <w:sz w:val="20"/>
                <w:szCs w:val="20"/>
                <w:color w:val="auto"/>
              </w:rPr>
            </w:pPr>
            <w:r>
              <w:rPr>
                <w:rFonts w:ascii="Arial" w:cs="Arial" w:eastAsia="Arial" w:hAnsi="Arial"/>
                <w:sz w:val="18"/>
                <w:szCs w:val="18"/>
                <w:color w:val="auto"/>
              </w:rPr>
              <w:t>auction rate security: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Gross impairment losses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36</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3800" w:type="dxa"/>
            <w:vAlign w:val="bottom"/>
          </w:tcPr>
          <w:p>
            <w:pPr>
              <w:ind w:left="600"/>
              <w:spacing w:after="0" w:line="201" w:lineRule="exact"/>
              <w:rPr>
                <w:sz w:val="20"/>
                <w:szCs w:val="20"/>
                <w:color w:val="auto"/>
              </w:rPr>
            </w:pPr>
            <w:r>
              <w:rPr>
                <w:rFonts w:ascii="Arial" w:cs="Arial" w:eastAsia="Arial" w:hAnsi="Arial"/>
                <w:sz w:val="18"/>
                <w:szCs w:val="18"/>
                <w:color w:val="auto"/>
              </w:rPr>
              <w:t>Impairments recognized in other</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00"/>
              <w:spacing w:after="0" w:line="203" w:lineRule="exact"/>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91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91</w:t>
            </w:r>
          </w:p>
        </w:tc>
        <w:tc>
          <w:tcPr>
            <w:tcW w:w="11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2,981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(589)</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20"/>
                <w:szCs w:val="20"/>
                <w:color w:val="auto"/>
              </w:rPr>
            </w:pPr>
            <w:r>
              <w:rPr>
                <w:rFonts w:ascii="Arial" w:cs="Arial" w:eastAsia="Arial" w:hAnsi="Arial"/>
                <w:sz w:val="18"/>
                <w:szCs w:val="18"/>
                <w:color w:val="auto"/>
              </w:rPr>
              <w:t>Income from continuing operations before</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00"/>
              <w:spacing w:after="0" w:line="203" w:lineRule="exact"/>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35,236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45,631</w:t>
            </w: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(10,395)</w:t>
            </w:r>
          </w:p>
        </w:tc>
        <w:tc>
          <w:tcPr>
            <w:tcW w:w="11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13,777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17,827</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(4,050)</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27,804</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(6,345)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discontinued operations, net of taxes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703</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21,352</w:t>
            </w:r>
          </w:p>
        </w:tc>
        <w:tc>
          <w:tcPr>
            <w:tcW w:w="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26,994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(5,642)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w:t>
        <w:tab/>
        <w:t>Not meaningful</w:t>
      </w:r>
    </w:p>
    <w:p>
      <w:pPr>
        <w:spacing w:after="0" w:line="149" w:lineRule="exact"/>
        <w:rPr>
          <w:sz w:val="20"/>
          <w:szCs w:val="20"/>
          <w:color w:val="auto"/>
        </w:rPr>
      </w:pPr>
    </w:p>
    <w:p>
      <w:pPr>
        <w:jc w:val="both"/>
        <w:ind w:left="340" w:right="559"/>
        <w:spacing w:after="0" w:line="247"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Net income in the six months ended April 30, 2010 decreased by $5.6 million, or 20.9%, to $21.4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($0.41 per diluted share) from $27.0 million ($ 0.52 per diluted share) in the six months ended April 30, 2009. Net income included a loss of $0.1 million and $0.8 million from discontinued operations in the six months ended April 30, 2010 and 2009, respectively.</w:t>
      </w:r>
    </w:p>
    <w:p>
      <w:pPr>
        <w:spacing w:after="0" w:line="147"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b w:val="1"/>
          <w:bCs w:val="1"/>
          <w:color w:val="auto"/>
        </w:rPr>
        <w:t xml:space="preserve">Income from Continuing Operations. </w:t>
      </w:r>
      <w:r>
        <w:rPr>
          <w:rFonts w:ascii="Arial" w:cs="Arial" w:eastAsia="Arial" w:hAnsi="Arial"/>
          <w:sz w:val="18"/>
          <w:szCs w:val="18"/>
          <w:color w:val="auto"/>
        </w:rPr>
        <w:t>Income from continuing operations in the six months ended April 30, 2010</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decreased by $6.3 million, or 22.8%, to $21.5 million ($0.41 per diluted share) from $27.8 million ($0.54 per diluted share) in the six months ended April 30, 2009.</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income from continuing operations was primarily related to:</w:t>
      </w:r>
    </w:p>
    <w:p>
      <w:pPr>
        <w:spacing w:after="0" w:line="171" w:lineRule="exact"/>
        <w:rPr>
          <w:sz w:val="20"/>
          <w:szCs w:val="20"/>
          <w:color w:val="auto"/>
        </w:rPr>
      </w:pPr>
    </w:p>
    <w:p>
      <w:pPr>
        <w:ind w:left="1040" w:right="559" w:hanging="343"/>
        <w:spacing w:after="0" w:line="246" w:lineRule="auto"/>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absence of a $9.6 million net gain related to a legal settlement for a claim that was settled and resolved in the three months ended January 31, 2009;</w:t>
      </w:r>
    </w:p>
    <w:p>
      <w:pPr>
        <w:spacing w:after="0" w:line="169" w:lineRule="exact"/>
        <w:rPr>
          <w:rFonts w:ascii="Arial" w:cs="Arial" w:eastAsia="Arial" w:hAnsi="Arial"/>
          <w:sz w:val="18"/>
          <w:szCs w:val="18"/>
          <w:b w:val="1"/>
          <w:bCs w:val="1"/>
          <w:color w:val="auto"/>
        </w:rPr>
      </w:pPr>
    </w:p>
    <w:p>
      <w:pPr>
        <w:jc w:val="both"/>
        <w:ind w:left="1040" w:right="559" w:hanging="343"/>
        <w:spacing w:after="0" w:line="239" w:lineRule="auto"/>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$2.6 million decrease in operating profit, excluding the Corporate segment, primarily related to an increase in labor expenses resulting from one additional working day in the six months ended April 30, 2010 and increases in payroll related costs from increases in state unemployment insurance rates that went into effect on January 1, 2010;</w:t>
      </w:r>
    </w:p>
    <w:p>
      <w:pPr>
        <w:spacing w:after="0" w:line="161" w:lineRule="exact"/>
        <w:rPr>
          <w:rFonts w:ascii="Arial" w:cs="Arial" w:eastAsia="Arial" w:hAnsi="Arial"/>
          <w:sz w:val="18"/>
          <w:szCs w:val="18"/>
          <w:b w:val="1"/>
          <w:bCs w:val="1"/>
          <w:color w:val="auto"/>
        </w:rPr>
      </w:pPr>
    </w:p>
    <w:p>
      <w:pPr>
        <w:ind w:left="1040" w:hanging="343"/>
        <w:spacing w:after="0"/>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$4.4 million increase in a litigation contingency; and</w:t>
      </w:r>
    </w:p>
    <w:p>
      <w:pPr>
        <w:spacing w:after="0" w:line="171"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 xml:space="preserve">deferred acquisition costs of $1.0 million, expensed in the six months ended April 30, 2010, due to the adoption of Accounting Standards Codification </w:t>
      </w:r>
      <w:r>
        <w:rPr>
          <w:rFonts w:ascii="Arial" w:cs="Arial" w:eastAsia="Arial" w:hAnsi="Arial"/>
          <w:sz w:val="15"/>
          <w:szCs w:val="15"/>
          <w:color w:val="auto"/>
        </w:rPr>
        <w:t>TM</w:t>
      </w:r>
      <w:r>
        <w:rPr>
          <w:rFonts w:ascii="Arial" w:cs="Arial" w:eastAsia="Arial" w:hAnsi="Arial"/>
          <w:sz w:val="18"/>
          <w:szCs w:val="18"/>
          <w:color w:val="auto"/>
        </w:rPr>
        <w:t xml:space="preserve"> Topic 805 “Business Combinations” (“ASC 805”);</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partially offset by:</w:t>
      </w:r>
    </w:p>
    <w:p>
      <w:pPr>
        <w:spacing w:after="0" w:line="171" w:lineRule="exact"/>
        <w:rPr>
          <w:sz w:val="20"/>
          <w:szCs w:val="20"/>
          <w:color w:val="auto"/>
        </w:rPr>
      </w:pPr>
    </w:p>
    <w:p>
      <w:pPr>
        <w:ind w:left="1040" w:right="559" w:hanging="343"/>
        <w:spacing w:after="0" w:line="246" w:lineRule="auto"/>
        <w:tabs>
          <w:tab w:leader="none" w:pos="10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$6.1 million year-over-year decrease in information technology costs, net of higher depreciation costs, primarily related to the upgrade of the payroll, human resources and accounting systems in 2009;</w:t>
      </w:r>
    </w:p>
    <w:p>
      <w:pPr>
        <w:spacing w:after="0" w:line="156"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$4.1 million decrease in income taxes, primarily related to the decrease in income from continuing operations before income taxes; and</w:t>
      </w:r>
    </w:p>
    <w:p>
      <w:pPr>
        <w:spacing w:after="0" w:line="169"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$0.6 million decrease in interest expense as a result of a lower average outstanding balance and lower average interest rate under the line of credit.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Total revenues in the six months ended April 30, 2010 decreased $17.8 million, or 1.0%, to</w:t>
      </w:r>
      <w:r>
        <w:rPr>
          <w:rFonts w:ascii="Arial" w:cs="Arial" w:eastAsia="Arial" w:hAnsi="Arial"/>
          <w:sz w:val="18"/>
          <w:szCs w:val="18"/>
          <w:b w:val="1"/>
          <w:bCs w:val="1"/>
          <w:color w:val="auto"/>
        </w:rPr>
        <w:t xml:space="preserve"> </w:t>
      </w:r>
      <w:r>
        <w:rPr>
          <w:rFonts w:ascii="Arial" w:cs="Arial" w:eastAsia="Arial" w:hAnsi="Arial"/>
          <w:sz w:val="18"/>
          <w:szCs w:val="18"/>
          <w:color w:val="auto"/>
        </w:rPr>
        <w:t>$1,725.3 million from $1,743.2 million in the six months ended April 30, 2009. During 2009, the Company experienced losses of client contracts that exceeded new business, reductions in the level and scope of client services, contract price compression and declines in the level of tag work, primarily in the Janitorial segment. These losses and reductions continued to influence results in the six months ended April 30, 2010. In addition, the Janitorial segment experienced some reductions in the level and scope of client services and contract price compression in the six months ended April 30, 2010. These revenue decreases in the Janitorial segment were partially offset by additional revenues from new clients and the expansion of services to existing clients in the Engineering segment. Additionally, approximately $4.6 million, or 25.8%, of the decrease in revenues was due to the reduction of expenses incurred on the behalf of managed parking facilities, which are reimbursed to the Company. These reimbursed expenses are recognized as parking revenues and expenses, which have no impact on operating profit.</w:t>
      </w:r>
    </w:p>
    <w:p>
      <w:pPr>
        <w:spacing w:after="0" w:line="146" w:lineRule="exact"/>
        <w:rPr>
          <w:sz w:val="20"/>
          <w:szCs w:val="20"/>
          <w:color w:val="auto"/>
        </w:rPr>
      </w:pPr>
    </w:p>
    <w:p>
      <w:pPr>
        <w:jc w:val="both"/>
        <w:ind w:left="340" w:right="559"/>
        <w:spacing w:after="0" w:line="242"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As a percentage of revenues, gross margin was 9.9% and 10.9% in the six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April 30, 2010 and 2009, respectively. The decrease in gross margin percentage was primarily related to a $9.6 million net gain related to a legal settlement for a claim that was settled and resolved in the three months ended January 31, 2009, an increase in labor expenses resulting from one additional working day in the six months ended April 30, 2010 and increases in payroll related costs from increases in state unemployment insurance rates that went into effect on January 1, 2010.</w:t>
      </w:r>
    </w:p>
    <w:p>
      <w:pPr>
        <w:spacing w:after="0" w:line="139"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decreased</w:t>
      </w:r>
      <w:r>
        <w:rPr>
          <w:rFonts w:ascii="Arial" w:cs="Arial" w:eastAsia="Arial" w:hAnsi="Arial"/>
          <w:sz w:val="18"/>
          <w:szCs w:val="18"/>
          <w:b w:val="1"/>
          <w:bCs w:val="1"/>
          <w:color w:val="auto"/>
        </w:rPr>
        <w:t xml:space="preserve"> </w:t>
      </w:r>
      <w:r>
        <w:rPr>
          <w:rFonts w:ascii="Arial" w:cs="Arial" w:eastAsia="Arial" w:hAnsi="Arial"/>
          <w:sz w:val="18"/>
          <w:szCs w:val="18"/>
          <w:color w:val="auto"/>
        </w:rPr>
        <w:t>$7.6 million, or 5.6%, in the six months ended April 30, 2010 compared to the six months ended April 30, 2009.</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selling, general and administrative expenses was primarily related to:</w:t>
      </w:r>
    </w:p>
    <w:p>
      <w:pPr>
        <w:spacing w:after="0" w:line="171" w:lineRule="exact"/>
        <w:rPr>
          <w:sz w:val="20"/>
          <w:szCs w:val="20"/>
          <w:color w:val="auto"/>
        </w:rPr>
      </w:pPr>
    </w:p>
    <w:p>
      <w:pPr>
        <w:ind w:left="1040" w:right="559" w:hanging="343"/>
        <w:spacing w:after="0" w:line="246" w:lineRule="auto"/>
        <w:tabs>
          <w:tab w:leader="none" w:pos="10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$6.3 million decrease in selling, general and administrative costs at the Janitorial segment, primarily related to cost control measures; and</w:t>
      </w:r>
    </w:p>
    <w:p>
      <w:pPr>
        <w:spacing w:after="0" w:line="156"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$6.1 million year-over-year decrease in information technology costs, net of higher depreciation costs, primarily related to the upgrade of the payroll, human resources and accounting systems in 2009;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partially offset by:</w:t>
      </w:r>
    </w:p>
    <w:p>
      <w:pPr>
        <w:spacing w:after="0" w:line="171" w:lineRule="exact"/>
        <w:rPr>
          <w:sz w:val="20"/>
          <w:szCs w:val="20"/>
          <w:color w:val="auto"/>
        </w:rPr>
      </w:pPr>
    </w:p>
    <w:p>
      <w:pPr>
        <w:ind w:left="1040" w:hanging="343"/>
        <w:spacing w:after="0"/>
        <w:tabs>
          <w:tab w:leader="none" w:pos="10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 $4.4 million increase in a litigation contingency; and</w:t>
      </w:r>
    </w:p>
    <w:p>
      <w:pPr>
        <w:spacing w:after="0" w:line="171"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deferred acquisition costs of $1.0 million, expensed in the six months ended April 30, 2010, due to the adoption of ASC 805.</w:t>
      </w:r>
    </w:p>
    <w:p>
      <w:pPr>
        <w:spacing w:after="0" w:line="148" w:lineRule="exact"/>
        <w:rPr>
          <w:sz w:val="20"/>
          <w:szCs w:val="20"/>
          <w:color w:val="auto"/>
        </w:rPr>
      </w:pPr>
    </w:p>
    <w:p>
      <w:pPr>
        <w:jc w:val="both"/>
        <w:ind w:left="340" w:right="559"/>
        <w:spacing w:after="0" w:line="242"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in the six months ended April 30, 2010 decreased $0.6 million, or 19.8%, to</w:t>
      </w:r>
      <w:r>
        <w:rPr>
          <w:rFonts w:ascii="Arial" w:cs="Arial" w:eastAsia="Arial" w:hAnsi="Arial"/>
          <w:sz w:val="18"/>
          <w:szCs w:val="18"/>
          <w:b w:val="1"/>
          <w:bCs w:val="1"/>
          <w:color w:val="auto"/>
        </w:rPr>
        <w:t xml:space="preserve"> </w:t>
      </w:r>
      <w:r>
        <w:rPr>
          <w:rFonts w:ascii="Arial" w:cs="Arial" w:eastAsia="Arial" w:hAnsi="Arial"/>
          <w:sz w:val="18"/>
          <w:szCs w:val="18"/>
          <w:color w:val="auto"/>
        </w:rPr>
        <w:t>$2.4 million from $3.0 million in the six months ended April 30, 2009. The decrease was primarily related to a lower average outstanding balance and a lower average interest rate under the line of credit in the six months ended April 30, 2010 compared to the six months ended April 30, 2009. The average outstanding balance under the Company’s line of credit was $167.2 million and $227.0 million during the six months ended April 30, 2010 and 2009, respectively.</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The revenues and operating profits for the Company’s reportable segments (Janitorial,</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Parking, Security, and Engineering) were as follows: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Six Months</w:t>
            </w:r>
          </w:p>
        </w:tc>
        <w:tc>
          <w:tcPr>
            <w:tcW w:w="10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Six Months</w:t>
            </w:r>
          </w:p>
        </w:tc>
        <w:tc>
          <w:tcPr>
            <w:tcW w:w="120" w:type="dxa"/>
            <w:vAlign w:val="bottom"/>
          </w:tcPr>
          <w:p>
            <w:pPr>
              <w:spacing w:after="0"/>
              <w:rPr>
                <w:sz w:val="17"/>
                <w:szCs w:val="17"/>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Increase</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Increase</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Ended</w:t>
            </w:r>
          </w:p>
        </w:tc>
        <w:tc>
          <w:tcPr>
            <w:tcW w:w="10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Ended</w:t>
            </w:r>
          </w:p>
        </w:tc>
        <w:tc>
          <w:tcPr>
            <w:tcW w:w="1280" w:type="dxa"/>
            <w:vAlign w:val="bottom"/>
            <w:gridSpan w:val="3"/>
          </w:tcPr>
          <w:p>
            <w:pPr>
              <w:jc w:val="center"/>
              <w:ind w:right="320"/>
              <w:spacing w:after="0" w:line="202" w:lineRule="exact"/>
              <w:rPr>
                <w:sz w:val="20"/>
                <w:szCs w:val="20"/>
                <w:color w:val="auto"/>
              </w:rPr>
            </w:pPr>
            <w:r>
              <w:rPr>
                <w:rFonts w:ascii="Arial" w:cs="Arial" w:eastAsia="Arial" w:hAnsi="Arial"/>
                <w:sz w:val="18"/>
                <w:szCs w:val="18"/>
                <w:color w:val="auto"/>
                <w:w w:val="98"/>
              </w:rPr>
              <w:t>(Decrease)</w:t>
            </w: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8"/>
              </w:rPr>
              <w:t>(Decrease)</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Arial" w:cs="Arial" w:eastAsia="Arial" w:hAnsi="Arial"/>
                <w:sz w:val="18"/>
                <w:szCs w:val="18"/>
                <w:color w:val="auto"/>
              </w:rPr>
              <w:t>($ in thousands)</w:t>
            </w:r>
          </w:p>
        </w:tc>
        <w:tc>
          <w:tcPr>
            <w:tcW w:w="240" w:type="dxa"/>
            <w:vAlign w:val="bottom"/>
          </w:tcPr>
          <w:p>
            <w:pPr>
              <w:spacing w:after="0"/>
              <w:rPr>
                <w:sz w:val="17"/>
                <w:szCs w:val="17"/>
                <w:color w:val="auto"/>
              </w:rPr>
            </w:pPr>
          </w:p>
        </w:tc>
        <w:tc>
          <w:tcPr>
            <w:tcW w:w="1440" w:type="dxa"/>
            <w:vAlign w:val="bottom"/>
            <w:gridSpan w:val="3"/>
          </w:tcPr>
          <w:p>
            <w:pPr>
              <w:spacing w:after="0" w:line="203" w:lineRule="exact"/>
              <w:rPr>
                <w:sz w:val="20"/>
                <w:szCs w:val="20"/>
                <w:color w:val="auto"/>
              </w:rPr>
            </w:pPr>
            <w:r>
              <w:rPr>
                <w:rFonts w:ascii="Arial" w:cs="Arial" w:eastAsia="Arial" w:hAnsi="Arial"/>
                <w:sz w:val="18"/>
                <w:szCs w:val="18"/>
                <w:color w:val="auto"/>
              </w:rPr>
              <w:t>April 30, 2010</w:t>
            </w:r>
          </w:p>
        </w:tc>
        <w:tc>
          <w:tcPr>
            <w:tcW w:w="1420" w:type="dxa"/>
            <w:vAlign w:val="bottom"/>
            <w:gridSpan w:val="3"/>
          </w:tcPr>
          <w:p>
            <w:pPr>
              <w:spacing w:after="0" w:line="203" w:lineRule="exact"/>
              <w:rPr>
                <w:sz w:val="20"/>
                <w:szCs w:val="20"/>
                <w:color w:val="auto"/>
              </w:rPr>
            </w:pPr>
            <w:r>
              <w:rPr>
                <w:rFonts w:ascii="Arial" w:cs="Arial" w:eastAsia="Arial" w:hAnsi="Arial"/>
                <w:sz w:val="18"/>
                <w:szCs w:val="18"/>
                <w:color w:val="auto"/>
              </w:rPr>
              <w:t>April 30, 2009</w:t>
            </w:r>
          </w:p>
        </w:tc>
        <w:tc>
          <w:tcPr>
            <w:tcW w:w="120" w:type="dxa"/>
            <w:vAlign w:val="bottom"/>
          </w:tcPr>
          <w:p>
            <w:pPr>
              <w:spacing w:after="0"/>
              <w:rPr>
                <w:sz w:val="17"/>
                <w:szCs w:val="17"/>
                <w:color w:val="auto"/>
              </w:rPr>
            </w:pPr>
          </w:p>
        </w:tc>
        <w:tc>
          <w:tcPr>
            <w:tcW w:w="840" w:type="dxa"/>
            <w:vAlign w:val="bottom"/>
          </w:tcPr>
          <w:p>
            <w:pPr>
              <w:jc w:val="center"/>
              <w:ind w:right="10"/>
              <w:spacing w:after="0" w:line="203"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7"/>
                <w:szCs w:val="17"/>
                <w:color w:val="auto"/>
              </w:rPr>
            </w:pPr>
          </w:p>
        </w:tc>
        <w:tc>
          <w:tcPr>
            <w:tcW w:w="92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340" w:type="dxa"/>
            <w:vAlign w:val="bottom"/>
            <w:gridSpan w:val="2"/>
          </w:tcPr>
          <w:p>
            <w:pPr>
              <w:ind w:left="24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1,158,125</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1,197,764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(39,639)</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226,591</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229,016</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(2,425)</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164,309</w:t>
            </w:r>
          </w:p>
        </w:tc>
        <w:tc>
          <w:tcPr>
            <w:tcW w:w="100" w:type="dxa"/>
            <w:vAlign w:val="bottom"/>
          </w:tcPr>
          <w:p>
            <w:pPr>
              <w:spacing w:after="0"/>
              <w:rPr>
                <w:sz w:val="17"/>
                <w:szCs w:val="17"/>
                <w:color w:val="auto"/>
              </w:rPr>
            </w:pPr>
          </w:p>
        </w:tc>
        <w:tc>
          <w:tcPr>
            <w:tcW w:w="1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167,986</w:t>
            </w: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(3,677)</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175,541</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147,410</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28,131</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779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1,007</w:t>
            </w: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(228)</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1,725,345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1,743,183</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(17,838)</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Janitorial</w:t>
            </w:r>
          </w:p>
        </w:tc>
        <w:tc>
          <w:tcPr>
            <w:tcW w:w="3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63,109</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67,205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(4,096)</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Parking</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10,210</w:t>
            </w:r>
          </w:p>
        </w:tc>
        <w:tc>
          <w:tcPr>
            <w:tcW w:w="100" w:type="dxa"/>
            <w:vAlign w:val="bottom"/>
          </w:tcPr>
          <w:p>
            <w:pPr>
              <w:spacing w:after="0"/>
              <w:rPr>
                <w:sz w:val="17"/>
                <w:szCs w:val="17"/>
                <w:color w:val="auto"/>
              </w:rPr>
            </w:pPr>
          </w:p>
        </w:tc>
        <w:tc>
          <w:tcPr>
            <w:tcW w:w="1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9,001</w:t>
            </w:r>
          </w:p>
        </w:tc>
        <w:tc>
          <w:tcPr>
            <w:tcW w:w="12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1,209</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Security</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2,287</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3,191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(904)</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Engineering</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9,848</w:t>
            </w:r>
          </w:p>
        </w:tc>
        <w:tc>
          <w:tcPr>
            <w:tcW w:w="100" w:type="dxa"/>
            <w:vAlign w:val="bottom"/>
          </w:tcPr>
          <w:p>
            <w:pPr>
              <w:spacing w:after="0"/>
              <w:rPr>
                <w:sz w:val="17"/>
                <w:szCs w:val="17"/>
                <w:color w:val="auto"/>
              </w:rPr>
            </w:pPr>
          </w:p>
        </w:tc>
        <w:tc>
          <w:tcPr>
            <w:tcW w:w="1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8,704</w:t>
            </w:r>
          </w:p>
        </w:tc>
        <w:tc>
          <w:tcPr>
            <w:tcW w:w="12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1,144</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(47,699)</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(39,489)</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(8,210)</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48,612</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(10,857)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Other-than-temporary impairment losses on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auction rate security:</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400"/>
              <w:spacing w:after="0" w:line="202" w:lineRule="exact"/>
              <w:rPr>
                <w:sz w:val="20"/>
                <w:szCs w:val="20"/>
                <w:color w:val="auto"/>
              </w:rPr>
            </w:pPr>
            <w:r>
              <w:rPr>
                <w:rFonts w:ascii="Arial" w:cs="Arial" w:eastAsia="Arial" w:hAnsi="Arial"/>
                <w:sz w:val="18"/>
                <w:szCs w:val="18"/>
                <w:color w:val="auto"/>
              </w:rPr>
              <w:t>Gross impairment losses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1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36</w:t>
            </w: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Impairments recognized in other</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91</w:t>
            </w:r>
          </w:p>
        </w:tc>
        <w:tc>
          <w:tcPr>
            <w:tcW w:w="11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38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2,392</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2,981</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(589)</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before</w:t>
            </w: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income taxes</w:t>
            </w:r>
          </w:p>
        </w:tc>
        <w:tc>
          <w:tcPr>
            <w:tcW w:w="340" w:type="dxa"/>
            <w:vAlign w:val="bottom"/>
            <w:gridSpan w:val="2"/>
            <w:shd w:val="clear" w:color="auto" w:fill="CCEEFF"/>
          </w:tcPr>
          <w:p>
            <w:pPr>
              <w:ind w:left="24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35,236</w:t>
            </w: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45,631</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(10,395)</w:t>
            </w:r>
          </w:p>
        </w:tc>
        <w:tc>
          <w:tcPr>
            <w:tcW w:w="11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w:t>
        <w:tab/>
        <w:t>Not meaningful</w:t>
      </w:r>
    </w:p>
    <w:p>
      <w:pPr>
        <w:spacing w:after="0" w:line="163" w:lineRule="exact"/>
        <w:rPr>
          <w:sz w:val="20"/>
          <w:szCs w:val="20"/>
          <w:color w:val="auto"/>
        </w:rPr>
      </w:pPr>
    </w:p>
    <w:p>
      <w:pPr>
        <w:jc w:val="both"/>
        <w:ind w:left="340" w:right="559"/>
        <w:spacing w:after="0" w:line="242" w:lineRule="auto"/>
        <w:rPr>
          <w:sz w:val="20"/>
          <w:szCs w:val="20"/>
          <w:color w:val="auto"/>
        </w:rPr>
      </w:pPr>
      <w:r>
        <w:rPr>
          <w:rFonts w:ascii="Arial" w:cs="Arial" w:eastAsia="Arial" w:hAnsi="Arial"/>
          <w:sz w:val="18"/>
          <w:szCs w:val="18"/>
          <w:b w:val="1"/>
          <w:bCs w:val="1"/>
          <w:color w:val="auto"/>
        </w:rPr>
        <w:t xml:space="preserve">Janitorial. </w:t>
      </w:r>
      <w:r>
        <w:rPr>
          <w:rFonts w:ascii="Arial" w:cs="Arial" w:eastAsia="Arial" w:hAnsi="Arial"/>
          <w:sz w:val="18"/>
          <w:szCs w:val="18"/>
          <w:color w:val="auto"/>
        </w:rPr>
        <w:t>Janitorial revenues decreased $39.6 million, or 3.3%, during the six months ended April 30, 2010</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six months ended April 30, 2009. During 2009, Janitorial experienced losses of client contracts that exceeded new business, reductions in the level and scope of client services, contract price compression and declines in the level of tag work, which continued to influence results in the six months ended April 30, 2010. In addition, during the six months ended April 30, 2010, Janitorial continued to experience some reductions in the level and scope of client services and contract price compression as a result of decreases in client discretionary spending.</w:t>
      </w:r>
    </w:p>
    <w:p>
      <w:pPr>
        <w:spacing w:after="0" w:line="161"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Operating profit decreased $4.1 million, or 6.1%, during the six months ended April 30, 2010 compared to the six months ended April 30, 2009. The decrease was primarily related to the reduction in revenues, an increase in labor expenses resulting from one additional working day in the six months ended April 30, 2010 and increases in payroll related costs from increases in state unemployment insurance rates that went into effect on January 1, 2010, partially offset by the cost control measures.</w:t>
      </w:r>
    </w:p>
    <w:p>
      <w:pPr>
        <w:spacing w:after="0" w:line="140" w:lineRule="exact"/>
        <w:rPr>
          <w:sz w:val="20"/>
          <w:szCs w:val="20"/>
          <w:color w:val="auto"/>
        </w:rPr>
      </w:pPr>
    </w:p>
    <w:p>
      <w:pPr>
        <w:jc w:val="both"/>
        <w:ind w:left="340" w:right="559"/>
        <w:spacing w:after="0" w:line="242" w:lineRule="auto"/>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Parking revenues decreased $2.4 million, or 1.1%, during the six months ended April 30, 2010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six months ended April 30, 2009. The decrease was primarily related to a $4.6 million reduction of expenses incurred on the behalf of managed parking facilities, which are reimbursed to the Company. These reimbursed expenses are recognized as parking revenues and expenses, which have no impact on operating profit. The decrease in management reimbursement revenues was offset by a $2.2 million increase in lease and allowance revenues from new clients and the expansion of service to existing clients.</w:t>
      </w:r>
    </w:p>
    <w:p>
      <w:pPr>
        <w:spacing w:after="0" w:line="174"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Operating profit increased $1.2 million, or 13.4%, during the six months ended April 30, 2010 compared to the six months ended April 30, 2009. The increase was primarily related to the increase in lease and allowance revenues and cost control measures.</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340" w:right="559"/>
        <w:spacing w:after="0" w:line="247"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revenues decreased $3.7 million, or 2.2%, during the six months ended April 30, 2010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six months ended April 30, 2009. The decrease in revenues was primarily related to reductions in the level and scope of client services and contract price compression as a result of decreases in client discretionary spending, partially offset by additional revenues from new clients in the six months ended April 30, 2010.</w:t>
      </w:r>
    </w:p>
    <w:p>
      <w:pPr>
        <w:spacing w:after="0" w:line="169"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Operating profit decreased $ 0.9 million, or 28.3%, in the six months ended April 30, 2010 compared to the six months ended April 30, 2009. The decrease was primarily related to the decrease in revenues, principally those with high gross profit margins, and increases in payroll related costs from increases in state unemployment insurance rates that went into effect on January 1, 2010.</w:t>
      </w:r>
    </w:p>
    <w:p>
      <w:pPr>
        <w:spacing w:after="0" w:line="139"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Engineering revenues increased $28.1 million, or 19.1%, during the six months ended April 30, 2010</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six months ended April 30, 2009. The increase was primarily related to additional revenues from new clients and the expansion of services to existing clients.</w:t>
      </w:r>
    </w:p>
    <w:p>
      <w:pPr>
        <w:spacing w:after="0" w:line="151"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Operating profit increased by $1.1 million, or 13.1%, in the six months ended April 30, 2010 compared to the six months ended April 30, 2009, primarily related to the increase in revenues.</w:t>
      </w:r>
    </w:p>
    <w:p>
      <w:pPr>
        <w:spacing w:after="0" w:line="148"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expense increased $8.2 million, or 20.8%, in the six months ended April 30, 2010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six months ended April 30, 2009.</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Corporate expense was primarily related to:</w:t>
      </w:r>
    </w:p>
    <w:p>
      <w:pPr>
        <w:spacing w:after="0" w:line="171" w:lineRule="exact"/>
        <w:rPr>
          <w:sz w:val="20"/>
          <w:szCs w:val="20"/>
          <w:color w:val="auto"/>
        </w:rPr>
      </w:pPr>
    </w:p>
    <w:p>
      <w:pPr>
        <w:ind w:left="1040" w:right="559" w:hanging="343"/>
        <w:spacing w:after="0" w:line="246" w:lineRule="auto"/>
        <w:tabs>
          <w:tab w:leader="none" w:pos="10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absence of a $9.6 million net gain related to a legal settlement for a claim that was settled and resolved in the three months ended January 31, 2009;</w:t>
      </w:r>
    </w:p>
    <w:p>
      <w:pPr>
        <w:spacing w:after="0" w:line="169" w:lineRule="exact"/>
        <w:rPr>
          <w:rFonts w:ascii="Arial" w:cs="Arial" w:eastAsia="Arial" w:hAnsi="Arial"/>
          <w:sz w:val="18"/>
          <w:szCs w:val="18"/>
          <w:b w:val="1"/>
          <w:bCs w:val="1"/>
          <w:color w:val="auto"/>
        </w:rPr>
      </w:pPr>
    </w:p>
    <w:p>
      <w:pPr>
        <w:ind w:left="1040" w:hanging="343"/>
        <w:spacing w:after="0"/>
        <w:tabs>
          <w:tab w:leader="none" w:pos="10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 $4.4 million increase in a litigation contingency; and</w:t>
      </w:r>
    </w:p>
    <w:p>
      <w:pPr>
        <w:spacing w:after="0" w:line="171"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deferred acquisition costs of $1.0 million, expensed in the six months ended April 30, 2010, due to the adoption of ASC 805;</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partially offset by:</w:t>
      </w:r>
    </w:p>
    <w:p>
      <w:pPr>
        <w:spacing w:after="0" w:line="185" w:lineRule="exact"/>
        <w:rPr>
          <w:sz w:val="20"/>
          <w:szCs w:val="20"/>
          <w:color w:val="auto"/>
        </w:rPr>
      </w:pPr>
    </w:p>
    <w:p>
      <w:pPr>
        <w:ind w:left="1040" w:right="559" w:hanging="343"/>
        <w:spacing w:after="0" w:line="246" w:lineRule="auto"/>
        <w:tabs>
          <w:tab w:leader="none" w:pos="10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 $6.1 million year-over-year decrease in information technology costs, net of higher depreciation costs, primarily related to the upgrade of the payroll, human resources and accounting systems in 2009.</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Contingencies</w:t>
      </w:r>
    </w:p>
    <w:p>
      <w:pPr>
        <w:spacing w:after="0" w:line="193"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The Company has been named a defendant in certain proceedings arising in the ordinary course of business. Litigation outcomes are often difficult to predict and often are resolved over long periods of time. Estimating probable losses requires the analysis of multiple possible outcomes that often depend on judgments about potential actions by third parties. Loss contingencies are recorded as liabilities in the accompanying condensed consolidated financial statements when it is both: (1) probable or known that a liability has been incurred and (2) the amount of the loss is reasonably estimable. If the reasonable estimate of the loss is a range and no amount within the range is a better estimate, the minimum amount of the range is recorded as a liability. Legal costs associated with loss contingencies are expensed as incurred.</w:t>
      </w:r>
    </w:p>
    <w:p>
      <w:pPr>
        <w:spacing w:after="0" w:line="181"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The Company accrues amounts it believes are adequate to cover any liabilities related to litigation and arbitration proceedings, and other contingencies that the Company believes will result in a probable loss. However, the ultimate resolution of such matters is always uncertain. It is possible that any such proceedings brought against the Company could have a material adverse impact on its financial condition and results of operations. The total amount accrued for probable losses at April 30, 2010 was $9.2 million.</w:t>
      </w:r>
    </w:p>
    <w:p>
      <w:pPr>
        <w:spacing w:after="0" w:line="162"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The Company is a defendant in several purported class action lawsuits related to alleged violations of federal or California wage-and-hour laws. The named plaintiffs in these lawsuits are current or former employees of ABM subsidiaries who allege, among other things, that they were required to work “off the clock,” were not paid for all overtime, were not provided work breaks or other benefits, and/or that they received pay stubs not conforming to California law. In all cases, the plaintiffs generally seek unspecified monetary damages, injunctive relief or both.</w:t>
      </w:r>
    </w:p>
    <w:p>
      <w:pPr>
        <w:spacing w:after="0" w:line="162" w:lineRule="exact"/>
        <w:rPr>
          <w:sz w:val="20"/>
          <w:szCs w:val="20"/>
          <w:color w:val="auto"/>
        </w:rPr>
      </w:pPr>
    </w:p>
    <w:p>
      <w:pPr>
        <w:jc w:val="both"/>
        <w:ind w:left="340" w:right="559"/>
        <w:spacing w:after="0" w:line="250" w:lineRule="auto"/>
        <w:rPr>
          <w:sz w:val="20"/>
          <w:szCs w:val="20"/>
          <w:color w:val="auto"/>
        </w:rPr>
      </w:pPr>
      <w:r>
        <w:rPr>
          <w:rFonts w:ascii="Arial" w:cs="Arial" w:eastAsia="Arial" w:hAnsi="Arial"/>
          <w:sz w:val="17"/>
          <w:szCs w:val="17"/>
          <w:color w:val="auto"/>
        </w:rPr>
        <w:t>The Company is a defendant in a lawsuit filed July 19, 2007 in the United States District Court, Eastern District of California, entitled U.S. Equal Employment Opportunity Commission, Plaintiff Erika Morales and Anonymous Plaintiffs One through Eight v. ABM Industries Incorporated et. al. (the “Morales case”). The plaintiffs in the Morales case allege sexual harassment, discrimination and retaliation. In 2009, fourteen claimants joined the lawsuit alleging various claims against the Company. The case involves both Title VII federal law claims and California state law claims. Title VII damages are limited to $300,000 per claimant; California state law claims do not contain such limitations and can include punitive damages as well. The Company has several motions pending relating to this matter. Since the Company believes that the allegations asserted by the claimants who joined the Morales case in 2009 are not related to those underlying the originally filed lawsuit, the Company has moved to separate these claims into two lawsuits. This motion was heard on May 28, 2010. The court has not ruled on this motion to date. In addition, motions to dismiss many of the claims on procedural and substantive grounds are scheduled to be heard by the court on June 17, 2010. The Morales case is currently scheduled for trial in August 2010. The Company intends to continue to vigorously defend itself. The Company has accrued its best estimate of the probable liability. There can be no assurance that any judgment or settlement relating to the Morales case will not be material to the Company.</w:t>
      </w:r>
    </w:p>
    <w:p>
      <w:pPr>
        <w:sectPr>
          <w:pgSz w:w="11900" w:h="16838" w:orient="portrait"/>
          <w:cols w:equalWidth="0" w:num="1">
            <w:col w:w="10219"/>
          </w:cols>
          <w:pgMar w:left="240" w:top="419" w:right="1440" w:bottom="314"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314"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Pronouncements</w:t>
      </w:r>
    </w:p>
    <w:p>
      <w:pPr>
        <w:spacing w:after="0" w:line="207"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See Note 2, “Recently Adopted Accounting Pronouncements” in the Notes to the Condensed Consolidated Financial Statements contained in Item 1, “Financial Statements” for a discussion of recently adopted accounting pronouncements.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3"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The Company’s accompanying condensed consolidated financial statements are prepared in accordance with accounting principles generally accepted in the United States, which require the Company to make estimates in the application of its accounting policies based on the best assumptions, judgments, and opinions of management. For a description of the Company’s critical accounting policies, see Item 7, Management’s Discussion and Analysis of Financial Conditions and Results of Operations, in the Company’s Annual Report on Form 10-K for the year ended October 31, 2009. Management does not believe that there has been any material changes in the Company’s critical accounting policies and estimates during the six months ended April 30, 2010.</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Certain statements in this Quarterly Report on Form 10-Q, and in particular, statements found in Item 2. Management’s Discussion and Analysis of Financial Condition and Results of Operations, that are not historical in nature, constitute forward-looking statements. These statements are often identified by the words, “will,” “may,” “should,” “continue,” “anticipate,” “believe,” “expect,” “plan,” “appear,” “project,” “estimate,” “intend,” and words of a similar nature. Such statements reflect the current views of the Company with respect to future events and are subject to risks and uncertainties that could cause actual results to differ materially from those expressed or implied in these statements. We undertake no obligation to publicly update any forward-looking statements, whether as a result of new information, future events or otherwise.</w:t>
      </w:r>
    </w:p>
    <w:p>
      <w:pPr>
        <w:spacing w:after="0" w:line="168"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Any number of factors could cause the Company’s actual results to differ materially from those anticipated. These factors include but are not limited to the following:</w:t>
      </w:r>
    </w:p>
    <w:p>
      <w:pPr>
        <w:spacing w:after="0" w:line="170" w:lineRule="exact"/>
        <w:rPr>
          <w:sz w:val="20"/>
          <w:szCs w:val="20"/>
          <w:color w:val="auto"/>
        </w:rPr>
      </w:pPr>
    </w:p>
    <w:p>
      <w:pPr>
        <w:ind w:left="1040" w:hanging="343"/>
        <w:spacing w:after="0"/>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risks relating to our acquisition strategy may adversely impact our results of operations;</w:t>
      </w:r>
    </w:p>
    <w:p>
      <w:pPr>
        <w:spacing w:after="0" w:line="171"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intense competition can constrain our ability to gain business, as well as our profitability;</w:t>
      </w:r>
    </w:p>
    <w:p>
      <w:pPr>
        <w:spacing w:after="0" w:line="171"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we are subject to volatility associated with high deductibles for certain insurable risks;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an increase in costs that we cannot pass on to clients could affect our profitability;</w:t>
      </w:r>
    </w:p>
    <w:p>
      <w:pPr>
        <w:spacing w:after="0" w:line="171"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we provide our services pursuant to agreements which are cancelable by either party upon 30 to 60 days’ notice;</w:t>
      </w:r>
    </w:p>
    <w:p>
      <w:pPr>
        <w:spacing w:after="0" w:line="156"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our success depends on our ability to preserve our long-term relationships with clients;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our transition to a shared services function could create disruption in functions affected;</w:t>
      </w:r>
    </w:p>
    <w:p>
      <w:pPr>
        <w:spacing w:after="0" w:line="171"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we incur significant accounting and other control costs that reduce profitability;</w:t>
      </w:r>
    </w:p>
    <w:p>
      <w:pPr>
        <w:spacing w:after="0" w:line="171"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 decline in commercial office building occupancy and rental rates could affect our revenues and profitability;</w:t>
      </w:r>
    </w:p>
    <w:p>
      <w:pPr>
        <w:spacing w:after="0" w:line="169"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deterioration in economic conditions in general could further reduce the demand for facility services and, as a result, reduce our earnings and adversely affect our financial condition;</w:t>
      </w:r>
    </w:p>
    <w:p>
      <w:pPr>
        <w:spacing w:after="0" w:line="156"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financial difficulties or bankruptcy of one or more of our major clients could adversely affect results;</w:t>
      </w:r>
    </w:p>
    <w:p>
      <w:pPr>
        <w:spacing w:after="0" w:line="171"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our ability to operate and pay our debt obligations depends upon our access to cash;</w:t>
      </w:r>
    </w:p>
    <w:p>
      <w:pPr>
        <w:spacing w:after="0" w:line="184"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future declines or fluctuations in the fair value of our investments in auction rate securities that are deemed other-than-temporarily impaired could negatively impact our earnings;</w:t>
      </w:r>
    </w:p>
    <w:p>
      <w:pPr>
        <w:spacing w:after="0" w:line="156"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uncertainty in the credit markets may negatively impact our costs of borrowings, our ability to collect receivables on a timely basis and our cash flow;</w:t>
      </w:r>
    </w:p>
    <w:p>
      <w:pPr>
        <w:spacing w:after="0" w:line="156"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any future increase in the level of debt or in interest rates can affect our results of operations;</w:t>
      </w:r>
    </w:p>
    <w:p>
      <w:pPr>
        <w:spacing w:after="0" w:line="184"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an impairment charge could have a material adverse effect on our financial condition and results of operations;</w:t>
      </w:r>
    </w:p>
    <w:p>
      <w:pPr>
        <w:spacing w:after="0" w:line="156"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we are defendants in several class and representative actions or other lawsuits alleging various claims that could cause us to incur substantial liabilities;</w:t>
      </w:r>
    </w:p>
    <w:p>
      <w:pPr>
        <w:spacing w:after="0" w:line="156" w:lineRule="exact"/>
        <w:rPr>
          <w:rFonts w:ascii="Arial" w:cs="Arial" w:eastAsia="Arial" w:hAnsi="Arial"/>
          <w:sz w:val="18"/>
          <w:szCs w:val="18"/>
          <w:b w:val="1"/>
          <w:bCs w:val="1"/>
          <w:color w:val="auto"/>
        </w:rPr>
      </w:pPr>
    </w:p>
    <w:p>
      <w:pPr>
        <w:jc w:val="both"/>
        <w:ind w:left="1040" w:right="559" w:hanging="343"/>
        <w:spacing w:after="0"/>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since we are an attractive employer for recent émigrés to this country and many of our jobs are filled by such, changes in immigration laws or enforcement actions or investigations under such laws could significantly adversely affect our labor force, operations and financial results and our reputation;</w:t>
      </w:r>
    </w:p>
    <w:p>
      <w:pPr>
        <w:sectPr>
          <w:pgSz w:w="11900" w:h="16838" w:orient="portrait"/>
          <w:cols w:equalWidth="0" w:num="1">
            <w:col w:w="10219"/>
          </w:cols>
          <w:pgMar w:left="240" w:top="419" w:right="1440" w:bottom="111"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1"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ind w:left="1040" w:hanging="343"/>
        <w:spacing w:after="0"/>
        <w:tabs>
          <w:tab w:leader="none" w:pos="10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labor disputes could lead to loss of revenues or expense variations;</w:t>
      </w:r>
    </w:p>
    <w:p>
      <w:pPr>
        <w:spacing w:after="0" w:line="171"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federal health care reform legislation may adversely affect our business and results of operations;</w:t>
      </w:r>
    </w:p>
    <w:p>
      <w:pPr>
        <w:spacing w:after="0" w:line="171" w:lineRule="exact"/>
        <w:rPr>
          <w:rFonts w:ascii="Arial" w:cs="Arial" w:eastAsia="Arial" w:hAnsi="Arial"/>
          <w:sz w:val="18"/>
          <w:szCs w:val="18"/>
          <w:b w:val="1"/>
          <w:bCs w:val="1"/>
          <w:color w:val="auto"/>
        </w:rPr>
      </w:pPr>
    </w:p>
    <w:p>
      <w:pPr>
        <w:ind w:left="1040" w:right="559" w:hanging="343"/>
        <w:spacing w:after="0" w:line="246" w:lineRule="auto"/>
        <w:tabs>
          <w:tab w:leader="none" w:pos="10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we participate in multi-employer defined benefit plans which could result in substantial liabilities being incurred; and</w:t>
      </w:r>
    </w:p>
    <w:p>
      <w:pPr>
        <w:spacing w:after="0" w:line="169" w:lineRule="exact"/>
        <w:rPr>
          <w:rFonts w:ascii="Arial" w:cs="Arial" w:eastAsia="Arial" w:hAnsi="Arial"/>
          <w:sz w:val="18"/>
          <w:szCs w:val="18"/>
          <w:b w:val="1"/>
          <w:bCs w:val="1"/>
          <w:color w:val="auto"/>
        </w:rPr>
      </w:pPr>
    </w:p>
    <w:p>
      <w:pPr>
        <w:ind w:left="1040" w:hanging="343"/>
        <w:spacing w:after="0"/>
        <w:tabs>
          <w:tab w:leader="none" w:pos="10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natural disasters or acts of terrorism could disrupt our services.</w:t>
      </w:r>
    </w:p>
    <w:p>
      <w:pPr>
        <w:spacing w:after="0" w:line="171"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Additional information regarding these and other risks and uncertainties the Company faces is contained in the Company’s Annual Report on Form 10-K for the year ended October 31, 2009 and in other reports it files from time to time with the Securities and Exchange Commission.</w:t>
      </w:r>
    </w:p>
    <w:p>
      <w:pPr>
        <w:spacing w:after="0" w:line="140" w:lineRule="exact"/>
        <w:rPr>
          <w:sz w:val="20"/>
          <w:szCs w:val="20"/>
          <w:color w:val="auto"/>
        </w:rPr>
      </w:pPr>
    </w:p>
    <w:p>
      <w:pPr>
        <w:ind w:left="340" w:right="4179"/>
        <w:spacing w:after="0" w:line="459" w:lineRule="auto"/>
        <w:rPr>
          <w:sz w:val="20"/>
          <w:szCs w:val="20"/>
          <w:color w:val="auto"/>
        </w:rPr>
      </w:pPr>
      <w:r>
        <w:rPr>
          <w:rFonts w:ascii="Arial" w:cs="Arial" w:eastAsia="Arial" w:hAnsi="Arial"/>
          <w:sz w:val="18"/>
          <w:szCs w:val="18"/>
          <w:b w:val="1"/>
          <w:bCs w:val="1"/>
          <w:color w:val="auto"/>
        </w:rPr>
        <w:t>Item 3. Quantitative and Qualitative Disclosures About Market Risk Market Risk Sensitive Instruments</w:t>
      </w:r>
    </w:p>
    <w:p>
      <w:pPr>
        <w:jc w:val="both"/>
        <w:ind w:left="340" w:right="559"/>
        <w:spacing w:after="0" w:line="239" w:lineRule="auto"/>
        <w:rPr>
          <w:sz w:val="20"/>
          <w:szCs w:val="20"/>
          <w:color w:val="auto"/>
        </w:rPr>
      </w:pPr>
      <w:r>
        <w:rPr>
          <w:rFonts w:ascii="Arial" w:cs="Arial" w:eastAsia="Arial" w:hAnsi="Arial"/>
          <w:sz w:val="18"/>
          <w:szCs w:val="18"/>
          <w:color w:val="auto"/>
        </w:rPr>
        <w:t>The Company’s primary market risk exposure is interest rate risk. The potential impact of adverse increases in this risk is discussed below. The following sensitivity analysis does not consider the effects that an adverse change may have on the overall economy nor does it consider actions the Company may take to mitigate its exposure to these changes. Results of changes in actual rates may differ materially from the following hypothetical results.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Line of Credit</w:t>
      </w:r>
    </w:p>
    <w:p>
      <w:pPr>
        <w:spacing w:after="0" w:line="189" w:lineRule="exact"/>
        <w:rPr>
          <w:sz w:val="20"/>
          <w:szCs w:val="20"/>
          <w:color w:val="auto"/>
        </w:rPr>
      </w:pPr>
    </w:p>
    <w:p>
      <w:pPr>
        <w:jc w:val="both"/>
        <w:ind w:left="340" w:right="559"/>
        <w:spacing w:after="0" w:line="252" w:lineRule="auto"/>
        <w:rPr>
          <w:sz w:val="20"/>
          <w:szCs w:val="20"/>
          <w:color w:val="auto"/>
        </w:rPr>
      </w:pPr>
      <w:r>
        <w:rPr>
          <w:rFonts w:ascii="Arial" w:cs="Arial" w:eastAsia="Arial" w:hAnsi="Arial"/>
          <w:sz w:val="17"/>
          <w:szCs w:val="17"/>
          <w:color w:val="auto"/>
        </w:rPr>
        <w:t>The Company’s exposure to interest rate risk primarily relates to its cash equivalents and London Interbank Offered Rate (“LIBOR”) and Interbank Offered Rate (“IBOR”) based borrowings under the $450.0 million five year syndicated line of credit that expires in November 2012. At April 30, 2010, outstanding LIBOR and IBOR based borrowings of $145.0 million represented 100% of the Company’s total debt obligations. While these borrowings mature over the next 90 days, the line of credit extends through November 2012, subject to the terms of the line of credit. The Company anticipates borrowing similar amounts for periods of one week to three months. A hypothetical 1% increase in interest rates would add an additional interest expense of $0.3 million on the average outstanding borrowings under the Company’s line of credit, net of the interest rate swap agreement, during the remainder of 2010.</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Swap</w:t>
      </w:r>
    </w:p>
    <w:p>
      <w:pPr>
        <w:spacing w:after="0" w:line="203"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On February 19, 2009, the Company entered into a two-year interest rate swap agreement with an underlying notional amount of $100.0 million, pursuant to which the Company receives variable interest payments based on LIBOR and pays fixed interest at a rate of 1.47%, This swap is intended to hedge the interest risk associated with $100.0 million of the Company’s floating-rate, LIBOR-based debt. The critical terms of the swap match the terms of the debt, resulting in no hedge ineffectiveness. On an ongoing basis (no less than once each quarter), the Company assesses whether its LIBOR-based interest payments are probable of being paid during the life of the hedging relationship. The Company also assesses the counterparty credit risk, including credit ratings and potential non-performance of the counterparty when determining the fair value of the swap.</w:t>
      </w:r>
    </w:p>
    <w:p>
      <w:pPr>
        <w:spacing w:after="0" w:line="168"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As of April 30, 2010, the fair value of the interest rate swap was a $0.8 million liability, which is included in retirement plans and other on the accompanying condensed consolidated balance sheet. The effective portion of this cash flow hedge is recorded as accumulated other comprehensive loss in the Company’s accompanying condensed consolidated balance sheet and reclassified into interest expense in the Company’s accompanying condensed consolidated statements of income in the same period during which the hedged transaction affects earnings. Any ineffective portion of the hedge is recorded immediately to interest expense. No ineffectiveness existed at April 30, 2010. The amount included in accumulated other comprehensive loss is $0.8 million ($0.5 million, net of taxes).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in Auction Rate Securities</w:t>
      </w:r>
    </w:p>
    <w:p>
      <w:pPr>
        <w:spacing w:after="0" w:line="203"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At April 30, 2010, the Company held investments in auction rate securities from five different issuers having an aggregate original principal amount of $25.0 million. The investments are not subject to material interest rate risk. These auction rate securities are debt instruments with stated maturities ranging from 2025 to 2050, for which the interest rate is designed to be reset through Dutch auctions approximately every 30 days based on spreads to a base rate (i.e., LIBOR). A hypothetical 1% increase in interest rates would add approximately $0.1 million of additional interest income during the remainder of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Currency</w:t>
      </w:r>
    </w:p>
    <w:p>
      <w:pPr>
        <w:spacing w:after="0" w:line="203" w:lineRule="exact"/>
        <w:rPr>
          <w:sz w:val="20"/>
          <w:szCs w:val="20"/>
          <w:color w:val="auto"/>
        </w:rPr>
      </w:pPr>
    </w:p>
    <w:p>
      <w:pPr>
        <w:jc w:val="both"/>
        <w:ind w:left="340" w:right="559"/>
        <w:spacing w:after="0" w:line="246" w:lineRule="auto"/>
        <w:rPr>
          <w:sz w:val="20"/>
          <w:szCs w:val="20"/>
          <w:color w:val="auto"/>
        </w:rPr>
      </w:pPr>
      <w:r>
        <w:rPr>
          <w:rFonts w:ascii="Arial" w:cs="Arial" w:eastAsia="Arial" w:hAnsi="Arial"/>
          <w:sz w:val="18"/>
          <w:szCs w:val="18"/>
          <w:color w:val="auto"/>
        </w:rPr>
        <w:t>Substantially all of the operations of the Company are conducted in the United States, and, as such, are not subject to material foreign currency exchange rate risk.</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b w:val="1"/>
          <w:bCs w:val="1"/>
          <w:color w:val="auto"/>
        </w:rPr>
        <w:t xml:space="preserve">a. Disclosure Controls and Procedures. </w:t>
      </w:r>
      <w:r>
        <w:rPr>
          <w:rFonts w:ascii="Arial" w:cs="Arial" w:eastAsia="Arial" w:hAnsi="Arial"/>
          <w:sz w:val="18"/>
          <w:szCs w:val="18"/>
          <w:color w:val="auto"/>
        </w:rPr>
        <w:t>As required by paragraph (b) of Rules 13a-15 or 15d-15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Exchange Act of 1934 (the Exchange Act), the Company’s principal executive officer and principal financial officer evaluated the Company’s disclosure controls and procedures (as defined in Rules 13a-15(e) and 15d-15(e) of the Exchange Act) as of the end of the period covered by this Quarterly Report on Form 10-Q. Based on this evaluation, these officers concluded that as of the end of the period covered by this Quarterly Report on Form 10-Q, these disclosure controls and procedures were effective to ensure that the information required to be disclosed by the Company in reports it files or submits under the Exchange Act is recorded, processed, summarized and reported within the time periods specified in the rules and forms of the Securities and Exchange Commission and include controls and procedures designed to ensure that such information is accumulated and communicated to the Company’s management, including the Company’s principal executive officer and principal financial officer, to allow timely decisions regarding required disclosure. Because of the inherent limitations in all control systems, no evaluation of controls can provide absolute assurance that all control issues, if any, within the Company have been detected. These inherent limitations include the realities that judgments in decision-making can be faulty and that breakdowns can occur because of simple error or mistake.</w:t>
      </w:r>
    </w:p>
    <w:p>
      <w:pPr>
        <w:spacing w:after="0" w:line="164"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b w:val="1"/>
          <w:bCs w:val="1"/>
          <w:color w:val="auto"/>
        </w:rPr>
        <w:t xml:space="preserve">b. Changes in Internal Control Over Financial Reporting. </w:t>
      </w:r>
      <w:r>
        <w:rPr>
          <w:rFonts w:ascii="Arial" w:cs="Arial" w:eastAsia="Arial" w:hAnsi="Arial"/>
          <w:sz w:val="18"/>
          <w:szCs w:val="18"/>
          <w:color w:val="auto"/>
        </w:rPr>
        <w:t>There were no changes in the Company’s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over financial reporting during the quarter ended April 30, 2010 that have materially affected, or are reasonably likely to materially affect, the Company’s internal control over financial reporting.</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07"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A discussion of material developments in the Company’s litigation matters in the period covered by this report can be found in Note 9, “Contingencies”, in the Notes to the Condensed Consolidated Financial Statements contained in Item 1, “Financial Statements”.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jc w:val="both"/>
        <w:ind w:left="340" w:right="559"/>
        <w:spacing w:after="0"/>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2009, in response to Item 1A, Risk Factors, to Part I of the Annual Report, except as set forth below.</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Federal health care reform legislation may adversely affect our business and results of operations.</w:t>
      </w:r>
    </w:p>
    <w:p>
      <w:pPr>
        <w:spacing w:after="0" w:line="193" w:lineRule="exact"/>
        <w:rPr>
          <w:sz w:val="20"/>
          <w:szCs w:val="20"/>
          <w:color w:val="auto"/>
        </w:rPr>
      </w:pPr>
    </w:p>
    <w:p>
      <w:pPr>
        <w:jc w:val="both"/>
        <w:ind w:left="340" w:right="559"/>
        <w:spacing w:after="0" w:line="236" w:lineRule="auto"/>
        <w:rPr>
          <w:sz w:val="20"/>
          <w:szCs w:val="20"/>
          <w:color w:val="auto"/>
        </w:rPr>
      </w:pPr>
      <w:r>
        <w:rPr>
          <w:rFonts w:ascii="Arial" w:cs="Arial" w:eastAsia="Arial" w:hAnsi="Arial"/>
          <w:sz w:val="18"/>
          <w:szCs w:val="18"/>
          <w:color w:val="auto"/>
        </w:rPr>
        <w:t>In March 2010, the Patient Protection and Affordable Care Act and the Health Care and Education Reconciliation Act of 2010 were signed into law in the United States (collectively, the “Health Care Reform Laws”). The Health Care Reform Laws include a large number of health-related provisions which become effective over the next four years, including requiring most individuals to have health insurance and establishing new regulations on health plans. Although the Health Care Reform Laws do not mandate that employers offer health insurance, beginning in 2014, penalties will be assessed on large employers who do not offer health insurance that meets certain affordability or benefit requirements. Providing such additional health insurance benefits to our employees or the payment of penalties if such coverage is not provided, would increase our expense. If we are unable to raise the rates we charge our customers to cover this expense, such increases in expense could reduce our operating profit.</w:t>
      </w:r>
    </w:p>
    <w:p>
      <w:pPr>
        <w:spacing w:after="0" w:line="167" w:lineRule="exact"/>
        <w:rPr>
          <w:sz w:val="20"/>
          <w:szCs w:val="20"/>
          <w:color w:val="auto"/>
        </w:rPr>
      </w:pPr>
    </w:p>
    <w:p>
      <w:pPr>
        <w:jc w:val="both"/>
        <w:ind w:left="340" w:right="559"/>
        <w:spacing w:after="0" w:line="239" w:lineRule="auto"/>
        <w:rPr>
          <w:sz w:val="20"/>
          <w:szCs w:val="20"/>
          <w:color w:val="auto"/>
        </w:rPr>
      </w:pPr>
      <w:r>
        <w:rPr>
          <w:rFonts w:ascii="Arial" w:cs="Arial" w:eastAsia="Arial" w:hAnsi="Arial"/>
          <w:sz w:val="18"/>
          <w:szCs w:val="18"/>
          <w:color w:val="auto"/>
        </w:rPr>
        <w:t>In addition, under the Health Care Reform Laws, employers will have to file a significant amount of additional information with the Internal Revenue Service and will have to develop systems and processes to track requisite information. We will have to modify our current systems which could increase our general and administrative expense.</w:t>
      </w:r>
    </w:p>
    <w:p>
      <w:pPr>
        <w:spacing w:after="0" w:line="153" w:lineRule="exact"/>
        <w:rPr>
          <w:sz w:val="20"/>
          <w:szCs w:val="20"/>
          <w:color w:val="auto"/>
        </w:rPr>
      </w:pPr>
    </w:p>
    <w:p>
      <w:pPr>
        <w:ind w:left="340" w:right="4079"/>
        <w:spacing w:after="0" w:line="475"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ectPr>
          <w:pgSz w:w="11900" w:h="16838" w:orient="portrait"/>
          <w:cols w:equalWidth="0" w:num="1">
            <w:col w:w="10219"/>
          </w:cols>
          <w:pgMar w:left="240" w:top="419" w:right="1440" w:bottom="1440" w:gutter="0" w:footer="0" w:header="0"/>
        </w:sectPr>
      </w:pPr>
    </w:p>
    <w:p>
      <w:pPr>
        <w:spacing w:after="0" w:line="35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Reserved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Exhibits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10.1*</w:t>
            </w: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Statement of Terms and Conditions Applicable to Options, Restricted Stock, Restricted Stock Units</w:t>
            </w:r>
          </w:p>
        </w:tc>
      </w:tr>
      <w:tr>
        <w:trPr>
          <w:trHeight w:val="203"/>
        </w:trPr>
        <w:tc>
          <w:tcPr>
            <w:tcW w:w="1060" w:type="dxa"/>
            <w:vAlign w:val="bottom"/>
            <w:shd w:val="clear" w:color="auto" w:fill="CCEEFF"/>
          </w:tcPr>
          <w:p>
            <w:pPr>
              <w:spacing w:after="0"/>
              <w:rPr>
                <w:sz w:val="17"/>
                <w:szCs w:val="17"/>
                <w:color w:val="auto"/>
              </w:rPr>
            </w:pPr>
          </w:p>
        </w:tc>
        <w:tc>
          <w:tcPr>
            <w:tcW w:w="8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and Performance Shares Granted to Employees Pursuant to the 2006 Equity Incentive Plan, as</w:t>
            </w:r>
          </w:p>
        </w:tc>
      </w:tr>
      <w:tr>
        <w:trPr>
          <w:trHeight w:val="203"/>
        </w:trPr>
        <w:tc>
          <w:tcPr>
            <w:tcW w:w="1060" w:type="dxa"/>
            <w:vAlign w:val="bottom"/>
            <w:shd w:val="clear" w:color="auto" w:fill="CCEEFF"/>
          </w:tcPr>
          <w:p>
            <w:pPr>
              <w:spacing w:after="0"/>
              <w:rPr>
                <w:sz w:val="17"/>
                <w:szCs w:val="17"/>
                <w:color w:val="auto"/>
              </w:rPr>
            </w:pPr>
          </w:p>
        </w:tc>
        <w:tc>
          <w:tcPr>
            <w:tcW w:w="8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Amended and Restated March 31, 2010 (incorporated by reference from Exhibit 10.1 to registrant’s</w:t>
            </w:r>
          </w:p>
        </w:tc>
      </w:tr>
      <w:tr>
        <w:trPr>
          <w:trHeight w:val="203"/>
        </w:trPr>
        <w:tc>
          <w:tcPr>
            <w:tcW w:w="1060" w:type="dxa"/>
            <w:vAlign w:val="bottom"/>
            <w:shd w:val="clear" w:color="auto" w:fill="CCEEFF"/>
          </w:tcPr>
          <w:p>
            <w:pPr>
              <w:spacing w:after="0"/>
              <w:rPr>
                <w:sz w:val="17"/>
                <w:szCs w:val="17"/>
                <w:color w:val="auto"/>
              </w:rPr>
            </w:pPr>
          </w:p>
        </w:tc>
        <w:tc>
          <w:tcPr>
            <w:tcW w:w="82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Form 8-K Current Report dated April 2, 2010) (File No. 1-8929).</w:t>
            </w:r>
          </w:p>
        </w:tc>
      </w:tr>
      <w:tr>
        <w:trPr>
          <w:trHeight w:val="202"/>
        </w:trPr>
        <w:tc>
          <w:tcPr>
            <w:tcW w:w="1060" w:type="dxa"/>
            <w:vAlign w:val="bottom"/>
          </w:tcPr>
          <w:p>
            <w:pPr>
              <w:ind w:left="320"/>
              <w:spacing w:after="0" w:line="201" w:lineRule="exact"/>
              <w:rPr>
                <w:sz w:val="20"/>
                <w:szCs w:val="20"/>
                <w:color w:val="auto"/>
              </w:rPr>
            </w:pPr>
            <w:r>
              <w:rPr>
                <w:rFonts w:ascii="Arial" w:cs="Arial" w:eastAsia="Arial" w:hAnsi="Arial"/>
                <w:sz w:val="18"/>
                <w:szCs w:val="18"/>
                <w:color w:val="auto"/>
              </w:rPr>
              <w:t>10.2*</w:t>
            </w:r>
          </w:p>
        </w:tc>
        <w:tc>
          <w:tcPr>
            <w:tcW w:w="8260" w:type="dxa"/>
            <w:vAlign w:val="bottom"/>
          </w:tcPr>
          <w:p>
            <w:pPr>
              <w:ind w:left="200"/>
              <w:spacing w:after="0" w:line="201" w:lineRule="exact"/>
              <w:rPr>
                <w:sz w:val="20"/>
                <w:szCs w:val="20"/>
                <w:color w:val="auto"/>
              </w:rPr>
            </w:pPr>
            <w:r>
              <w:rPr>
                <w:rFonts w:ascii="Arial" w:cs="Arial" w:eastAsia="Arial" w:hAnsi="Arial"/>
                <w:sz w:val="18"/>
                <w:szCs w:val="18"/>
                <w:color w:val="auto"/>
              </w:rPr>
              <w:t>Form of Restricted Stock Unit Award Agreement for Awards to Certain Executive Officers, dated</w:t>
            </w:r>
          </w:p>
        </w:tc>
      </w:tr>
      <w:tr>
        <w:trPr>
          <w:trHeight w:val="203"/>
        </w:trPr>
        <w:tc>
          <w:tcPr>
            <w:tcW w:w="1060" w:type="dxa"/>
            <w:vAlign w:val="bottom"/>
          </w:tcPr>
          <w:p>
            <w:pPr>
              <w:spacing w:after="0"/>
              <w:rPr>
                <w:sz w:val="17"/>
                <w:szCs w:val="17"/>
                <w:color w:val="auto"/>
              </w:rPr>
            </w:pPr>
          </w:p>
        </w:tc>
        <w:tc>
          <w:tcPr>
            <w:tcW w:w="8260" w:type="dxa"/>
            <w:vAlign w:val="bottom"/>
          </w:tcPr>
          <w:p>
            <w:pPr>
              <w:ind w:left="200"/>
              <w:spacing w:after="0" w:line="202" w:lineRule="exact"/>
              <w:rPr>
                <w:sz w:val="20"/>
                <w:szCs w:val="20"/>
                <w:color w:val="auto"/>
              </w:rPr>
            </w:pPr>
            <w:r>
              <w:rPr>
                <w:rFonts w:ascii="Arial" w:cs="Arial" w:eastAsia="Arial" w:hAnsi="Arial"/>
                <w:sz w:val="18"/>
                <w:szCs w:val="18"/>
                <w:color w:val="auto"/>
              </w:rPr>
              <w:t>March 31, 2010 (incorporated by reference from Exhibit 10.2 to registrant’s Form 8-K Current Report</w:t>
            </w:r>
          </w:p>
        </w:tc>
      </w:tr>
      <w:tr>
        <w:trPr>
          <w:trHeight w:val="203"/>
        </w:trPr>
        <w:tc>
          <w:tcPr>
            <w:tcW w:w="1060" w:type="dxa"/>
            <w:vAlign w:val="bottom"/>
          </w:tcPr>
          <w:p>
            <w:pPr>
              <w:spacing w:after="0"/>
              <w:rPr>
                <w:sz w:val="17"/>
                <w:szCs w:val="17"/>
                <w:color w:val="auto"/>
              </w:rPr>
            </w:pPr>
          </w:p>
        </w:tc>
        <w:tc>
          <w:tcPr>
            <w:tcW w:w="8260" w:type="dxa"/>
            <w:vAlign w:val="bottom"/>
          </w:tcPr>
          <w:p>
            <w:pPr>
              <w:ind w:left="200"/>
              <w:spacing w:after="0" w:line="203" w:lineRule="exact"/>
              <w:rPr>
                <w:sz w:val="20"/>
                <w:szCs w:val="20"/>
                <w:color w:val="auto"/>
              </w:rPr>
            </w:pPr>
            <w:r>
              <w:rPr>
                <w:rFonts w:ascii="Arial" w:cs="Arial" w:eastAsia="Arial" w:hAnsi="Arial"/>
                <w:sz w:val="18"/>
                <w:szCs w:val="18"/>
                <w:color w:val="auto"/>
              </w:rPr>
              <w:t>dated April 2, 2010) (File No. 1-8929).</w:t>
            </w:r>
          </w:p>
        </w:tc>
      </w:tr>
      <w:tr>
        <w:trPr>
          <w:trHeight w:val="202"/>
        </w:trPr>
        <w:tc>
          <w:tcPr>
            <w:tcW w:w="10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10.3*</w:t>
            </w:r>
          </w:p>
        </w:tc>
        <w:tc>
          <w:tcPr>
            <w:tcW w:w="8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Form of Stock Option Agreement for Awards to Certain Executive Officers, dated March 31, 2010</w:t>
            </w:r>
          </w:p>
        </w:tc>
      </w:tr>
      <w:tr>
        <w:trPr>
          <w:trHeight w:val="203"/>
        </w:trPr>
        <w:tc>
          <w:tcPr>
            <w:tcW w:w="1060" w:type="dxa"/>
            <w:vAlign w:val="bottom"/>
            <w:shd w:val="clear" w:color="auto" w:fill="CCEEFF"/>
          </w:tcPr>
          <w:p>
            <w:pPr>
              <w:spacing w:after="0"/>
              <w:rPr>
                <w:sz w:val="17"/>
                <w:szCs w:val="17"/>
                <w:color w:val="auto"/>
              </w:rPr>
            </w:pPr>
          </w:p>
        </w:tc>
        <w:tc>
          <w:tcPr>
            <w:tcW w:w="8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(incorporated by reference from Exhibit 10.3 to registrant’s Form 8-K Current Report dated April 2,</w:t>
            </w:r>
          </w:p>
        </w:tc>
      </w:tr>
      <w:tr>
        <w:trPr>
          <w:trHeight w:val="203"/>
        </w:trPr>
        <w:tc>
          <w:tcPr>
            <w:tcW w:w="1060" w:type="dxa"/>
            <w:vAlign w:val="bottom"/>
            <w:shd w:val="clear" w:color="auto" w:fill="CCEEFF"/>
          </w:tcPr>
          <w:p>
            <w:pPr>
              <w:spacing w:after="0"/>
              <w:rPr>
                <w:sz w:val="17"/>
                <w:szCs w:val="17"/>
                <w:color w:val="auto"/>
              </w:rPr>
            </w:pPr>
          </w:p>
        </w:tc>
        <w:tc>
          <w:tcPr>
            <w:tcW w:w="82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2010) (File No. 1-8929).</w:t>
            </w:r>
          </w:p>
        </w:tc>
      </w:tr>
      <w:tr>
        <w:trPr>
          <w:trHeight w:val="203"/>
        </w:trPr>
        <w:tc>
          <w:tcPr>
            <w:tcW w:w="1060" w:type="dxa"/>
            <w:vAlign w:val="bottom"/>
          </w:tcPr>
          <w:p>
            <w:pPr>
              <w:ind w:left="320"/>
              <w:spacing w:after="0" w:line="202" w:lineRule="exact"/>
              <w:rPr>
                <w:sz w:val="20"/>
                <w:szCs w:val="20"/>
                <w:color w:val="auto"/>
              </w:rPr>
            </w:pPr>
            <w:r>
              <w:rPr>
                <w:rFonts w:ascii="Arial" w:cs="Arial" w:eastAsia="Arial" w:hAnsi="Arial"/>
                <w:sz w:val="18"/>
                <w:szCs w:val="18"/>
                <w:color w:val="auto"/>
              </w:rPr>
              <w:t>10.4*‡</w:t>
            </w:r>
          </w:p>
        </w:tc>
        <w:tc>
          <w:tcPr>
            <w:tcW w:w="8260" w:type="dxa"/>
            <w:vAlign w:val="bottom"/>
          </w:tcPr>
          <w:p>
            <w:pPr>
              <w:ind w:left="200"/>
              <w:spacing w:after="0" w:line="202" w:lineRule="exact"/>
              <w:rPr>
                <w:sz w:val="20"/>
                <w:szCs w:val="20"/>
                <w:color w:val="auto"/>
              </w:rPr>
            </w:pPr>
            <w:r>
              <w:rPr>
                <w:rFonts w:ascii="Arial" w:cs="Arial" w:eastAsia="Arial" w:hAnsi="Arial"/>
                <w:sz w:val="18"/>
                <w:szCs w:val="18"/>
                <w:color w:val="auto"/>
              </w:rPr>
              <w:t>Form of Non-Qualified Stock Option Agreement -2006 Equity Incentive Plan.</w:t>
            </w:r>
          </w:p>
        </w:tc>
      </w:tr>
      <w:tr>
        <w:trPr>
          <w:trHeight w:val="203"/>
        </w:trPr>
        <w:tc>
          <w:tcPr>
            <w:tcW w:w="10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10.5*‡</w:t>
            </w:r>
          </w:p>
        </w:tc>
        <w:tc>
          <w:tcPr>
            <w:tcW w:w="8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Form of Restricted Stock Unit Agreement-2006 Equity Incentive Plan.</w:t>
            </w:r>
          </w:p>
        </w:tc>
      </w:tr>
      <w:tr>
        <w:trPr>
          <w:trHeight w:val="203"/>
        </w:trPr>
        <w:tc>
          <w:tcPr>
            <w:tcW w:w="1060" w:type="dxa"/>
            <w:vAlign w:val="bottom"/>
          </w:tcPr>
          <w:p>
            <w:pPr>
              <w:ind w:left="320"/>
              <w:spacing w:after="0" w:line="202" w:lineRule="exact"/>
              <w:rPr>
                <w:sz w:val="20"/>
                <w:szCs w:val="20"/>
                <w:color w:val="auto"/>
              </w:rPr>
            </w:pPr>
            <w:r>
              <w:rPr>
                <w:rFonts w:ascii="Arial" w:cs="Arial" w:eastAsia="Arial" w:hAnsi="Arial"/>
                <w:sz w:val="18"/>
                <w:szCs w:val="18"/>
                <w:color w:val="auto"/>
              </w:rPr>
              <w:t>31.1‡</w:t>
            </w:r>
          </w:p>
        </w:tc>
        <w:tc>
          <w:tcPr>
            <w:tcW w:w="8260" w:type="dxa"/>
            <w:vAlign w:val="bottom"/>
          </w:tcPr>
          <w:p>
            <w:pPr>
              <w:ind w:left="200"/>
              <w:spacing w:after="0" w:line="202"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03"/>
        </w:trPr>
        <w:tc>
          <w:tcPr>
            <w:tcW w:w="10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31.2‡</w:t>
            </w:r>
          </w:p>
        </w:tc>
        <w:tc>
          <w:tcPr>
            <w:tcW w:w="8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02"/>
        </w:trPr>
        <w:tc>
          <w:tcPr>
            <w:tcW w:w="1060" w:type="dxa"/>
            <w:vAlign w:val="bottom"/>
          </w:tcPr>
          <w:p>
            <w:pPr>
              <w:ind w:left="460"/>
              <w:spacing w:after="0" w:line="201" w:lineRule="exact"/>
              <w:rPr>
                <w:sz w:val="20"/>
                <w:szCs w:val="20"/>
                <w:color w:val="auto"/>
              </w:rPr>
            </w:pPr>
            <w:r>
              <w:rPr>
                <w:rFonts w:ascii="Arial" w:cs="Arial" w:eastAsia="Arial" w:hAnsi="Arial"/>
                <w:sz w:val="18"/>
                <w:szCs w:val="18"/>
                <w:color w:val="auto"/>
              </w:rPr>
              <w:t>32†</w:t>
            </w:r>
          </w:p>
        </w:tc>
        <w:tc>
          <w:tcPr>
            <w:tcW w:w="8260" w:type="dxa"/>
            <w:vAlign w:val="bottom"/>
          </w:tcPr>
          <w:p>
            <w:pPr>
              <w:ind w:left="200"/>
              <w:spacing w:after="0" w:line="201" w:lineRule="exact"/>
              <w:rPr>
                <w:sz w:val="20"/>
                <w:szCs w:val="20"/>
                <w:color w:val="auto"/>
              </w:rPr>
            </w:pPr>
            <w:r>
              <w:rPr>
                <w:rFonts w:ascii="Arial" w:cs="Arial" w:eastAsia="Arial" w:hAnsi="Arial"/>
                <w:sz w:val="18"/>
                <w:szCs w:val="18"/>
                <w:color w:val="auto"/>
              </w:rPr>
              <w:t>Certification pursuant to 18 U.S.C. Section 1350, as adopted pursuant to Section 906 of the</w:t>
            </w:r>
          </w:p>
        </w:tc>
      </w:tr>
      <w:tr>
        <w:trPr>
          <w:trHeight w:val="217"/>
        </w:trPr>
        <w:tc>
          <w:tcPr>
            <w:tcW w:w="106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Sarbanes-Oxley Act of 2002.</w:t>
            </w:r>
          </w:p>
        </w:tc>
      </w:tr>
    </w:tbl>
    <w:p>
      <w:pPr>
        <w:spacing w:after="0" w:line="107" w:lineRule="exact"/>
        <w:rPr>
          <w:sz w:val="20"/>
          <w:szCs w:val="20"/>
          <w:color w:val="auto"/>
        </w:rPr>
      </w:pPr>
    </w:p>
    <w:p>
      <w:pPr>
        <w:ind w:left="680" w:hanging="348"/>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management contract, plan or arrangement.</w:t>
      </w:r>
    </w:p>
    <w:p>
      <w:pPr>
        <w:spacing w:after="0" w:line="6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Indicates filed herewith.</w:t>
      </w:r>
    </w:p>
    <w:p>
      <w:pPr>
        <w:spacing w:after="0" w:line="6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Indicates furnished herewith.</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left="340" w:right="55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ABM Industries Incorporated</w:t>
      </w:r>
    </w:p>
    <w:p>
      <w:pPr>
        <w:spacing w:after="0" w:line="198" w:lineRule="exact"/>
        <w:rPr>
          <w:sz w:val="20"/>
          <w:szCs w:val="20"/>
          <w:color w:val="auto"/>
        </w:rPr>
      </w:pPr>
    </w:p>
    <w:p>
      <w:pPr>
        <w:ind w:left="340"/>
        <w:spacing w:after="0"/>
        <w:tabs>
          <w:tab w:leader="none" w:pos="4800" w:val="left"/>
        </w:tabs>
        <w:rPr>
          <w:sz w:val="20"/>
          <w:szCs w:val="20"/>
          <w:color w:val="auto"/>
        </w:rPr>
      </w:pPr>
      <w:r>
        <w:rPr>
          <w:rFonts w:ascii="Arial" w:cs="Arial" w:eastAsia="Arial" w:hAnsi="Arial"/>
          <w:sz w:val="18"/>
          <w:szCs w:val="18"/>
          <w:color w:val="auto"/>
        </w:rPr>
        <w:t>June 4, 2010</w:t>
      </w:r>
      <w:r>
        <w:rPr>
          <w:sz w:val="20"/>
          <w:szCs w:val="20"/>
          <w:color w:val="auto"/>
        </w:rPr>
        <w:tab/>
      </w:r>
      <w:r>
        <w:rPr>
          <w:rFonts w:ascii="Arial" w:cs="Arial" w:eastAsia="Arial" w:hAnsi="Arial"/>
          <w:sz w:val="17"/>
          <w:szCs w:val="17"/>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-1905</wp:posOffset>
            </wp:positionV>
            <wp:extent cx="21951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4820"/>
        <w:spacing w:after="0"/>
        <w:rPr>
          <w:sz w:val="20"/>
          <w:szCs w:val="20"/>
          <w:color w:val="auto"/>
        </w:rPr>
      </w:pPr>
      <w:r>
        <w:rPr>
          <w:rFonts w:ascii="Arial" w:cs="Arial" w:eastAsia="Arial" w:hAnsi="Arial"/>
          <w:sz w:val="18"/>
          <w:szCs w:val="18"/>
          <w:color w:val="auto"/>
        </w:rPr>
        <w:t>James S. Lusk</w:t>
      </w:r>
    </w:p>
    <w:p>
      <w:pPr>
        <w:ind w:left="4820"/>
        <w:spacing w:after="0" w:line="234" w:lineRule="auto"/>
        <w:rPr>
          <w:sz w:val="20"/>
          <w:szCs w:val="20"/>
          <w:color w:val="auto"/>
        </w:rPr>
      </w:pPr>
      <w:r>
        <w:rPr>
          <w:rFonts w:ascii="Arial" w:cs="Arial" w:eastAsia="Arial" w:hAnsi="Arial"/>
          <w:sz w:val="18"/>
          <w:szCs w:val="18"/>
          <w:color w:val="auto"/>
        </w:rPr>
        <w:t>Executive Vice President and</w:t>
      </w:r>
    </w:p>
    <w:p>
      <w:pPr>
        <w:ind w:left="482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(Duly Authorized Officer)</w:t>
      </w:r>
    </w:p>
    <w:p>
      <w:pPr>
        <w:spacing w:after="0" w:line="198" w:lineRule="exact"/>
        <w:rPr>
          <w:sz w:val="20"/>
          <w:szCs w:val="20"/>
          <w:color w:val="auto"/>
        </w:rPr>
      </w:pPr>
    </w:p>
    <w:p>
      <w:pPr>
        <w:ind w:left="340"/>
        <w:spacing w:after="0"/>
        <w:tabs>
          <w:tab w:leader="none" w:pos="4800" w:val="left"/>
        </w:tabs>
        <w:rPr>
          <w:sz w:val="20"/>
          <w:szCs w:val="20"/>
          <w:color w:val="auto"/>
        </w:rPr>
      </w:pPr>
      <w:r>
        <w:rPr>
          <w:rFonts w:ascii="Arial" w:cs="Arial" w:eastAsia="Arial" w:hAnsi="Arial"/>
          <w:sz w:val="18"/>
          <w:szCs w:val="18"/>
          <w:color w:val="auto"/>
        </w:rPr>
        <w:t>June 4, 2010</w:t>
      </w:r>
      <w:r>
        <w:rPr>
          <w:sz w:val="20"/>
          <w:szCs w:val="20"/>
          <w:color w:val="auto"/>
        </w:rPr>
        <w:tab/>
      </w:r>
      <w:r>
        <w:rPr>
          <w:rFonts w:ascii="Arial" w:cs="Arial" w:eastAsia="Arial" w:hAnsi="Arial"/>
          <w:sz w:val="17"/>
          <w:szCs w:val="17"/>
          <w:color w:val="auto"/>
        </w:rPr>
        <w:t>/s/ Dean 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-1905</wp:posOffset>
            </wp:positionV>
            <wp:extent cx="21951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4820"/>
        <w:spacing w:after="0"/>
        <w:rPr>
          <w:sz w:val="20"/>
          <w:szCs w:val="20"/>
          <w:color w:val="auto"/>
        </w:rPr>
      </w:pPr>
      <w:r>
        <w:rPr>
          <w:rFonts w:ascii="Arial" w:cs="Arial" w:eastAsia="Arial" w:hAnsi="Arial"/>
          <w:sz w:val="18"/>
          <w:szCs w:val="18"/>
          <w:color w:val="auto"/>
        </w:rPr>
        <w:t>Dean A. Chin</w:t>
      </w:r>
    </w:p>
    <w:p>
      <w:pPr>
        <w:ind w:left="4820"/>
        <w:spacing w:after="0" w:line="234" w:lineRule="auto"/>
        <w:rPr>
          <w:sz w:val="20"/>
          <w:szCs w:val="20"/>
          <w:color w:val="auto"/>
        </w:rPr>
      </w:pPr>
      <w:r>
        <w:rPr>
          <w:rFonts w:ascii="Arial" w:cs="Arial" w:eastAsia="Arial" w:hAnsi="Arial"/>
          <w:sz w:val="18"/>
          <w:szCs w:val="18"/>
          <w:color w:val="auto"/>
        </w:rPr>
        <w:t>Senior Vice President, Controller and</w:t>
      </w:r>
    </w:p>
    <w:p>
      <w:pPr>
        <w:ind w:left="4820"/>
        <w:spacing w:after="0" w:line="235"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419" w:right="1440" w:bottom="1440" w:gutter="0" w:footer="0" w:header="0"/>
        </w:sectPr>
      </w:pPr>
    </w:p>
    <w:bookmarkStart w:id="34" w:name="page35"/>
    <w:bookmarkEnd w:id="34"/>
    <w:p>
      <w:pPr>
        <w:ind w:left="8740"/>
        <w:spacing w:after="0"/>
        <w:rPr>
          <w:sz w:val="20"/>
          <w:szCs w:val="20"/>
          <w:color w:val="auto"/>
        </w:rPr>
      </w:pPr>
      <w:r>
        <w:rPr>
          <w:rFonts w:ascii="Arial" w:cs="Arial" w:eastAsia="Arial" w:hAnsi="Arial"/>
          <w:sz w:val="16"/>
          <w:szCs w:val="16"/>
          <w:b w:val="1"/>
          <w:bCs w:val="1"/>
          <w:color w:val="auto"/>
        </w:rPr>
        <w:t>Exhibit 10.4</w:t>
      </w:r>
    </w:p>
    <w:p>
      <w:pPr>
        <w:spacing w:after="0" w:line="212"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ABM INDUSTRIES INCORPORATED</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NON-QUALIFIED STOCK OPTION AGREEMENT</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2006 EQUITY INCENTIVE PLAN</w:t>
      </w:r>
    </w:p>
    <w:p>
      <w:pPr>
        <w:spacing w:after="0" w:line="180" w:lineRule="exact"/>
        <w:rPr>
          <w:sz w:val="20"/>
          <w:szCs w:val="20"/>
          <w:color w:val="auto"/>
        </w:rPr>
      </w:pPr>
    </w:p>
    <w:p>
      <w:pPr>
        <w:jc w:val="both"/>
        <w:ind w:left="340" w:right="2060"/>
        <w:spacing w:after="0" w:line="314" w:lineRule="auto"/>
        <w:rPr>
          <w:sz w:val="20"/>
          <w:szCs w:val="20"/>
          <w:color w:val="auto"/>
        </w:rPr>
      </w:pPr>
      <w:r>
        <w:rPr>
          <w:rFonts w:ascii="Arial" w:cs="Arial" w:eastAsia="Arial" w:hAnsi="Arial"/>
          <w:sz w:val="16"/>
          <w:szCs w:val="16"/>
          <w:color w:val="auto"/>
        </w:rPr>
        <w:t>The Compensation Committee of the Board of Directors (the “</w:t>
      </w:r>
      <w:r>
        <w:rPr>
          <w:rFonts w:ascii="Arial" w:cs="Arial" w:eastAsia="Arial" w:hAnsi="Arial"/>
          <w:sz w:val="16"/>
          <w:szCs w:val="16"/>
          <w:b w:val="1"/>
          <w:bCs w:val="1"/>
          <w:color w:val="auto"/>
        </w:rPr>
        <w:t>Compensation Committee</w:t>
      </w:r>
      <w:r>
        <w:rPr>
          <w:rFonts w:ascii="Arial" w:cs="Arial" w:eastAsia="Arial" w:hAnsi="Arial"/>
          <w:sz w:val="16"/>
          <w:szCs w:val="16"/>
          <w:color w:val="auto"/>
        </w:rPr>
        <w:t>”) of ABM Industries Incorporated (the “</w:t>
      </w:r>
      <w:r>
        <w:rPr>
          <w:rFonts w:ascii="Arial" w:cs="Arial" w:eastAsia="Arial" w:hAnsi="Arial"/>
          <w:sz w:val="16"/>
          <w:szCs w:val="16"/>
          <w:b w:val="1"/>
          <w:bCs w:val="1"/>
          <w:color w:val="auto"/>
        </w:rPr>
        <w:t>Company</w:t>
      </w:r>
      <w:r>
        <w:rPr>
          <w:rFonts w:ascii="Arial" w:cs="Arial" w:eastAsia="Arial" w:hAnsi="Arial"/>
          <w:sz w:val="16"/>
          <w:szCs w:val="16"/>
          <w:color w:val="auto"/>
        </w:rPr>
        <w:t>”) is pleased to grant you (the “</w:t>
      </w:r>
      <w:r>
        <w:rPr>
          <w:rFonts w:ascii="Arial" w:cs="Arial" w:eastAsia="Arial" w:hAnsi="Arial"/>
          <w:sz w:val="16"/>
          <w:szCs w:val="16"/>
          <w:b w:val="1"/>
          <w:bCs w:val="1"/>
          <w:color w:val="auto"/>
        </w:rPr>
        <w:t>Optionee</w:t>
      </w:r>
      <w:r>
        <w:rPr>
          <w:rFonts w:ascii="Arial" w:cs="Arial" w:eastAsia="Arial" w:hAnsi="Arial"/>
          <w:sz w:val="16"/>
          <w:szCs w:val="16"/>
          <w:color w:val="auto"/>
        </w:rPr>
        <w:t>”) a nonqualified stock option (the “</w:t>
      </w:r>
      <w:r>
        <w:rPr>
          <w:rFonts w:ascii="Arial" w:cs="Arial" w:eastAsia="Arial" w:hAnsi="Arial"/>
          <w:sz w:val="16"/>
          <w:szCs w:val="16"/>
          <w:b w:val="1"/>
          <w:bCs w:val="1"/>
          <w:color w:val="auto"/>
        </w:rPr>
        <w:t>Option</w:t>
      </w:r>
      <w:r>
        <w:rPr>
          <w:rFonts w:ascii="Arial" w:cs="Arial" w:eastAsia="Arial" w:hAnsi="Arial"/>
          <w:sz w:val="16"/>
          <w:szCs w:val="16"/>
          <w:color w:val="auto"/>
        </w:rPr>
        <w:t>”) under the Company’s 2006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to purchase shares of common stock of the Company as described below:</w:t>
      </w:r>
    </w:p>
    <w:p>
      <w:pPr>
        <w:sectPr>
          <w:pgSz w:w="11900" w:h="16838" w:orient="portrait"/>
          <w:cols w:equalWidth="0" w:num="1">
            <w:col w:w="11420"/>
          </w:cols>
          <w:pgMar w:left="240" w:top="121" w:right="239" w:bottom="1440" w:gutter="0" w:footer="0" w:header="0"/>
        </w:sectPr>
      </w:pP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Optionee Name: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ectPr>
          <w:pgSz w:w="11900" w:h="16838" w:orient="portrait"/>
          <w:cols w:equalWidth="0" w:num="2">
            <w:col w:w="2420" w:space="720"/>
            <w:col w:w="8280"/>
          </w:cols>
          <w:pgMar w:left="240" w:top="121" w:right="239" w:bottom="1440" w:gutter="0" w:footer="0" w:header="0"/>
          <w:type w:val="continuous"/>
        </w:sectPr>
      </w:pPr>
    </w:p>
    <w:p>
      <w:pPr>
        <w:spacing w:after="0" w:line="4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Number of Shares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Subject to Option:</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 of shares)</w:t>
      </w:r>
    </w:p>
    <w:p>
      <w:pPr>
        <w:spacing w:after="0" w:line="214" w:lineRule="exact"/>
        <w:rPr>
          <w:sz w:val="20"/>
          <w:szCs w:val="20"/>
          <w:color w:val="auto"/>
        </w:rPr>
      </w:pPr>
    </w:p>
    <w:p>
      <w:pPr>
        <w:sectPr>
          <w:pgSz w:w="11900" w:h="16838" w:orient="portrait"/>
          <w:cols w:equalWidth="0" w:num="2">
            <w:col w:w="2420" w:space="720"/>
            <w:col w:w="8280"/>
          </w:cols>
          <w:pgMar w:left="240" w:top="121" w:right="239" w:bottom="1440" w:gutter="0" w:footer="0" w:header="0"/>
          <w:type w:val="continuous"/>
        </w:sectPr>
      </w:pPr>
    </w:p>
    <w:p>
      <w:pPr>
        <w:spacing w:after="0" w:line="3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Price Per Share: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(grant price)</w:t>
      </w:r>
    </w:p>
    <w:p>
      <w:pPr>
        <w:spacing w:after="0" w:line="200" w:lineRule="exact"/>
        <w:rPr>
          <w:sz w:val="20"/>
          <w:szCs w:val="20"/>
          <w:color w:val="auto"/>
        </w:rPr>
      </w:pPr>
    </w:p>
    <w:p>
      <w:pPr>
        <w:sectPr>
          <w:pgSz w:w="11900" w:h="16838" w:orient="portrait"/>
          <w:cols w:equalWidth="0" w:num="2">
            <w:col w:w="2420" w:space="720"/>
            <w:col w:w="8280"/>
          </w:cols>
          <w:pgMar w:left="240" w:top="121" w:right="239" w:bottom="1440" w:gutter="0" w:footer="0" w:header="0"/>
          <w:type w:val="continuous"/>
        </w:sectPr>
      </w:pPr>
    </w:p>
    <w:p>
      <w:pPr>
        <w:spacing w:after="0" w:line="4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Grant Date:</w:t>
      </w:r>
    </w:p>
    <w:p>
      <w:pPr>
        <w:sectPr>
          <w:pgSz w:w="11900" w:h="16838" w:orient="portrait"/>
          <w:cols w:equalWidth="0" w:num="1">
            <w:col w:w="11420"/>
          </w:cols>
          <w:pgMar w:left="240" w:top="121" w:right="239" w:bottom="1440" w:gutter="0" w:footer="0" w:header="0"/>
          <w:type w:val="continuous"/>
        </w:sect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Vesting Schedule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(specify)</w:t>
      </w:r>
    </w:p>
    <w:p>
      <w:pPr>
        <w:spacing w:after="0" w:line="200" w:lineRule="exact"/>
        <w:rPr>
          <w:sz w:val="20"/>
          <w:szCs w:val="20"/>
          <w:color w:val="auto"/>
        </w:rPr>
      </w:pPr>
    </w:p>
    <w:p>
      <w:pPr>
        <w:sectPr>
          <w:pgSz w:w="11900" w:h="16838" w:orient="portrait"/>
          <w:cols w:equalWidth="0" w:num="2">
            <w:col w:w="2420" w:space="720"/>
            <w:col w:w="8280"/>
          </w:cols>
          <w:pgMar w:left="240" w:top="121" w:right="239" w:bottom="1440" w:gutter="0" w:footer="0" w:header="0"/>
          <w:type w:val="continuous"/>
        </w:sectPr>
      </w:pPr>
    </w:p>
    <w:p>
      <w:pPr>
        <w:spacing w:after="0" w:line="4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Expiration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7 years from Grant Date (or earlier if employment terminates)</w:t>
      </w:r>
    </w:p>
    <w:p>
      <w:pPr>
        <w:spacing w:after="0" w:line="200" w:lineRule="exact"/>
        <w:rPr>
          <w:sz w:val="20"/>
          <w:szCs w:val="20"/>
          <w:color w:val="auto"/>
        </w:rPr>
      </w:pPr>
    </w:p>
    <w:p>
      <w:pPr>
        <w:sectPr>
          <w:pgSz w:w="11900" w:h="16838" w:orient="portrait"/>
          <w:cols w:equalWidth="0" w:num="2">
            <w:col w:w="2420" w:space="720"/>
            <w:col w:w="8280"/>
          </w:cols>
          <w:pgMar w:left="240" w:top="121" w:right="239" w:bottom="1440" w:gutter="0" w:footer="0" w:header="0"/>
          <w:type w:val="continuous"/>
        </w:sectPr>
      </w:pPr>
    </w:p>
    <w:p>
      <w:pPr>
        <w:spacing w:after="0" w:line="8" w:lineRule="exact"/>
        <w:rPr>
          <w:sz w:val="20"/>
          <w:szCs w:val="20"/>
          <w:color w:val="auto"/>
        </w:rPr>
      </w:pPr>
    </w:p>
    <w:p>
      <w:pPr>
        <w:ind w:left="340" w:right="1860"/>
        <w:spacing w:after="0" w:line="297" w:lineRule="auto"/>
        <w:rPr>
          <w:sz w:val="20"/>
          <w:szCs w:val="20"/>
          <w:color w:val="auto"/>
        </w:rPr>
      </w:pPr>
      <w:r>
        <w:rPr>
          <w:rFonts w:ascii="Arial" w:cs="Arial" w:eastAsia="Arial" w:hAnsi="Arial"/>
          <w:sz w:val="16"/>
          <w:szCs w:val="16"/>
          <w:color w:val="auto"/>
        </w:rPr>
        <w:t xml:space="preserve">Provided you continue to provide services to the Company or any subsidiary or parent of the Company through the applicable vesting date, the Option will vest as provided above. The unvested portion of the Option may be subject to forfeiture if you terminate employment before the vesting date, as set forth in the Plan, the Statement of Terms and Conditions and </w:t>
      </w:r>
      <w:r>
        <w:rPr>
          <w:rFonts w:ascii="Arial" w:cs="Arial" w:eastAsia="Arial" w:hAnsi="Arial"/>
          <w:sz w:val="16"/>
          <w:szCs w:val="16"/>
          <w:u w:val="single" w:color="auto"/>
          <w:color w:val="auto"/>
        </w:rPr>
        <w:t>Attachment 1</w:t>
      </w:r>
      <w:r>
        <w:rPr>
          <w:rFonts w:ascii="Arial" w:cs="Arial" w:eastAsia="Arial" w:hAnsi="Arial"/>
          <w:sz w:val="16"/>
          <w:szCs w:val="16"/>
          <w:color w:val="auto"/>
        </w:rPr>
        <w:t xml:space="preserve"> attached hereto. In addition, the Option and amounts realized upon the sale of shares received upon exercise of the Option may be subject to forfeiture under the circumstances set forth in the Plan and the Statement of Terms and Conditions.</w:t>
      </w:r>
    </w:p>
    <w:p>
      <w:pPr>
        <w:spacing w:after="0" w:line="114" w:lineRule="exact"/>
        <w:rPr>
          <w:sz w:val="20"/>
          <w:szCs w:val="20"/>
          <w:color w:val="auto"/>
        </w:rPr>
      </w:pPr>
    </w:p>
    <w:p>
      <w:pPr>
        <w:ind w:left="340" w:right="1920"/>
        <w:spacing w:after="0" w:line="282" w:lineRule="auto"/>
        <w:rPr>
          <w:sz w:val="20"/>
          <w:szCs w:val="20"/>
          <w:color w:val="auto"/>
        </w:rPr>
      </w:pPr>
      <w:r>
        <w:rPr>
          <w:rFonts w:ascii="Arial" w:cs="Arial" w:eastAsia="Arial" w:hAnsi="Arial"/>
          <w:sz w:val="18"/>
          <w:szCs w:val="18"/>
          <w:b w:val="1"/>
          <w:bCs w:val="1"/>
          <w:color w:val="auto"/>
        </w:rPr>
        <w:t xml:space="preserve">Additional Terms: </w:t>
      </w:r>
      <w:r>
        <w:rPr>
          <w:rFonts w:ascii="Arial" w:cs="Arial" w:eastAsia="Arial" w:hAnsi="Arial"/>
          <w:sz w:val="18"/>
          <w:szCs w:val="18"/>
          <w:color w:val="auto"/>
        </w:rPr>
        <w:t>o If this box is checked, the additional terms and conditions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Attachment 1</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are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are incorporated herein by reference. (No document need be attached as </w:t>
      </w:r>
      <w:r>
        <w:rPr>
          <w:rFonts w:ascii="Arial" w:cs="Arial" w:eastAsia="Arial" w:hAnsi="Arial"/>
          <w:sz w:val="18"/>
          <w:szCs w:val="18"/>
          <w:u w:val="single" w:color="auto"/>
          <w:color w:val="auto"/>
        </w:rPr>
        <w:t>Attachment 1</w:t>
      </w:r>
      <w:r>
        <w:rPr>
          <w:rFonts w:ascii="Arial" w:cs="Arial" w:eastAsia="Arial" w:hAnsi="Arial"/>
          <w:sz w:val="18"/>
          <w:szCs w:val="18"/>
          <w:color w:val="auto"/>
        </w:rPr>
        <w:t>).</w:t>
      </w:r>
    </w:p>
    <w:p>
      <w:pPr>
        <w:spacing w:after="0" w:line="139" w:lineRule="exact"/>
        <w:rPr>
          <w:sz w:val="20"/>
          <w:szCs w:val="20"/>
          <w:color w:val="auto"/>
        </w:rPr>
      </w:pPr>
    </w:p>
    <w:p>
      <w:pPr>
        <w:ind w:left="340" w:right="1860"/>
        <w:spacing w:after="0" w:line="342" w:lineRule="auto"/>
        <w:rPr>
          <w:sz w:val="20"/>
          <w:szCs w:val="20"/>
          <w:color w:val="auto"/>
        </w:rPr>
      </w:pPr>
      <w:r>
        <w:rPr>
          <w:rFonts w:ascii="Arial" w:cs="Arial" w:eastAsia="Arial" w:hAnsi="Arial"/>
          <w:sz w:val="16"/>
          <w:szCs w:val="16"/>
          <w:color w:val="auto"/>
        </w:rPr>
        <w:t>The Plan and the Statement of Terms and Conditions attached hereto are incorporated herein by reference. Capitalized terms not defined herein shall have the meanings ascribed to them in the Plan or in the Statement of Terms and Conditions, as applicable.</w:t>
      </w:r>
    </w:p>
    <w:p>
      <w:pPr>
        <w:spacing w:after="0" w:line="83" w:lineRule="exact"/>
        <w:rPr>
          <w:sz w:val="20"/>
          <w:szCs w:val="20"/>
          <w:color w:val="auto"/>
        </w:rPr>
      </w:pPr>
    </w:p>
    <w:p>
      <w:pPr>
        <w:ind w:left="340" w:right="1900"/>
        <w:spacing w:after="0" w:line="264" w:lineRule="auto"/>
        <w:rPr>
          <w:sz w:val="20"/>
          <w:szCs w:val="20"/>
          <w:color w:val="auto"/>
        </w:rPr>
      </w:pPr>
      <w:r>
        <w:rPr>
          <w:rFonts w:ascii="Arial" w:cs="Arial" w:eastAsia="Arial" w:hAnsi="Arial"/>
          <w:sz w:val="18"/>
          <w:szCs w:val="18"/>
          <w:color w:val="auto"/>
        </w:rPr>
        <w:t>The Optionee acknowledges receipt of a copy of the Plan, the Statement of Terms and Conditions and the Plan Prospectus, represents that the Optionee has carefully read and is familiar with their provisions, and hereby accepts the Option subject to all of their terms and conditions.</w:t>
      </w:r>
    </w:p>
    <w:p>
      <w:pPr>
        <w:spacing w:after="0" w:line="141" w:lineRule="exact"/>
        <w:rPr>
          <w:sz w:val="20"/>
          <w:szCs w:val="20"/>
          <w:color w:val="auto"/>
        </w:rPr>
      </w:pPr>
    </w:p>
    <w:p>
      <w:pPr>
        <w:ind w:left="340" w:right="1880"/>
        <w:spacing w:after="0" w:line="277" w:lineRule="auto"/>
        <w:rPr>
          <w:sz w:val="20"/>
          <w:szCs w:val="20"/>
          <w:color w:val="auto"/>
        </w:rPr>
      </w:pPr>
      <w:r>
        <w:rPr>
          <w:rFonts w:ascii="Arial" w:cs="Arial" w:eastAsia="Arial" w:hAnsi="Arial"/>
          <w:sz w:val="18"/>
          <w:szCs w:val="18"/>
          <w:color w:val="auto"/>
        </w:rPr>
        <w:t>Please sign your name in the space provided below on this Option Agreement and return an executed copy to Erin Andre, ABM Industries Incorporated, 551 Fifth Avenue, Suite 300, New York, New York 10176.</w:t>
      </w:r>
    </w:p>
    <w:p>
      <w:pPr>
        <w:spacing w:after="0" w:line="143" w:lineRule="exact"/>
        <w:rPr>
          <w:sz w:val="20"/>
          <w:szCs w:val="20"/>
          <w:color w:val="auto"/>
        </w:rPr>
      </w:pPr>
    </w:p>
    <w:p>
      <w:pPr>
        <w:ind w:left="340" w:right="1820"/>
        <w:spacing w:after="0" w:line="342" w:lineRule="auto"/>
        <w:rPr>
          <w:sz w:val="20"/>
          <w:szCs w:val="20"/>
          <w:color w:val="auto"/>
        </w:rPr>
      </w:pPr>
      <w:r>
        <w:rPr>
          <w:rFonts w:ascii="Arial" w:cs="Arial" w:eastAsia="Arial" w:hAnsi="Arial"/>
          <w:sz w:val="16"/>
          <w:szCs w:val="16"/>
          <w:color w:val="auto"/>
        </w:rPr>
        <w:t xml:space="preserve">By their signatures below, the Company and the Optionee agree that the Option is granted under and governed by this Option Agreement (including </w:t>
      </w:r>
      <w:r>
        <w:rPr>
          <w:rFonts w:ascii="Arial" w:cs="Arial" w:eastAsia="Arial" w:hAnsi="Arial"/>
          <w:sz w:val="16"/>
          <w:szCs w:val="16"/>
          <w:u w:val="single" w:color="auto"/>
          <w:color w:val="auto"/>
        </w:rPr>
        <w:t>Attachment 1</w:t>
      </w:r>
      <w:r>
        <w:rPr>
          <w:rFonts w:ascii="Arial" w:cs="Arial" w:eastAsia="Arial" w:hAnsi="Arial"/>
          <w:sz w:val="16"/>
          <w:szCs w:val="16"/>
          <w:color w:val="auto"/>
        </w:rPr>
        <w:t>, if applicable) and by the provisions of the Plan and the Statement of Terms and Conditions.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4"/>
          </w:tcPr>
          <w:p>
            <w:pPr>
              <w:ind w:left="340"/>
              <w:spacing w:after="0"/>
              <w:rPr>
                <w:sz w:val="20"/>
                <w:szCs w:val="20"/>
                <w:color w:val="auto"/>
              </w:rPr>
            </w:pPr>
            <w:r>
              <w:rPr>
                <w:rFonts w:ascii="Arial" w:cs="Arial" w:eastAsia="Arial" w:hAnsi="Arial"/>
                <w:sz w:val="18"/>
                <w:szCs w:val="18"/>
                <w:color w:val="auto"/>
              </w:rPr>
              <w:t>ABM INDUSTRIES INCORPORATED</w:t>
            </w:r>
          </w:p>
        </w:tc>
        <w:tc>
          <w:tcPr>
            <w:tcW w:w="4440" w:type="dxa"/>
            <w:vAlign w:val="bottom"/>
            <w:gridSpan w:val="2"/>
          </w:tcPr>
          <w:p>
            <w:pPr>
              <w:spacing w:after="0"/>
              <w:rPr>
                <w:sz w:val="20"/>
                <w:szCs w:val="20"/>
                <w:color w:val="auto"/>
              </w:rPr>
            </w:pPr>
            <w:r>
              <w:rPr>
                <w:rFonts w:ascii="Arial" w:cs="Arial" w:eastAsia="Arial" w:hAnsi="Arial"/>
                <w:sz w:val="18"/>
                <w:szCs w:val="18"/>
                <w:color w:val="auto"/>
              </w:rPr>
              <w:t>OPTIONEE</w:t>
            </w:r>
          </w:p>
        </w:tc>
        <w:tc>
          <w:tcPr>
            <w:tcW w:w="1760" w:type="dxa"/>
            <w:vAlign w:val="bottom"/>
          </w:tcPr>
          <w:p>
            <w:pPr>
              <w:spacing w:after="0"/>
              <w:rPr>
                <w:sz w:val="20"/>
                <w:szCs w:val="20"/>
                <w:color w:val="auto"/>
              </w:rPr>
            </w:pPr>
          </w:p>
        </w:tc>
      </w:tr>
      <w:tr>
        <w:trPr>
          <w:trHeight w:val="432"/>
        </w:trPr>
        <w:tc>
          <w:tcPr>
            <w:tcW w:w="1160" w:type="dxa"/>
            <w:vAlign w:val="bottom"/>
          </w:tcPr>
          <w:p>
            <w:pPr>
              <w:ind w:left="340"/>
              <w:spacing w:after="0"/>
              <w:rPr>
                <w:sz w:val="20"/>
                <w:szCs w:val="20"/>
                <w:color w:val="auto"/>
              </w:rPr>
            </w:pPr>
            <w:r>
              <w:rPr>
                <w:rFonts w:ascii="Arial" w:cs="Arial" w:eastAsia="Arial" w:hAnsi="Arial"/>
                <w:sz w:val="18"/>
                <w:szCs w:val="18"/>
                <w:color w:val="auto"/>
              </w:rPr>
              <w:t>By:</w:t>
            </w:r>
          </w:p>
        </w:tc>
        <w:tc>
          <w:tcPr>
            <w:tcW w:w="6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760" w:type="dxa"/>
            <w:vAlign w:val="bottom"/>
          </w:tcPr>
          <w:p>
            <w:pPr>
              <w:spacing w:after="0"/>
              <w:rPr>
                <w:sz w:val="24"/>
                <w:szCs w:val="24"/>
                <w:color w:val="auto"/>
              </w:rPr>
            </w:pPr>
          </w:p>
        </w:tc>
      </w:tr>
      <w:tr>
        <w:trPr>
          <w:trHeight w:val="871"/>
        </w:trPr>
        <w:tc>
          <w:tcPr>
            <w:tcW w:w="1160" w:type="dxa"/>
            <w:vAlign w:val="bottom"/>
          </w:tcPr>
          <w:p>
            <w:pPr>
              <w:ind w:left="340"/>
              <w:spacing w:after="0"/>
              <w:rPr>
                <w:sz w:val="20"/>
                <w:szCs w:val="20"/>
                <w:color w:val="auto"/>
              </w:rPr>
            </w:pPr>
            <w:r>
              <w:rPr>
                <w:rFonts w:ascii="Arial" w:cs="Arial" w:eastAsia="Arial" w:hAnsi="Arial"/>
                <w:sz w:val="18"/>
                <w:szCs w:val="18"/>
                <w:color w:val="auto"/>
              </w:rPr>
              <w:t>Date:</w:t>
            </w:r>
          </w:p>
        </w:tc>
        <w:tc>
          <w:tcPr>
            <w:tcW w:w="6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Borders>
              <w:bottom w:val="single" w:sz="8" w:color="auto"/>
            </w:tcBorders>
          </w:tcPr>
          <w:p>
            <w:pPr>
              <w:spacing w:after="0"/>
              <w:rPr>
                <w:sz w:val="24"/>
                <w:szCs w:val="24"/>
                <w:color w:val="auto"/>
              </w:rPr>
            </w:pPr>
          </w:p>
        </w:tc>
        <w:tc>
          <w:tcPr>
            <w:tcW w:w="1760" w:type="dxa"/>
            <w:vAlign w:val="bottom"/>
          </w:tcPr>
          <w:p>
            <w:pPr>
              <w:spacing w:after="0"/>
              <w:rPr>
                <w:sz w:val="24"/>
                <w:szCs w:val="24"/>
                <w:color w:val="auto"/>
              </w:rPr>
            </w:pPr>
          </w:p>
        </w:tc>
      </w:tr>
      <w:tr>
        <w:trPr>
          <w:trHeight w:val="384"/>
        </w:trPr>
        <w:tc>
          <w:tcPr>
            <w:tcW w:w="5220" w:type="dxa"/>
            <w:vAlign w:val="bottom"/>
            <w:gridSpan w:val="4"/>
          </w:tcPr>
          <w:p>
            <w:pPr>
              <w:ind w:left="340"/>
              <w:spacing w:after="0"/>
              <w:rPr>
                <w:sz w:val="20"/>
                <w:szCs w:val="20"/>
                <w:color w:val="auto"/>
              </w:rPr>
            </w:pPr>
            <w:r>
              <w:rPr>
                <w:rFonts w:ascii="Arial" w:cs="Arial" w:eastAsia="Arial" w:hAnsi="Arial"/>
                <w:sz w:val="18"/>
                <w:szCs w:val="18"/>
                <w:color w:val="auto"/>
                <w:w w:val="98"/>
              </w:rPr>
              <w:t>Attachments: Attachment 1 (Additional Terms and Conditions)</w:t>
            </w:r>
          </w:p>
        </w:tc>
        <w:tc>
          <w:tcPr>
            <w:tcW w:w="8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1760" w:type="dxa"/>
            <w:vAlign w:val="bottom"/>
            <w:gridSpan w:val="2"/>
          </w:tcPr>
          <w:p>
            <w:pPr>
              <w:ind w:left="1380"/>
              <w:spacing w:after="0"/>
              <w:rPr>
                <w:sz w:val="20"/>
                <w:szCs w:val="20"/>
                <w:color w:val="auto"/>
              </w:rPr>
            </w:pPr>
            <w:r>
              <w:rPr>
                <w:rFonts w:ascii="Arial" w:cs="Arial" w:eastAsia="Arial" w:hAnsi="Arial"/>
                <w:sz w:val="18"/>
                <w:szCs w:val="18"/>
                <w:color w:val="auto"/>
                <w:w w:val="89"/>
              </w:rPr>
              <w:t>2006</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Equity Incentive Plan</w:t>
            </w:r>
          </w:p>
        </w:tc>
        <w:tc>
          <w:tcPr>
            <w:tcW w:w="8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Statement of Terms and Conditions</w:t>
            </w:r>
          </w:p>
        </w:tc>
        <w:tc>
          <w:tcPr>
            <w:tcW w:w="8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1760" w:type="dxa"/>
            <w:vAlign w:val="bottom"/>
            <w:gridSpan w:val="2"/>
          </w:tcPr>
          <w:p>
            <w:pPr>
              <w:ind w:left="1380"/>
              <w:spacing w:after="0"/>
              <w:rPr>
                <w:sz w:val="20"/>
                <w:szCs w:val="20"/>
                <w:color w:val="auto"/>
              </w:rPr>
            </w:pPr>
            <w:r>
              <w:rPr>
                <w:rFonts w:ascii="Arial" w:cs="Arial" w:eastAsia="Arial" w:hAnsi="Arial"/>
                <w:sz w:val="18"/>
                <w:szCs w:val="18"/>
                <w:color w:val="auto"/>
                <w:w w:val="89"/>
              </w:rPr>
              <w:t>2006</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Equity Incentive Plan Prospectus</w:t>
            </w:r>
          </w:p>
        </w:tc>
        <w:tc>
          <w:tcPr>
            <w:tcW w:w="8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1023"/>
        </w:trPr>
        <w:tc>
          <w:tcPr>
            <w:tcW w:w="11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5" w:name="page36"/>
    <w:bookmarkEnd w:id="35"/>
    <w:p>
      <w:pPr>
        <w:jc w:val="right"/>
        <w:ind w:right="559"/>
        <w:spacing w:after="0"/>
        <w:rPr>
          <w:sz w:val="20"/>
          <w:szCs w:val="20"/>
          <w:color w:val="auto"/>
        </w:rPr>
      </w:pPr>
      <w:r>
        <w:rPr>
          <w:rFonts w:ascii="Arial" w:cs="Arial" w:eastAsia="Arial" w:hAnsi="Arial"/>
          <w:sz w:val="18"/>
          <w:szCs w:val="18"/>
          <w:b w:val="1"/>
          <w:bCs w:val="1"/>
          <w:color w:val="auto"/>
        </w:rPr>
        <w:t>Attachment 1</w:t>
      </w:r>
    </w:p>
    <w:p>
      <w:pPr>
        <w:spacing w:after="0" w:line="19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Additional Terms and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[Insert any applicable additional terms and conditions,]</w:t>
      </w:r>
    </w:p>
    <w:p>
      <w:pPr>
        <w:sectPr>
          <w:pgSz w:w="11900" w:h="16838" w:orient="portrait"/>
          <w:cols w:equalWidth="0" w:num="1">
            <w:col w:w="9879"/>
          </w:cols>
          <w:pgMar w:left="580" w:top="931" w:right="1440" w:bottom="1440" w:gutter="0" w:footer="0" w:header="0"/>
        </w:sectPr>
      </w:pPr>
    </w:p>
    <w:bookmarkStart w:id="36" w:name="page37"/>
    <w:bookmarkEnd w:id="36"/>
    <w:p>
      <w:pPr>
        <w:ind w:left="8740"/>
        <w:spacing w:after="0"/>
        <w:rPr>
          <w:sz w:val="20"/>
          <w:szCs w:val="20"/>
          <w:color w:val="auto"/>
        </w:rPr>
      </w:pPr>
      <w:r>
        <w:rPr>
          <w:rFonts w:ascii="Arial" w:cs="Arial" w:eastAsia="Arial" w:hAnsi="Arial"/>
          <w:sz w:val="16"/>
          <w:szCs w:val="16"/>
          <w:b w:val="1"/>
          <w:bCs w:val="1"/>
          <w:color w:val="auto"/>
        </w:rPr>
        <w:t>Exhibit 10.5</w:t>
      </w:r>
    </w:p>
    <w:p>
      <w:pPr>
        <w:spacing w:after="0" w:line="212"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ABM INDUSTRIES INCORPORATED</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RESTRICTED STOCK UNIT AGREEMENT</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2006 EQUITY INCENTIVE PLAN</w:t>
      </w:r>
    </w:p>
    <w:p>
      <w:pPr>
        <w:spacing w:after="0" w:line="180" w:lineRule="exact"/>
        <w:rPr>
          <w:sz w:val="20"/>
          <w:szCs w:val="20"/>
          <w:color w:val="auto"/>
        </w:rPr>
      </w:pPr>
    </w:p>
    <w:p>
      <w:pPr>
        <w:ind w:left="340" w:right="2060"/>
        <w:spacing w:after="0" w:line="266" w:lineRule="auto"/>
        <w:rPr>
          <w:sz w:val="20"/>
          <w:szCs w:val="20"/>
          <w:color w:val="auto"/>
        </w:rPr>
      </w:pPr>
      <w:r>
        <w:rPr>
          <w:rFonts w:ascii="Arial" w:cs="Arial" w:eastAsia="Arial" w:hAnsi="Arial"/>
          <w:sz w:val="18"/>
          <w:szCs w:val="18"/>
          <w:color w:val="auto"/>
        </w:rPr>
        <w:t>The Compensation Committee of the Board of Directors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of ABM Industries Incorporated (the “</w:t>
      </w:r>
      <w:r>
        <w:rPr>
          <w:rFonts w:ascii="Arial" w:cs="Arial" w:eastAsia="Arial" w:hAnsi="Arial"/>
          <w:sz w:val="18"/>
          <w:szCs w:val="18"/>
          <w:b w:val="1"/>
          <w:bCs w:val="1"/>
          <w:color w:val="auto"/>
        </w:rPr>
        <w:t>Company</w:t>
      </w:r>
      <w:r>
        <w:rPr>
          <w:rFonts w:ascii="Arial" w:cs="Arial" w:eastAsia="Arial" w:hAnsi="Arial"/>
          <w:sz w:val="18"/>
          <w:szCs w:val="18"/>
          <w:color w:val="auto"/>
        </w:rPr>
        <w:t>”) has approved a grant to you (the “</w:t>
      </w:r>
      <w:r>
        <w:rPr>
          <w:rFonts w:ascii="Arial" w:cs="Arial" w:eastAsia="Arial" w:hAnsi="Arial"/>
          <w:sz w:val="18"/>
          <w:szCs w:val="18"/>
          <w:b w:val="1"/>
          <w:bCs w:val="1"/>
          <w:color w:val="auto"/>
        </w:rPr>
        <w:t>Grantee</w:t>
      </w:r>
      <w:r>
        <w:rPr>
          <w:rFonts w:ascii="Arial" w:cs="Arial" w:eastAsia="Arial" w:hAnsi="Arial"/>
          <w:sz w:val="18"/>
          <w:szCs w:val="18"/>
          <w:color w:val="auto"/>
        </w:rPr>
        <w:t>”) of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pursuant to the ABM Industries Incorporated 2006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as described below.</w:t>
      </w:r>
    </w:p>
    <w:p>
      <w:pPr>
        <w:sectPr>
          <w:pgSz w:w="11900" w:h="16838" w:orient="portrait"/>
          <w:cols w:equalWidth="0" w:num="1">
            <w:col w:w="11420"/>
          </w:cols>
          <w:pgMar w:left="240" w:top="121" w:right="239" w:bottom="1440" w:gutter="0" w:footer="0" w:header="0"/>
        </w:sectPr>
      </w:pP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Grantee Name: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ectPr>
          <w:pgSz w:w="11900" w:h="16838" w:orient="portrait"/>
          <w:cols w:equalWidth="0" w:num="2">
            <w:col w:w="2420" w:space="720"/>
            <w:col w:w="8280"/>
          </w:cols>
          <w:pgMar w:left="240" w:top="121" w:right="239" w:bottom="1440" w:gutter="0" w:footer="0" w:header="0"/>
          <w:type w:val="continuous"/>
        </w:sectPr>
      </w:pPr>
    </w:p>
    <w:p>
      <w:pPr>
        <w:spacing w:after="0" w:line="4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Number of RSUs Granted: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RSUs)</w:t>
      </w:r>
    </w:p>
    <w:p>
      <w:pPr>
        <w:spacing w:after="0" w:line="200" w:lineRule="exact"/>
        <w:rPr>
          <w:sz w:val="20"/>
          <w:szCs w:val="20"/>
          <w:color w:val="auto"/>
        </w:rPr>
      </w:pPr>
    </w:p>
    <w:p>
      <w:pPr>
        <w:sectPr>
          <w:pgSz w:w="11900" w:h="16838" w:orient="portrait"/>
          <w:cols w:equalWidth="0" w:num="2">
            <w:col w:w="2420" w:space="720"/>
            <w:col w:w="8280"/>
          </w:cols>
          <w:pgMar w:left="240" w:top="121" w:right="239" w:bottom="1440" w:gutter="0" w:footer="0" w:header="0"/>
          <w:type w:val="continuous"/>
        </w:sectPr>
      </w:pPr>
    </w:p>
    <w:p>
      <w:pPr>
        <w:spacing w:after="0" w:line="4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Date of Grant:</w:t>
      </w:r>
    </w:p>
    <w:p>
      <w:pPr>
        <w:sectPr>
          <w:pgSz w:w="11900" w:h="16838" w:orient="portrait"/>
          <w:cols w:equalWidth="0" w:num="1">
            <w:col w:w="11420"/>
          </w:cols>
          <w:pgMar w:left="240" w:top="121" w:right="239" w:bottom="1440" w:gutter="0" w:footer="0" w:header="0"/>
          <w:type w:val="continuous"/>
        </w:sect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(specify)</w:t>
      </w:r>
    </w:p>
    <w:p>
      <w:pPr>
        <w:spacing w:after="0" w:line="200" w:lineRule="exact"/>
        <w:rPr>
          <w:sz w:val="20"/>
          <w:szCs w:val="20"/>
          <w:color w:val="auto"/>
        </w:rPr>
      </w:pPr>
    </w:p>
    <w:p>
      <w:pPr>
        <w:sectPr>
          <w:pgSz w:w="11900" w:h="16838" w:orient="portrait"/>
          <w:cols w:equalWidth="0" w:num="2">
            <w:col w:w="2420" w:space="720"/>
            <w:col w:w="8280"/>
          </w:cols>
          <w:pgMar w:left="240" w:top="121" w:right="239" w:bottom="1440" w:gutter="0" w:footer="0" w:header="0"/>
          <w:type w:val="continuous"/>
        </w:sectPr>
      </w:pPr>
    </w:p>
    <w:p>
      <w:pPr>
        <w:spacing w:after="0" w:line="8" w:lineRule="exact"/>
        <w:rPr>
          <w:sz w:val="20"/>
          <w:szCs w:val="20"/>
          <w:color w:val="auto"/>
        </w:rPr>
      </w:pPr>
    </w:p>
    <w:p>
      <w:pPr>
        <w:ind w:left="340" w:right="1800"/>
        <w:spacing w:after="0" w:line="255" w:lineRule="auto"/>
        <w:rPr>
          <w:sz w:val="20"/>
          <w:szCs w:val="20"/>
          <w:color w:val="auto"/>
        </w:rPr>
      </w:pPr>
      <w:r>
        <w:rPr>
          <w:rFonts w:ascii="Arial" w:cs="Arial" w:eastAsia="Arial" w:hAnsi="Arial"/>
          <w:sz w:val="18"/>
          <w:szCs w:val="18"/>
          <w:color w:val="auto"/>
        </w:rPr>
        <w:t xml:space="preserve">Provided you continue to provide services to the Company or any subsidiary or parent of the Company through the applicable vesting date, the RSUs will vest and restrictions will lapse as provided above. Unvested RSUs may be subject to forfeiture if you terminate employment before the vesting date, as set forth in the Plan, the Statement of Terms and Conditions and </w:t>
      </w:r>
      <w:r>
        <w:rPr>
          <w:rFonts w:ascii="Arial" w:cs="Arial" w:eastAsia="Arial" w:hAnsi="Arial"/>
          <w:sz w:val="18"/>
          <w:szCs w:val="18"/>
          <w:u w:val="single" w:color="auto"/>
          <w:color w:val="auto"/>
        </w:rPr>
        <w:t>Attachment 1</w:t>
      </w:r>
      <w:r>
        <w:rPr>
          <w:rFonts w:ascii="Arial" w:cs="Arial" w:eastAsia="Arial" w:hAnsi="Arial"/>
          <w:sz w:val="18"/>
          <w:szCs w:val="18"/>
          <w:color w:val="auto"/>
        </w:rPr>
        <w:t xml:space="preserve"> attached hereto. In addition, unvested RSUs, shares received in connection with the vesting of RSUs and amounts realized on the sale of such shares may be subject to forfeiture under the circumstances set forth in the Plan and the Statement of Terms and Conditions.</w:t>
      </w:r>
    </w:p>
    <w:p>
      <w:pPr>
        <w:spacing w:after="0" w:line="149" w:lineRule="exact"/>
        <w:rPr>
          <w:sz w:val="20"/>
          <w:szCs w:val="20"/>
          <w:color w:val="auto"/>
        </w:rPr>
      </w:pPr>
    </w:p>
    <w:p>
      <w:pPr>
        <w:ind w:left="340" w:right="1920"/>
        <w:spacing w:after="0" w:line="282" w:lineRule="auto"/>
        <w:rPr>
          <w:sz w:val="20"/>
          <w:szCs w:val="20"/>
          <w:color w:val="auto"/>
        </w:rPr>
      </w:pPr>
      <w:r>
        <w:rPr>
          <w:rFonts w:ascii="Arial" w:cs="Arial" w:eastAsia="Arial" w:hAnsi="Arial"/>
          <w:sz w:val="18"/>
          <w:szCs w:val="18"/>
          <w:b w:val="1"/>
          <w:bCs w:val="1"/>
          <w:color w:val="auto"/>
        </w:rPr>
        <w:t xml:space="preserve">Additional Terms: </w:t>
      </w:r>
      <w:r>
        <w:rPr>
          <w:rFonts w:ascii="Arial" w:cs="Arial" w:eastAsia="Arial" w:hAnsi="Arial"/>
          <w:sz w:val="18"/>
          <w:szCs w:val="18"/>
          <w:color w:val="auto"/>
        </w:rPr>
        <w:t>o If this box is checked, the additional terms and conditions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Attachment 1</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are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are incorporated herein by reference. (No document need be attached as </w:t>
      </w:r>
      <w:r>
        <w:rPr>
          <w:rFonts w:ascii="Arial" w:cs="Arial" w:eastAsia="Arial" w:hAnsi="Arial"/>
          <w:sz w:val="18"/>
          <w:szCs w:val="18"/>
          <w:u w:val="single" w:color="auto"/>
          <w:color w:val="auto"/>
        </w:rPr>
        <w:t>Attachment 1</w:t>
      </w:r>
      <w:r>
        <w:rPr>
          <w:rFonts w:ascii="Arial" w:cs="Arial" w:eastAsia="Arial" w:hAnsi="Arial"/>
          <w:sz w:val="18"/>
          <w:szCs w:val="18"/>
          <w:color w:val="auto"/>
        </w:rPr>
        <w:t>).</w:t>
      </w:r>
    </w:p>
    <w:p>
      <w:pPr>
        <w:spacing w:after="0" w:line="139" w:lineRule="exact"/>
        <w:rPr>
          <w:sz w:val="20"/>
          <w:szCs w:val="20"/>
          <w:color w:val="auto"/>
        </w:rPr>
      </w:pPr>
    </w:p>
    <w:p>
      <w:pPr>
        <w:jc w:val="both"/>
        <w:ind w:left="340" w:right="1880"/>
        <w:spacing w:after="0" w:line="288" w:lineRule="auto"/>
        <w:rPr>
          <w:sz w:val="20"/>
          <w:szCs w:val="20"/>
          <w:color w:val="auto"/>
        </w:rPr>
      </w:pPr>
      <w:r>
        <w:rPr>
          <w:rFonts w:ascii="Arial" w:cs="Arial" w:eastAsia="Arial" w:hAnsi="Arial"/>
          <w:sz w:val="16"/>
          <w:szCs w:val="16"/>
          <w:color w:val="auto"/>
        </w:rPr>
        <w:t xml:space="preserve">By their signatures below, the Company and the Grantee agree that the RSUs are granted under and governed by this Restricted Stock Unit Agreement (including </w:t>
      </w:r>
      <w:r>
        <w:rPr>
          <w:rFonts w:ascii="Arial" w:cs="Arial" w:eastAsia="Arial" w:hAnsi="Arial"/>
          <w:sz w:val="16"/>
          <w:szCs w:val="16"/>
          <w:u w:val="single" w:color="auto"/>
          <w:color w:val="auto"/>
        </w:rPr>
        <w:t>Attachment 1</w:t>
      </w:r>
      <w:r>
        <w:rPr>
          <w:rFonts w:ascii="Arial" w:cs="Arial" w:eastAsia="Arial" w:hAnsi="Arial"/>
          <w:sz w:val="16"/>
          <w:szCs w:val="16"/>
          <w:color w:val="auto"/>
        </w:rPr>
        <w:t>, if applicable) and by the provisions of the Plan and the Statement of Terms and Conditions attached hereto. The Plan and the Statement of Terms and Conditions are incorporated herein by reference.</w:t>
      </w:r>
    </w:p>
    <w:p>
      <w:pPr>
        <w:ind w:left="340" w:right="2240"/>
        <w:spacing w:after="0" w:line="261" w:lineRule="auto"/>
        <w:rPr>
          <w:sz w:val="20"/>
          <w:szCs w:val="20"/>
          <w:color w:val="auto"/>
        </w:rPr>
      </w:pPr>
      <w:r>
        <w:rPr>
          <w:rFonts w:ascii="Arial" w:cs="Arial" w:eastAsia="Arial" w:hAnsi="Arial"/>
          <w:sz w:val="18"/>
          <w:szCs w:val="18"/>
          <w:color w:val="auto"/>
        </w:rPr>
        <w:t>Capitalized terms not defined herein shall have the meanings ascribed to them in the Plan or in the Statement of Terms and Conditions, as applicable.</w:t>
      </w:r>
    </w:p>
    <w:p>
      <w:pPr>
        <w:spacing w:after="0" w:line="143" w:lineRule="exact"/>
        <w:rPr>
          <w:sz w:val="20"/>
          <w:szCs w:val="20"/>
          <w:color w:val="auto"/>
        </w:rPr>
      </w:pPr>
    </w:p>
    <w:p>
      <w:pPr>
        <w:ind w:left="340" w:right="1860"/>
        <w:spacing w:after="0" w:line="257" w:lineRule="auto"/>
        <w:rPr>
          <w:sz w:val="20"/>
          <w:szCs w:val="20"/>
          <w:color w:val="auto"/>
        </w:rPr>
      </w:pPr>
      <w:r>
        <w:rPr>
          <w:rFonts w:ascii="Arial" w:cs="Arial" w:eastAsia="Arial" w:hAnsi="Arial"/>
          <w:sz w:val="18"/>
          <w:szCs w:val="18"/>
          <w:color w:val="auto"/>
        </w:rPr>
        <w:t>The Grantee acknowledges receipt of a copy of the Plan, the Statement of Terms and Conditions and the Plan Prospectus, represents that the Grantee has carefully read and is familiar with their provisions, and hereby accepts the RSUs subject to all of their terms and conditions. The Grantee acknowledges that there may be adverse tax consequences upon settlement of the RSUs or disposition of the shares, if any, received in connection therewith and that Grantee should consult a tax adviser prior to such settlement or disposition.</w:t>
      </w:r>
    </w:p>
    <w:p>
      <w:pPr>
        <w:spacing w:after="0" w:line="148" w:lineRule="exact"/>
        <w:rPr>
          <w:sz w:val="20"/>
          <w:szCs w:val="20"/>
          <w:color w:val="auto"/>
        </w:rPr>
      </w:pPr>
    </w:p>
    <w:p>
      <w:pPr>
        <w:ind w:left="340" w:right="1820"/>
        <w:spacing w:after="0" w:line="277" w:lineRule="auto"/>
        <w:rPr>
          <w:sz w:val="20"/>
          <w:szCs w:val="20"/>
          <w:color w:val="auto"/>
        </w:rPr>
      </w:pPr>
      <w:r>
        <w:rPr>
          <w:rFonts w:ascii="Arial" w:cs="Arial" w:eastAsia="Arial" w:hAnsi="Arial"/>
          <w:sz w:val="18"/>
          <w:szCs w:val="18"/>
          <w:color w:val="auto"/>
        </w:rPr>
        <w:t>Please sign your name in the space provided below on this Restricted Stock Unit Agreement and return an executed copy to Erin Andre, ABM Industries Incorporated, 551 Fifth Avenue, Suite 300, New York, New York 10176.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3"/>
          </w:tcPr>
          <w:p>
            <w:pPr>
              <w:ind w:left="340"/>
              <w:spacing w:after="0"/>
              <w:rPr>
                <w:sz w:val="20"/>
                <w:szCs w:val="20"/>
                <w:color w:val="auto"/>
              </w:rPr>
            </w:pPr>
            <w:r>
              <w:rPr>
                <w:rFonts w:ascii="Arial" w:cs="Arial" w:eastAsia="Arial" w:hAnsi="Arial"/>
                <w:sz w:val="18"/>
                <w:szCs w:val="18"/>
                <w:color w:val="auto"/>
              </w:rPr>
              <w:t>ABM INDUSTRIES INCORPORATED</w:t>
            </w:r>
          </w:p>
        </w:tc>
        <w:tc>
          <w:tcPr>
            <w:tcW w:w="4440" w:type="dxa"/>
            <w:vAlign w:val="bottom"/>
            <w:gridSpan w:val="2"/>
          </w:tcPr>
          <w:p>
            <w:pPr>
              <w:spacing w:after="0"/>
              <w:rPr>
                <w:sz w:val="20"/>
                <w:szCs w:val="20"/>
                <w:color w:val="auto"/>
              </w:rPr>
            </w:pPr>
            <w:r>
              <w:rPr>
                <w:rFonts w:ascii="Arial" w:cs="Arial" w:eastAsia="Arial" w:hAnsi="Arial"/>
                <w:sz w:val="18"/>
                <w:szCs w:val="18"/>
                <w:color w:val="auto"/>
              </w:rPr>
              <w:t>GRANTEE</w:t>
            </w:r>
          </w:p>
        </w:tc>
        <w:tc>
          <w:tcPr>
            <w:tcW w:w="1760" w:type="dxa"/>
            <w:vAlign w:val="bottom"/>
          </w:tcPr>
          <w:p>
            <w:pPr>
              <w:spacing w:after="0"/>
              <w:rPr>
                <w:sz w:val="20"/>
                <w:szCs w:val="20"/>
                <w:color w:val="auto"/>
              </w:rPr>
            </w:pPr>
          </w:p>
        </w:tc>
      </w:tr>
      <w:tr>
        <w:trPr>
          <w:trHeight w:val="432"/>
        </w:trPr>
        <w:tc>
          <w:tcPr>
            <w:tcW w:w="1160" w:type="dxa"/>
            <w:vAlign w:val="bottom"/>
          </w:tcPr>
          <w:p>
            <w:pPr>
              <w:ind w:left="340"/>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760" w:type="dxa"/>
            <w:vAlign w:val="bottom"/>
          </w:tcPr>
          <w:p>
            <w:pPr>
              <w:spacing w:after="0"/>
              <w:rPr>
                <w:sz w:val="24"/>
                <w:szCs w:val="24"/>
                <w:color w:val="auto"/>
              </w:rPr>
            </w:pPr>
          </w:p>
        </w:tc>
      </w:tr>
      <w:tr>
        <w:trPr>
          <w:trHeight w:val="871"/>
        </w:trPr>
        <w:tc>
          <w:tcPr>
            <w:tcW w:w="1160" w:type="dxa"/>
            <w:vAlign w:val="bottom"/>
          </w:tcPr>
          <w:p>
            <w:pPr>
              <w:ind w:left="340"/>
              <w:spacing w:after="0"/>
              <w:rPr>
                <w:sz w:val="20"/>
                <w:szCs w:val="20"/>
                <w:color w:val="auto"/>
              </w:rPr>
            </w:pPr>
            <w:r>
              <w:rPr>
                <w:rFonts w:ascii="Arial" w:cs="Arial" w:eastAsia="Arial" w:hAnsi="Arial"/>
                <w:sz w:val="18"/>
                <w:szCs w:val="18"/>
                <w:color w:val="auto"/>
              </w:rPr>
              <w:t>Date:</w:t>
            </w:r>
          </w:p>
        </w:tc>
        <w:tc>
          <w:tcPr>
            <w:tcW w:w="36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Borders>
              <w:bottom w:val="single" w:sz="8" w:color="auto"/>
            </w:tcBorders>
          </w:tcPr>
          <w:p>
            <w:pPr>
              <w:spacing w:after="0"/>
              <w:rPr>
                <w:sz w:val="24"/>
                <w:szCs w:val="24"/>
                <w:color w:val="auto"/>
              </w:rPr>
            </w:pPr>
          </w:p>
        </w:tc>
        <w:tc>
          <w:tcPr>
            <w:tcW w:w="1760" w:type="dxa"/>
            <w:vAlign w:val="bottom"/>
          </w:tcPr>
          <w:p>
            <w:pPr>
              <w:spacing w:after="0"/>
              <w:rPr>
                <w:sz w:val="24"/>
                <w:szCs w:val="24"/>
                <w:color w:val="auto"/>
              </w:rPr>
            </w:pPr>
          </w:p>
        </w:tc>
      </w:tr>
      <w:tr>
        <w:trPr>
          <w:trHeight w:val="398"/>
        </w:trPr>
        <w:tc>
          <w:tcPr>
            <w:tcW w:w="5220" w:type="dxa"/>
            <w:vAlign w:val="bottom"/>
            <w:gridSpan w:val="3"/>
          </w:tcPr>
          <w:p>
            <w:pPr>
              <w:ind w:left="340"/>
              <w:spacing w:after="0"/>
              <w:rPr>
                <w:sz w:val="20"/>
                <w:szCs w:val="20"/>
                <w:color w:val="auto"/>
              </w:rPr>
            </w:pPr>
            <w:r>
              <w:rPr>
                <w:rFonts w:ascii="Arial" w:cs="Arial" w:eastAsia="Arial" w:hAnsi="Arial"/>
                <w:sz w:val="18"/>
                <w:szCs w:val="18"/>
                <w:color w:val="auto"/>
                <w:w w:val="98"/>
              </w:rPr>
              <w:t>Attachments: Attachment 1 (Additional Terms and Conditions)</w:t>
            </w:r>
          </w:p>
        </w:tc>
        <w:tc>
          <w:tcPr>
            <w:tcW w:w="8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ind w:left="220"/>
              <w:spacing w:after="0"/>
              <w:rPr>
                <w:sz w:val="20"/>
                <w:szCs w:val="20"/>
                <w:color w:val="auto"/>
              </w:rPr>
            </w:pPr>
            <w:r>
              <w:rPr>
                <w:rFonts w:ascii="Arial" w:cs="Arial" w:eastAsia="Arial" w:hAnsi="Arial"/>
                <w:sz w:val="18"/>
                <w:szCs w:val="18"/>
                <w:color w:val="auto"/>
              </w:rPr>
              <w:t>2006 Equity Incentive Plan</w:t>
            </w:r>
          </w:p>
        </w:tc>
        <w:tc>
          <w:tcPr>
            <w:tcW w:w="8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ind w:left="220"/>
              <w:spacing w:after="0"/>
              <w:rPr>
                <w:sz w:val="20"/>
                <w:szCs w:val="20"/>
                <w:color w:val="auto"/>
              </w:rPr>
            </w:pPr>
            <w:r>
              <w:rPr>
                <w:rFonts w:ascii="Arial" w:cs="Arial" w:eastAsia="Arial" w:hAnsi="Arial"/>
                <w:sz w:val="18"/>
                <w:szCs w:val="18"/>
                <w:color w:val="auto"/>
              </w:rPr>
              <w:t>Statement of Terms and Conditions</w:t>
            </w:r>
          </w:p>
        </w:tc>
        <w:tc>
          <w:tcPr>
            <w:tcW w:w="8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4060" w:type="dxa"/>
            <w:vAlign w:val="bottom"/>
            <w:gridSpan w:val="2"/>
          </w:tcPr>
          <w:p>
            <w:pPr>
              <w:ind w:left="220"/>
              <w:spacing w:after="0"/>
              <w:rPr>
                <w:sz w:val="20"/>
                <w:szCs w:val="20"/>
                <w:color w:val="auto"/>
              </w:rPr>
            </w:pPr>
            <w:r>
              <w:rPr>
                <w:rFonts w:ascii="Arial" w:cs="Arial" w:eastAsia="Arial" w:hAnsi="Arial"/>
                <w:sz w:val="18"/>
                <w:szCs w:val="18"/>
                <w:color w:val="auto"/>
              </w:rPr>
              <w:t>Prospectus</w:t>
            </w:r>
          </w:p>
        </w:tc>
        <w:tc>
          <w:tcPr>
            <w:tcW w:w="8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1010"/>
        </w:trPr>
        <w:tc>
          <w:tcPr>
            <w:tcW w:w="116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7" w:name="page38"/>
    <w:bookmarkEnd w:id="37"/>
    <w:p>
      <w:pPr>
        <w:jc w:val="right"/>
        <w:ind w:right="559"/>
        <w:spacing w:after="0"/>
        <w:rPr>
          <w:sz w:val="20"/>
          <w:szCs w:val="20"/>
          <w:color w:val="auto"/>
        </w:rPr>
      </w:pPr>
      <w:r>
        <w:rPr>
          <w:rFonts w:ascii="Arial" w:cs="Arial" w:eastAsia="Arial" w:hAnsi="Arial"/>
          <w:sz w:val="18"/>
          <w:szCs w:val="18"/>
          <w:b w:val="1"/>
          <w:bCs w:val="1"/>
          <w:color w:val="auto"/>
        </w:rPr>
        <w:t>Attachment 1</w:t>
      </w:r>
    </w:p>
    <w:p>
      <w:pPr>
        <w:spacing w:after="0" w:line="198"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Additional Terms and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[Insert any applicable additional terms and conditions.]</w:t>
      </w:r>
    </w:p>
    <w:p>
      <w:pPr>
        <w:sectPr>
          <w:pgSz w:w="11900" w:h="16838" w:orient="portrait"/>
          <w:cols w:equalWidth="0" w:num="1">
            <w:col w:w="9699"/>
          </w:cols>
          <w:pgMar w:left="760" w:top="931" w:right="1440" w:bottom="1440" w:gutter="0" w:footer="0" w:header="0"/>
        </w:sectPr>
      </w:pPr>
    </w:p>
    <w:bookmarkStart w:id="38" w:name="page39"/>
    <w:bookmarkEnd w:id="38"/>
    <w:p>
      <w:pPr>
        <w:ind w:left="8"/>
        <w:spacing w:after="0"/>
        <w:rPr>
          <w:sz w:val="20"/>
          <w:szCs w:val="20"/>
          <w:color w:val="auto"/>
        </w:rPr>
      </w:pPr>
      <w:r>
        <w:rPr>
          <w:rFonts w:ascii="Arial" w:cs="Arial" w:eastAsia="Arial" w:hAnsi="Arial"/>
          <w:sz w:val="18"/>
          <w:szCs w:val="18"/>
          <w:color w:val="auto"/>
        </w:rPr>
        <w:t>EXHIBIT 31.1</w:t>
      </w:r>
    </w:p>
    <w:p>
      <w:pPr>
        <w:spacing w:after="0" w:line="148"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SECURITIES EXCHANGE ACT OF 1934</w:t>
      </w:r>
    </w:p>
    <w:p>
      <w:pPr>
        <w:jc w:val="center"/>
        <w:ind w:right="551"/>
        <w:spacing w:after="0"/>
        <w:rPr>
          <w:sz w:val="20"/>
          <w:szCs w:val="20"/>
          <w:color w:val="auto"/>
        </w:rPr>
      </w:pPr>
      <w:r>
        <w:rPr>
          <w:rFonts w:ascii="Arial" w:cs="Arial" w:eastAsia="Arial" w:hAnsi="Arial"/>
          <w:sz w:val="18"/>
          <w:szCs w:val="18"/>
          <w:b w:val="1"/>
          <w:bCs w:val="1"/>
          <w:color w:val="auto"/>
        </w:rPr>
        <w:t>RULE 13a-14(a) OR 15d-14(a)</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I, Henrik C. Slipsager, certify that:</w:t>
      </w:r>
    </w:p>
    <w:p>
      <w:pPr>
        <w:spacing w:after="0" w:line="171" w:lineRule="exact"/>
        <w:rPr>
          <w:sz w:val="20"/>
          <w:szCs w:val="20"/>
          <w:color w:val="auto"/>
        </w:rPr>
      </w:pPr>
    </w:p>
    <w:p>
      <w:pPr>
        <w:ind w:left="348" w:hanging="348"/>
        <w:spacing w:after="0"/>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71" w:lineRule="exact"/>
        <w:rPr>
          <w:rFonts w:ascii="Arial" w:cs="Arial" w:eastAsia="Arial" w:hAnsi="Arial"/>
          <w:sz w:val="18"/>
          <w:szCs w:val="18"/>
          <w:color w:val="auto"/>
        </w:rPr>
      </w:pPr>
    </w:p>
    <w:p>
      <w:pPr>
        <w:jc w:val="both"/>
        <w:ind w:left="348" w:right="559" w:hanging="348"/>
        <w:spacing w:after="0"/>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jc w:val="both"/>
        <w:ind w:left="348" w:right="559" w:hanging="348"/>
        <w:spacing w:after="0"/>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jc w:val="both"/>
        <w:ind w:left="348" w:right="559" w:hanging="348"/>
        <w:spacing w:after="0"/>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jc w:val="both"/>
        <w:ind w:left="708" w:right="559" w:hanging="343"/>
        <w:spacing w:after="0" w:line="239" w:lineRule="auto"/>
        <w:tabs>
          <w:tab w:leader="none" w:pos="7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708" w:right="559" w:hanging="343"/>
        <w:spacing w:after="0" w:line="239" w:lineRule="auto"/>
        <w:tabs>
          <w:tab w:leader="none" w:pos="7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jc w:val="both"/>
        <w:ind w:left="708" w:right="559" w:hanging="343"/>
        <w:spacing w:after="0"/>
        <w:tabs>
          <w:tab w:leader="none" w:pos="7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jc w:val="both"/>
        <w:ind w:left="708" w:right="559" w:hanging="343"/>
        <w:spacing w:after="0" w:line="239" w:lineRule="auto"/>
        <w:tabs>
          <w:tab w:leader="none" w:pos="7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48" w:right="559" w:hanging="348"/>
        <w:spacing w:after="0"/>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708" w:right="559" w:hanging="343"/>
        <w:spacing w:after="0"/>
        <w:tabs>
          <w:tab w:leader="none" w:pos="7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708" w:right="559" w:hanging="343"/>
        <w:spacing w:after="0" w:line="246" w:lineRule="auto"/>
        <w:tabs>
          <w:tab w:leader="none" w:pos="7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8"/>
        <w:spacing w:after="0"/>
        <w:tabs>
          <w:tab w:leader="none" w:pos="4467" w:val="left"/>
        </w:tabs>
        <w:rPr>
          <w:sz w:val="20"/>
          <w:szCs w:val="20"/>
          <w:color w:val="auto"/>
        </w:rPr>
      </w:pPr>
      <w:r>
        <w:rPr>
          <w:rFonts w:ascii="Arial" w:cs="Arial" w:eastAsia="Arial" w:hAnsi="Arial"/>
          <w:sz w:val="18"/>
          <w:szCs w:val="18"/>
          <w:color w:val="auto"/>
        </w:rPr>
        <w:t>June 4, 2010</w:t>
      </w:r>
      <w:r>
        <w:rPr>
          <w:sz w:val="20"/>
          <w:szCs w:val="20"/>
          <w:color w:val="auto"/>
        </w:rPr>
        <w:tab/>
      </w:r>
      <w:r>
        <w:rPr>
          <w:rFonts w:ascii="Arial" w:cs="Arial" w:eastAsia="Arial" w:hAnsi="Arial"/>
          <w:sz w:val="17"/>
          <w:szCs w:val="17"/>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-1905</wp:posOffset>
            </wp:positionV>
            <wp:extent cx="21951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4488"/>
        <w:spacing w:after="0"/>
        <w:rPr>
          <w:sz w:val="20"/>
          <w:szCs w:val="20"/>
          <w:color w:val="auto"/>
        </w:rPr>
      </w:pPr>
      <w:r>
        <w:rPr>
          <w:rFonts w:ascii="Arial" w:cs="Arial" w:eastAsia="Arial" w:hAnsi="Arial"/>
          <w:sz w:val="18"/>
          <w:szCs w:val="18"/>
          <w:color w:val="auto"/>
        </w:rPr>
        <w:t>Henrik C. Slipsager</w:t>
      </w:r>
    </w:p>
    <w:p>
      <w:pPr>
        <w:ind w:left="4488"/>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488"/>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9887"/>
          </w:cols>
          <w:pgMar w:left="572" w:top="140" w:right="1440" w:bottom="1440" w:gutter="0" w:footer="0" w:header="0"/>
        </w:sectPr>
      </w:pPr>
    </w:p>
    <w:bookmarkStart w:id="39" w:name="page40"/>
    <w:bookmarkEnd w:id="39"/>
    <w:p>
      <w:pPr>
        <w:ind w:left="8"/>
        <w:spacing w:after="0"/>
        <w:rPr>
          <w:sz w:val="20"/>
          <w:szCs w:val="20"/>
          <w:color w:val="auto"/>
        </w:rPr>
      </w:pPr>
      <w:r>
        <w:rPr>
          <w:rFonts w:ascii="Arial" w:cs="Arial" w:eastAsia="Arial" w:hAnsi="Arial"/>
          <w:sz w:val="18"/>
          <w:szCs w:val="18"/>
          <w:color w:val="auto"/>
        </w:rPr>
        <w:t>EXHIBIT 31.2</w:t>
      </w:r>
    </w:p>
    <w:p>
      <w:pPr>
        <w:spacing w:after="0" w:line="148"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3"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SECURITIES EXCHANGE ACT OF 1934</w:t>
      </w:r>
    </w:p>
    <w:p>
      <w:pPr>
        <w:jc w:val="center"/>
        <w:ind w:right="551"/>
        <w:spacing w:after="0"/>
        <w:rPr>
          <w:sz w:val="20"/>
          <w:szCs w:val="20"/>
          <w:color w:val="auto"/>
        </w:rPr>
      </w:pPr>
      <w:r>
        <w:rPr>
          <w:rFonts w:ascii="Arial" w:cs="Arial" w:eastAsia="Arial" w:hAnsi="Arial"/>
          <w:sz w:val="18"/>
          <w:szCs w:val="18"/>
          <w:b w:val="1"/>
          <w:bCs w:val="1"/>
          <w:color w:val="auto"/>
        </w:rPr>
        <w:t>RULE 13a-14(a) OR 15d-14(a)</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James S. Lusk, certify that:</w:t>
      </w:r>
    </w:p>
    <w:p>
      <w:pPr>
        <w:spacing w:after="0" w:line="171" w:lineRule="exact"/>
        <w:rPr>
          <w:sz w:val="20"/>
          <w:szCs w:val="20"/>
          <w:color w:val="auto"/>
        </w:rPr>
      </w:pPr>
    </w:p>
    <w:p>
      <w:pPr>
        <w:ind w:left="348" w:hanging="348"/>
        <w:spacing w:after="0"/>
        <w:tabs>
          <w:tab w:leader="none" w:pos="3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71" w:lineRule="exact"/>
        <w:rPr>
          <w:rFonts w:ascii="Arial" w:cs="Arial" w:eastAsia="Arial" w:hAnsi="Arial"/>
          <w:sz w:val="18"/>
          <w:szCs w:val="18"/>
          <w:color w:val="auto"/>
        </w:rPr>
      </w:pPr>
    </w:p>
    <w:p>
      <w:pPr>
        <w:jc w:val="both"/>
        <w:ind w:left="348" w:right="559" w:hanging="348"/>
        <w:spacing w:after="0"/>
        <w:tabs>
          <w:tab w:leader="none" w:pos="3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jc w:val="both"/>
        <w:ind w:left="348" w:right="559" w:hanging="348"/>
        <w:spacing w:after="0"/>
        <w:tabs>
          <w:tab w:leader="none" w:pos="3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jc w:val="both"/>
        <w:ind w:left="348" w:right="559" w:hanging="348"/>
        <w:spacing w:after="0"/>
        <w:tabs>
          <w:tab w:leader="none" w:pos="3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jc w:val="both"/>
        <w:ind w:left="708" w:right="559" w:hanging="343"/>
        <w:spacing w:after="0" w:line="239" w:lineRule="auto"/>
        <w:tabs>
          <w:tab w:leader="none" w:pos="7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708" w:right="559" w:hanging="343"/>
        <w:spacing w:after="0" w:line="239" w:lineRule="auto"/>
        <w:tabs>
          <w:tab w:leader="none" w:pos="7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jc w:val="both"/>
        <w:ind w:left="708" w:right="559" w:hanging="343"/>
        <w:spacing w:after="0"/>
        <w:tabs>
          <w:tab w:leader="none" w:pos="7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jc w:val="both"/>
        <w:ind w:left="708" w:right="559" w:hanging="343"/>
        <w:spacing w:after="0" w:line="239" w:lineRule="auto"/>
        <w:tabs>
          <w:tab w:leader="none" w:pos="7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48" w:right="559" w:hanging="348"/>
        <w:spacing w:after="0"/>
        <w:tabs>
          <w:tab w:leader="none" w:pos="3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708" w:right="559" w:hanging="343"/>
        <w:spacing w:after="0"/>
        <w:tabs>
          <w:tab w:leader="none" w:pos="7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708" w:right="559" w:hanging="343"/>
        <w:spacing w:after="0" w:line="246" w:lineRule="auto"/>
        <w:tabs>
          <w:tab w:leader="none" w:pos="7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8"/>
        <w:spacing w:after="0"/>
        <w:tabs>
          <w:tab w:leader="none" w:pos="4467" w:val="left"/>
        </w:tabs>
        <w:rPr>
          <w:sz w:val="20"/>
          <w:szCs w:val="20"/>
          <w:color w:val="auto"/>
        </w:rPr>
      </w:pPr>
      <w:r>
        <w:rPr>
          <w:rFonts w:ascii="Arial" w:cs="Arial" w:eastAsia="Arial" w:hAnsi="Arial"/>
          <w:sz w:val="18"/>
          <w:szCs w:val="18"/>
          <w:color w:val="auto"/>
        </w:rPr>
        <w:t>June 4, 2010</w:t>
      </w:r>
      <w:r>
        <w:rPr>
          <w:sz w:val="20"/>
          <w:szCs w:val="20"/>
          <w:color w:val="auto"/>
        </w:rPr>
        <w:tab/>
      </w:r>
      <w:r>
        <w:rPr>
          <w:rFonts w:ascii="Arial" w:cs="Arial" w:eastAsia="Arial" w:hAnsi="Arial"/>
          <w:sz w:val="17"/>
          <w:szCs w:val="17"/>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-1905</wp:posOffset>
            </wp:positionV>
            <wp:extent cx="21951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4488"/>
        <w:spacing w:after="0"/>
        <w:rPr>
          <w:sz w:val="20"/>
          <w:szCs w:val="20"/>
          <w:color w:val="auto"/>
        </w:rPr>
      </w:pPr>
      <w:r>
        <w:rPr>
          <w:rFonts w:ascii="Arial" w:cs="Arial" w:eastAsia="Arial" w:hAnsi="Arial"/>
          <w:sz w:val="18"/>
          <w:szCs w:val="18"/>
          <w:color w:val="auto"/>
        </w:rPr>
        <w:t>James S. Lusk</w:t>
      </w:r>
    </w:p>
    <w:p>
      <w:pPr>
        <w:ind w:left="4488"/>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488"/>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9887"/>
          </w:cols>
          <w:pgMar w:left="572" w:top="140" w:right="1440"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EXHIBIT 32</w:t>
      </w:r>
    </w:p>
    <w:p>
      <w:pPr>
        <w:spacing w:after="0" w:line="14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1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RULE 13a-14(b) OR 15d-14(b) AND</w:t>
      </w:r>
    </w:p>
    <w:p>
      <w:pPr>
        <w:jc w:val="center"/>
        <w:ind w:right="559"/>
        <w:spacing w:after="0" w:line="234" w:lineRule="auto"/>
        <w:rPr>
          <w:sz w:val="20"/>
          <w:szCs w:val="20"/>
          <w:color w:val="auto"/>
        </w:rPr>
      </w:pPr>
      <w:r>
        <w:rPr>
          <w:rFonts w:ascii="Arial" w:cs="Arial" w:eastAsia="Arial" w:hAnsi="Arial"/>
          <w:sz w:val="18"/>
          <w:szCs w:val="18"/>
          <w:b w:val="1"/>
          <w:bCs w:val="1"/>
          <w:color w:val="auto"/>
        </w:rPr>
        <w:t>18 U.S.C. SECTION 1350,</w:t>
      </w:r>
    </w:p>
    <w:p>
      <w:pPr>
        <w:jc w:val="center"/>
        <w:ind w:right="55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5" w:lineRule="exact"/>
        <w:rPr>
          <w:sz w:val="20"/>
          <w:szCs w:val="20"/>
          <w:color w:val="auto"/>
        </w:rPr>
      </w:pPr>
    </w:p>
    <w:p>
      <w:pPr>
        <w:jc w:val="both"/>
        <w:ind w:right="559"/>
        <w:spacing w:after="0" w:line="238"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April 30, 2010, as filed with the Securities and Exchange Commission on the date hereof (the “Report”), Henrik C. Slipsager, Chief Executive Officer of the Company, and James S. Lusk,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62" w:lineRule="exact"/>
        <w:rPr>
          <w:sz w:val="20"/>
          <w:szCs w:val="20"/>
          <w:color w:val="auto"/>
        </w:rPr>
      </w:pPr>
    </w:p>
    <w:p>
      <w:pPr>
        <w:ind w:left="700" w:hanging="343"/>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700" w:right="559" w:hanging="343"/>
        <w:spacing w:after="0" w:line="246"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June 4, 2010</w:t>
      </w:r>
      <w:r>
        <w:rPr>
          <w:sz w:val="20"/>
          <w:szCs w:val="20"/>
          <w:color w:val="auto"/>
        </w:rPr>
        <w:tab/>
      </w:r>
      <w:r>
        <w:rPr>
          <w:rFonts w:ascii="Arial" w:cs="Arial" w:eastAsia="Arial" w:hAnsi="Arial"/>
          <w:sz w:val="17"/>
          <w:szCs w:val="17"/>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-1905</wp:posOffset>
            </wp:positionV>
            <wp:extent cx="21951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8"/>
          <w:szCs w:val="18"/>
          <w:color w:val="auto"/>
        </w:rPr>
        <w:t>Henrik C. Slipsager</w:t>
      </w:r>
    </w:p>
    <w:p>
      <w:pPr>
        <w:ind w:left="448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June 4, 2010</w:t>
      </w:r>
      <w:r>
        <w:rPr>
          <w:sz w:val="20"/>
          <w:szCs w:val="20"/>
          <w:color w:val="auto"/>
        </w:rPr>
        <w:tab/>
      </w:r>
      <w:r>
        <w:rPr>
          <w:rFonts w:ascii="Arial" w:cs="Arial" w:eastAsia="Arial" w:hAnsi="Arial"/>
          <w:sz w:val="17"/>
          <w:szCs w:val="17"/>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-1905</wp:posOffset>
            </wp:positionV>
            <wp:extent cx="21951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8"/>
          <w:szCs w:val="18"/>
          <w:color w:val="auto"/>
        </w:rPr>
        <w:t>James S. Lusk</w:t>
      </w:r>
    </w:p>
    <w:p>
      <w:pPr>
        <w:ind w:left="44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9879"/>
      </w:cols>
      <w:pgMar w:left="58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2"/>
    </w:lvl>
  </w:abstractNum>
  <w:abstractNum w:abstractNumId="3">
    <w:nsid w:val="7FDCC233"/>
    <w:multiLevelType w:val="hybridMultilevel"/>
    <w:lvl w:ilvl="0">
      <w:lvlJc w:val="left"/>
      <w:lvlText w:val="(%1)"/>
      <w:numFmt w:val="decimal"/>
      <w:start w:val="3"/>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2019-12-10T06:02:08Z</dcterms:created>
  <dcterms:modified xsi:type="dcterms:W3CDTF">2019-12-10T06:02:08Z</dcterms:modified>
</cp:coreProperties>
</file>