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PASSERINI FILIPPO</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ABM INDUSTRIES INC /DE/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ABM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8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380" w:type="dxa"/>
            <w:vAlign w:val="bottom"/>
            <w:tcBorders>
              <w:top w:val="single" w:sz="8" w:color="0000EE"/>
            </w:tcBorders>
          </w:tcPr>
          <w:p>
            <w:pPr>
              <w:spacing w:after="0"/>
              <w:rPr>
                <w:sz w:val="8"/>
                <w:szCs w:val="8"/>
                <w:color w:val="auto"/>
              </w:rPr>
            </w:pPr>
          </w:p>
        </w:tc>
        <w:tc>
          <w:tcPr>
            <w:tcW w:w="6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38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7"/>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7"/>
            <w:vMerge w:val="continue"/>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ONE LIBERTY PLAZA</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40" w:type="dxa"/>
            <w:vAlign w:val="bottom"/>
            <w:gridSpan w:val="5"/>
          </w:tcPr>
          <w:p>
            <w:pPr>
              <w:ind w:left="160"/>
              <w:spacing w:after="0"/>
              <w:rPr>
                <w:sz w:val="20"/>
                <w:szCs w:val="20"/>
                <w:color w:val="auto"/>
              </w:rPr>
            </w:pPr>
            <w:r>
              <w:rPr>
                <w:rFonts w:ascii="Arial" w:cs="Arial" w:eastAsia="Arial" w:hAnsi="Arial"/>
                <w:sz w:val="18"/>
                <w:szCs w:val="18"/>
                <w:color w:val="0000FF"/>
              </w:rPr>
              <w:t>05/07/2018</w:t>
            </w: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7TH FLOOR</w:t>
            </w: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80" w:type="dxa"/>
            <w:vAlign w:val="bottom"/>
          </w:tcPr>
          <w:p>
            <w:pPr>
              <w:spacing w:after="0"/>
              <w:rPr>
                <w:sz w:val="9"/>
                <w:szCs w:val="9"/>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20" w:type="dxa"/>
            <w:vAlign w:val="bottom"/>
            <w:gridSpan w:val="8"/>
            <w:vMerge w:val="continue"/>
          </w:tcPr>
          <w:p>
            <w:pPr>
              <w:spacing w:after="0"/>
              <w:rPr>
                <w:sz w:val="8"/>
                <w:szCs w:val="8"/>
                <w:color w:val="auto"/>
              </w:rPr>
            </w:pPr>
          </w:p>
        </w:tc>
        <w:tc>
          <w:tcPr>
            <w:tcW w:w="180" w:type="dxa"/>
            <w:vAlign w:val="bottom"/>
          </w:tcPr>
          <w:p>
            <w:pPr>
              <w:spacing w:after="0"/>
              <w:rPr>
                <w:sz w:val="8"/>
                <w:szCs w:val="8"/>
                <w:color w:val="auto"/>
              </w:rPr>
            </w:pPr>
          </w:p>
        </w:tc>
        <w:tc>
          <w:tcPr>
            <w:tcW w:w="34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38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3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480" w:type="dxa"/>
            <w:vAlign w:val="bottom"/>
            <w:gridSpan w:val="3"/>
            <w:vMerge w:val="continue"/>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40" w:type="dxa"/>
            <w:vAlign w:val="bottom"/>
            <w:gridSpan w:val="6"/>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10006</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60" w:type="dxa"/>
            <w:vAlign w:val="bottom"/>
            <w:gridSpan w:val="5"/>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ind w:left="16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1140" w:type="dxa"/>
            <w:vAlign w:val="bottom"/>
            <w:tcBorders>
              <w:bottom w:val="single" w:sz="8" w:color="2C2C2C"/>
            </w:tcBorders>
            <w:gridSpan w:val="2"/>
          </w:tcPr>
          <w:p>
            <w:pPr>
              <w:spacing w:after="0"/>
              <w:rPr>
                <w:sz w:val="11"/>
                <w:szCs w:val="11"/>
                <w:color w:val="auto"/>
              </w:rPr>
            </w:pPr>
          </w:p>
        </w:tc>
        <w:tc>
          <w:tcPr>
            <w:tcW w:w="1220" w:type="dxa"/>
            <w:vAlign w:val="bottom"/>
            <w:tcBorders>
              <w:bottom w:val="single" w:sz="8" w:color="2C2C2C"/>
            </w:tcBorders>
            <w:gridSpan w:val="3"/>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7660" w:type="dxa"/>
            <w:vAlign w:val="bottom"/>
            <w:tcBorders>
              <w:top w:val="single" w:sz="8" w:color="2C2C2C"/>
            </w:tcBorders>
            <w:gridSpan w:val="19"/>
          </w:tcPr>
          <w:p>
            <w:pPr>
              <w:jc w:val="center"/>
              <w:ind w:right="25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7"/>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40" w:type="dxa"/>
            <w:vAlign w:val="bottom"/>
            <w:gridSpan w:val="5"/>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3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3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7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3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860"/>
              <w:spacing w:after="0"/>
              <w:rPr>
                <w:sz w:val="20"/>
                <w:szCs w:val="20"/>
                <w:color w:val="auto"/>
              </w:rPr>
            </w:pPr>
            <w:r>
              <w:rPr>
                <w:rFonts w:ascii="Arial" w:cs="Arial" w:eastAsia="Arial" w:hAnsi="Arial"/>
                <w:sz w:val="18"/>
                <w:szCs w:val="18"/>
                <w:color w:val="0000FF"/>
              </w:rPr>
              <w:t>05/07/2018</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680" w:type="dxa"/>
            <w:vAlign w:val="bottom"/>
            <w:tcBorders>
              <w:bottom w:val="single" w:sz="8" w:color="2C2C2C"/>
            </w:tcBorders>
            <w:gridSpan w:val="2"/>
          </w:tcPr>
          <w:p>
            <w:pPr>
              <w:ind w:left="320"/>
              <w:spacing w:after="0" w:line="324" w:lineRule="exact"/>
              <w:rPr>
                <w:sz w:val="20"/>
                <w:szCs w:val="20"/>
                <w:color w:val="auto"/>
              </w:rPr>
            </w:pPr>
            <w:r>
              <w:rPr>
                <w:rFonts w:ascii="Arial" w:cs="Arial" w:eastAsia="Arial" w:hAnsi="Arial"/>
                <w:sz w:val="35"/>
                <w:szCs w:val="35"/>
                <w:color w:val="0000FF"/>
                <w:w w:val="86"/>
                <w:vertAlign w:val="subscript"/>
              </w:rPr>
              <w:t>28</w:t>
            </w:r>
            <w:r>
              <w:rPr>
                <w:rFonts w:ascii="Arial" w:cs="Arial" w:eastAsia="Arial" w:hAnsi="Arial"/>
                <w:sz w:val="11"/>
                <w:szCs w:val="11"/>
                <w:color w:val="008000"/>
                <w:w w:val="86"/>
              </w:rPr>
              <w:t>(1)</w:t>
            </w:r>
          </w:p>
        </w:tc>
        <w:tc>
          <w:tcPr>
            <w:tcW w:w="74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4"/>
          </w:tcPr>
          <w:p>
            <w:pPr>
              <w:jc w:val="right"/>
              <w:ind w:right="1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30.14</w:t>
            </w:r>
          </w:p>
        </w:tc>
        <w:tc>
          <w:tcPr>
            <w:tcW w:w="1240" w:type="dxa"/>
            <w:vAlign w:val="bottom"/>
            <w:tcBorders>
              <w:bottom w:val="single" w:sz="8" w:color="2C2C2C"/>
            </w:tcBorders>
            <w:gridSpan w:val="2"/>
          </w:tcPr>
          <w:p>
            <w:pPr>
              <w:ind w:left="340"/>
              <w:spacing w:after="0"/>
              <w:rPr>
                <w:sz w:val="20"/>
                <w:szCs w:val="20"/>
                <w:color w:val="auto"/>
              </w:rPr>
            </w:pPr>
            <w:r>
              <w:rPr>
                <w:rFonts w:ascii="Arial" w:cs="Arial" w:eastAsia="Arial" w:hAnsi="Arial"/>
                <w:sz w:val="18"/>
                <w:szCs w:val="18"/>
                <w:color w:val="0000FF"/>
              </w:rPr>
              <w:t>5,676</w:t>
            </w:r>
            <w:r>
              <w:rPr>
                <w:rFonts w:ascii="Arial" w:cs="Arial" w:eastAsia="Arial" w:hAnsi="Arial"/>
                <w:sz w:val="22"/>
                <w:szCs w:val="22"/>
                <w:color w:val="008000"/>
                <w:vertAlign w:val="superscript"/>
              </w:rPr>
              <w:t>(2)</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6880" w:type="dxa"/>
            <w:vAlign w:val="bottom"/>
            <w:tcBorders>
              <w:top w:val="single" w:sz="8" w:color="2C2C2C"/>
            </w:tcBorders>
            <w:gridSpan w:val="18"/>
          </w:tcPr>
          <w:p>
            <w:pPr>
              <w:jc w:val="center"/>
              <w:ind w:left="39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520" w:type="dxa"/>
            <w:vAlign w:val="bottom"/>
            <w:gridSpan w:val="15"/>
          </w:tcPr>
          <w:p>
            <w:pPr>
              <w:jc w:val="center"/>
              <w:ind w:left="53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gridSpan w:val="4"/>
          </w:tcPr>
          <w:p>
            <w:pPr>
              <w:ind w:left="52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4"/>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4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1120" w:type="dxa"/>
            <w:vAlign w:val="bottom"/>
            <w:gridSpan w:val="4"/>
          </w:tcPr>
          <w:p>
            <w:pPr>
              <w:ind w:left="6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Dividend equivalent rights (DERs) accrued on the restricted stock units granted under the 2006 Equity Incentive Plan. DERs vest in the same manner as the restricted stock units to which they relate. Each DER is the economic equivalent of one share of ABM common stock.</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4,885 RSUs and DERs related thereto, adjusted to reflect the cumulative effect of fractional shares.</w:t>
      </w:r>
    </w:p>
    <w:p>
      <w:pPr>
        <w:spacing w:after="0" w:line="4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6"/>
              </w:rPr>
              <w:t>By: Barbara L. Smithers, by</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05/08/2018</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63346"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2019-12-23T21:47:48Z</dcterms:created>
  <dcterms:modified xsi:type="dcterms:W3CDTF">2019-12-23T21:47:48Z</dcterms:modified>
</cp:coreProperties>
</file>