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48107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481076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GOODES DAVID R</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ONE LIBERTY PLAZA</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7TH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ABM INDUSTRIES INC /DE/</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ABM</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02/06/2017</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523"/>
        <w:spacing w:after="0"/>
        <w:rPr>
          <w:sz w:val="20"/>
          <w:szCs w:val="20"/>
          <w:color w:val="auto"/>
        </w:rPr>
      </w:pPr>
      <w:r>
        <w:rPr>
          <w:rFonts w:ascii="Arial" w:cs="Arial" w:eastAsia="Arial" w:hAnsi="Arial"/>
          <w:sz w:val="18"/>
          <w:szCs w:val="18"/>
          <w:color w:val="0000FF"/>
        </w:rPr>
        <w:t>Senior Vice President &amp; CHRO</w:t>
      </w:r>
    </w:p>
    <w:p>
      <w:pPr>
        <w:spacing w:after="0" w:line="406" w:lineRule="exact"/>
        <w:rPr>
          <w:sz w:val="24"/>
          <w:szCs w:val="24"/>
          <w:color w:val="auto"/>
        </w:rPr>
      </w:pPr>
    </w:p>
    <w:p>
      <w:pPr>
        <w:sectPr>
          <w:pgSz w:w="11900" w:h="16838" w:orient="portrait"/>
          <w:cols w:equalWidth="0" w:num="3">
            <w:col w:w="3360" w:space="720"/>
            <w:col w:w="3400" w:space="577"/>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60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900" w:type="dxa"/>
            <w:vAlign w:val="bottom"/>
            <w:gridSpan w:val="7"/>
          </w:tcPr>
          <w:p>
            <w:pPr>
              <w:ind w:left="160"/>
              <w:spacing w:after="0" w:line="146" w:lineRule="exact"/>
              <w:rPr>
                <w:sz w:val="20"/>
                <w:szCs w:val="20"/>
                <w:color w:val="auto"/>
              </w:rPr>
            </w:pPr>
            <w:r>
              <w:rPr>
                <w:rFonts w:ascii="Arial" w:cs="Arial" w:eastAsia="Arial" w:hAnsi="Arial"/>
                <w:sz w:val="14"/>
                <w:szCs w:val="14"/>
                <w:color w:val="auto"/>
              </w:rPr>
              <w:t>4. If Amendment, Date of Original Filed (Month/Day/Year)</w:t>
            </w:r>
          </w:p>
        </w:tc>
        <w:tc>
          <w:tcPr>
            <w:tcW w:w="3600" w:type="dxa"/>
            <w:vAlign w:val="bottom"/>
            <w:gridSpan w:val="8"/>
          </w:tcPr>
          <w:p>
            <w:pPr>
              <w:ind w:left="24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20" w:type="dxa"/>
            <w:vAlign w:val="bottom"/>
            <w:gridSpan w:val="3"/>
          </w:tcPr>
          <w:p>
            <w:pPr>
              <w:ind w:left="24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6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3220" w:type="dxa"/>
            <w:vAlign w:val="bottom"/>
            <w:gridSpan w:val="6"/>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40" w:type="dxa"/>
            <w:vAlign w:val="bottom"/>
            <w:gridSpan w:val="2"/>
            <w:vMerge w:val="restart"/>
          </w:tcPr>
          <w:p>
            <w:pPr>
              <w:spacing w:after="0"/>
              <w:rPr>
                <w:sz w:val="20"/>
                <w:szCs w:val="20"/>
                <w:color w:val="auto"/>
              </w:rPr>
            </w:pPr>
            <w:r>
              <w:rPr>
                <w:rFonts w:ascii="Arial" w:cs="Arial" w:eastAsia="Arial" w:hAnsi="Arial"/>
                <w:sz w:val="18"/>
                <w:szCs w:val="18"/>
                <w:color w:val="0000FF"/>
              </w:rPr>
              <w:t>NEW YORK</w:t>
            </w:r>
          </w:p>
        </w:tc>
        <w:tc>
          <w:tcPr>
            <w:tcW w:w="300" w:type="dxa"/>
            <w:vAlign w:val="bottom"/>
            <w:vMerge w:val="restart"/>
          </w:tcPr>
          <w:p>
            <w:pPr>
              <w:ind w:left="40"/>
              <w:spacing w:after="0"/>
              <w:rPr>
                <w:sz w:val="20"/>
                <w:szCs w:val="20"/>
                <w:color w:val="auto"/>
              </w:rPr>
            </w:pPr>
            <w:r>
              <w:rPr>
                <w:rFonts w:ascii="Arial" w:cs="Arial" w:eastAsia="Arial" w:hAnsi="Arial"/>
                <w:sz w:val="18"/>
                <w:szCs w:val="18"/>
                <w:color w:val="0000FF"/>
                <w:w w:val="95"/>
              </w:rPr>
              <w:t>NY</w:t>
            </w:r>
          </w:p>
        </w:tc>
        <w:tc>
          <w:tcPr>
            <w:tcW w:w="100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10006</w:t>
            </w: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2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300" w:type="dxa"/>
            <w:vAlign w:val="bottom"/>
            <w:vMerge w:val="continue"/>
          </w:tcPr>
          <w:p>
            <w:pPr>
              <w:spacing w:after="0"/>
              <w:rPr>
                <w:sz w:val="9"/>
                <w:szCs w:val="9"/>
                <w:color w:val="auto"/>
              </w:rPr>
            </w:pPr>
          </w:p>
        </w:tc>
        <w:tc>
          <w:tcPr>
            <w:tcW w:w="100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60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1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4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00" w:type="dxa"/>
            <w:vAlign w:val="bottom"/>
          </w:tcPr>
          <w:p>
            <w:pPr>
              <w:spacing w:after="0"/>
              <w:rPr>
                <w:sz w:val="8"/>
                <w:szCs w:val="8"/>
                <w:color w:val="auto"/>
              </w:rPr>
            </w:pPr>
          </w:p>
        </w:tc>
        <w:tc>
          <w:tcPr>
            <w:tcW w:w="740" w:type="dxa"/>
            <w:vAlign w:val="bottom"/>
          </w:tcPr>
          <w:p>
            <w:pPr>
              <w:spacing w:after="0"/>
              <w:rPr>
                <w:sz w:val="8"/>
                <w:szCs w:val="8"/>
                <w:color w:val="auto"/>
              </w:rPr>
            </w:pPr>
          </w:p>
        </w:tc>
        <w:tc>
          <w:tcPr>
            <w:tcW w:w="340" w:type="dxa"/>
            <w:vAlign w:val="bottom"/>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300" w:type="dxa"/>
            <w:vAlign w:val="bottom"/>
            <w:tcBorders>
              <w:bottom w:val="single" w:sz="8" w:color="9A9A9A"/>
            </w:tcBorders>
          </w:tcPr>
          <w:p>
            <w:pPr>
              <w:spacing w:after="0"/>
              <w:rPr>
                <w:sz w:val="5"/>
                <w:szCs w:val="5"/>
                <w:color w:val="auto"/>
              </w:rPr>
            </w:pPr>
          </w:p>
        </w:tc>
        <w:tc>
          <w:tcPr>
            <w:tcW w:w="100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600" w:type="dxa"/>
            <w:vAlign w:val="bottom"/>
          </w:tcPr>
          <w:p>
            <w:pPr>
              <w:spacing w:after="0"/>
              <w:rPr>
                <w:sz w:val="7"/>
                <w:szCs w:val="7"/>
                <w:color w:val="auto"/>
              </w:rPr>
            </w:pPr>
          </w:p>
        </w:tc>
        <w:tc>
          <w:tcPr>
            <w:tcW w:w="1300" w:type="dxa"/>
            <w:vAlign w:val="bottom"/>
            <w:gridSpan w:val="2"/>
            <w:vMerge w:val="restart"/>
          </w:tcPr>
          <w:p>
            <w:pPr>
              <w:ind w:left="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40" w:type="dxa"/>
            <w:vAlign w:val="bottom"/>
          </w:tcPr>
          <w:p>
            <w:pPr>
              <w:spacing w:after="0"/>
              <w:rPr>
                <w:sz w:val="7"/>
                <w:szCs w:val="7"/>
                <w:color w:val="auto"/>
              </w:rPr>
            </w:pPr>
          </w:p>
        </w:tc>
        <w:tc>
          <w:tcPr>
            <w:tcW w:w="700" w:type="dxa"/>
            <w:vAlign w:val="bottom"/>
          </w:tcPr>
          <w:p>
            <w:pPr>
              <w:spacing w:after="0"/>
              <w:rPr>
                <w:sz w:val="7"/>
                <w:szCs w:val="7"/>
                <w:color w:val="auto"/>
              </w:rPr>
            </w:pPr>
          </w:p>
        </w:tc>
        <w:tc>
          <w:tcPr>
            <w:tcW w:w="740" w:type="dxa"/>
            <w:vAlign w:val="bottom"/>
          </w:tcPr>
          <w:p>
            <w:pPr>
              <w:spacing w:after="0"/>
              <w:rPr>
                <w:sz w:val="7"/>
                <w:szCs w:val="7"/>
                <w:color w:val="auto"/>
              </w:rPr>
            </w:pPr>
          </w:p>
        </w:tc>
        <w:tc>
          <w:tcPr>
            <w:tcW w:w="340" w:type="dxa"/>
            <w:vAlign w:val="bottom"/>
          </w:tcPr>
          <w:p>
            <w:pPr>
              <w:spacing w:after="0"/>
              <w:rPr>
                <w:sz w:val="7"/>
                <w:szCs w:val="7"/>
                <w:color w:val="auto"/>
              </w:rPr>
            </w:pPr>
          </w:p>
        </w:tc>
        <w:tc>
          <w:tcPr>
            <w:tcW w:w="40" w:type="dxa"/>
            <w:vAlign w:val="bottom"/>
          </w:tcPr>
          <w:p>
            <w:pPr>
              <w:spacing w:after="0"/>
              <w:rPr>
                <w:sz w:val="7"/>
                <w:szCs w:val="7"/>
                <w:color w:val="auto"/>
              </w:rPr>
            </w:pPr>
          </w:p>
        </w:tc>
        <w:tc>
          <w:tcPr>
            <w:tcW w:w="24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2200" w:type="dxa"/>
            <w:vAlign w:val="bottom"/>
            <w:tcBorders>
              <w:bottom w:val="single" w:sz="8" w:color="2C2C2C"/>
            </w:tcBorders>
            <w:gridSpan w:val="2"/>
          </w:tcPr>
          <w:p>
            <w:pPr>
              <w:spacing w:after="0"/>
              <w:rPr>
                <w:sz w:val="11"/>
                <w:szCs w:val="11"/>
                <w:color w:val="auto"/>
              </w:rPr>
            </w:pPr>
          </w:p>
        </w:tc>
        <w:tc>
          <w:tcPr>
            <w:tcW w:w="1780" w:type="dxa"/>
            <w:vAlign w:val="bottom"/>
            <w:tcBorders>
              <w:bottom w:val="single" w:sz="8" w:color="2C2C2C"/>
            </w:tcBorders>
            <w:gridSpan w:val="5"/>
          </w:tcPr>
          <w:p>
            <w:pPr>
              <w:spacing w:after="0"/>
              <w:rPr>
                <w:sz w:val="11"/>
                <w:szCs w:val="11"/>
                <w:color w:val="auto"/>
              </w:rPr>
            </w:pPr>
          </w:p>
        </w:tc>
        <w:tc>
          <w:tcPr>
            <w:tcW w:w="252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4"/>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8040" w:type="dxa"/>
            <w:vAlign w:val="bottom"/>
            <w:tcBorders>
              <w:top w:val="single" w:sz="8" w:color="2C2C2C"/>
            </w:tcBorders>
            <w:gridSpan w:val="15"/>
          </w:tcPr>
          <w:p>
            <w:pPr>
              <w:jc w:val="center"/>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5"/>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000" w:type="dxa"/>
            <w:vAlign w:val="bottom"/>
            <w:tcBorders>
              <w:bottom w:val="single" w:sz="8" w:color="2C2C2C"/>
            </w:tcBorders>
            <w:gridSpan w:val="2"/>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5"/>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6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140"/>
              <w:spacing w:after="0"/>
              <w:rPr>
                <w:sz w:val="20"/>
                <w:szCs w:val="20"/>
                <w:color w:val="auto"/>
              </w:rPr>
            </w:pPr>
            <w:r>
              <w:rPr>
                <w:rFonts w:ascii="Arial" w:cs="Arial" w:eastAsia="Arial" w:hAnsi="Arial"/>
                <w:sz w:val="12"/>
                <w:szCs w:val="12"/>
                <w:b w:val="1"/>
                <w:bCs w:val="1"/>
                <w:color w:val="auto"/>
              </w:rPr>
              <w:t>4. Securities Acquired (A) or</w:t>
            </w:r>
          </w:p>
        </w:tc>
        <w:tc>
          <w:tcPr>
            <w:tcW w:w="240" w:type="dxa"/>
            <w:vAlign w:val="bottom"/>
          </w:tcPr>
          <w:p>
            <w:pPr>
              <w:spacing w:after="0"/>
              <w:rPr>
                <w:sz w:val="15"/>
                <w:szCs w:val="15"/>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120" w:type="dxa"/>
            <w:vAlign w:val="bottom"/>
          </w:tcPr>
          <w:p>
            <w:pPr>
              <w:spacing w:after="0"/>
              <w:rPr>
                <w:sz w:val="11"/>
                <w:szCs w:val="11"/>
                <w:color w:val="auto"/>
              </w:rPr>
            </w:pPr>
          </w:p>
        </w:tc>
        <w:tc>
          <w:tcPr>
            <w:tcW w:w="280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Transaction  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860" w:type="dxa"/>
            <w:vAlign w:val="bottom"/>
            <w:gridSpan w:val="3"/>
          </w:tcPr>
          <w:p>
            <w:pPr>
              <w:ind w:left="780"/>
              <w:spacing w:after="0" w:line="135"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40" w:type="dxa"/>
            <w:vAlign w:val="bottom"/>
          </w:tcPr>
          <w:p>
            <w:pPr>
              <w:ind w:left="60"/>
              <w:spacing w:after="0" w:line="135" w:lineRule="exact"/>
              <w:rPr>
                <w:sz w:val="20"/>
                <w:szCs w:val="20"/>
                <w:color w:val="auto"/>
              </w:rPr>
            </w:pPr>
            <w:r>
              <w:rPr>
                <w:rFonts w:ascii="Arial" w:cs="Arial" w:eastAsia="Arial" w:hAnsi="Arial"/>
                <w:sz w:val="12"/>
                <w:szCs w:val="12"/>
                <w:b w:val="1"/>
                <w:bCs w:val="1"/>
                <w:color w:val="auto"/>
                <w:w w:val="98"/>
              </w:rPr>
              <w:t>Code (Instr.</w:t>
            </w:r>
          </w:p>
        </w:tc>
        <w:tc>
          <w:tcPr>
            <w:tcW w:w="700" w:type="dxa"/>
            <w:vAlign w:val="bottom"/>
          </w:tcPr>
          <w:p>
            <w:pPr>
              <w:ind w:left="140"/>
              <w:spacing w:after="0" w:line="135" w:lineRule="exact"/>
              <w:rPr>
                <w:sz w:val="20"/>
                <w:szCs w:val="20"/>
                <w:color w:val="auto"/>
              </w:rPr>
            </w:pPr>
            <w:r>
              <w:rPr>
                <w:rFonts w:ascii="Arial" w:cs="Arial" w:eastAsia="Arial" w:hAnsi="Arial"/>
                <w:sz w:val="12"/>
                <w:szCs w:val="12"/>
                <w:b w:val="1"/>
                <w:bCs w:val="1"/>
                <w:color w:val="auto"/>
              </w:rPr>
              <w:t>5)</w:t>
            </w: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6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(Month/Day/Year)  8)</w:t>
            </w: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tcPr>
          <w:p>
            <w:pPr>
              <w:spacing w:after="0"/>
              <w:rPr>
                <w:sz w:val="3"/>
                <w:szCs w:val="3"/>
                <w:color w:val="auto"/>
              </w:rPr>
            </w:pPr>
          </w:p>
        </w:tc>
        <w:tc>
          <w:tcPr>
            <w:tcW w:w="4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ind w:left="280"/>
              <w:spacing w:after="0" w:line="135" w:lineRule="exact"/>
              <w:rPr>
                <w:sz w:val="20"/>
                <w:szCs w:val="20"/>
                <w:color w:val="auto"/>
              </w:rPr>
            </w:pPr>
            <w:r>
              <w:rPr>
                <w:rFonts w:ascii="Arial" w:cs="Arial" w:eastAsia="Arial" w:hAnsi="Arial"/>
                <w:sz w:val="12"/>
                <w:szCs w:val="12"/>
                <w:b w:val="1"/>
                <w:bCs w:val="1"/>
                <w:color w:val="auto"/>
              </w:rPr>
              <w:t>(A) or</w:t>
            </w:r>
          </w:p>
        </w:tc>
        <w:tc>
          <w:tcPr>
            <w:tcW w:w="3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6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60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40" w:type="dxa"/>
            <w:vAlign w:val="bottom"/>
            <w:vMerge w:val="restart"/>
          </w:tcPr>
          <w:p>
            <w:pPr>
              <w:ind w:left="280"/>
              <w:spacing w:after="0"/>
              <w:rPr>
                <w:sz w:val="20"/>
                <w:szCs w:val="20"/>
                <w:color w:val="auto"/>
              </w:rPr>
            </w:pPr>
            <w:r>
              <w:rPr>
                <w:rFonts w:ascii="Arial" w:cs="Arial" w:eastAsia="Arial" w:hAnsi="Arial"/>
                <w:sz w:val="12"/>
                <w:szCs w:val="12"/>
                <w:b w:val="1"/>
                <w:bCs w:val="1"/>
                <w:color w:val="auto"/>
              </w:rPr>
              <w:t>(D)</w:t>
            </w:r>
          </w:p>
        </w:tc>
        <w:tc>
          <w:tcPr>
            <w:tcW w:w="380" w:type="dxa"/>
            <w:vAlign w:val="bottom"/>
            <w:gridSpan w:val="2"/>
            <w:vMerge w:val="continue"/>
          </w:tcPr>
          <w:p>
            <w:pPr>
              <w:spacing w:after="0"/>
              <w:rPr>
                <w:sz w:val="8"/>
                <w:szCs w:val="8"/>
                <w:color w:val="auto"/>
              </w:rPr>
            </w:pPr>
          </w:p>
        </w:tc>
        <w:tc>
          <w:tcPr>
            <w:tcW w:w="240" w:type="dxa"/>
            <w:vAlign w:val="bottom"/>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4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gridSpan w:val="2"/>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Common Stock</w:t>
            </w:r>
          </w:p>
        </w:tc>
        <w:tc>
          <w:tcPr>
            <w:tcW w:w="300" w:type="dxa"/>
            <w:vAlign w:val="bottom"/>
            <w:tcBorders>
              <w:bottom w:val="single" w:sz="8" w:color="2C2C2C"/>
            </w:tcBorders>
          </w:tcPr>
          <w:p>
            <w:pPr>
              <w:spacing w:after="0"/>
              <w:rPr>
                <w:sz w:val="24"/>
                <w:szCs w:val="24"/>
                <w:color w:val="auto"/>
              </w:rPr>
            </w:pPr>
          </w:p>
        </w:tc>
        <w:tc>
          <w:tcPr>
            <w:tcW w:w="1000" w:type="dxa"/>
            <w:vAlign w:val="bottom"/>
            <w:tcBorders>
              <w:bottom w:val="single" w:sz="8" w:color="2C2C2C"/>
            </w:tcBorders>
          </w:tcPr>
          <w:p>
            <w:pPr>
              <w:spacing w:after="0"/>
              <w:rPr>
                <w:sz w:val="24"/>
                <w:szCs w:val="24"/>
                <w:color w:val="auto"/>
              </w:rPr>
            </w:pPr>
          </w:p>
        </w:tc>
        <w:tc>
          <w:tcPr>
            <w:tcW w:w="1860" w:type="dxa"/>
            <w:vAlign w:val="bottom"/>
            <w:tcBorders>
              <w:bottom w:val="single" w:sz="8" w:color="2C2C2C"/>
            </w:tcBorders>
            <w:gridSpan w:val="3"/>
          </w:tcPr>
          <w:p>
            <w:pPr>
              <w:ind w:left="880"/>
              <w:spacing w:after="0"/>
              <w:rPr>
                <w:sz w:val="20"/>
                <w:szCs w:val="20"/>
                <w:color w:val="auto"/>
              </w:rPr>
            </w:pPr>
            <w:r>
              <w:rPr>
                <w:rFonts w:ascii="Arial" w:cs="Arial" w:eastAsia="Arial" w:hAnsi="Arial"/>
                <w:sz w:val="18"/>
                <w:szCs w:val="18"/>
                <w:color w:val="0000FF"/>
              </w:rPr>
              <w:t>02/06/2017</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ind w:left="180"/>
              <w:spacing w:after="0"/>
              <w:rPr>
                <w:sz w:val="20"/>
                <w:szCs w:val="20"/>
                <w:color w:val="auto"/>
              </w:rPr>
            </w:pPr>
            <w:r>
              <w:rPr>
                <w:rFonts w:ascii="Arial" w:cs="Arial" w:eastAsia="Arial" w:hAnsi="Arial"/>
                <w:sz w:val="14"/>
                <w:szCs w:val="14"/>
                <w:color w:val="0000FF"/>
              </w:rPr>
              <w:t>A</w:t>
            </w:r>
          </w:p>
        </w:tc>
        <w:tc>
          <w:tcPr>
            <w:tcW w:w="700" w:type="dxa"/>
            <w:vAlign w:val="bottom"/>
            <w:tcBorders>
              <w:bottom w:val="single" w:sz="8" w:color="2C2C2C"/>
            </w:tcBorders>
          </w:tcPr>
          <w:p>
            <w:pPr>
              <w:ind w:left="340"/>
              <w:spacing w:after="0" w:line="324" w:lineRule="exact"/>
              <w:rPr>
                <w:sz w:val="20"/>
                <w:szCs w:val="20"/>
                <w:color w:val="auto"/>
              </w:rPr>
            </w:pPr>
            <w:r>
              <w:rPr>
                <w:rFonts w:ascii="Arial" w:cs="Arial" w:eastAsia="Arial" w:hAnsi="Arial"/>
                <w:sz w:val="35"/>
                <w:szCs w:val="35"/>
                <w:color w:val="0000FF"/>
                <w:w w:val="86"/>
                <w:vertAlign w:val="subscript"/>
              </w:rPr>
              <w:t>15</w:t>
            </w:r>
            <w:r>
              <w:rPr>
                <w:rFonts w:ascii="Arial" w:cs="Arial" w:eastAsia="Arial" w:hAnsi="Arial"/>
                <w:sz w:val="11"/>
                <w:szCs w:val="11"/>
                <w:color w:val="008000"/>
                <w:w w:val="86"/>
              </w:rPr>
              <w:t>(1)</w:t>
            </w:r>
          </w:p>
        </w:tc>
        <w:tc>
          <w:tcPr>
            <w:tcW w:w="740" w:type="dxa"/>
            <w:vAlign w:val="bottom"/>
            <w:tcBorders>
              <w:bottom w:val="single" w:sz="8" w:color="2C2C2C"/>
            </w:tcBorders>
          </w:tcPr>
          <w:p>
            <w:pPr>
              <w:ind w:left="400"/>
              <w:spacing w:after="0"/>
              <w:rPr>
                <w:sz w:val="20"/>
                <w:szCs w:val="20"/>
                <w:color w:val="auto"/>
              </w:rPr>
            </w:pPr>
            <w:r>
              <w:rPr>
                <w:rFonts w:ascii="Arial" w:cs="Arial" w:eastAsia="Arial" w:hAnsi="Arial"/>
                <w:sz w:val="18"/>
                <w:szCs w:val="18"/>
                <w:color w:val="0000FF"/>
              </w:rPr>
              <w:t>A</w:t>
            </w:r>
          </w:p>
        </w:tc>
        <w:tc>
          <w:tcPr>
            <w:tcW w:w="620" w:type="dxa"/>
            <w:vAlign w:val="bottom"/>
            <w:tcBorders>
              <w:bottom w:val="single" w:sz="8" w:color="2C2C2C"/>
            </w:tcBorders>
            <w:gridSpan w:val="3"/>
          </w:tcPr>
          <w:p>
            <w:pPr>
              <w:jc w:val="right"/>
              <w:ind w:right="54"/>
              <w:spacing w:after="0"/>
              <w:rPr>
                <w:sz w:val="20"/>
                <w:szCs w:val="20"/>
                <w:color w:val="auto"/>
              </w:rPr>
            </w:pPr>
            <w:r>
              <w:rPr>
                <w:rFonts w:ascii="Arial" w:cs="Arial" w:eastAsia="Arial" w:hAnsi="Arial"/>
                <w:sz w:val="18"/>
                <w:szCs w:val="18"/>
                <w:color w:val="auto"/>
              </w:rPr>
              <w:t>$</w:t>
            </w:r>
            <w:r>
              <w:rPr>
                <w:rFonts w:ascii="Arial" w:cs="Arial" w:eastAsia="Arial" w:hAnsi="Arial"/>
                <w:sz w:val="18"/>
                <w:szCs w:val="18"/>
                <w:color w:val="0000FF"/>
              </w:rPr>
              <w:t>40.4</w:t>
            </w:r>
          </w:p>
        </w:tc>
        <w:tc>
          <w:tcPr>
            <w:tcW w:w="1260" w:type="dxa"/>
            <w:vAlign w:val="bottom"/>
            <w:tcBorders>
              <w:bottom w:val="single" w:sz="8" w:color="2C2C2C"/>
            </w:tcBorders>
            <w:gridSpan w:val="2"/>
          </w:tcPr>
          <w:p>
            <w:pPr>
              <w:ind w:left="340"/>
              <w:spacing w:after="0"/>
              <w:rPr>
                <w:sz w:val="20"/>
                <w:szCs w:val="20"/>
                <w:color w:val="auto"/>
              </w:rPr>
            </w:pPr>
            <w:r>
              <w:rPr>
                <w:rFonts w:ascii="Arial" w:cs="Arial" w:eastAsia="Arial" w:hAnsi="Arial"/>
                <w:sz w:val="18"/>
                <w:szCs w:val="18"/>
                <w:color w:val="0000FF"/>
              </w:rPr>
              <w:t>3,730</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7260" w:type="dxa"/>
            <w:vAlign w:val="bottom"/>
            <w:tcBorders>
              <w:top w:val="single" w:sz="8" w:color="2C2C2C"/>
            </w:tcBorders>
            <w:gridSpan w:val="14"/>
          </w:tcPr>
          <w:p>
            <w:pPr>
              <w:jc w:val="center"/>
              <w:ind w:left="78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40" w:type="dxa"/>
            <w:vAlign w:val="bottom"/>
            <w:gridSpan w:val="11"/>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5"/>
                <w:szCs w:val="15"/>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9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40" w:type="dxa"/>
            <w:vAlign w:val="bottom"/>
          </w:tcPr>
          <w:p>
            <w:pPr>
              <w:spacing w:after="0"/>
              <w:rPr>
                <w:sz w:val="4"/>
                <w:szCs w:val="4"/>
                <w:color w:val="auto"/>
              </w:rPr>
            </w:pPr>
          </w:p>
        </w:tc>
        <w:tc>
          <w:tcPr>
            <w:tcW w:w="24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2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12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4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6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12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40" w:firstLine="9"/>
        <w:spacing w:after="0" w:line="233"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Dividend equivalent rights (DERs) accrued on the restricted stock units granted under the 2006 Equity Incentive Plan and, if applicable, on performance shares granted under the 2006 Equity Plan, to the extent that such performance shares have been earned under the performance share program relating to such shares. DERs vest in the same manner as the awards to which they relate. Each DER is the economic equivalent of one share of ABM common stock.</w:t>
      </w:r>
    </w:p>
    <w:p>
      <w:pPr>
        <w:spacing w:after="0" w:line="30" w:lineRule="exact"/>
        <w:rPr>
          <w:rFonts w:ascii="Arial" w:cs="Arial" w:eastAsia="Arial" w:hAnsi="Arial"/>
          <w:sz w:val="14"/>
          <w:szCs w:val="14"/>
          <w:color w:val="008000"/>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Includes 3,641 RSUs and DERs related thereto, adjusted to reflect the cumulative effect of fractional shares.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40" w:type="dxa"/>
            <w:vAlign w:val="bottom"/>
            <w:gridSpan w:val="3"/>
          </w:tcPr>
          <w:p>
            <w:pPr>
              <w:spacing w:after="0"/>
              <w:rPr>
                <w:sz w:val="20"/>
                <w:szCs w:val="20"/>
                <w:color w:val="auto"/>
              </w:rPr>
            </w:pPr>
            <w:r>
              <w:rPr>
                <w:rFonts w:ascii="Arial" w:cs="Arial" w:eastAsia="Arial" w:hAnsi="Arial"/>
                <w:sz w:val="18"/>
                <w:szCs w:val="18"/>
                <w:color w:val="0000FF"/>
                <w:w w:val="96"/>
              </w:rPr>
              <w:t>By: Barbara L. Smithers, by</w:t>
            </w:r>
          </w:p>
        </w:tc>
        <w:tc>
          <w:tcPr>
            <w:tcW w:w="960" w:type="dxa"/>
            <w:vAlign w:val="bottom"/>
            <w:gridSpan w:val="2"/>
            <w:vMerge w:val="restart"/>
          </w:tcPr>
          <w:p>
            <w:pPr>
              <w:ind w:left="160"/>
              <w:spacing w:after="0"/>
              <w:rPr>
                <w:sz w:val="20"/>
                <w:szCs w:val="20"/>
                <w:color w:val="auto"/>
              </w:rPr>
            </w:pPr>
            <w:r>
              <w:rPr>
                <w:rFonts w:ascii="Arial" w:cs="Arial" w:eastAsia="Arial" w:hAnsi="Arial"/>
                <w:sz w:val="18"/>
                <w:szCs w:val="18"/>
                <w:color w:val="0000FF"/>
                <w:w w:val="86"/>
              </w:rPr>
              <w:t>02/07/2017</w:t>
            </w:r>
          </w:p>
        </w:tc>
        <w:tc>
          <w:tcPr>
            <w:tcW w:w="0" w:type="dxa"/>
            <w:vAlign w:val="bottom"/>
          </w:tcPr>
          <w:p>
            <w:pPr>
              <w:spacing w:after="0"/>
              <w:rPr>
                <w:sz w:val="1"/>
                <w:szCs w:val="1"/>
                <w:color w:val="auto"/>
              </w:rPr>
            </w:pPr>
          </w:p>
        </w:tc>
      </w:tr>
      <w:tr>
        <w:trPr>
          <w:trHeight w:val="88"/>
        </w:trPr>
        <w:tc>
          <w:tcPr>
            <w:tcW w:w="126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89"/>
              </w:rPr>
              <w:t>power of attorney</w:t>
            </w:r>
          </w:p>
        </w:tc>
        <w:tc>
          <w:tcPr>
            <w:tcW w:w="720" w:type="dxa"/>
            <w:vAlign w:val="bottom"/>
            <w:tcBorders>
              <w:top w:val="single" w:sz="8" w:color="auto"/>
            </w:tcBorders>
            <w:vMerge w:val="restart"/>
          </w:tcPr>
          <w:p>
            <w:pPr>
              <w:spacing w:after="0"/>
              <w:rPr>
                <w:sz w:val="7"/>
                <w:szCs w:val="7"/>
                <w:color w:val="auto"/>
              </w:rPr>
            </w:pPr>
          </w:p>
        </w:tc>
        <w:tc>
          <w:tcPr>
            <w:tcW w:w="160" w:type="dxa"/>
            <w:vAlign w:val="bottom"/>
            <w:vMerge w:val="restart"/>
          </w:tcPr>
          <w:p>
            <w:pPr>
              <w:spacing w:after="0"/>
              <w:rPr>
                <w:sz w:val="7"/>
                <w:szCs w:val="7"/>
                <w:color w:val="auto"/>
              </w:rPr>
            </w:pPr>
          </w:p>
        </w:tc>
        <w:tc>
          <w:tcPr>
            <w:tcW w:w="9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1260" w:type="dxa"/>
            <w:vAlign w:val="bottom"/>
            <w:tcBorders>
              <w:top w:val="single" w:sz="8" w:color="auto"/>
              <w:bottom w:val="single" w:sz="8" w:color="auto"/>
            </w:tcBorders>
            <w:vMerge w:val="continue"/>
          </w:tcPr>
          <w:p>
            <w:pPr>
              <w:spacing w:after="0"/>
              <w:rPr>
                <w:sz w:val="7"/>
                <w:szCs w:val="7"/>
                <w:color w:val="auto"/>
              </w:rPr>
            </w:pPr>
          </w:p>
        </w:tc>
        <w:tc>
          <w:tcPr>
            <w:tcW w:w="720" w:type="dxa"/>
            <w:vAlign w:val="bottom"/>
            <w:tcBorders>
              <w:top w:val="single" w:sz="8" w:color="auto"/>
            </w:tcBorders>
            <w:vMerge w:val="continue"/>
          </w:tcPr>
          <w:p>
            <w:pPr>
              <w:spacing w:after="0"/>
              <w:rPr>
                <w:sz w:val="7"/>
                <w:szCs w:val="7"/>
                <w:color w:val="auto"/>
              </w:rPr>
            </w:pPr>
          </w:p>
        </w:tc>
        <w:tc>
          <w:tcPr>
            <w:tcW w:w="16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4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6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664434" TargetMode="External"/><Relationship Id="rId13" Type="http://schemas.openxmlformats.org/officeDocument/2006/relationships/hyperlink" Target="http://www.sec.gov/cgi-bin/browse-edgar?action=getcompany&amp;CIK=00007714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2019-12-23T21:41:06Z</dcterms:created>
  <dcterms:modified xsi:type="dcterms:W3CDTF">2019-12-23T21:41:06Z</dcterms:modified>
</cp:coreProperties>
</file>