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MCCLURE JAMES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02/16/2017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06" w:lineRule="exact"/>
        <w:rPr>
          <w:sz w:val="24"/>
          <w:szCs w:val="24"/>
          <w:color w:val="auto"/>
        </w:rPr>
      </w:pPr>
    </w:p>
    <w:p>
      <w:pPr>
        <w:sectPr>
          <w:pgSz w:w="11900" w:h="16838" w:orient="portrait"/>
          <w:cols w:equalWidth="0" w:num="3">
            <w:col w:w="3360" w:space="720"/>
            <w:col w:w="3400" w:space="577"/>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80" w:type="dxa"/>
            <w:vAlign w:val="bottom"/>
            <w:gridSpan w:val="6"/>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10"/>
          </w:tcPr>
          <w:p>
            <w:pPr>
              <w:ind w:left="4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gridSpan w:val="3"/>
          </w:tcPr>
          <w:p>
            <w:pPr>
              <w:ind w:left="4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10006</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36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gridSpan w:val="3"/>
          </w:tcPr>
          <w:p>
            <w:pPr>
              <w:jc w:val="right"/>
              <w:ind w:right="112"/>
              <w:spacing w:after="0"/>
              <w:rPr>
                <w:sz w:val="20"/>
                <w:szCs w:val="20"/>
                <w:color w:val="auto"/>
              </w:rPr>
            </w:pPr>
            <w:r>
              <w:rPr>
                <w:rFonts w:ascii="Arial" w:cs="Arial" w:eastAsia="Arial" w:hAnsi="Arial"/>
                <w:sz w:val="18"/>
                <w:szCs w:val="18"/>
                <w:color w:val="0000FF"/>
              </w:rPr>
              <w:t>02/16/2017</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8,447</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60" w:type="dxa"/>
            <w:vAlign w:val="bottom"/>
          </w:tcPr>
          <w:p>
            <w:pPr>
              <w:ind w:left="180"/>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18.31</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gridSpan w:val="2"/>
          </w:tcPr>
          <w:p>
            <w:pPr>
              <w:jc w:val="right"/>
              <w:ind w:right="279"/>
              <w:spacing w:after="0"/>
              <w:rPr>
                <w:sz w:val="20"/>
                <w:szCs w:val="20"/>
                <w:color w:val="auto"/>
              </w:rPr>
            </w:pPr>
            <w:r>
              <w:rPr>
                <w:rFonts w:ascii="Arial" w:cs="Arial" w:eastAsia="Arial" w:hAnsi="Arial"/>
                <w:sz w:val="18"/>
                <w:szCs w:val="18"/>
                <w:color w:val="0000FF"/>
              </w:rPr>
              <w:t>144,150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02/16/2017</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8,447</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40.3857</w:t>
            </w:r>
            <w:r>
              <w:rPr>
                <w:rFonts w:ascii="Arial" w:cs="Arial" w:eastAsia="Arial" w:hAnsi="Arial"/>
                <w:sz w:val="22"/>
                <w:szCs w:val="22"/>
                <w:color w:val="008000"/>
                <w:w w:val="90"/>
                <w:vertAlign w:val="superscript"/>
              </w:rPr>
              <w:t>(2)</w:t>
            </w:r>
          </w:p>
        </w:tc>
        <w:tc>
          <w:tcPr>
            <w:tcW w:w="1220" w:type="dxa"/>
            <w:vAlign w:val="bottom"/>
            <w:tcBorders>
              <w:bottom w:val="single" w:sz="8" w:color="2C2C2C"/>
            </w:tcBorders>
            <w:gridSpan w:val="2"/>
          </w:tcPr>
          <w:p>
            <w:pPr>
              <w:jc w:val="center"/>
              <w:ind w:right="199"/>
              <w:spacing w:after="0"/>
              <w:rPr>
                <w:sz w:val="20"/>
                <w:szCs w:val="20"/>
                <w:color w:val="auto"/>
              </w:rPr>
            </w:pPr>
            <w:r>
              <w:rPr>
                <w:rFonts w:ascii="Arial" w:cs="Arial" w:eastAsia="Arial" w:hAnsi="Arial"/>
                <w:sz w:val="18"/>
                <w:szCs w:val="18"/>
                <w:color w:val="0000FF"/>
              </w:rPr>
              <w:t>135,703</w:t>
            </w:r>
            <w:r>
              <w:rPr>
                <w:rFonts w:ascii="Arial" w:cs="Arial" w:eastAsia="Arial" w:hAnsi="Arial"/>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9"/>
          </w:tcPr>
          <w:p>
            <w:pPr>
              <w:jc w:val="center"/>
              <w:ind w:left="5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18.31</w:t>
            </w:r>
          </w:p>
        </w:tc>
        <w:tc>
          <w:tcPr>
            <w:tcW w:w="160" w:type="dxa"/>
            <w:vAlign w:val="bottom"/>
          </w:tcPr>
          <w:p>
            <w:pPr>
              <w:spacing w:after="0"/>
              <w:rPr>
                <w:sz w:val="16"/>
                <w:szCs w:val="16"/>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02/16/2017</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vMerge w:val="restart"/>
          </w:tcPr>
          <w:p>
            <w:pPr>
              <w:jc w:val="right"/>
              <w:ind w:right="92"/>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6"/>
                <w:szCs w:val="16"/>
                <w:color w:val="auto"/>
              </w:rPr>
            </w:pPr>
          </w:p>
        </w:tc>
        <w:tc>
          <w:tcPr>
            <w:tcW w:w="720" w:type="dxa"/>
            <w:vAlign w:val="bottom"/>
            <w:vMerge w:val="restart"/>
          </w:tcPr>
          <w:p>
            <w:pPr>
              <w:ind w:left="360"/>
              <w:spacing w:after="0"/>
              <w:rPr>
                <w:sz w:val="20"/>
                <w:szCs w:val="20"/>
                <w:color w:val="auto"/>
              </w:rPr>
            </w:pPr>
            <w:r>
              <w:rPr>
                <w:rFonts w:ascii="Arial" w:cs="Arial" w:eastAsia="Arial" w:hAnsi="Arial"/>
                <w:sz w:val="14"/>
                <w:szCs w:val="14"/>
                <w:color w:val="0000FF"/>
                <w:w w:val="96"/>
              </w:rPr>
              <w:t>8,447</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0000FF"/>
                <w:w w:val="85"/>
              </w:rPr>
              <w:t>10/11/2019</w:t>
            </w: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60" w:type="dxa"/>
            <w:vAlign w:val="bottom"/>
            <w:vMerge w:val="restart"/>
          </w:tcPr>
          <w:p>
            <w:pPr>
              <w:ind w:left="180"/>
              <w:spacing w:after="0"/>
              <w:rPr>
                <w:sz w:val="20"/>
                <w:szCs w:val="20"/>
                <w:color w:val="auto"/>
              </w:rPr>
            </w:pPr>
            <w:r>
              <w:rPr>
                <w:rFonts w:ascii="Arial" w:cs="Arial" w:eastAsia="Arial" w:hAnsi="Arial"/>
                <w:sz w:val="18"/>
                <w:szCs w:val="18"/>
                <w:color w:val="0000FF"/>
              </w:rPr>
              <w:t>8,447</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400"/>
              <w:spacing w:after="0"/>
              <w:rPr>
                <w:sz w:val="20"/>
                <w:szCs w:val="20"/>
                <w:color w:val="auto"/>
              </w:rPr>
            </w:pPr>
            <w:r>
              <w:rPr>
                <w:rFonts w:ascii="Arial" w:cs="Arial" w:eastAsia="Arial" w:hAnsi="Arial"/>
                <w:sz w:val="14"/>
                <w:szCs w:val="14"/>
                <w:color w:val="0000FF"/>
              </w:rPr>
              <w:t>0</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w w:val="96"/>
              </w:rPr>
              <w:t>Options</w:t>
            </w:r>
            <w:r>
              <w:rPr>
                <w:rFonts w:ascii="Arial" w:cs="Arial" w:eastAsia="Arial" w:hAnsi="Arial"/>
                <w:sz w:val="22"/>
                <w:szCs w:val="22"/>
                <w:color w:val="008000"/>
                <w:w w:val="96"/>
                <w:vertAlign w:val="superscript"/>
              </w:rPr>
              <w:t>(4)</w:t>
            </w:r>
          </w:p>
        </w:tc>
        <w:tc>
          <w:tcPr>
            <w:tcW w:w="6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All sales reported on this Form 4 were effected pursuant to a Rule 10b5-1 trading plan entered into by the reporting person.</w:t>
      </w:r>
    </w:p>
    <w:p>
      <w:pPr>
        <w:spacing w:after="0" w:line="41" w:lineRule="exact"/>
        <w:rPr>
          <w:rFonts w:ascii="Arial" w:cs="Arial" w:eastAsia="Arial" w:hAnsi="Arial"/>
          <w:sz w:val="14"/>
          <w:szCs w:val="14"/>
          <w:color w:val="008000"/>
        </w:rPr>
      </w:pPr>
    </w:p>
    <w:p>
      <w:pPr>
        <w:jc w:val="both"/>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$40.21 to $40.47, inclusive. The reporting person undertakes to provide to ABM Industries Incorporated, any security holder of ABM Industries Incorporated, or the staff of the Securities and Exchange Commission, upon request, full information regarding the number of shares sold at each separate price within the ranges set forth in footnote 1 of this Form 4.</w:t>
      </w:r>
    </w:p>
    <w:p>
      <w:pPr>
        <w:spacing w:after="0" w:line="30"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21,240 unvested RSUs, 82,825 vested RSUs, the receipt of which has been deferred and DERs relating to the RSUs, adjusted to reflect the cumulative effect of fractional shares, 10,165 performance shares earned but not vested with respect to TSR performance shares granted on 9/8/2014, 1,553 performance shares earned but not vested with respect to performance shares granted on 1/15/2015, and DERs related thereto.</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options granted under the 2006 Equity Incentive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25% exercisable on 10/11/2013 and 25% on the anniversary date of the following three years.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02/17/2017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8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2019-12-23T21:41:08Z</dcterms:created>
  <dcterms:modified xsi:type="dcterms:W3CDTF">2019-12-23T21:41:08Z</dcterms:modified>
</cp:coreProperties>
</file>