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963930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877570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420"/>
        <w:spacing w:after="0"/>
        <w:rPr>
          <w:sz w:val="20"/>
          <w:szCs w:val="20"/>
          <w:color w:val="auto"/>
        </w:rPr>
      </w:pPr>
      <w:r>
        <w:rPr>
          <w:rFonts w:ascii="Arial" w:cs="Arial" w:eastAsia="Arial" w:hAnsi="Arial"/>
          <w:sz w:val="18"/>
          <w:szCs w:val="18"/>
          <w:color w:val="auto"/>
        </w:rPr>
        <w:t>__________________________</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3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53" w:lineRule="exact"/>
        <w:rPr>
          <w:sz w:val="24"/>
          <w:szCs w:val="24"/>
          <w:color w:val="auto"/>
        </w:rPr>
      </w:pPr>
    </w:p>
    <w:p>
      <w:pPr>
        <w:ind w:left="720" w:hanging="685"/>
        <w:spacing w:after="0" w:line="250"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 w:lineRule="exact"/>
        <w:rPr>
          <w:sz w:val="24"/>
          <w:szCs w:val="24"/>
          <w:color w:val="auto"/>
        </w:rPr>
      </w:pPr>
    </w:p>
    <w:p>
      <w:pPr>
        <w:ind w:left="3720"/>
        <w:spacing w:after="0"/>
        <w:rPr>
          <w:sz w:val="20"/>
          <w:szCs w:val="20"/>
          <w:color w:val="auto"/>
        </w:rPr>
      </w:pPr>
      <w:r>
        <w:rPr>
          <w:rFonts w:ascii="Arial" w:cs="Arial" w:eastAsia="Arial" w:hAnsi="Arial"/>
          <w:sz w:val="22"/>
          <w:szCs w:val="22"/>
          <w:b w:val="1"/>
          <w:bCs w:val="1"/>
          <w:color w:val="auto"/>
        </w:rPr>
        <w:t xml:space="preserve">For the quarterly period ended </w:t>
      </w:r>
      <w:r>
        <w:rPr>
          <w:rFonts w:ascii="Arial" w:cs="Arial" w:eastAsia="Arial" w:hAnsi="Arial"/>
          <w:sz w:val="22"/>
          <w:szCs w:val="22"/>
          <w:b w:val="1"/>
          <w:bCs w:val="1"/>
          <w:u w:val="single" w:color="auto"/>
          <w:color w:val="auto"/>
        </w:rPr>
        <w:t>July 31, 2018</w:t>
      </w:r>
    </w:p>
    <w:p>
      <w:pPr>
        <w:spacing w:after="0" w:line="28" w:lineRule="exact"/>
        <w:rPr>
          <w:sz w:val="24"/>
          <w:szCs w:val="24"/>
          <w:color w:val="auto"/>
        </w:rPr>
      </w:pPr>
    </w:p>
    <w:p>
      <w:pPr>
        <w:ind w:left="5620"/>
        <w:spacing w:after="0"/>
        <w:rPr>
          <w:sz w:val="20"/>
          <w:szCs w:val="20"/>
          <w:color w:val="auto"/>
        </w:rPr>
      </w:pPr>
      <w:r>
        <w:rPr>
          <w:rFonts w:ascii="Arial" w:cs="Arial" w:eastAsia="Arial" w:hAnsi="Arial"/>
          <w:sz w:val="22"/>
          <w:szCs w:val="22"/>
          <w:color w:val="auto"/>
        </w:rPr>
        <w:t>or</w:t>
      </w:r>
    </w:p>
    <w:p>
      <w:pPr>
        <w:spacing w:after="0" w:line="126" w:lineRule="exact"/>
        <w:rPr>
          <w:sz w:val="24"/>
          <w:szCs w:val="24"/>
          <w:color w:val="auto"/>
        </w:rPr>
      </w:pPr>
    </w:p>
    <w:p>
      <w:pPr>
        <w:ind w:left="720" w:hanging="685"/>
        <w:spacing w:after="0" w:line="261"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7" w:lineRule="exact"/>
        <w:rPr>
          <w:sz w:val="24"/>
          <w:szCs w:val="24"/>
          <w:color w:val="auto"/>
        </w:rPr>
      </w:pPr>
    </w:p>
    <w:p>
      <w:pPr>
        <w:ind w:left="3680"/>
        <w:spacing w:after="0"/>
        <w:tabs>
          <w:tab w:leader="none" w:pos="69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3980815</wp:posOffset>
            </wp:positionH>
            <wp:positionV relativeFrom="paragraph">
              <wp:posOffset>-5080</wp:posOffset>
            </wp:positionV>
            <wp:extent cx="9334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3450" cy="8890"/>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1-8929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88900</wp:posOffset>
            </wp:positionV>
            <wp:extent cx="1449070" cy="831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318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ABM INDUSTRIES INCORPORATED</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311" w:lineRule="exact"/>
        <w:rPr>
          <w:sz w:val="24"/>
          <w:szCs w:val="24"/>
          <w:color w:val="auto"/>
        </w:rPr>
      </w:pPr>
    </w:p>
    <w:tbl>
      <w:tblPr>
        <w:tblLayout w:type="fixed"/>
        <w:tblInd w:w="440" w:type="dxa"/>
        <w:tblCellMar>
          <w:top w:w="0" w:type="dxa"/>
          <w:left w:w="0" w:type="dxa"/>
          <w:bottom w:w="0" w:type="dxa"/>
          <w:right w:w="0" w:type="dxa"/>
        </w:tblCellMar>
      </w:tblPr>
      <w:tr>
        <w:trPr>
          <w:trHeight w:val="239"/>
        </w:trPr>
        <w:tc>
          <w:tcPr>
            <w:tcW w:w="2760" w:type="dxa"/>
            <w:vAlign w:val="bottom"/>
          </w:tcPr>
          <w:p>
            <w:pPr>
              <w:jc w:val="center"/>
              <w:ind w:right="330"/>
              <w:spacing w:after="0"/>
              <w:rPr>
                <w:sz w:val="20"/>
                <w:szCs w:val="20"/>
                <w:color w:val="auto"/>
              </w:rPr>
            </w:pPr>
            <w:r>
              <w:rPr>
                <w:rFonts w:ascii="Arial" w:cs="Arial" w:eastAsia="Arial" w:hAnsi="Arial"/>
                <w:sz w:val="18"/>
                <w:szCs w:val="18"/>
                <w:b w:val="1"/>
                <w:bCs w:val="1"/>
                <w:color w:val="auto"/>
                <w:w w:val="98"/>
              </w:rPr>
              <w:t>Delaware</w:t>
            </w:r>
          </w:p>
        </w:tc>
        <w:tc>
          <w:tcPr>
            <w:tcW w:w="7380" w:type="dxa"/>
            <w:vAlign w:val="bottom"/>
            <w:gridSpan w:val="3"/>
          </w:tcPr>
          <w:p>
            <w:pPr>
              <w:jc w:val="center"/>
              <w:ind w:left="5890"/>
              <w:spacing w:after="0"/>
              <w:rPr>
                <w:sz w:val="20"/>
                <w:szCs w:val="20"/>
                <w:color w:val="auto"/>
              </w:rPr>
            </w:pPr>
            <w:r>
              <w:rPr>
                <w:rFonts w:ascii="Arial" w:cs="Arial" w:eastAsia="Arial" w:hAnsi="Arial"/>
                <w:sz w:val="18"/>
                <w:szCs w:val="18"/>
                <w:b w:val="1"/>
                <w:bCs w:val="1"/>
                <w:color w:val="auto"/>
                <w:w w:val="99"/>
              </w:rPr>
              <w:t>94-1369354</w:t>
            </w:r>
          </w:p>
        </w:tc>
      </w:tr>
      <w:tr>
        <w:trPr>
          <w:trHeight w:val="391"/>
        </w:trPr>
        <w:tc>
          <w:tcPr>
            <w:tcW w:w="2760" w:type="dxa"/>
            <w:vAlign w:val="bottom"/>
          </w:tcPr>
          <w:p>
            <w:pPr>
              <w:jc w:val="center"/>
              <w:ind w:right="330"/>
              <w:spacing w:after="0"/>
              <w:rPr>
                <w:sz w:val="20"/>
                <w:szCs w:val="20"/>
                <w:color w:val="auto"/>
              </w:rPr>
            </w:pPr>
            <w:r>
              <w:rPr>
                <w:rFonts w:ascii="Arial" w:cs="Arial" w:eastAsia="Arial" w:hAnsi="Arial"/>
                <w:sz w:val="18"/>
                <w:szCs w:val="18"/>
                <w:color w:val="auto"/>
              </w:rPr>
              <w:t>(State or other jurisdiction of</w:t>
            </w:r>
          </w:p>
        </w:tc>
        <w:tc>
          <w:tcPr>
            <w:tcW w:w="19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(I.R.S. Employer</w:t>
            </w:r>
          </w:p>
        </w:tc>
      </w:tr>
      <w:tr>
        <w:trPr>
          <w:trHeight w:val="217"/>
        </w:trPr>
        <w:tc>
          <w:tcPr>
            <w:tcW w:w="2760" w:type="dxa"/>
            <w:vAlign w:val="bottom"/>
          </w:tcPr>
          <w:p>
            <w:pPr>
              <w:jc w:val="center"/>
              <w:ind w:right="330"/>
              <w:spacing w:after="0"/>
              <w:rPr>
                <w:sz w:val="20"/>
                <w:szCs w:val="20"/>
                <w:color w:val="auto"/>
              </w:rPr>
            </w:pPr>
            <w:r>
              <w:rPr>
                <w:rFonts w:ascii="Arial" w:cs="Arial" w:eastAsia="Arial" w:hAnsi="Arial"/>
                <w:sz w:val="18"/>
                <w:szCs w:val="18"/>
                <w:color w:val="auto"/>
                <w:w w:val="99"/>
              </w:rPr>
              <w:t>incorporation or organization)</w:t>
            </w:r>
          </w:p>
        </w:tc>
        <w:tc>
          <w:tcPr>
            <w:tcW w:w="1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60" w:type="dxa"/>
            <w:vAlign w:val="bottom"/>
          </w:tcPr>
          <w:p>
            <w:pPr>
              <w:jc w:val="center"/>
              <w:ind w:left="2770"/>
              <w:spacing w:after="0"/>
              <w:rPr>
                <w:sz w:val="20"/>
                <w:szCs w:val="20"/>
                <w:color w:val="auto"/>
              </w:rPr>
            </w:pPr>
            <w:r>
              <w:rPr>
                <w:rFonts w:ascii="Arial" w:cs="Arial" w:eastAsia="Arial" w:hAnsi="Arial"/>
                <w:sz w:val="18"/>
                <w:szCs w:val="18"/>
                <w:color w:val="auto"/>
                <w:w w:val="99"/>
              </w:rPr>
              <w:t>Identification No.)</w:t>
            </w:r>
          </w:p>
        </w:tc>
      </w:tr>
      <w:tr>
        <w:trPr>
          <w:trHeight w:val="527"/>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__________________________</w:t>
            </w:r>
          </w:p>
        </w:tc>
      </w:tr>
      <w:tr>
        <w:trPr>
          <w:trHeight w:val="301"/>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99"/>
              </w:rPr>
              <w:t>One Liberty Plaza, 7</w:t>
            </w:r>
            <w:r>
              <w:rPr>
                <w:rFonts w:ascii="Arial" w:cs="Arial" w:eastAsia="Arial" w:hAnsi="Arial"/>
                <w:sz w:val="21"/>
                <w:szCs w:val="21"/>
                <w:b w:val="1"/>
                <w:bCs w:val="1"/>
                <w:color w:val="auto"/>
                <w:w w:val="99"/>
                <w:vertAlign w:val="superscript"/>
              </w:rPr>
              <w:t>th</w:t>
            </w:r>
            <w:r>
              <w:rPr>
                <w:rFonts w:ascii="Arial" w:cs="Arial" w:eastAsia="Arial" w:hAnsi="Arial"/>
                <w:sz w:val="18"/>
                <w:szCs w:val="18"/>
                <w:b w:val="1"/>
                <w:bCs w:val="1"/>
                <w:color w:val="auto"/>
                <w:w w:val="99"/>
              </w:rPr>
              <w:t xml:space="preserve"> Floor</w:t>
            </w:r>
          </w:p>
        </w:tc>
      </w:tr>
      <w:tr>
        <w:trPr>
          <w:trHeight w:val="239"/>
        </w:trPr>
        <w:tc>
          <w:tcPr>
            <w:tcW w:w="2760" w:type="dxa"/>
            <w:vAlign w:val="bottom"/>
          </w:tcPr>
          <w:p>
            <w:pPr>
              <w:spacing w:after="0"/>
              <w:rPr>
                <w:sz w:val="20"/>
                <w:szCs w:val="20"/>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b w:val="1"/>
                <w:bCs w:val="1"/>
                <w:color w:val="auto"/>
                <w:w w:val="98"/>
              </w:rPr>
              <w:t>New York, New York 10006</w:t>
            </w:r>
          </w:p>
        </w:tc>
      </w:tr>
      <w:tr>
        <w:trPr>
          <w:trHeight w:val="324"/>
        </w:trPr>
        <w:tc>
          <w:tcPr>
            <w:tcW w:w="2760" w:type="dxa"/>
            <w:vAlign w:val="bottom"/>
          </w:tcPr>
          <w:p>
            <w:pPr>
              <w:spacing w:after="0"/>
              <w:rPr>
                <w:sz w:val="24"/>
                <w:szCs w:val="24"/>
                <w:color w:val="auto"/>
              </w:rPr>
            </w:pPr>
          </w:p>
        </w:tc>
        <w:tc>
          <w:tcPr>
            <w:tcW w:w="7380" w:type="dxa"/>
            <w:vAlign w:val="bottom"/>
            <w:gridSpan w:val="3"/>
          </w:tcPr>
          <w:p>
            <w:pPr>
              <w:jc w:val="center"/>
              <w:ind w:right="2250"/>
              <w:spacing w:after="0"/>
              <w:rPr>
                <w:sz w:val="20"/>
                <w:szCs w:val="20"/>
                <w:color w:val="auto"/>
              </w:rPr>
            </w:pPr>
            <w:r>
              <w:rPr>
                <w:rFonts w:ascii="Arial" w:cs="Arial" w:eastAsia="Arial" w:hAnsi="Arial"/>
                <w:sz w:val="18"/>
                <w:szCs w:val="18"/>
                <w:color w:val="auto"/>
                <w:w w:val="99"/>
              </w:rPr>
              <w:t>(Address of principal executive offices)</w:t>
            </w:r>
          </w:p>
        </w:tc>
      </w:tr>
      <w:tr>
        <w:trPr>
          <w:trHeight w:val="716"/>
        </w:trPr>
        <w:tc>
          <w:tcPr>
            <w:tcW w:w="2760" w:type="dxa"/>
            <w:vAlign w:val="bottom"/>
          </w:tcPr>
          <w:p>
            <w:pPr>
              <w:spacing w:after="0"/>
              <w:rPr>
                <w:sz w:val="24"/>
                <w:szCs w:val="24"/>
                <w:color w:val="auto"/>
              </w:rPr>
            </w:pPr>
          </w:p>
        </w:tc>
        <w:tc>
          <w:tcPr>
            <w:tcW w:w="3120" w:type="dxa"/>
            <w:vAlign w:val="bottom"/>
            <w:gridSpan w:val="2"/>
          </w:tcPr>
          <w:p>
            <w:pPr>
              <w:jc w:val="center"/>
              <w:ind w:left="1810"/>
              <w:spacing w:after="0"/>
              <w:rPr>
                <w:sz w:val="20"/>
                <w:szCs w:val="20"/>
                <w:color w:val="auto"/>
              </w:rPr>
            </w:pPr>
            <w:r>
              <w:rPr>
                <w:rFonts w:ascii="Arial" w:cs="Arial" w:eastAsia="Arial" w:hAnsi="Arial"/>
                <w:sz w:val="18"/>
                <w:szCs w:val="18"/>
                <w:b w:val="1"/>
                <w:bCs w:val="1"/>
                <w:color w:val="auto"/>
                <w:w w:val="99"/>
              </w:rPr>
              <w:t>(212) 297-0200</w:t>
            </w:r>
          </w:p>
        </w:tc>
        <w:tc>
          <w:tcPr>
            <w:tcW w:w="4260" w:type="dxa"/>
            <w:vAlign w:val="bottom"/>
          </w:tcPr>
          <w:p>
            <w:pPr>
              <w:spacing w:after="0"/>
              <w:rPr>
                <w:sz w:val="24"/>
                <w:szCs w:val="24"/>
                <w:color w:val="auto"/>
              </w:rPr>
            </w:pPr>
          </w:p>
        </w:tc>
      </w:tr>
      <w:tr>
        <w:trPr>
          <w:trHeight w:val="20"/>
        </w:trPr>
        <w:tc>
          <w:tcPr>
            <w:tcW w:w="27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r>
      <w:tr>
        <w:trPr>
          <w:trHeight w:val="399"/>
        </w:trPr>
        <w:tc>
          <w:tcPr>
            <w:tcW w:w="2760" w:type="dxa"/>
            <w:vAlign w:val="bottom"/>
          </w:tcPr>
          <w:p>
            <w:pPr>
              <w:spacing w:after="0"/>
              <w:rPr>
                <w:sz w:val="24"/>
                <w:szCs w:val="24"/>
                <w:color w:val="auto"/>
              </w:rPr>
            </w:pPr>
          </w:p>
        </w:tc>
        <w:tc>
          <w:tcPr>
            <w:tcW w:w="7380" w:type="dxa"/>
            <w:vAlign w:val="bottom"/>
            <w:gridSpan w:val="3"/>
          </w:tcPr>
          <w:p>
            <w:pPr>
              <w:jc w:val="center"/>
              <w:ind w:right="2270"/>
              <w:spacing w:after="0"/>
              <w:rPr>
                <w:sz w:val="20"/>
                <w:szCs w:val="20"/>
                <w:color w:val="auto"/>
              </w:rPr>
            </w:pPr>
            <w:r>
              <w:rPr>
                <w:rFonts w:ascii="Arial" w:cs="Arial" w:eastAsia="Arial" w:hAnsi="Arial"/>
                <w:sz w:val="18"/>
                <w:szCs w:val="18"/>
                <w:color w:val="auto"/>
                <w:w w:val="9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3315335</wp:posOffset>
            </wp:positionH>
            <wp:positionV relativeFrom="paragraph">
              <wp:posOffset>-2125980</wp:posOffset>
            </wp:positionV>
            <wp:extent cx="702945" cy="7029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2945" cy="702945"/>
                    </a:xfrm>
                    <a:prstGeom prst="rect">
                      <a:avLst/>
                    </a:prstGeom>
                    <a:noFill/>
                  </pic:spPr>
                </pic:pic>
              </a:graphicData>
            </a:graphic>
          </wp:anchor>
        </w:drawing>
      </w:r>
    </w:p>
    <w:p>
      <w:pPr>
        <w:spacing w:after="0" w:line="200" w:lineRule="exact"/>
        <w:rPr>
          <w:sz w:val="24"/>
          <w:szCs w:val="24"/>
          <w:color w:val="auto"/>
        </w:rPr>
      </w:pP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None</w:t>
      </w:r>
    </w:p>
    <w:p>
      <w:pPr>
        <w:spacing w:after="0" w:line="193"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25" w:lineRule="exact"/>
        <w:rPr>
          <w:sz w:val="24"/>
          <w:szCs w:val="24"/>
          <w:color w:val="auto"/>
        </w:rPr>
      </w:pPr>
    </w:p>
    <w:p>
      <w:pPr>
        <w:ind w:left="4420"/>
        <w:spacing w:after="0"/>
        <w:rPr>
          <w:sz w:val="20"/>
          <w:szCs w:val="20"/>
          <w:color w:val="auto"/>
        </w:rPr>
      </w:pPr>
      <w:r>
        <w:rPr>
          <w:rFonts w:ascii="Arial" w:cs="Arial" w:eastAsia="Arial" w:hAnsi="Arial"/>
          <w:sz w:val="18"/>
          <w:szCs w:val="18"/>
          <w:color w:val="auto"/>
        </w:rPr>
        <w:t>__________________________</w:t>
      </w:r>
    </w:p>
    <w:p>
      <w:pPr>
        <w:sectPr>
          <w:pgSz w:w="11900" w:h="16838" w:orient="portrait"/>
          <w:cols w:equalWidth="0" w:num="1">
            <w:col w:w="11380"/>
          </w:cols>
          <w:pgMar w:left="240" w:top="1440" w:right="279" w:bottom="1440" w:gutter="0" w:footer="0" w:header="0"/>
        </w:sectPr>
      </w:pPr>
    </w:p>
    <w:bookmarkStart w:id="1" w:name="page2"/>
    <w:bookmarkEnd w:id="1"/>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5" w:lineRule="exact"/>
        <w:rPr>
          <w:sz w:val="20"/>
          <w:szCs w:val="20"/>
          <w:color w:val="auto"/>
        </w:rPr>
      </w:pPr>
    </w:p>
    <w:p>
      <w:pPr>
        <w:ind w:left="60"/>
        <w:spacing w:after="0" w:line="207" w:lineRule="exact"/>
        <w:tabs>
          <w:tab w:leader="none" w:pos="2300" w:val="left"/>
          <w:tab w:leader="none" w:pos="37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  </w:t>
      </w:r>
      <w:r>
        <w:rPr>
          <w:rFonts w:ascii="Arial" w:cs="Arial" w:eastAsia="Arial" w:hAnsi="Arial"/>
          <w:sz w:val="18"/>
          <w:szCs w:val="18"/>
          <w:color w:val="auto"/>
        </w:rPr>
        <w:t>Emerging growth company</w:t>
      </w:r>
      <w:r>
        <w:rPr>
          <w:rFonts w:ascii="MS PGothic" w:cs="MS PGothic" w:eastAsia="MS PGothic" w:hAnsi="MS PGothic"/>
          <w:sz w:val="18"/>
          <w:szCs w:val="18"/>
          <w:color w:val="auto"/>
        </w:rPr>
        <w:t xml:space="preserve">  ☐</w:t>
      </w:r>
    </w:p>
    <w:p>
      <w:pPr>
        <w:spacing w:after="0" w:line="241"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0"/>
          <w:szCs w:val="20"/>
          <w:color w:val="auto"/>
        </w:rPr>
      </w:pPr>
    </w:p>
    <w:p>
      <w:pPr>
        <w:ind w:right="120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of the registrant’s common stock outstanding as of September 4, 2018: 65,851,793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189230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38" w:right="2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ABM INDUSTRIES INCORPORATED AND SUBSIDIARIES</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FORWARD-LOOKING STATEMENTS</w:t>
            </w:r>
          </w:p>
        </w:tc>
        <w:tc>
          <w:tcPr>
            <w:tcW w:w="80" w:type="dxa"/>
            <w:vAlign w:val="bottom"/>
          </w:tcPr>
          <w:p>
            <w:pPr>
              <w:spacing w:after="0"/>
              <w:rPr>
                <w:sz w:val="14"/>
                <w:szCs w:val="14"/>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4">
              <w:r>
                <w:rPr>
                  <w:rFonts w:ascii="Arial" w:cs="Arial" w:eastAsia="Arial" w:hAnsi="Arial"/>
                  <w:sz w:val="15"/>
                  <w:szCs w:val="15"/>
                  <w:color w:val="0000EE"/>
                  <w:w w:val="95"/>
                </w:rPr>
                <w:t>1</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 FINANCIAL INFORMATION</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Consolidated Financial Statements</w:t>
            </w:r>
          </w:p>
        </w:tc>
        <w:tc>
          <w:tcPr>
            <w:tcW w:w="80" w:type="dxa"/>
            <w:vAlign w:val="bottom"/>
          </w:tcPr>
          <w:p>
            <w:pPr>
              <w:spacing w:after="0"/>
              <w:rPr>
                <w:sz w:val="17"/>
                <w:szCs w:val="17"/>
                <w:color w:val="auto"/>
              </w:rPr>
            </w:pPr>
          </w:p>
        </w:tc>
        <w:tc>
          <w:tcPr>
            <w:tcW w:w="100" w:type="dxa"/>
            <w:vAlign w:val="bottom"/>
            <w:tcBorders>
              <w:bottom w:val="single" w:sz="8" w:color="0000EE"/>
            </w:tcBorders>
          </w:tcPr>
          <w:p>
            <w:pPr>
              <w:jc w:val="right"/>
              <w:spacing w:after="0"/>
              <w:rPr>
                <w:rFonts w:ascii="Arial" w:cs="Arial" w:eastAsia="Arial" w:hAnsi="Arial"/>
                <w:sz w:val="15"/>
                <w:szCs w:val="15"/>
                <w:color w:val="0000EE"/>
                <w:w w:val="95"/>
              </w:rPr>
            </w:pPr>
            <w:hyperlink w:anchor="page6">
              <w:r>
                <w:rPr>
                  <w:rFonts w:ascii="Arial" w:cs="Arial" w:eastAsia="Arial" w:hAnsi="Arial"/>
                  <w:sz w:val="15"/>
                  <w:szCs w:val="15"/>
                  <w:color w:val="0000EE"/>
                  <w:w w:val="95"/>
                </w:rPr>
                <w:t>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26">
              <w:r>
                <w:rPr>
                  <w:rFonts w:ascii="Arial" w:cs="Arial" w:eastAsia="Arial" w:hAnsi="Arial"/>
                  <w:sz w:val="15"/>
                  <w:szCs w:val="15"/>
                  <w:color w:val="0000EE"/>
                  <w:w w:val="95"/>
                </w:rPr>
                <w:t>23</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3. Quantitative and Qualitative Disclosures About Market Risk</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1">
              <w:r>
                <w:rPr>
                  <w:rFonts w:ascii="Arial" w:cs="Arial" w:eastAsia="Arial" w:hAnsi="Arial"/>
                  <w:sz w:val="15"/>
                  <w:szCs w:val="15"/>
                  <w:color w:val="0000EE"/>
                  <w:w w:val="95"/>
                </w:rPr>
                <w:t>48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4. Controls and Procedures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1">
              <w:r>
                <w:rPr>
                  <w:rFonts w:ascii="Arial" w:cs="Arial" w:eastAsia="Arial" w:hAnsi="Arial"/>
                  <w:sz w:val="15"/>
                  <w:szCs w:val="15"/>
                  <w:color w:val="0000EE"/>
                  <w:w w:val="95"/>
                </w:rPr>
                <w:t>48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PART II. 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1">
              <w:r>
                <w:rPr>
                  <w:rFonts w:ascii="Arial" w:cs="Arial" w:eastAsia="Arial" w:hAnsi="Arial"/>
                  <w:sz w:val="15"/>
                  <w:szCs w:val="15"/>
                  <w:color w:val="0000EE"/>
                  <w:w w:val="95"/>
                </w:rPr>
                <w:t>48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 Legal Proceedings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1">
              <w:r>
                <w:rPr>
                  <w:rFonts w:ascii="Arial" w:cs="Arial" w:eastAsia="Arial" w:hAnsi="Arial"/>
                  <w:sz w:val="15"/>
                  <w:szCs w:val="15"/>
                  <w:color w:val="0000EE"/>
                  <w:w w:val="95"/>
                </w:rPr>
                <w:t>48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1A. Risk Factors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1">
              <w:r>
                <w:rPr>
                  <w:rFonts w:ascii="Arial" w:cs="Arial" w:eastAsia="Arial" w:hAnsi="Arial"/>
                  <w:sz w:val="15"/>
                  <w:szCs w:val="15"/>
                  <w:color w:val="0000EE"/>
                  <w:w w:val="95"/>
                </w:rPr>
                <w:t>48</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color w:val="auto"/>
              </w:rPr>
              <w:t>Item 2. Unregistered Sales of Equity Securities and Use of Proceeds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2">
              <w:r>
                <w:rPr>
                  <w:rFonts w:ascii="Arial" w:cs="Arial" w:eastAsia="Arial" w:hAnsi="Arial"/>
                  <w:sz w:val="15"/>
                  <w:szCs w:val="15"/>
                  <w:color w:val="0000EE"/>
                  <w:w w:val="95"/>
                </w:rPr>
                <w:t>49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3.</w:t>
            </w:r>
          </w:p>
        </w:tc>
        <w:tc>
          <w:tcPr>
            <w:tcW w:w="10720" w:type="dxa"/>
            <w:vAlign w:val="bottom"/>
          </w:tcPr>
          <w:p>
            <w:pPr>
              <w:ind w:left="20"/>
              <w:spacing w:after="0"/>
              <w:rPr>
                <w:sz w:val="20"/>
                <w:szCs w:val="20"/>
                <w:color w:val="auto"/>
              </w:rPr>
            </w:pPr>
            <w:r>
              <w:rPr>
                <w:rFonts w:ascii="Arial" w:cs="Arial" w:eastAsia="Arial" w:hAnsi="Arial"/>
                <w:sz w:val="14"/>
                <w:szCs w:val="14"/>
                <w:color w:val="auto"/>
              </w:rPr>
              <w:t>Defaults Upon Senior Securities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2">
              <w:r>
                <w:rPr>
                  <w:rFonts w:ascii="Arial" w:cs="Arial" w:eastAsia="Arial" w:hAnsi="Arial"/>
                  <w:sz w:val="15"/>
                  <w:szCs w:val="15"/>
                  <w:color w:val="0000EE"/>
                  <w:w w:val="95"/>
                </w:rPr>
                <w:t>49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4.</w:t>
            </w:r>
          </w:p>
        </w:tc>
        <w:tc>
          <w:tcPr>
            <w:tcW w:w="10720" w:type="dxa"/>
            <w:vAlign w:val="bottom"/>
          </w:tcPr>
          <w:p>
            <w:pPr>
              <w:ind w:left="20"/>
              <w:spacing w:after="0"/>
              <w:rPr>
                <w:sz w:val="20"/>
                <w:szCs w:val="20"/>
                <w:color w:val="auto"/>
              </w:rPr>
            </w:pPr>
            <w:r>
              <w:rPr>
                <w:rFonts w:ascii="Arial" w:cs="Arial" w:eastAsia="Arial" w:hAnsi="Arial"/>
                <w:sz w:val="14"/>
                <w:szCs w:val="14"/>
                <w:color w:val="auto"/>
              </w:rPr>
              <w:t>Mine Safety Disclosures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2">
              <w:r>
                <w:rPr>
                  <w:rFonts w:ascii="Arial" w:cs="Arial" w:eastAsia="Arial" w:hAnsi="Arial"/>
                  <w:sz w:val="15"/>
                  <w:szCs w:val="15"/>
                  <w:color w:val="0000EE"/>
                  <w:w w:val="95"/>
                </w:rPr>
                <w:t>49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5.</w:t>
            </w:r>
          </w:p>
        </w:tc>
        <w:tc>
          <w:tcPr>
            <w:tcW w:w="10720" w:type="dxa"/>
            <w:vAlign w:val="bottom"/>
          </w:tcPr>
          <w:p>
            <w:pPr>
              <w:ind w:left="20"/>
              <w:spacing w:after="0"/>
              <w:rPr>
                <w:sz w:val="20"/>
                <w:szCs w:val="20"/>
                <w:color w:val="auto"/>
              </w:rPr>
            </w:pPr>
            <w:r>
              <w:rPr>
                <w:rFonts w:ascii="Arial" w:cs="Arial" w:eastAsia="Arial" w:hAnsi="Arial"/>
                <w:sz w:val="14"/>
                <w:szCs w:val="14"/>
                <w:color w:val="auto"/>
              </w:rPr>
              <w:t>Other Information</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2">
              <w:r>
                <w:rPr>
                  <w:rFonts w:ascii="Arial" w:cs="Arial" w:eastAsia="Arial" w:hAnsi="Arial"/>
                  <w:sz w:val="15"/>
                  <w:szCs w:val="15"/>
                  <w:color w:val="0000EE"/>
                  <w:w w:val="95"/>
                </w:rPr>
                <w:t>49</w:t>
              </w:r>
            </w:hyperlink>
          </w:p>
        </w:tc>
      </w:tr>
      <w:tr>
        <w:trPr>
          <w:trHeight w:val="196"/>
        </w:trPr>
        <w:tc>
          <w:tcPr>
            <w:tcW w:w="460" w:type="dxa"/>
            <w:vAlign w:val="bottom"/>
          </w:tcPr>
          <w:p>
            <w:pPr>
              <w:spacing w:after="0"/>
              <w:rPr>
                <w:sz w:val="20"/>
                <w:szCs w:val="20"/>
                <w:color w:val="auto"/>
              </w:rPr>
            </w:pPr>
            <w:r>
              <w:rPr>
                <w:rFonts w:ascii="Arial" w:cs="Arial" w:eastAsia="Arial" w:hAnsi="Arial"/>
                <w:sz w:val="14"/>
                <w:szCs w:val="14"/>
                <w:color w:val="auto"/>
              </w:rPr>
              <w:t>Item 6.</w:t>
            </w:r>
          </w:p>
        </w:tc>
        <w:tc>
          <w:tcPr>
            <w:tcW w:w="10720" w:type="dxa"/>
            <w:vAlign w:val="bottom"/>
          </w:tcPr>
          <w:p>
            <w:pPr>
              <w:ind w:left="20"/>
              <w:spacing w:after="0"/>
              <w:rPr>
                <w:sz w:val="20"/>
                <w:szCs w:val="20"/>
                <w:color w:val="auto"/>
              </w:rPr>
            </w:pPr>
            <w:r>
              <w:rPr>
                <w:rFonts w:ascii="Arial" w:cs="Arial" w:eastAsia="Arial" w:hAnsi="Arial"/>
                <w:sz w:val="14"/>
                <w:szCs w:val="14"/>
                <w:color w:val="auto"/>
              </w:rPr>
              <w:t>Exhibits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3">
              <w:r>
                <w:rPr>
                  <w:rFonts w:ascii="Arial" w:cs="Arial" w:eastAsia="Arial" w:hAnsi="Arial"/>
                  <w:sz w:val="15"/>
                  <w:szCs w:val="15"/>
                  <w:color w:val="0000EE"/>
                  <w:w w:val="95"/>
                </w:rPr>
                <w:t>50</w:t>
              </w:r>
            </w:hyperlink>
          </w:p>
        </w:tc>
      </w:tr>
      <w:tr>
        <w:trPr>
          <w:trHeight w:val="196"/>
        </w:trPr>
        <w:tc>
          <w:tcPr>
            <w:tcW w:w="11180" w:type="dxa"/>
            <w:vAlign w:val="bottom"/>
            <w:gridSpan w:val="2"/>
          </w:tcPr>
          <w:p>
            <w:pPr>
              <w:spacing w:after="0"/>
              <w:rPr>
                <w:sz w:val="20"/>
                <w:szCs w:val="20"/>
                <w:color w:val="auto"/>
              </w:rPr>
            </w:pPr>
            <w:r>
              <w:rPr>
                <w:rFonts w:ascii="Arial" w:cs="Arial" w:eastAsia="Arial" w:hAnsi="Arial"/>
                <w:sz w:val="14"/>
                <w:szCs w:val="14"/>
                <w:b w:val="1"/>
                <w:bCs w:val="1"/>
                <w:color w:val="auto"/>
              </w:rPr>
              <w:t>SIGNATURES</w:t>
            </w:r>
          </w:p>
        </w:tc>
        <w:tc>
          <w:tcPr>
            <w:tcW w:w="180" w:type="dxa"/>
            <w:vAlign w:val="bottom"/>
            <w:tcBorders>
              <w:bottom w:val="single" w:sz="8" w:color="0000EE"/>
            </w:tcBorders>
            <w:gridSpan w:val="2"/>
          </w:tcPr>
          <w:p>
            <w:pPr>
              <w:jc w:val="right"/>
              <w:spacing w:after="0"/>
              <w:rPr>
                <w:rFonts w:ascii="Arial" w:cs="Arial" w:eastAsia="Arial" w:hAnsi="Arial"/>
                <w:sz w:val="15"/>
                <w:szCs w:val="15"/>
                <w:color w:val="0000EE"/>
                <w:w w:val="95"/>
              </w:rPr>
            </w:pPr>
            <w:hyperlink w:anchor="page54">
              <w:r>
                <w:rPr>
                  <w:rFonts w:ascii="Arial" w:cs="Arial" w:eastAsia="Arial" w:hAnsi="Arial"/>
                  <w:sz w:val="15"/>
                  <w:szCs w:val="15"/>
                  <w:color w:val="0000EE"/>
                  <w:w w:val="95"/>
                </w:rPr>
                <w:t>51</w:t>
              </w:r>
            </w:hyperlink>
          </w:p>
        </w:tc>
      </w:tr>
    </w:tbl>
    <w:p>
      <w:pPr>
        <w:sectPr>
          <w:pgSz w:w="11900" w:h="16838" w:orient="portrait"/>
          <w:cols w:equalWidth="0" w:num="1">
            <w:col w:w="11360"/>
          </w:cols>
          <w:pgMar w:left="280" w:top="495" w:right="2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0046AD"/>
        </w:rPr>
        <w:t>FORWARD-LOOKING STATEMENTS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This Form 10-Q contains both historical and forward-looking statements regarding ABM Industries Incorporated (“ABM”) and its subsidiaries (collectively referred to as “ABM,” “we,” “us,” “our,” or the “Company”). We make forward-looking statements related to future expectations, estimates, and projections that are uncertain and often contain words such as “anticipate,” “believe,” “could,” “estimate,” “expect,” “forecast,” “intend,” “likely,” “may,” “outlook,” “plan,” “predict,” “should,” “target,” or other similar words or phrases. These statements are not guarantees of future performance and are subject to known and unknown risks, uncertainties, and assumptions that are difficult to predict. Particular risks and uncertainties that could cause our actual results to be materially different from those expressed in our forward-looking statements include those listed below.</w:t>
      </w:r>
    </w:p>
    <w:p>
      <w:pPr>
        <w:spacing w:after="0" w:line="45" w:lineRule="exact"/>
        <w:rPr>
          <w:sz w:val="20"/>
          <w:szCs w:val="20"/>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not realize the growth opportunities and cost synergies that are anticipated from the acquisition of GCA Services Group (“GCA”).</w:t>
      </w:r>
    </w:p>
    <w:p>
      <w:pPr>
        <w:spacing w:after="0" w:line="34"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incurred a substantial amount of debt to complete the acquisition of GCA. To service our debt we will require a significant amount of cash. Our ability to generate cash depends on many factors beyond our control. We also depend on the profitability of our subsidiaries to satisfy our cash needs. If we cannot generate the required cash, we may not be able to make the necessary payments required to service our indebtedness or we may be required to suspend certain discretionary payments, including our dividend.</w:t>
      </w:r>
    </w:p>
    <w:p>
      <w:pPr>
        <w:spacing w:after="0" w:line="20" w:lineRule="exact"/>
        <w:rPr>
          <w:rFonts w:ascii="Arial" w:cs="Arial" w:eastAsia="Arial" w:hAnsi="Arial"/>
          <w:sz w:val="18"/>
          <w:szCs w:val="18"/>
          <w:color w:val="auto"/>
        </w:rPr>
      </w:pPr>
    </w:p>
    <w:p>
      <w:pPr>
        <w:jc w:val="both"/>
        <w:ind w:left="660" w:hanging="328"/>
        <w:spacing w:after="0" w:line="26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Changes to our businesses, operating structure, financial reporting structure, or personnel relating to the implementation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strategic transformation initiative, including our move to our Enterprise Services Center, may not have the desired effects on our</w:t>
      </w:r>
      <w:r>
        <w:rPr>
          <w:rFonts w:ascii="Arial" w:cs="Arial" w:eastAsia="Arial" w:hAnsi="Arial"/>
          <w:sz w:val="18"/>
          <w:szCs w:val="18"/>
          <w:b w:val="1"/>
          <w:bCs w:val="1"/>
          <w:color w:val="0070C0"/>
        </w:rPr>
        <w:t xml:space="preserve"> </w:t>
      </w:r>
      <w:r>
        <w:rPr>
          <w:rFonts w:ascii="Arial" w:cs="Arial" w:eastAsia="Arial" w:hAnsi="Arial"/>
          <w:sz w:val="18"/>
          <w:szCs w:val="18"/>
          <w:color w:val="000000"/>
        </w:rPr>
        <w:t>financial condition and results of operations.</w:t>
      </w:r>
    </w:p>
    <w:p>
      <w:pPr>
        <w:spacing w:after="0" w:line="28"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on our ability to gain profitable business despite competitive pressures and to preserve long-term client relationships.</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success depends on our ability to attract and retain qualified personnel and senior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use of subcontractors or joint venture partners to perform work under customer contracts exposes us to liability and financial risk.</w:t>
      </w:r>
    </w:p>
    <w:p>
      <w:pPr>
        <w:spacing w:after="0" w:line="6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business involves risks different from those we face in the United States that could have an effect on our results of operations and financial condition.</w:t>
      </w:r>
    </w:p>
    <w:p>
      <w:pPr>
        <w:spacing w:after="0" w:line="34"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developments in our class and representative actions and other lawsuits alleging various claims could cause us to incur substantial liabilities.</w:t>
      </w:r>
    </w:p>
    <w:p>
      <w:pPr>
        <w:spacing w:after="0" w:line="34"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insure our insurable risks through a combination of insurance and self-insurance and we retain a substantial portion of the risk associated with expected losses under these programs, which exposes us to volatility associated with those risks, including the possibility that changes in estimates of ultimate insurance losses could result in a material charge against our earnings.</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risk management and safety programs may not have the intended effect of reducing our liability for personal injury or property loss.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goodwill and long-lived assets could have a material adverse effect on our financial condition and results of operations.</w:t>
      </w:r>
    </w:p>
    <w:p>
      <w:pPr>
        <w:spacing w:after="0" w:line="6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conditions, including changes in energy prices, government regulations, or changing consumer preferences, could reduce the demand for facility services and, as a result, reduce our earnings and adversely affect our financial condition.</w:t>
      </w:r>
    </w:p>
    <w:p>
      <w:pPr>
        <w:spacing w:after="0" w:line="39"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income tax provision and income tax liabilities could be adversely affected by the jurisdictional mix of earnings, changes in valuations of deferred tax assets and liabilities, and changes in tax treaties, laws, and regulations, including the U.S. Tax Cuts and Jobs Act of 2017, which effected significant changes to the U.S. corporate income tax system.</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could be subject to cyber-security risks, information technology interruptions, and business continuity risks.</w:t>
      </w:r>
    </w:p>
    <w:p>
      <w:pPr>
        <w:spacing w:after="0" w:line="63"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significant number of our employees are covered by collective bargaining agreements that could expose us to potential liabilities in relationship to our participation in multiemployer pension plans, requirements to make contributions to other benefit plans, and the potential for strikes, work slowdowns or similar activities, and union-organizing drives.</w:t>
      </w:r>
    </w:p>
    <w:p>
      <w:pPr>
        <w:spacing w:after="0" w:line="39"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fail to maintain proper and effective internal control over financial reporting in the future, our ability to produce accurate and timely financial statements could be negatively impacted, which could harm our operating results and investors’ perceptions of our company and, as a result, the value of our common stock.</w:t>
      </w:r>
    </w:p>
    <w:p>
      <w:pPr>
        <w:spacing w:after="0" w:line="3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may be negatively impacted by adverse weather conditions.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22" w:right="239" w:bottom="1440" w:gutter="0" w:footer="0" w:header="0"/>
        </w:sectPr>
      </w:pPr>
    </w:p>
    <w:bookmarkStart w:id="4" w:name="page5"/>
    <w:bookmarkEnd w:id="4"/>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Catastrophic events, disasters, and terrorist attacks could disrupt our services.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Actions of activist investors could disrupt our business.</w:t>
      </w:r>
    </w:p>
    <w:p>
      <w:pPr>
        <w:spacing w:after="0" w:line="17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list of factors above is illustrative and by no means exhaustive. Additional information regarding these and other risks and uncertainties we face is contained in our Annual Report on Form 10-K for the year ended October 31, 2017 and in other reports we file from time to time with the Securities and Exchange Commission (including all amendments to those reports).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urge readers to consider these risks and uncertainties in evaluating our forward-looking statements. We caution readers not to place undue reliance upon any such forward-looking statements, which speak only as of the date made. We undertake no obligation to publicly update any forward-looking statements, whether as a result of new information, future events, or otherwise, except as required by law.</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36"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0046AD"/>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CONSOLIDATED FINANCIAL STATEMENTS.</w:t>
      </w:r>
    </w:p>
    <w:p>
      <w:pPr>
        <w:spacing w:after="0" w:line="11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4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300" w:type="dxa"/>
            <w:vAlign w:val="bottom"/>
          </w:tcPr>
          <w:p>
            <w:pPr>
              <w:spacing w:after="0"/>
              <w:rPr>
                <w:sz w:val="14"/>
                <w:szCs w:val="14"/>
                <w:color w:val="auto"/>
              </w:rPr>
            </w:pPr>
          </w:p>
        </w:tc>
        <w:tc>
          <w:tcPr>
            <w:tcW w:w="174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July 31, 2018</w:t>
            </w:r>
          </w:p>
        </w:tc>
        <w:tc>
          <w:tcPr>
            <w:tcW w:w="240" w:type="dxa"/>
            <w:vAlign w:val="bottom"/>
          </w:tcPr>
          <w:p>
            <w:pPr>
              <w:spacing w:after="0"/>
              <w:rPr>
                <w:sz w:val="14"/>
                <w:szCs w:val="14"/>
                <w:color w:val="auto"/>
              </w:rPr>
            </w:pPr>
          </w:p>
        </w:tc>
        <w:tc>
          <w:tcPr>
            <w:tcW w:w="1700" w:type="dxa"/>
            <w:vAlign w:val="bottom"/>
            <w:vMerge w:val="restart"/>
          </w:tcPr>
          <w:p>
            <w:pPr>
              <w:jc w:val="right"/>
              <w:ind w:right="283"/>
              <w:spacing w:after="0"/>
              <w:rPr>
                <w:sz w:val="20"/>
                <w:szCs w:val="20"/>
                <w:color w:val="auto"/>
              </w:rPr>
            </w:pPr>
            <w:r>
              <w:rPr>
                <w:rFonts w:ascii="Arial" w:cs="Arial" w:eastAsia="Arial" w:hAnsi="Arial"/>
                <w:sz w:val="15"/>
                <w:szCs w:val="15"/>
                <w:b w:val="1"/>
                <w:bCs w:val="1"/>
                <w:color w:val="auto"/>
              </w:rPr>
              <w:t>October 31, 2017</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860" w:type="dxa"/>
            <w:vAlign w:val="bottom"/>
            <w:tcBorders>
              <w:top w:val="single" w:sz="8" w:color="auto"/>
            </w:tcBorders>
          </w:tcPr>
          <w:p>
            <w:pPr>
              <w:spacing w:after="0"/>
              <w:rPr>
                <w:sz w:val="7"/>
                <w:szCs w:val="7"/>
                <w:color w:val="auto"/>
              </w:rPr>
            </w:pPr>
          </w:p>
        </w:tc>
        <w:tc>
          <w:tcPr>
            <w:tcW w:w="4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8"/>
        </w:trPr>
        <w:tc>
          <w:tcPr>
            <w:tcW w:w="7420" w:type="dxa"/>
            <w:vAlign w:val="bottom"/>
            <w:tcBorders>
              <w:top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ASSETS</w:t>
            </w:r>
          </w:p>
        </w:tc>
        <w:tc>
          <w:tcPr>
            <w:tcW w:w="300" w:type="dxa"/>
            <w:vAlign w:val="bottom"/>
            <w:tcBorders>
              <w:top w:val="single" w:sz="8" w:color="auto"/>
            </w:tcBorders>
            <w:shd w:val="clear" w:color="auto" w:fill="DCE2EF"/>
          </w:tcPr>
          <w:p>
            <w:pPr>
              <w:spacing w:after="0"/>
              <w:rPr>
                <w:sz w:val="23"/>
                <w:szCs w:val="23"/>
                <w:color w:val="auto"/>
              </w:rPr>
            </w:pPr>
          </w:p>
        </w:tc>
        <w:tc>
          <w:tcPr>
            <w:tcW w:w="1640" w:type="dxa"/>
            <w:vAlign w:val="bottom"/>
            <w:tcBorders>
              <w:top w:val="single" w:sz="8" w:color="auto"/>
            </w:tcBorders>
            <w:shd w:val="clear" w:color="auto" w:fill="DCE2EF"/>
          </w:tcPr>
          <w:p>
            <w:pPr>
              <w:spacing w:after="0"/>
              <w:rPr>
                <w:sz w:val="23"/>
                <w:szCs w:val="23"/>
                <w:color w:val="auto"/>
              </w:rPr>
            </w:pPr>
          </w:p>
        </w:tc>
        <w:tc>
          <w:tcPr>
            <w:tcW w:w="100" w:type="dxa"/>
            <w:vAlign w:val="bottom"/>
            <w:tcBorders>
              <w:top w:val="single" w:sz="8" w:color="DCE2EF"/>
            </w:tcBorders>
            <w:shd w:val="clear" w:color="auto" w:fill="DCE2EF"/>
          </w:tcPr>
          <w:p>
            <w:pPr>
              <w:spacing w:after="0"/>
              <w:rPr>
                <w:sz w:val="23"/>
                <w:szCs w:val="23"/>
                <w:color w:val="auto"/>
              </w:rPr>
            </w:pPr>
          </w:p>
        </w:tc>
        <w:tc>
          <w:tcPr>
            <w:tcW w:w="240" w:type="dxa"/>
            <w:vAlign w:val="bottom"/>
            <w:tcBorders>
              <w:top w:val="single" w:sz="8" w:color="auto"/>
            </w:tcBorders>
            <w:shd w:val="clear" w:color="auto" w:fill="DCE2EF"/>
          </w:tcPr>
          <w:p>
            <w:pPr>
              <w:spacing w:after="0"/>
              <w:rPr>
                <w:sz w:val="23"/>
                <w:szCs w:val="23"/>
                <w:color w:val="auto"/>
              </w:rPr>
            </w:pPr>
          </w:p>
        </w:tc>
        <w:tc>
          <w:tcPr>
            <w:tcW w:w="1700" w:type="dxa"/>
            <w:vAlign w:val="bottom"/>
            <w:tcBorders>
              <w:top w:val="single" w:sz="8" w:color="auto"/>
            </w:tcBorders>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Current assets</w:t>
            </w:r>
          </w:p>
        </w:tc>
        <w:tc>
          <w:tcPr>
            <w:tcW w:w="3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Cash and cash equivalents</w:t>
            </w:r>
          </w:p>
        </w:tc>
        <w:tc>
          <w:tcPr>
            <w:tcW w:w="300" w:type="dxa"/>
            <w:vAlign w:val="bottom"/>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46.0</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62.8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Trade accounts receivable, net of allowances of $14.1</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520"/>
              <w:spacing w:after="0"/>
              <w:rPr>
                <w:sz w:val="20"/>
                <w:szCs w:val="20"/>
                <w:color w:val="auto"/>
              </w:rPr>
            </w:pPr>
            <w:r>
              <w:rPr>
                <w:rFonts w:ascii="Arial" w:cs="Arial" w:eastAsia="Arial" w:hAnsi="Arial"/>
                <w:sz w:val="15"/>
                <w:szCs w:val="15"/>
                <w:color w:val="auto"/>
              </w:rPr>
              <w:t>and $25.5 at July 31, 2018 and October 31, 2017, respectively</w:t>
            </w:r>
          </w:p>
        </w:tc>
        <w:tc>
          <w:tcPr>
            <w:tcW w:w="300" w:type="dxa"/>
            <w:vAlign w:val="bottom"/>
          </w:tcPr>
          <w:p>
            <w:pPr>
              <w:spacing w:after="0"/>
              <w:rPr>
                <w:sz w:val="16"/>
                <w:szCs w:val="16"/>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1,046.0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1,038.1</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Prepaid expenses</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110.4</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101.8</w:t>
            </w:r>
          </w:p>
        </w:tc>
        <w:tc>
          <w:tcPr>
            <w:tcW w:w="0" w:type="dxa"/>
            <w:vAlign w:val="bottom"/>
          </w:tcPr>
          <w:p>
            <w:pPr>
              <w:spacing w:after="0"/>
              <w:rPr>
                <w:sz w:val="1"/>
                <w:szCs w:val="1"/>
                <w:color w:val="auto"/>
              </w:rPr>
            </w:pPr>
          </w:p>
        </w:tc>
      </w:tr>
      <w:tr>
        <w:trPr>
          <w:trHeight w:val="266"/>
        </w:trPr>
        <w:tc>
          <w:tcPr>
            <w:tcW w:w="20" w:type="dxa"/>
            <w:vAlign w:val="bottom"/>
            <w:tcBorders>
              <w:bottom w:val="single" w:sz="8" w:color="DCE2EF"/>
            </w:tcBorders>
          </w:tcPr>
          <w:p>
            <w:pPr>
              <w:spacing w:after="0"/>
              <w:rPr>
                <w:sz w:val="23"/>
                <w:szCs w:val="23"/>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Other current assets</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38.2</w:t>
            </w:r>
          </w:p>
        </w:tc>
        <w:tc>
          <w:tcPr>
            <w:tcW w:w="100" w:type="dxa"/>
            <w:vAlign w:val="bottom"/>
            <w:tcBorders>
              <w:bottom w:val="single" w:sz="8" w:color="DCE2E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32.8</w:t>
            </w:r>
          </w:p>
        </w:tc>
        <w:tc>
          <w:tcPr>
            <w:tcW w:w="0" w:type="dxa"/>
            <w:vAlign w:val="bottom"/>
          </w:tcPr>
          <w:p>
            <w:pPr>
              <w:spacing w:after="0"/>
              <w:rPr>
                <w:sz w:val="1"/>
                <w:szCs w:val="1"/>
                <w:color w:val="auto"/>
              </w:rPr>
            </w:pPr>
          </w:p>
        </w:tc>
      </w:tr>
      <w:tr>
        <w:trPr>
          <w:trHeight w:val="250"/>
        </w:trPr>
        <w:tc>
          <w:tcPr>
            <w:tcW w:w="20" w:type="dxa"/>
            <w:vAlign w:val="bottom"/>
            <w:shd w:val="clear" w:color="auto" w:fill="DCE2EF"/>
          </w:tcPr>
          <w:p>
            <w:pPr>
              <w:spacing w:after="0"/>
              <w:rPr>
                <w:sz w:val="21"/>
                <w:szCs w:val="21"/>
                <w:color w:val="auto"/>
              </w:rPr>
            </w:pPr>
          </w:p>
        </w:tc>
        <w:tc>
          <w:tcPr>
            <w:tcW w:w="7400" w:type="dxa"/>
            <w:vAlign w:val="bottom"/>
            <w:gridSpan w:val="2"/>
            <w:shd w:val="clear" w:color="auto" w:fill="DCE2EF"/>
          </w:tcPr>
          <w:p>
            <w:pPr>
              <w:ind w:left="680"/>
              <w:spacing w:after="0"/>
              <w:rPr>
                <w:sz w:val="20"/>
                <w:szCs w:val="20"/>
                <w:color w:val="auto"/>
              </w:rPr>
            </w:pPr>
            <w:r>
              <w:rPr>
                <w:rFonts w:ascii="Arial" w:cs="Arial" w:eastAsia="Arial" w:hAnsi="Arial"/>
                <w:sz w:val="15"/>
                <w:szCs w:val="15"/>
                <w:color w:val="auto"/>
              </w:rPr>
              <w:t>Total current assets</w:t>
            </w:r>
          </w:p>
        </w:tc>
        <w:tc>
          <w:tcPr>
            <w:tcW w:w="300" w:type="dxa"/>
            <w:vAlign w:val="bottom"/>
            <w:tcBorders>
              <w:bottom w:val="single" w:sz="8" w:color="auto"/>
            </w:tcBorders>
            <w:shd w:val="clear" w:color="auto" w:fill="DCE2EF"/>
          </w:tcPr>
          <w:p>
            <w:pPr>
              <w:spacing w:after="0"/>
              <w:rPr>
                <w:sz w:val="21"/>
                <w:szCs w:val="21"/>
                <w:color w:val="auto"/>
              </w:rPr>
            </w:pPr>
          </w:p>
        </w:tc>
        <w:tc>
          <w:tcPr>
            <w:tcW w:w="16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1,240.6</w:t>
            </w:r>
          </w:p>
        </w:tc>
        <w:tc>
          <w:tcPr>
            <w:tcW w:w="100" w:type="dxa"/>
            <w:vAlign w:val="bottom"/>
            <w:shd w:val="clear" w:color="auto" w:fill="DCE2EF"/>
          </w:tcPr>
          <w:p>
            <w:pPr>
              <w:spacing w:after="0"/>
              <w:rPr>
                <w:sz w:val="21"/>
                <w:szCs w:val="21"/>
                <w:color w:val="auto"/>
              </w:rPr>
            </w:pPr>
          </w:p>
        </w:tc>
        <w:tc>
          <w:tcPr>
            <w:tcW w:w="240" w:type="dxa"/>
            <w:vAlign w:val="bottom"/>
            <w:tcBorders>
              <w:bottom w:val="single" w:sz="8" w:color="auto"/>
            </w:tcBorders>
            <w:shd w:val="clear" w:color="auto" w:fill="DCE2EF"/>
          </w:tcPr>
          <w:p>
            <w:pPr>
              <w:spacing w:after="0"/>
              <w:rPr>
                <w:sz w:val="21"/>
                <w:szCs w:val="21"/>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1,235.5</w:t>
            </w:r>
          </w:p>
        </w:tc>
        <w:tc>
          <w:tcPr>
            <w:tcW w:w="0" w:type="dxa"/>
            <w:vAlign w:val="bottom"/>
          </w:tcPr>
          <w:p>
            <w:pPr>
              <w:spacing w:after="0"/>
              <w:rPr>
                <w:sz w:val="1"/>
                <w:szCs w:val="1"/>
                <w:color w:val="auto"/>
              </w:rPr>
            </w:pPr>
          </w:p>
        </w:tc>
      </w:tr>
      <w:tr>
        <w:trPr>
          <w:trHeight w:val="250"/>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Other investments</w:t>
            </w:r>
          </w:p>
        </w:tc>
        <w:tc>
          <w:tcPr>
            <w:tcW w:w="300" w:type="dxa"/>
            <w:vAlign w:val="bottom"/>
          </w:tcPr>
          <w:p>
            <w:pPr>
              <w:spacing w:after="0"/>
              <w:rPr>
                <w:sz w:val="21"/>
                <w:szCs w:val="21"/>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17.4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90"/>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Property, plant and equipment, net of accumulated depreciation of $163.8</w:t>
            </w:r>
          </w:p>
        </w:tc>
        <w:tc>
          <w:tcPr>
            <w:tcW w:w="300" w:type="dxa"/>
            <w:vAlign w:val="bottom"/>
            <w:shd w:val="clear" w:color="auto" w:fill="DCE2EF"/>
          </w:tcPr>
          <w:p>
            <w:pPr>
              <w:spacing w:after="0"/>
              <w:rPr>
                <w:sz w:val="16"/>
                <w:szCs w:val="16"/>
                <w:color w:val="auto"/>
              </w:rPr>
            </w:pPr>
          </w:p>
        </w:tc>
        <w:tc>
          <w:tcPr>
            <w:tcW w:w="16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DCE2EF"/>
          </w:tcPr>
          <w:p>
            <w:pPr>
              <w:spacing w:after="0"/>
              <w:rPr>
                <w:sz w:val="16"/>
                <w:szCs w:val="16"/>
                <w:color w:val="auto"/>
              </w:rPr>
            </w:pPr>
          </w:p>
        </w:tc>
        <w:tc>
          <w:tcPr>
            <w:tcW w:w="7400" w:type="dxa"/>
            <w:vAlign w:val="bottom"/>
            <w:gridSpan w:val="2"/>
            <w:shd w:val="clear" w:color="auto" w:fill="DCE2EF"/>
          </w:tcPr>
          <w:p>
            <w:pPr>
              <w:ind w:left="160"/>
              <w:spacing w:after="0"/>
              <w:rPr>
                <w:sz w:val="20"/>
                <w:szCs w:val="20"/>
                <w:color w:val="auto"/>
              </w:rPr>
            </w:pPr>
            <w:r>
              <w:rPr>
                <w:rFonts w:ascii="Arial" w:cs="Arial" w:eastAsia="Arial" w:hAnsi="Arial"/>
                <w:sz w:val="15"/>
                <w:szCs w:val="15"/>
                <w:color w:val="auto"/>
              </w:rPr>
              <w:t>and $136.4 at July 31, 2018 and October 31, 2017, respectively</w:t>
            </w:r>
          </w:p>
        </w:tc>
        <w:tc>
          <w:tcPr>
            <w:tcW w:w="300" w:type="dxa"/>
            <w:vAlign w:val="bottom"/>
            <w:shd w:val="clear" w:color="auto" w:fill="DCE2EF"/>
          </w:tcPr>
          <w:p>
            <w:pPr>
              <w:spacing w:after="0"/>
              <w:rPr>
                <w:sz w:val="16"/>
                <w:szCs w:val="16"/>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142.8</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143.1</w:t>
            </w:r>
          </w:p>
        </w:tc>
        <w:tc>
          <w:tcPr>
            <w:tcW w:w="0" w:type="dxa"/>
            <w:vAlign w:val="bottom"/>
          </w:tcPr>
          <w:p>
            <w:pPr>
              <w:spacing w:after="0"/>
              <w:rPr>
                <w:sz w:val="1"/>
                <w:szCs w:val="1"/>
                <w:color w:val="auto"/>
              </w:rPr>
            </w:pPr>
          </w:p>
        </w:tc>
      </w:tr>
      <w:tr>
        <w:trPr>
          <w:trHeight w:val="18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Other intangible assets, net of accumulated amortization of $238.4</w:t>
            </w: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400" w:type="dxa"/>
            <w:vAlign w:val="bottom"/>
            <w:gridSpan w:val="2"/>
          </w:tcPr>
          <w:p>
            <w:pPr>
              <w:ind w:left="160"/>
              <w:spacing w:after="0"/>
              <w:rPr>
                <w:sz w:val="20"/>
                <w:szCs w:val="20"/>
                <w:color w:val="auto"/>
              </w:rPr>
            </w:pPr>
            <w:r>
              <w:rPr>
                <w:rFonts w:ascii="Arial" w:cs="Arial" w:eastAsia="Arial" w:hAnsi="Arial"/>
                <w:sz w:val="15"/>
                <w:szCs w:val="15"/>
                <w:color w:val="auto"/>
              </w:rPr>
              <w:t>and $189.1 at July 31, 2018 and October 31, 2017, respectively</w:t>
            </w:r>
          </w:p>
        </w:tc>
        <w:tc>
          <w:tcPr>
            <w:tcW w:w="300" w:type="dxa"/>
            <w:vAlign w:val="bottom"/>
          </w:tcPr>
          <w:p>
            <w:pPr>
              <w:spacing w:after="0"/>
              <w:rPr>
                <w:sz w:val="16"/>
                <w:szCs w:val="16"/>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369.6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430.1</w:t>
            </w: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Goodwill</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1,864.3</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1,864.2</w:t>
            </w:r>
          </w:p>
        </w:tc>
        <w:tc>
          <w:tcPr>
            <w:tcW w:w="0" w:type="dxa"/>
            <w:vAlign w:val="bottom"/>
          </w:tcPr>
          <w:p>
            <w:pPr>
              <w:spacing w:after="0"/>
              <w:rPr>
                <w:sz w:val="1"/>
                <w:szCs w:val="1"/>
                <w:color w:val="auto"/>
              </w:rPr>
            </w:pPr>
          </w:p>
        </w:tc>
      </w:tr>
      <w:tr>
        <w:trPr>
          <w:trHeight w:val="266"/>
        </w:trPr>
        <w:tc>
          <w:tcPr>
            <w:tcW w:w="742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Other noncurrent assets</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105.8</w:t>
            </w:r>
          </w:p>
        </w:tc>
        <w:tc>
          <w:tcPr>
            <w:tcW w:w="100" w:type="dxa"/>
            <w:vAlign w:val="bottom"/>
            <w:tcBorders>
              <w:bottom w:val="single" w:sz="8" w:color="DCE2E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122.1</w:t>
            </w:r>
          </w:p>
        </w:tc>
        <w:tc>
          <w:tcPr>
            <w:tcW w:w="0" w:type="dxa"/>
            <w:vAlign w:val="bottom"/>
          </w:tcPr>
          <w:p>
            <w:pPr>
              <w:spacing w:after="0"/>
              <w:rPr>
                <w:sz w:val="1"/>
                <w:szCs w:val="1"/>
                <w:color w:val="auto"/>
              </w:rPr>
            </w:pPr>
          </w:p>
        </w:tc>
      </w:tr>
      <w:tr>
        <w:trPr>
          <w:trHeight w:val="241"/>
        </w:trPr>
        <w:tc>
          <w:tcPr>
            <w:tcW w:w="7420" w:type="dxa"/>
            <w:vAlign w:val="bottom"/>
            <w:tcBorders>
              <w:bottom w:val="single" w:sz="8" w:color="DCE2EF"/>
            </w:tcBorders>
            <w:gridSpan w:val="3"/>
            <w:shd w:val="clear" w:color="auto" w:fill="DCE2EF"/>
          </w:tcPr>
          <w:p>
            <w:pPr>
              <w:ind w:left="20"/>
              <w:spacing w:after="0"/>
              <w:rPr>
                <w:sz w:val="20"/>
                <w:szCs w:val="20"/>
                <w:color w:val="auto"/>
              </w:rPr>
            </w:pPr>
            <w:r>
              <w:rPr>
                <w:rFonts w:ascii="Arial" w:cs="Arial" w:eastAsia="Arial" w:hAnsi="Arial"/>
                <w:sz w:val="15"/>
                <w:szCs w:val="15"/>
                <w:color w:val="auto"/>
              </w:rPr>
              <w:t>Total assets</w:t>
            </w:r>
          </w:p>
        </w:tc>
        <w:tc>
          <w:tcPr>
            <w:tcW w:w="300" w:type="dxa"/>
            <w:vAlign w:val="bottom"/>
            <w:tcBorders>
              <w:bottom w:val="single" w:sz="8" w:color="auto"/>
            </w:tcBorders>
            <w:shd w:val="clear" w:color="auto" w:fill="DCE2EF"/>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3,740.4</w:t>
            </w:r>
          </w:p>
        </w:tc>
        <w:tc>
          <w:tcPr>
            <w:tcW w:w="100" w:type="dxa"/>
            <w:vAlign w:val="bottom"/>
            <w:tcBorders>
              <w:bottom w:val="single" w:sz="8" w:color="DCE2EF"/>
            </w:tcBorders>
            <w:shd w:val="clear" w:color="auto" w:fill="DCE2EF"/>
          </w:tcPr>
          <w:p>
            <w:pPr>
              <w:spacing w:after="0"/>
              <w:rPr>
                <w:sz w:val="20"/>
                <w:szCs w:val="20"/>
                <w:color w:val="auto"/>
              </w:rPr>
            </w:pPr>
          </w:p>
        </w:tc>
        <w:tc>
          <w:tcPr>
            <w:tcW w:w="2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3,812.6</w:t>
            </w:r>
          </w:p>
        </w:tc>
        <w:tc>
          <w:tcPr>
            <w:tcW w:w="0" w:type="dxa"/>
            <w:vAlign w:val="bottom"/>
          </w:tcPr>
          <w:p>
            <w:pPr>
              <w:spacing w:after="0"/>
              <w:rPr>
                <w:sz w:val="1"/>
                <w:szCs w:val="1"/>
                <w:color w:val="auto"/>
              </w:rPr>
            </w:pPr>
          </w:p>
        </w:tc>
      </w:tr>
      <w:tr>
        <w:trPr>
          <w:trHeight w:val="20"/>
        </w:trPr>
        <w:tc>
          <w:tcPr>
            <w:tcW w:w="7420" w:type="dxa"/>
            <w:vAlign w:val="bottom"/>
            <w:gridSpan w:val="3"/>
            <w:vMerge w:val="restart"/>
          </w:tcPr>
          <w:p>
            <w:pPr>
              <w:ind w:left="20"/>
              <w:spacing w:after="0"/>
              <w:rPr>
                <w:sz w:val="20"/>
                <w:szCs w:val="20"/>
                <w:color w:val="auto"/>
              </w:rPr>
            </w:pPr>
            <w:r>
              <w:rPr>
                <w:rFonts w:ascii="Arial" w:cs="Arial" w:eastAsia="Arial" w:hAnsi="Arial"/>
                <w:sz w:val="15"/>
                <w:szCs w:val="15"/>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420" w:type="dxa"/>
            <w:vAlign w:val="bottom"/>
            <w:gridSpan w:val="3"/>
            <w:vMerge w:val="continue"/>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Current liabilities</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Current portion of long-term debt, net</w:t>
            </w:r>
          </w:p>
        </w:tc>
        <w:tc>
          <w:tcPr>
            <w:tcW w:w="300" w:type="dxa"/>
            <w:vAlign w:val="bottom"/>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27.0</w:t>
            </w:r>
          </w:p>
        </w:tc>
        <w:tc>
          <w:tcPr>
            <w:tcW w:w="100" w:type="dxa"/>
            <w:vAlign w:val="bottom"/>
          </w:tcPr>
          <w:p>
            <w:pPr>
              <w:spacing w:after="0"/>
              <w:rPr>
                <w:sz w:val="23"/>
                <w:szCs w:val="23"/>
                <w:color w:val="auto"/>
              </w:rPr>
            </w:pPr>
          </w:p>
        </w:tc>
        <w:tc>
          <w:tcPr>
            <w:tcW w:w="24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Trade accounts payable</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224.8</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230.8</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Accrued compensation</w:t>
            </w:r>
          </w:p>
        </w:tc>
        <w:tc>
          <w:tcPr>
            <w:tcW w:w="30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170.6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159.9</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Accrued taxes—other than income</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63.8</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52.5</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Insurance claims</w:t>
            </w:r>
          </w:p>
        </w:tc>
        <w:tc>
          <w:tcPr>
            <w:tcW w:w="30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115.7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112.5</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Income taxes payable</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5.2</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13.4</w:t>
            </w:r>
          </w:p>
        </w:tc>
        <w:tc>
          <w:tcPr>
            <w:tcW w:w="0" w:type="dxa"/>
            <w:vAlign w:val="bottom"/>
          </w:tcPr>
          <w:p>
            <w:pPr>
              <w:spacing w:after="0"/>
              <w:rPr>
                <w:sz w:val="1"/>
                <w:szCs w:val="1"/>
                <w:color w:val="auto"/>
              </w:rPr>
            </w:pPr>
          </w:p>
        </w:tc>
      </w:tr>
      <w:tr>
        <w:trPr>
          <w:trHeight w:val="266"/>
        </w:trPr>
        <w:tc>
          <w:tcPr>
            <w:tcW w:w="20" w:type="dxa"/>
            <w:vAlign w:val="bottom"/>
            <w:tcBorders>
              <w:bottom w:val="single" w:sz="8" w:color="DCE2EF"/>
            </w:tcBorders>
          </w:tcPr>
          <w:p>
            <w:pPr>
              <w:spacing w:after="0"/>
              <w:rPr>
                <w:sz w:val="23"/>
                <w:szCs w:val="23"/>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Other accrued liabilities</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162.7</w:t>
            </w:r>
          </w:p>
        </w:tc>
        <w:tc>
          <w:tcPr>
            <w:tcW w:w="100" w:type="dxa"/>
            <w:vAlign w:val="bottom"/>
            <w:tcBorders>
              <w:bottom w:val="single" w:sz="8" w:color="DCE2E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171.8</w:t>
            </w:r>
          </w:p>
        </w:tc>
        <w:tc>
          <w:tcPr>
            <w:tcW w:w="0" w:type="dxa"/>
            <w:vAlign w:val="bottom"/>
          </w:tcPr>
          <w:p>
            <w:pPr>
              <w:spacing w:after="0"/>
              <w:rPr>
                <w:sz w:val="1"/>
                <w:szCs w:val="1"/>
                <w:color w:val="auto"/>
              </w:rPr>
            </w:pPr>
          </w:p>
        </w:tc>
      </w:tr>
      <w:tr>
        <w:trPr>
          <w:trHeight w:val="250"/>
        </w:trPr>
        <w:tc>
          <w:tcPr>
            <w:tcW w:w="20" w:type="dxa"/>
            <w:vAlign w:val="bottom"/>
            <w:shd w:val="clear" w:color="auto" w:fill="DCE2EF"/>
          </w:tcPr>
          <w:p>
            <w:pPr>
              <w:spacing w:after="0"/>
              <w:rPr>
                <w:sz w:val="21"/>
                <w:szCs w:val="21"/>
                <w:color w:val="auto"/>
              </w:rPr>
            </w:pPr>
          </w:p>
        </w:tc>
        <w:tc>
          <w:tcPr>
            <w:tcW w:w="7400" w:type="dxa"/>
            <w:vAlign w:val="bottom"/>
            <w:gridSpan w:val="2"/>
            <w:shd w:val="clear" w:color="auto" w:fill="DCE2EF"/>
          </w:tcPr>
          <w:p>
            <w:pPr>
              <w:ind w:left="680"/>
              <w:spacing w:after="0"/>
              <w:rPr>
                <w:sz w:val="20"/>
                <w:szCs w:val="20"/>
                <w:color w:val="auto"/>
              </w:rPr>
            </w:pPr>
            <w:r>
              <w:rPr>
                <w:rFonts w:ascii="Arial" w:cs="Arial" w:eastAsia="Arial" w:hAnsi="Arial"/>
                <w:sz w:val="15"/>
                <w:szCs w:val="15"/>
                <w:color w:val="auto"/>
              </w:rPr>
              <w:t>Total current liabilities</w:t>
            </w:r>
          </w:p>
        </w:tc>
        <w:tc>
          <w:tcPr>
            <w:tcW w:w="300" w:type="dxa"/>
            <w:vAlign w:val="bottom"/>
            <w:tcBorders>
              <w:bottom w:val="single" w:sz="8" w:color="auto"/>
            </w:tcBorders>
            <w:shd w:val="clear" w:color="auto" w:fill="DCE2EF"/>
          </w:tcPr>
          <w:p>
            <w:pPr>
              <w:spacing w:after="0"/>
              <w:rPr>
                <w:sz w:val="21"/>
                <w:szCs w:val="21"/>
                <w:color w:val="auto"/>
              </w:rPr>
            </w:pPr>
          </w:p>
        </w:tc>
        <w:tc>
          <w:tcPr>
            <w:tcW w:w="16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769.8</w:t>
            </w:r>
          </w:p>
        </w:tc>
        <w:tc>
          <w:tcPr>
            <w:tcW w:w="100" w:type="dxa"/>
            <w:vAlign w:val="bottom"/>
            <w:shd w:val="clear" w:color="auto" w:fill="DCE2EF"/>
          </w:tcPr>
          <w:p>
            <w:pPr>
              <w:spacing w:after="0"/>
              <w:rPr>
                <w:sz w:val="21"/>
                <w:szCs w:val="21"/>
                <w:color w:val="auto"/>
              </w:rPr>
            </w:pPr>
          </w:p>
        </w:tc>
        <w:tc>
          <w:tcPr>
            <w:tcW w:w="240" w:type="dxa"/>
            <w:vAlign w:val="bottom"/>
            <w:tcBorders>
              <w:bottom w:val="single" w:sz="8" w:color="auto"/>
            </w:tcBorders>
            <w:shd w:val="clear" w:color="auto" w:fill="DCE2EF"/>
          </w:tcPr>
          <w:p>
            <w:pPr>
              <w:spacing w:after="0"/>
              <w:rPr>
                <w:sz w:val="21"/>
                <w:szCs w:val="21"/>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757.8</w:t>
            </w:r>
          </w:p>
        </w:tc>
        <w:tc>
          <w:tcPr>
            <w:tcW w:w="0" w:type="dxa"/>
            <w:vAlign w:val="bottom"/>
          </w:tcPr>
          <w:p>
            <w:pPr>
              <w:spacing w:after="0"/>
              <w:rPr>
                <w:sz w:val="1"/>
                <w:szCs w:val="1"/>
                <w:color w:val="auto"/>
              </w:rPr>
            </w:pPr>
          </w:p>
        </w:tc>
      </w:tr>
      <w:tr>
        <w:trPr>
          <w:trHeight w:val="250"/>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Long-term debt, net</w:t>
            </w:r>
          </w:p>
        </w:tc>
        <w:tc>
          <w:tcPr>
            <w:tcW w:w="300" w:type="dxa"/>
            <w:vAlign w:val="bottom"/>
          </w:tcPr>
          <w:p>
            <w:pPr>
              <w:spacing w:after="0"/>
              <w:rPr>
                <w:sz w:val="21"/>
                <w:szCs w:val="21"/>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998.4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1,161.3</w:t>
            </w: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Deferred income tax liability, net</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43.5</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57.3</w:t>
            </w:r>
          </w:p>
        </w:tc>
        <w:tc>
          <w:tcPr>
            <w:tcW w:w="0" w:type="dxa"/>
            <w:vAlign w:val="bottom"/>
          </w:tcPr>
          <w:p>
            <w:pPr>
              <w:spacing w:after="0"/>
              <w:rPr>
                <w:sz w:val="1"/>
                <w:szCs w:val="1"/>
                <w:color w:val="auto"/>
              </w:rPr>
            </w:pPr>
          </w:p>
        </w:tc>
      </w:tr>
      <w:tr>
        <w:trPr>
          <w:trHeight w:val="26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Noncurrent insurance claims</w:t>
            </w:r>
          </w:p>
        </w:tc>
        <w:tc>
          <w:tcPr>
            <w:tcW w:w="30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393.6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382.9</w:t>
            </w: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color w:val="auto"/>
              </w:rPr>
              <w:t>Other noncurrent liabilities</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60.2</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61.3</w:t>
            </w:r>
          </w:p>
        </w:tc>
        <w:tc>
          <w:tcPr>
            <w:tcW w:w="0" w:type="dxa"/>
            <w:vAlign w:val="bottom"/>
          </w:tcPr>
          <w:p>
            <w:pPr>
              <w:spacing w:after="0"/>
              <w:rPr>
                <w:sz w:val="1"/>
                <w:szCs w:val="1"/>
                <w:color w:val="auto"/>
              </w:rPr>
            </w:pPr>
          </w:p>
        </w:tc>
      </w:tr>
      <w:tr>
        <w:trPr>
          <w:trHeight w:val="266"/>
        </w:trPr>
        <w:tc>
          <w:tcPr>
            <w:tcW w:w="7420" w:type="dxa"/>
            <w:vAlign w:val="bottom"/>
            <w:tcBorders>
              <w:bottom w:val="single" w:sz="8" w:color="DCE2EF"/>
            </w:tcBorders>
            <w:gridSpan w:val="3"/>
          </w:tcPr>
          <w:p>
            <w:pPr>
              <w:ind w:left="20"/>
              <w:spacing w:after="0"/>
              <w:rPr>
                <w:sz w:val="20"/>
                <w:szCs w:val="20"/>
                <w:color w:val="auto"/>
              </w:rPr>
            </w:pPr>
            <w:r>
              <w:rPr>
                <w:rFonts w:ascii="Arial" w:cs="Arial" w:eastAsia="Arial" w:hAnsi="Arial"/>
                <w:sz w:val="15"/>
                <w:szCs w:val="15"/>
                <w:color w:val="auto"/>
              </w:rPr>
              <w:t>Noncurrent income taxes payable</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18.4</w:t>
            </w:r>
          </w:p>
        </w:tc>
        <w:tc>
          <w:tcPr>
            <w:tcW w:w="100" w:type="dxa"/>
            <w:vAlign w:val="bottom"/>
            <w:tcBorders>
              <w:bottom w:val="single" w:sz="8" w:color="DCE2E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16.3</w:t>
            </w:r>
          </w:p>
        </w:tc>
        <w:tc>
          <w:tcPr>
            <w:tcW w:w="0" w:type="dxa"/>
            <w:vAlign w:val="bottom"/>
          </w:tcPr>
          <w:p>
            <w:pPr>
              <w:spacing w:after="0"/>
              <w:rPr>
                <w:sz w:val="1"/>
                <w:szCs w:val="1"/>
                <w:color w:val="auto"/>
              </w:rPr>
            </w:pPr>
          </w:p>
        </w:tc>
      </w:tr>
      <w:tr>
        <w:trPr>
          <w:trHeight w:val="254"/>
        </w:trPr>
        <w:tc>
          <w:tcPr>
            <w:tcW w:w="20" w:type="dxa"/>
            <w:vAlign w:val="bottom"/>
            <w:shd w:val="clear" w:color="auto" w:fill="DCE2EF"/>
          </w:tcPr>
          <w:p>
            <w:pPr>
              <w:spacing w:after="0"/>
              <w:rPr>
                <w:sz w:val="22"/>
                <w:szCs w:val="22"/>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Total liabilities</w:t>
            </w:r>
          </w:p>
        </w:tc>
        <w:tc>
          <w:tcPr>
            <w:tcW w:w="300" w:type="dxa"/>
            <w:vAlign w:val="bottom"/>
            <w:tcBorders>
              <w:bottom w:val="single" w:sz="8" w:color="auto"/>
            </w:tcBorders>
            <w:shd w:val="clear" w:color="auto" w:fill="DCE2EF"/>
          </w:tcPr>
          <w:p>
            <w:pPr>
              <w:spacing w:after="0"/>
              <w:rPr>
                <w:sz w:val="22"/>
                <w:szCs w:val="22"/>
                <w:color w:val="auto"/>
              </w:rPr>
            </w:pPr>
          </w:p>
        </w:tc>
        <w:tc>
          <w:tcPr>
            <w:tcW w:w="16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2,283.9</w:t>
            </w:r>
          </w:p>
        </w:tc>
        <w:tc>
          <w:tcPr>
            <w:tcW w:w="100" w:type="dxa"/>
            <w:vAlign w:val="bottom"/>
            <w:shd w:val="clear" w:color="auto" w:fill="DCE2EF"/>
          </w:tcPr>
          <w:p>
            <w:pPr>
              <w:spacing w:after="0"/>
              <w:rPr>
                <w:sz w:val="22"/>
                <w:szCs w:val="22"/>
                <w:color w:val="auto"/>
              </w:rPr>
            </w:pPr>
          </w:p>
        </w:tc>
        <w:tc>
          <w:tcPr>
            <w:tcW w:w="240" w:type="dxa"/>
            <w:vAlign w:val="bottom"/>
            <w:tcBorders>
              <w:bottom w:val="single" w:sz="8" w:color="auto"/>
            </w:tcBorders>
            <w:shd w:val="clear" w:color="auto" w:fill="DCE2EF"/>
          </w:tcPr>
          <w:p>
            <w:pPr>
              <w:spacing w:after="0"/>
              <w:rPr>
                <w:sz w:val="22"/>
                <w:szCs w:val="22"/>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2,436.9</w:t>
            </w:r>
          </w:p>
        </w:tc>
        <w:tc>
          <w:tcPr>
            <w:tcW w:w="0" w:type="dxa"/>
            <w:vAlign w:val="bottom"/>
          </w:tcPr>
          <w:p>
            <w:pPr>
              <w:spacing w:after="0"/>
              <w:rPr>
                <w:sz w:val="1"/>
                <w:szCs w:val="1"/>
                <w:color w:val="auto"/>
              </w:rPr>
            </w:pPr>
          </w:p>
        </w:tc>
      </w:tr>
      <w:tr>
        <w:trPr>
          <w:trHeight w:val="246"/>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Commitments and contingencies</w:t>
            </w: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7420" w:type="dxa"/>
            <w:vAlign w:val="bottom"/>
            <w:gridSpan w:val="3"/>
            <w:shd w:val="clear" w:color="auto" w:fill="DCE2EF"/>
          </w:tcPr>
          <w:p>
            <w:pPr>
              <w:ind w:left="20"/>
              <w:spacing w:after="0"/>
              <w:rPr>
                <w:sz w:val="20"/>
                <w:szCs w:val="20"/>
                <w:color w:val="auto"/>
              </w:rPr>
            </w:pPr>
            <w:r>
              <w:rPr>
                <w:rFonts w:ascii="Arial" w:cs="Arial" w:eastAsia="Arial" w:hAnsi="Arial"/>
                <w:sz w:val="15"/>
                <w:szCs w:val="15"/>
                <w:b w:val="1"/>
                <w:bCs w:val="1"/>
                <w:color w:val="auto"/>
              </w:rPr>
              <w:t>Stockholders’ Equity</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Preferred stock, $0.01 par value; 500,000 shares authorized; none issued</w:t>
            </w:r>
          </w:p>
        </w:tc>
        <w:tc>
          <w:tcPr>
            <w:tcW w:w="300" w:type="dxa"/>
            <w:vAlign w:val="bottom"/>
          </w:tcPr>
          <w:p>
            <w:pPr>
              <w:spacing w:after="0"/>
              <w:rPr>
                <w:sz w:val="23"/>
                <w:szCs w:val="23"/>
                <w:color w:val="auto"/>
              </w:rPr>
            </w:pPr>
          </w:p>
        </w:tc>
        <w:tc>
          <w:tcPr>
            <w:tcW w:w="17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0"/>
        </w:trPr>
        <w:tc>
          <w:tcPr>
            <w:tcW w:w="20" w:type="dxa"/>
            <w:vAlign w:val="bottom"/>
            <w:shd w:val="clear" w:color="auto" w:fill="DCE2EF"/>
          </w:tcPr>
          <w:p>
            <w:pPr>
              <w:spacing w:after="0"/>
              <w:rPr>
                <w:sz w:val="16"/>
                <w:szCs w:val="16"/>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Common stock, $0.01 par value; 100,000,000 shares authorized;</w:t>
            </w:r>
          </w:p>
        </w:tc>
        <w:tc>
          <w:tcPr>
            <w:tcW w:w="300" w:type="dxa"/>
            <w:vAlign w:val="bottom"/>
            <w:shd w:val="clear" w:color="auto" w:fill="DCE2EF"/>
          </w:tcPr>
          <w:p>
            <w:pPr>
              <w:spacing w:after="0"/>
              <w:rPr>
                <w:sz w:val="16"/>
                <w:szCs w:val="16"/>
                <w:color w:val="auto"/>
              </w:rPr>
            </w:pPr>
          </w:p>
        </w:tc>
        <w:tc>
          <w:tcPr>
            <w:tcW w:w="164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DCE2EF"/>
          </w:tcPr>
          <w:p>
            <w:pPr>
              <w:spacing w:after="0"/>
              <w:rPr>
                <w:sz w:val="14"/>
                <w:szCs w:val="14"/>
                <w:color w:val="auto"/>
              </w:rPr>
            </w:pPr>
          </w:p>
        </w:tc>
        <w:tc>
          <w:tcPr>
            <w:tcW w:w="7400" w:type="dxa"/>
            <w:vAlign w:val="bottom"/>
            <w:gridSpan w:val="2"/>
            <w:shd w:val="clear" w:color="auto" w:fill="DCE2EF"/>
          </w:tcPr>
          <w:p>
            <w:pPr>
              <w:ind w:left="360"/>
              <w:spacing w:after="0" w:line="162" w:lineRule="exact"/>
              <w:rPr>
                <w:sz w:val="20"/>
                <w:szCs w:val="20"/>
                <w:color w:val="auto"/>
              </w:rPr>
            </w:pPr>
            <w:r>
              <w:rPr>
                <w:rFonts w:ascii="Arial" w:cs="Arial" w:eastAsia="Arial" w:hAnsi="Arial"/>
                <w:sz w:val="15"/>
                <w:szCs w:val="15"/>
                <w:color w:val="auto"/>
              </w:rPr>
              <w:t>65,833,297 and 65,502,568 shares issued and outstanding at</w:t>
            </w:r>
          </w:p>
        </w:tc>
        <w:tc>
          <w:tcPr>
            <w:tcW w:w="300" w:type="dxa"/>
            <w:vAlign w:val="bottom"/>
            <w:shd w:val="clear" w:color="auto" w:fill="DCE2EF"/>
          </w:tcPr>
          <w:p>
            <w:pPr>
              <w:spacing w:after="0"/>
              <w:rPr>
                <w:sz w:val="14"/>
                <w:szCs w:val="14"/>
                <w:color w:val="auto"/>
              </w:rPr>
            </w:pPr>
          </w:p>
        </w:tc>
        <w:tc>
          <w:tcPr>
            <w:tcW w:w="1640" w:type="dxa"/>
            <w:vAlign w:val="bottom"/>
            <w:shd w:val="clear" w:color="auto" w:fill="DCE2EF"/>
          </w:tcPr>
          <w:p>
            <w:pPr>
              <w:spacing w:after="0"/>
              <w:rPr>
                <w:sz w:val="14"/>
                <w:szCs w:val="14"/>
                <w:color w:val="auto"/>
              </w:rPr>
            </w:pPr>
          </w:p>
        </w:tc>
        <w:tc>
          <w:tcPr>
            <w:tcW w:w="100" w:type="dxa"/>
            <w:vAlign w:val="bottom"/>
            <w:shd w:val="clear" w:color="auto" w:fill="DCE2EF"/>
          </w:tcPr>
          <w:p>
            <w:pPr>
              <w:spacing w:after="0"/>
              <w:rPr>
                <w:sz w:val="14"/>
                <w:szCs w:val="14"/>
                <w:color w:val="auto"/>
              </w:rPr>
            </w:pPr>
          </w:p>
        </w:tc>
        <w:tc>
          <w:tcPr>
            <w:tcW w:w="240" w:type="dxa"/>
            <w:vAlign w:val="bottom"/>
            <w:shd w:val="clear" w:color="auto" w:fill="DCE2EF"/>
          </w:tcPr>
          <w:p>
            <w:pPr>
              <w:spacing w:after="0"/>
              <w:rPr>
                <w:sz w:val="14"/>
                <w:szCs w:val="14"/>
                <w:color w:val="auto"/>
              </w:rPr>
            </w:pPr>
          </w:p>
        </w:tc>
        <w:tc>
          <w:tcPr>
            <w:tcW w:w="1700" w:type="dxa"/>
            <w:vAlign w:val="bottom"/>
            <w:shd w:val="clear" w:color="auto" w:fill="DCE2E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DCE2EF"/>
          </w:tcPr>
          <w:p>
            <w:pPr>
              <w:spacing w:after="0"/>
              <w:rPr>
                <w:sz w:val="16"/>
                <w:szCs w:val="16"/>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July 31, 2018 and October 31, 2017, respectively</w:t>
            </w:r>
          </w:p>
        </w:tc>
        <w:tc>
          <w:tcPr>
            <w:tcW w:w="300" w:type="dxa"/>
            <w:vAlign w:val="bottom"/>
            <w:shd w:val="clear" w:color="auto" w:fill="DCE2EF"/>
          </w:tcPr>
          <w:p>
            <w:pPr>
              <w:spacing w:after="0"/>
              <w:rPr>
                <w:sz w:val="16"/>
                <w:szCs w:val="16"/>
                <w:color w:val="auto"/>
              </w:rPr>
            </w:pPr>
          </w:p>
        </w:tc>
        <w:tc>
          <w:tcPr>
            <w:tcW w:w="164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0.7</w:t>
            </w:r>
          </w:p>
        </w:tc>
        <w:tc>
          <w:tcPr>
            <w:tcW w:w="10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700" w:type="dxa"/>
            <w:vAlign w:val="bottom"/>
            <w:shd w:val="clear" w:color="auto" w:fill="DCE2EF"/>
          </w:tcPr>
          <w:p>
            <w:pPr>
              <w:jc w:val="right"/>
              <w:ind w:right="43"/>
              <w:spacing w:after="0"/>
              <w:rPr>
                <w:sz w:val="20"/>
                <w:szCs w:val="20"/>
                <w:color w:val="auto"/>
              </w:rPr>
            </w:pPr>
            <w:r>
              <w:rPr>
                <w:rFonts w:ascii="Arial" w:cs="Arial" w:eastAsia="Arial" w:hAnsi="Arial"/>
                <w:sz w:val="15"/>
                <w:szCs w:val="15"/>
                <w:color w:val="auto"/>
              </w:rPr>
              <w:t>0.7</w:t>
            </w: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7400" w:type="dxa"/>
            <w:vAlign w:val="bottom"/>
            <w:gridSpan w:val="2"/>
          </w:tcPr>
          <w:p>
            <w:pPr>
              <w:ind w:left="360"/>
              <w:spacing w:after="0"/>
              <w:rPr>
                <w:sz w:val="20"/>
                <w:szCs w:val="20"/>
                <w:color w:val="auto"/>
              </w:rPr>
            </w:pPr>
            <w:r>
              <w:rPr>
                <w:rFonts w:ascii="Arial" w:cs="Arial" w:eastAsia="Arial" w:hAnsi="Arial"/>
                <w:sz w:val="15"/>
                <w:szCs w:val="15"/>
                <w:color w:val="auto"/>
              </w:rPr>
              <w:t>Additional paid-in capital</w:t>
            </w:r>
          </w:p>
        </w:tc>
        <w:tc>
          <w:tcPr>
            <w:tcW w:w="300" w:type="dxa"/>
            <w:vAlign w:val="bottom"/>
          </w:tcPr>
          <w:p>
            <w:pPr>
              <w:spacing w:after="0"/>
              <w:rPr>
                <w:sz w:val="23"/>
                <w:szCs w:val="23"/>
                <w:color w:val="auto"/>
              </w:rPr>
            </w:pPr>
          </w:p>
        </w:tc>
        <w:tc>
          <w:tcPr>
            <w:tcW w:w="1640" w:type="dxa"/>
            <w:vAlign w:val="bottom"/>
          </w:tcPr>
          <w:p>
            <w:pPr>
              <w:jc w:val="right"/>
              <w:ind w:right="43"/>
              <w:spacing w:after="0"/>
              <w:rPr>
                <w:sz w:val="20"/>
                <w:szCs w:val="20"/>
                <w:color w:val="auto"/>
              </w:rPr>
            </w:pPr>
            <w:r>
              <w:rPr>
                <w:rFonts w:ascii="Arial" w:cs="Arial" w:eastAsia="Arial" w:hAnsi="Arial"/>
                <w:sz w:val="15"/>
                <w:szCs w:val="15"/>
                <w:color w:val="auto"/>
              </w:rPr>
              <w:t>688.3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jc w:val="right"/>
              <w:ind w:right="43"/>
              <w:spacing w:after="0"/>
              <w:rPr>
                <w:sz w:val="20"/>
                <w:szCs w:val="20"/>
                <w:color w:val="auto"/>
              </w:rPr>
            </w:pPr>
            <w:r>
              <w:rPr>
                <w:rFonts w:ascii="Arial" w:cs="Arial" w:eastAsia="Arial" w:hAnsi="Arial"/>
                <w:sz w:val="15"/>
                <w:szCs w:val="15"/>
                <w:color w:val="auto"/>
              </w:rPr>
              <w:t>675.2</w:t>
            </w:r>
          </w:p>
        </w:tc>
        <w:tc>
          <w:tcPr>
            <w:tcW w:w="0" w:type="dxa"/>
            <w:vAlign w:val="bottom"/>
          </w:tcPr>
          <w:p>
            <w:pPr>
              <w:spacing w:after="0"/>
              <w:rPr>
                <w:sz w:val="1"/>
                <w:szCs w:val="1"/>
                <w:color w:val="auto"/>
              </w:rPr>
            </w:pPr>
          </w:p>
        </w:tc>
      </w:tr>
      <w:tr>
        <w:trPr>
          <w:trHeight w:val="274"/>
        </w:trPr>
        <w:tc>
          <w:tcPr>
            <w:tcW w:w="20" w:type="dxa"/>
            <w:vAlign w:val="bottom"/>
            <w:shd w:val="clear" w:color="auto" w:fill="DCE2EF"/>
          </w:tcPr>
          <w:p>
            <w:pPr>
              <w:spacing w:after="0"/>
              <w:rPr>
                <w:sz w:val="23"/>
                <w:szCs w:val="23"/>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Accumulated other comprehensive loss, net of taxes</w:t>
            </w:r>
          </w:p>
        </w:tc>
        <w:tc>
          <w:tcPr>
            <w:tcW w:w="300" w:type="dxa"/>
            <w:vAlign w:val="bottom"/>
            <w:shd w:val="clear" w:color="auto" w:fill="DCE2EF"/>
          </w:tcPr>
          <w:p>
            <w:pPr>
              <w:spacing w:after="0"/>
              <w:rPr>
                <w:sz w:val="23"/>
                <w:szCs w:val="23"/>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5"/>
                <w:szCs w:val="15"/>
                <w:color w:val="auto"/>
              </w:rPr>
              <w:t>(5.7)</w:t>
            </w:r>
          </w:p>
        </w:tc>
        <w:tc>
          <w:tcPr>
            <w:tcW w:w="10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700" w:type="dxa"/>
            <w:vAlign w:val="bottom"/>
            <w:shd w:val="clear" w:color="auto" w:fill="DCE2EF"/>
          </w:tcPr>
          <w:p>
            <w:pPr>
              <w:jc w:val="right"/>
              <w:spacing w:after="0"/>
              <w:rPr>
                <w:sz w:val="20"/>
                <w:szCs w:val="20"/>
                <w:color w:val="auto"/>
              </w:rPr>
            </w:pPr>
            <w:r>
              <w:rPr>
                <w:rFonts w:ascii="Arial" w:cs="Arial" w:eastAsia="Arial" w:hAnsi="Arial"/>
                <w:sz w:val="15"/>
                <w:szCs w:val="15"/>
                <w:color w:val="auto"/>
              </w:rPr>
              <w:t>(20.3)</w:t>
            </w:r>
          </w:p>
        </w:tc>
        <w:tc>
          <w:tcPr>
            <w:tcW w:w="0" w:type="dxa"/>
            <w:vAlign w:val="bottom"/>
          </w:tcPr>
          <w:p>
            <w:pPr>
              <w:spacing w:after="0"/>
              <w:rPr>
                <w:sz w:val="1"/>
                <w:szCs w:val="1"/>
                <w:color w:val="auto"/>
              </w:rPr>
            </w:pPr>
          </w:p>
        </w:tc>
      </w:tr>
      <w:tr>
        <w:trPr>
          <w:trHeight w:val="266"/>
        </w:trPr>
        <w:tc>
          <w:tcPr>
            <w:tcW w:w="20" w:type="dxa"/>
            <w:vAlign w:val="bottom"/>
            <w:tcBorders>
              <w:bottom w:val="single" w:sz="8" w:color="DCE2EF"/>
            </w:tcBorders>
          </w:tcPr>
          <w:p>
            <w:pPr>
              <w:spacing w:after="0"/>
              <w:rPr>
                <w:sz w:val="23"/>
                <w:szCs w:val="23"/>
                <w:color w:val="auto"/>
              </w:rPr>
            </w:pPr>
          </w:p>
        </w:tc>
        <w:tc>
          <w:tcPr>
            <w:tcW w:w="7400" w:type="dxa"/>
            <w:vAlign w:val="bottom"/>
            <w:tcBorders>
              <w:bottom w:val="single" w:sz="8" w:color="DCE2EF"/>
            </w:tcBorders>
            <w:gridSpan w:val="2"/>
          </w:tcPr>
          <w:p>
            <w:pPr>
              <w:ind w:left="360"/>
              <w:spacing w:after="0"/>
              <w:rPr>
                <w:sz w:val="20"/>
                <w:szCs w:val="20"/>
                <w:color w:val="auto"/>
              </w:rPr>
            </w:pPr>
            <w:r>
              <w:rPr>
                <w:rFonts w:ascii="Arial" w:cs="Arial" w:eastAsia="Arial" w:hAnsi="Arial"/>
                <w:sz w:val="15"/>
                <w:szCs w:val="15"/>
                <w:color w:val="auto"/>
              </w:rPr>
              <w:t>Retained earnings</w:t>
            </w:r>
          </w:p>
        </w:tc>
        <w:tc>
          <w:tcPr>
            <w:tcW w:w="300" w:type="dxa"/>
            <w:vAlign w:val="bottom"/>
            <w:tcBorders>
              <w:bottom w:val="single" w:sz="8" w:color="auto"/>
            </w:tcBorders>
          </w:tcPr>
          <w:p>
            <w:pPr>
              <w:spacing w:after="0"/>
              <w:rPr>
                <w:sz w:val="23"/>
                <w:szCs w:val="23"/>
                <w:color w:val="auto"/>
              </w:rPr>
            </w:pP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773.2</w:t>
            </w:r>
          </w:p>
        </w:tc>
        <w:tc>
          <w:tcPr>
            <w:tcW w:w="100" w:type="dxa"/>
            <w:vAlign w:val="bottom"/>
            <w:tcBorders>
              <w:bottom w:val="single" w:sz="8" w:color="DCE2E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720.1</w:t>
            </w:r>
          </w:p>
        </w:tc>
        <w:tc>
          <w:tcPr>
            <w:tcW w:w="0" w:type="dxa"/>
            <w:vAlign w:val="bottom"/>
          </w:tcPr>
          <w:p>
            <w:pPr>
              <w:spacing w:after="0"/>
              <w:rPr>
                <w:sz w:val="1"/>
                <w:szCs w:val="1"/>
                <w:color w:val="auto"/>
              </w:rPr>
            </w:pPr>
          </w:p>
        </w:tc>
      </w:tr>
      <w:tr>
        <w:trPr>
          <w:trHeight w:val="250"/>
        </w:trPr>
        <w:tc>
          <w:tcPr>
            <w:tcW w:w="20" w:type="dxa"/>
            <w:vAlign w:val="bottom"/>
            <w:shd w:val="clear" w:color="auto" w:fill="DCE2EF"/>
          </w:tcPr>
          <w:p>
            <w:pPr>
              <w:spacing w:after="0"/>
              <w:rPr>
                <w:sz w:val="21"/>
                <w:szCs w:val="21"/>
                <w:color w:val="auto"/>
              </w:rPr>
            </w:pPr>
          </w:p>
        </w:tc>
        <w:tc>
          <w:tcPr>
            <w:tcW w:w="7400" w:type="dxa"/>
            <w:vAlign w:val="bottom"/>
            <w:gridSpan w:val="2"/>
            <w:shd w:val="clear" w:color="auto" w:fill="DCE2EF"/>
          </w:tcPr>
          <w:p>
            <w:pPr>
              <w:ind w:left="360"/>
              <w:spacing w:after="0"/>
              <w:rPr>
                <w:sz w:val="20"/>
                <w:szCs w:val="20"/>
                <w:color w:val="auto"/>
              </w:rPr>
            </w:pPr>
            <w:r>
              <w:rPr>
                <w:rFonts w:ascii="Arial" w:cs="Arial" w:eastAsia="Arial" w:hAnsi="Arial"/>
                <w:sz w:val="15"/>
                <w:szCs w:val="15"/>
                <w:color w:val="auto"/>
              </w:rPr>
              <w:t>Total stockholders’ equity</w:t>
            </w:r>
          </w:p>
        </w:tc>
        <w:tc>
          <w:tcPr>
            <w:tcW w:w="300" w:type="dxa"/>
            <w:vAlign w:val="bottom"/>
            <w:tcBorders>
              <w:bottom w:val="single" w:sz="8" w:color="auto"/>
            </w:tcBorders>
            <w:shd w:val="clear" w:color="auto" w:fill="DCE2EF"/>
          </w:tcPr>
          <w:p>
            <w:pPr>
              <w:spacing w:after="0"/>
              <w:rPr>
                <w:sz w:val="21"/>
                <w:szCs w:val="21"/>
                <w:color w:val="auto"/>
              </w:rPr>
            </w:pPr>
          </w:p>
        </w:tc>
        <w:tc>
          <w:tcPr>
            <w:tcW w:w="164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1,456.4</w:t>
            </w:r>
          </w:p>
        </w:tc>
        <w:tc>
          <w:tcPr>
            <w:tcW w:w="100" w:type="dxa"/>
            <w:vAlign w:val="bottom"/>
            <w:shd w:val="clear" w:color="auto" w:fill="DCE2EF"/>
          </w:tcPr>
          <w:p>
            <w:pPr>
              <w:spacing w:after="0"/>
              <w:rPr>
                <w:sz w:val="21"/>
                <w:szCs w:val="21"/>
                <w:color w:val="auto"/>
              </w:rPr>
            </w:pPr>
          </w:p>
        </w:tc>
        <w:tc>
          <w:tcPr>
            <w:tcW w:w="240" w:type="dxa"/>
            <w:vAlign w:val="bottom"/>
            <w:tcBorders>
              <w:bottom w:val="single" w:sz="8" w:color="auto"/>
            </w:tcBorders>
            <w:shd w:val="clear" w:color="auto" w:fill="DCE2EF"/>
          </w:tcPr>
          <w:p>
            <w:pPr>
              <w:spacing w:after="0"/>
              <w:rPr>
                <w:sz w:val="21"/>
                <w:szCs w:val="21"/>
                <w:color w:val="auto"/>
              </w:rPr>
            </w:pPr>
          </w:p>
        </w:tc>
        <w:tc>
          <w:tcPr>
            <w:tcW w:w="1700" w:type="dxa"/>
            <w:vAlign w:val="bottom"/>
            <w:tcBorders>
              <w:bottom w:val="single" w:sz="8" w:color="auto"/>
            </w:tcBorders>
            <w:shd w:val="clear" w:color="auto" w:fill="DCE2EF"/>
          </w:tcPr>
          <w:p>
            <w:pPr>
              <w:jc w:val="right"/>
              <w:ind w:right="43"/>
              <w:spacing w:after="0"/>
              <w:rPr>
                <w:sz w:val="20"/>
                <w:szCs w:val="20"/>
                <w:color w:val="auto"/>
              </w:rPr>
            </w:pPr>
            <w:r>
              <w:rPr>
                <w:rFonts w:ascii="Arial" w:cs="Arial" w:eastAsia="Arial" w:hAnsi="Arial"/>
                <w:sz w:val="15"/>
                <w:szCs w:val="15"/>
                <w:color w:val="auto"/>
              </w:rPr>
              <w:t>1,375.7</w:t>
            </w:r>
          </w:p>
        </w:tc>
        <w:tc>
          <w:tcPr>
            <w:tcW w:w="0" w:type="dxa"/>
            <w:vAlign w:val="bottom"/>
          </w:tcPr>
          <w:p>
            <w:pPr>
              <w:spacing w:after="0"/>
              <w:rPr>
                <w:sz w:val="1"/>
                <w:szCs w:val="1"/>
                <w:color w:val="auto"/>
              </w:rPr>
            </w:pPr>
          </w:p>
        </w:tc>
      </w:tr>
      <w:tr>
        <w:trPr>
          <w:trHeight w:val="241"/>
        </w:trPr>
        <w:tc>
          <w:tcPr>
            <w:tcW w:w="7420" w:type="dxa"/>
            <w:vAlign w:val="bottom"/>
            <w:gridSpan w:val="3"/>
          </w:tcPr>
          <w:p>
            <w:pPr>
              <w:ind w:left="20"/>
              <w:spacing w:after="0"/>
              <w:rPr>
                <w:sz w:val="20"/>
                <w:szCs w:val="20"/>
                <w:color w:val="auto"/>
              </w:rPr>
            </w:pPr>
            <w:r>
              <w:rPr>
                <w:rFonts w:ascii="Arial" w:cs="Arial" w:eastAsia="Arial" w:hAnsi="Arial"/>
                <w:sz w:val="15"/>
                <w:szCs w:val="15"/>
                <w:color w:val="auto"/>
              </w:rPr>
              <w:t>Total liabilities and stockholders’ equity</w:t>
            </w:r>
          </w:p>
        </w:tc>
        <w:tc>
          <w:tcPr>
            <w:tcW w:w="3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3,740.4</w:t>
            </w:r>
          </w:p>
        </w:tc>
        <w:tc>
          <w:tcPr>
            <w:tcW w:w="100" w:type="dxa"/>
            <w:vAlign w:val="bottom"/>
          </w:tcPr>
          <w:p>
            <w:pPr>
              <w:spacing w:after="0"/>
              <w:rPr>
                <w:sz w:val="20"/>
                <w:szCs w:val="20"/>
                <w:color w:val="auto"/>
              </w:rPr>
            </w:pPr>
          </w:p>
        </w:tc>
        <w:tc>
          <w:tcPr>
            <w:tcW w:w="2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17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3,812.6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20"/>
          </w:cols>
          <w:pgMar w:left="240" w:top="84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846"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CONSOLIDATED STATEMENTS OF COMPREHENSIVE INCOME (LOSS)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20" w:type="dxa"/>
            <w:vAlign w:val="bottom"/>
            <w:gridSpan w:val="5"/>
          </w:tcPr>
          <w:p>
            <w:pPr>
              <w:ind w:left="180"/>
              <w:spacing w:after="0"/>
              <w:rPr>
                <w:sz w:val="20"/>
                <w:szCs w:val="20"/>
                <w:color w:val="auto"/>
              </w:rPr>
            </w:pPr>
            <w:r>
              <w:rPr>
                <w:rFonts w:ascii="Arial" w:cs="Arial" w:eastAsia="Arial" w:hAnsi="Arial"/>
                <w:sz w:val="16"/>
                <w:szCs w:val="16"/>
                <w:b w:val="1"/>
                <w:bCs w:val="1"/>
                <w:color w:val="auto"/>
              </w:rPr>
              <w:t>Three Months Ended July 31,</w:t>
            </w:r>
          </w:p>
        </w:tc>
        <w:tc>
          <w:tcPr>
            <w:tcW w:w="300" w:type="dxa"/>
            <w:vAlign w:val="bottom"/>
          </w:tcPr>
          <w:p>
            <w:pPr>
              <w:spacing w:after="0"/>
              <w:rPr>
                <w:sz w:val="18"/>
                <w:szCs w:val="18"/>
                <w:color w:val="auto"/>
              </w:rPr>
            </w:pPr>
          </w:p>
        </w:tc>
        <w:tc>
          <w:tcPr>
            <w:tcW w:w="2760" w:type="dxa"/>
            <w:vAlign w:val="bottom"/>
            <w:gridSpan w:val="4"/>
          </w:tcPr>
          <w:p>
            <w:pPr>
              <w:jc w:val="right"/>
              <w:ind w:right="381"/>
              <w:spacing w:after="0"/>
              <w:rPr>
                <w:sz w:val="20"/>
                <w:szCs w:val="20"/>
                <w:color w:val="auto"/>
              </w:rPr>
            </w:pPr>
            <w:r>
              <w:rPr>
                <w:rFonts w:ascii="Arial" w:cs="Arial" w:eastAsia="Arial" w:hAnsi="Arial"/>
                <w:sz w:val="16"/>
                <w:szCs w:val="16"/>
                <w:b w:val="1"/>
                <w:bCs w:val="1"/>
                <w:color w:val="auto"/>
              </w:rPr>
              <w:t>Nine Months Ended July 31,</w:t>
            </w:r>
          </w:p>
        </w:tc>
        <w:tc>
          <w:tcPr>
            <w:tcW w:w="0" w:type="dxa"/>
            <w:vAlign w:val="bottom"/>
          </w:tcPr>
          <w:p>
            <w:pPr>
              <w:spacing w:after="0"/>
              <w:rPr>
                <w:sz w:val="1"/>
                <w:szCs w:val="1"/>
                <w:color w:val="auto"/>
              </w:rPr>
            </w:pPr>
          </w:p>
        </w:tc>
      </w:tr>
      <w:tr>
        <w:trPr>
          <w:trHeight w:val="227"/>
        </w:trPr>
        <w:tc>
          <w:tcPr>
            <w:tcW w:w="5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0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ind w:right="48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224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1,624.3</w:t>
            </w:r>
          </w:p>
        </w:tc>
        <w:tc>
          <w:tcPr>
            <w:tcW w:w="12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1,318.4</w:t>
            </w: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4,793.5</w:t>
            </w:r>
          </w:p>
        </w:tc>
        <w:tc>
          <w:tcPr>
            <w:tcW w:w="100" w:type="dxa"/>
            <w:vAlign w:val="bottom"/>
            <w:shd w:val="clear" w:color="auto" w:fill="DCE2EF"/>
          </w:tcPr>
          <w:p>
            <w:pPr>
              <w:spacing w:after="0"/>
              <w:rPr>
                <w:sz w:val="21"/>
                <w:szCs w:val="21"/>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3,955.6</w:t>
            </w:r>
          </w:p>
        </w:tc>
        <w:tc>
          <w:tcPr>
            <w:tcW w:w="0" w:type="dxa"/>
            <w:vAlign w:val="bottom"/>
          </w:tcPr>
          <w:p>
            <w:pPr>
              <w:spacing w:after="0"/>
              <w:rPr>
                <w:sz w:val="1"/>
                <w:szCs w:val="1"/>
                <w:color w:val="auto"/>
              </w:rPr>
            </w:pPr>
          </w:p>
        </w:tc>
      </w:tr>
      <w:tr>
        <w:trPr>
          <w:trHeight w:val="266"/>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2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1,446.7</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1,184.5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4,281.8</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3,544.1</w:t>
            </w:r>
          </w:p>
        </w:tc>
        <w:tc>
          <w:tcPr>
            <w:tcW w:w="0" w:type="dxa"/>
            <w:vAlign w:val="bottom"/>
          </w:tcPr>
          <w:p>
            <w:pPr>
              <w:spacing w:after="0"/>
              <w:rPr>
                <w:sz w:val="1"/>
                <w:szCs w:val="1"/>
                <w:color w:val="auto"/>
              </w:rPr>
            </w:pPr>
          </w:p>
        </w:tc>
      </w:tr>
      <w:tr>
        <w:trPr>
          <w:trHeight w:val="274"/>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2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101.3</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326.8</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299.2</w:t>
            </w:r>
          </w:p>
        </w:tc>
        <w:tc>
          <w:tcPr>
            <w:tcW w:w="0" w:type="dxa"/>
            <w:vAlign w:val="bottom"/>
          </w:tcPr>
          <w:p>
            <w:pPr>
              <w:spacing w:after="0"/>
              <w:rPr>
                <w:sz w:val="1"/>
                <w:szCs w:val="1"/>
                <w:color w:val="auto"/>
              </w:rPr>
            </w:pPr>
          </w:p>
        </w:tc>
      </w:tr>
      <w:tr>
        <w:trPr>
          <w:trHeight w:val="266"/>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Restructuring and related expenses</w:t>
            </w:r>
          </w:p>
        </w:tc>
        <w:tc>
          <w:tcPr>
            <w:tcW w:w="2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74"/>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16.6</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6.1</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49.5</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66"/>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Impairment recovery and gain on sale</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54"/>
        </w:trPr>
        <w:tc>
          <w:tcPr>
            <w:tcW w:w="5160" w:type="dxa"/>
            <w:vAlign w:val="bottom"/>
            <w:tcBorders>
              <w:top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Operating profit</w:t>
            </w:r>
          </w:p>
        </w:tc>
        <w:tc>
          <w:tcPr>
            <w:tcW w:w="280" w:type="dxa"/>
            <w:vAlign w:val="bottom"/>
            <w:tcBorders>
              <w:top w:val="single" w:sz="8" w:color="auto"/>
            </w:tcBorders>
            <w:shd w:val="clear" w:color="auto" w:fill="DCE2EF"/>
          </w:tcPr>
          <w:p>
            <w:pPr>
              <w:spacing w:after="0"/>
              <w:rPr>
                <w:sz w:val="22"/>
                <w:szCs w:val="22"/>
                <w:color w:val="auto"/>
              </w:rPr>
            </w:pPr>
          </w:p>
        </w:tc>
        <w:tc>
          <w:tcPr>
            <w:tcW w:w="1220" w:type="dxa"/>
            <w:vAlign w:val="bottom"/>
            <w:tcBorders>
              <w:top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48.1</w:t>
            </w:r>
          </w:p>
        </w:tc>
        <w:tc>
          <w:tcPr>
            <w:tcW w:w="120" w:type="dxa"/>
            <w:vAlign w:val="bottom"/>
            <w:tcBorders>
              <w:top w:val="single" w:sz="8" w:color="DCE2EF"/>
            </w:tcBorders>
            <w:shd w:val="clear" w:color="auto" w:fill="DCE2EF"/>
          </w:tcPr>
          <w:p>
            <w:pPr>
              <w:spacing w:after="0"/>
              <w:rPr>
                <w:sz w:val="22"/>
                <w:szCs w:val="22"/>
                <w:color w:val="auto"/>
              </w:rPr>
            </w:pPr>
          </w:p>
        </w:tc>
        <w:tc>
          <w:tcPr>
            <w:tcW w:w="340" w:type="dxa"/>
            <w:vAlign w:val="bottom"/>
            <w:tcBorders>
              <w:top w:val="single" w:sz="8" w:color="auto"/>
            </w:tcBorders>
            <w:shd w:val="clear" w:color="auto" w:fill="DCE2EF"/>
          </w:tcPr>
          <w:p>
            <w:pPr>
              <w:spacing w:after="0"/>
              <w:rPr>
                <w:sz w:val="22"/>
                <w:szCs w:val="22"/>
                <w:color w:val="auto"/>
              </w:rPr>
            </w:pPr>
          </w:p>
        </w:tc>
        <w:tc>
          <w:tcPr>
            <w:tcW w:w="1140" w:type="dxa"/>
            <w:vAlign w:val="bottom"/>
            <w:tcBorders>
              <w:top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22.6</w:t>
            </w:r>
          </w:p>
        </w:tc>
        <w:tc>
          <w:tcPr>
            <w:tcW w:w="100" w:type="dxa"/>
            <w:vAlign w:val="bottom"/>
            <w:tcBorders>
              <w:top w:val="single" w:sz="8" w:color="DCE2EF"/>
            </w:tcBorders>
            <w:shd w:val="clear" w:color="auto" w:fill="DCE2EF"/>
          </w:tcPr>
          <w:p>
            <w:pPr>
              <w:spacing w:after="0"/>
              <w:rPr>
                <w:sz w:val="22"/>
                <w:szCs w:val="22"/>
                <w:color w:val="auto"/>
              </w:rPr>
            </w:pPr>
          </w:p>
        </w:tc>
        <w:tc>
          <w:tcPr>
            <w:tcW w:w="300" w:type="dxa"/>
            <w:vAlign w:val="bottom"/>
            <w:tcBorders>
              <w:top w:val="single" w:sz="8" w:color="auto"/>
            </w:tcBorders>
            <w:shd w:val="clear" w:color="auto" w:fill="DCE2EF"/>
          </w:tcPr>
          <w:p>
            <w:pPr>
              <w:spacing w:after="0"/>
              <w:rPr>
                <w:sz w:val="22"/>
                <w:szCs w:val="22"/>
                <w:color w:val="auto"/>
              </w:rPr>
            </w:pPr>
          </w:p>
        </w:tc>
        <w:tc>
          <w:tcPr>
            <w:tcW w:w="1180" w:type="dxa"/>
            <w:vAlign w:val="bottom"/>
            <w:tcBorders>
              <w:top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112.9</w:t>
            </w:r>
          </w:p>
        </w:tc>
        <w:tc>
          <w:tcPr>
            <w:tcW w:w="100" w:type="dxa"/>
            <w:vAlign w:val="bottom"/>
            <w:tcBorders>
              <w:top w:val="single" w:sz="8" w:color="DCE2EF"/>
            </w:tcBorders>
            <w:shd w:val="clear" w:color="auto" w:fill="DCE2EF"/>
          </w:tcPr>
          <w:p>
            <w:pPr>
              <w:spacing w:after="0"/>
              <w:rPr>
                <w:sz w:val="22"/>
                <w:szCs w:val="22"/>
                <w:color w:val="auto"/>
              </w:rPr>
            </w:pPr>
          </w:p>
        </w:tc>
        <w:tc>
          <w:tcPr>
            <w:tcW w:w="340" w:type="dxa"/>
            <w:vAlign w:val="bottom"/>
            <w:tcBorders>
              <w:top w:val="single" w:sz="8" w:color="auto"/>
            </w:tcBorders>
            <w:shd w:val="clear" w:color="auto" w:fill="DCE2EF"/>
          </w:tcPr>
          <w:p>
            <w:pPr>
              <w:spacing w:after="0"/>
              <w:rPr>
                <w:sz w:val="22"/>
                <w:szCs w:val="22"/>
                <w:color w:val="auto"/>
              </w:rPr>
            </w:pPr>
          </w:p>
        </w:tc>
        <w:tc>
          <w:tcPr>
            <w:tcW w:w="1140" w:type="dxa"/>
            <w:vAlign w:val="bottom"/>
            <w:tcBorders>
              <w:top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66"/>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2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7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(41.0)</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5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70"/>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tax (provision) benefit</w:t>
            </w:r>
          </w:p>
        </w:tc>
        <w:tc>
          <w:tcPr>
            <w:tcW w:w="280" w:type="dxa"/>
            <w:vAlign w:val="bottom"/>
            <w:tcBorders>
              <w:bottom w:val="single" w:sz="8" w:color="auto"/>
            </w:tcBorders>
            <w:shd w:val="clear" w:color="auto" w:fill="DCE2EF"/>
          </w:tcPr>
          <w:p>
            <w:pPr>
              <w:spacing w:after="0"/>
              <w:rPr>
                <w:sz w:val="23"/>
                <w:szCs w:val="23"/>
                <w:color w:val="auto"/>
              </w:rPr>
            </w:pPr>
          </w:p>
        </w:tc>
        <w:tc>
          <w:tcPr>
            <w:tcW w:w="12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118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50"/>
        </w:trPr>
        <w:tc>
          <w:tcPr>
            <w:tcW w:w="516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tcPr>
          <w:p>
            <w:pPr>
              <w:spacing w:after="0"/>
              <w:rPr>
                <w:sz w:val="21"/>
                <w:szCs w:val="21"/>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87.1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80.6</w:t>
            </w:r>
          </w:p>
        </w:tc>
        <w:tc>
          <w:tcPr>
            <w:tcW w:w="0" w:type="dxa"/>
            <w:vAlign w:val="bottom"/>
          </w:tcPr>
          <w:p>
            <w:pPr>
              <w:spacing w:after="0"/>
              <w:rPr>
                <w:sz w:val="1"/>
                <w:szCs w:val="1"/>
                <w:color w:val="auto"/>
              </w:rPr>
            </w:pPr>
          </w:p>
        </w:tc>
      </w:tr>
      <w:tr>
        <w:trPr>
          <w:trHeight w:val="274"/>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(Loss) income from discontinued operations, net of taxes</w:t>
            </w:r>
          </w:p>
        </w:tc>
        <w:tc>
          <w:tcPr>
            <w:tcW w:w="280" w:type="dxa"/>
            <w:vAlign w:val="bottom"/>
            <w:shd w:val="clear" w:color="auto" w:fill="DCE2EF"/>
          </w:tcPr>
          <w:p>
            <w:pPr>
              <w:spacing w:after="0"/>
              <w:rPr>
                <w:sz w:val="23"/>
                <w:szCs w:val="23"/>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24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1.0</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46"/>
        </w:trPr>
        <w:tc>
          <w:tcPr>
            <w:tcW w:w="516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280" w:type="dxa"/>
            <w:vAlign w:val="bottom"/>
            <w:tcBorders>
              <w:top w:val="single" w:sz="8" w:color="auto"/>
              <w:bottom w:val="single" w:sz="8" w:color="auto"/>
            </w:tcBorders>
          </w:tcPr>
          <w:p>
            <w:pPr>
              <w:spacing w:after="0"/>
              <w:rPr>
                <w:sz w:val="21"/>
                <w:szCs w:val="21"/>
                <w:color w:val="auto"/>
              </w:rPr>
            </w:pPr>
          </w:p>
        </w:tc>
        <w:tc>
          <w:tcPr>
            <w:tcW w:w="122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33.6</w:t>
            </w:r>
          </w:p>
        </w:tc>
        <w:tc>
          <w:tcPr>
            <w:tcW w:w="120" w:type="dxa"/>
            <w:vAlign w:val="bottom"/>
            <w:tcBorders>
              <w:bottom w:val="single" w:sz="8" w:color="DCE2E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32.9</w:t>
            </w:r>
          </w:p>
        </w:tc>
        <w:tc>
          <w:tcPr>
            <w:tcW w:w="100" w:type="dxa"/>
            <w:vAlign w:val="bottom"/>
            <w:tcBorders>
              <w:bottom w:val="single" w:sz="8" w:color="DCE2EF"/>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88.1</w:t>
            </w:r>
          </w:p>
        </w:tc>
        <w:tc>
          <w:tcPr>
            <w:tcW w:w="100" w:type="dxa"/>
            <w:vAlign w:val="bottom"/>
            <w:tcBorders>
              <w:bottom w:val="single" w:sz="8" w:color="DCE2E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68"/>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comprehensive income (loss)</w:t>
            </w:r>
          </w:p>
        </w:tc>
        <w:tc>
          <w:tcPr>
            <w:tcW w:w="280" w:type="dxa"/>
            <w:vAlign w:val="bottom"/>
            <w:shd w:val="clear" w:color="auto" w:fill="DCE2EF"/>
          </w:tcPr>
          <w:p>
            <w:pPr>
              <w:spacing w:after="0"/>
              <w:rPr>
                <w:sz w:val="23"/>
                <w:szCs w:val="23"/>
                <w:color w:val="auto"/>
              </w:rPr>
            </w:pPr>
          </w:p>
        </w:tc>
        <w:tc>
          <w:tcPr>
            <w:tcW w:w="122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120" w:type="dxa"/>
            <w:vAlign w:val="bottom"/>
            <w:gridSpan w:val="2"/>
          </w:tcPr>
          <w:p>
            <w:pPr>
              <w:ind w:left="340"/>
              <w:spacing w:after="0"/>
              <w:rPr>
                <w:sz w:val="20"/>
                <w:szCs w:val="20"/>
                <w:color w:val="auto"/>
              </w:rPr>
            </w:pPr>
            <w:r>
              <w:rPr>
                <w:rFonts w:ascii="Arial" w:cs="Arial" w:eastAsia="Arial" w:hAnsi="Arial"/>
                <w:sz w:val="16"/>
                <w:szCs w:val="16"/>
                <w:color w:val="auto"/>
              </w:rPr>
              <w:t>Interest rate swaps</w:t>
            </w:r>
          </w:p>
        </w:tc>
        <w:tc>
          <w:tcPr>
            <w:tcW w:w="2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22.0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4"/>
        </w:trPr>
        <w:tc>
          <w:tcPr>
            <w:tcW w:w="4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Foreign currency translation</w:t>
            </w:r>
          </w:p>
        </w:tc>
        <w:tc>
          <w:tcPr>
            <w:tcW w:w="280" w:type="dxa"/>
            <w:vAlign w:val="bottom"/>
            <w:shd w:val="clear" w:color="auto" w:fill="DCE2EF"/>
          </w:tcPr>
          <w:p>
            <w:pPr>
              <w:spacing w:after="0"/>
              <w:rPr>
                <w:sz w:val="23"/>
                <w:szCs w:val="23"/>
                <w:color w:val="auto"/>
              </w:rPr>
            </w:pPr>
          </w:p>
        </w:tc>
        <w:tc>
          <w:tcPr>
            <w:tcW w:w="12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(6.5)</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3.6</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266"/>
        </w:trPr>
        <w:tc>
          <w:tcPr>
            <w:tcW w:w="40" w:type="dxa"/>
            <w:vAlign w:val="bottom"/>
            <w:tcBorders>
              <w:bottom w:val="single" w:sz="8" w:color="DCE2EF"/>
            </w:tcBorders>
          </w:tcPr>
          <w:p>
            <w:pPr>
              <w:spacing w:after="0"/>
              <w:rPr>
                <w:sz w:val="23"/>
                <w:szCs w:val="23"/>
                <w:color w:val="auto"/>
              </w:rPr>
            </w:pPr>
          </w:p>
        </w:tc>
        <w:tc>
          <w:tcPr>
            <w:tcW w:w="5120" w:type="dxa"/>
            <w:vAlign w:val="bottom"/>
            <w:tcBorders>
              <w:bottom w:val="single" w:sz="8" w:color="DCE2EF"/>
            </w:tcBorders>
            <w:gridSpan w:val="2"/>
          </w:tcPr>
          <w:p>
            <w:pPr>
              <w:ind w:left="340"/>
              <w:spacing w:after="0"/>
              <w:rPr>
                <w:sz w:val="20"/>
                <w:szCs w:val="20"/>
                <w:color w:val="auto"/>
              </w:rPr>
            </w:pPr>
            <w:r>
              <w:rPr>
                <w:rFonts w:ascii="Arial" w:cs="Arial" w:eastAsia="Arial" w:hAnsi="Arial"/>
                <w:sz w:val="16"/>
                <w:szCs w:val="16"/>
                <w:color w:val="auto"/>
              </w:rPr>
              <w:t>Income tax benefit (provision)</w:t>
            </w: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0.1</w:t>
            </w:r>
          </w:p>
        </w:tc>
        <w:tc>
          <w:tcPr>
            <w:tcW w:w="100" w:type="dxa"/>
            <w:vAlign w:val="bottom"/>
            <w:tcBorders>
              <w:bottom w:val="single" w:sz="8" w:color="DCE2E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DCE2E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41"/>
        </w:trPr>
        <w:tc>
          <w:tcPr>
            <w:tcW w:w="516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280" w:type="dxa"/>
            <w:vAlign w:val="bottom"/>
            <w:tcBorders>
              <w:bottom w:val="single" w:sz="8" w:color="auto"/>
            </w:tcBorders>
            <w:shd w:val="clear" w:color="auto" w:fill="DCE2E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36.3</w:t>
            </w:r>
          </w:p>
        </w:tc>
        <w:tc>
          <w:tcPr>
            <w:tcW w:w="100" w:type="dxa"/>
            <w:vAlign w:val="bottom"/>
            <w:tcBorders>
              <w:bottom w:val="single" w:sz="8" w:color="DCE2EF"/>
            </w:tcBorders>
            <w:shd w:val="clear" w:color="auto" w:fill="DCE2EF"/>
          </w:tcPr>
          <w:p>
            <w:pPr>
              <w:spacing w:after="0"/>
              <w:rPr>
                <w:sz w:val="20"/>
                <w:szCs w:val="20"/>
                <w:color w:val="auto"/>
              </w:rPr>
            </w:pPr>
          </w:p>
        </w:tc>
        <w:tc>
          <w:tcPr>
            <w:tcW w:w="300" w:type="dxa"/>
            <w:vAlign w:val="bottom"/>
            <w:tcBorders>
              <w:bottom w:val="single" w:sz="8" w:color="auto"/>
            </w:tcBorders>
            <w:shd w:val="clear" w:color="auto" w:fill="DCE2EF"/>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102.6</w:t>
            </w:r>
          </w:p>
        </w:tc>
        <w:tc>
          <w:tcPr>
            <w:tcW w:w="100" w:type="dxa"/>
            <w:vAlign w:val="bottom"/>
            <w:tcBorders>
              <w:bottom w:val="single" w:sz="8" w:color="DCE2EF"/>
            </w:tcBorders>
            <w:shd w:val="clear" w:color="auto" w:fill="DCE2EF"/>
          </w:tcPr>
          <w:p>
            <w:pPr>
              <w:spacing w:after="0"/>
              <w:rPr>
                <w:sz w:val="20"/>
                <w:szCs w:val="20"/>
                <w:color w:val="auto"/>
              </w:rPr>
            </w:pPr>
          </w:p>
        </w:tc>
        <w:tc>
          <w:tcPr>
            <w:tcW w:w="340" w:type="dxa"/>
            <w:vAlign w:val="bottom"/>
            <w:tcBorders>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18.6</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Net income per common share — Basic</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6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0.51</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0.59</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120" w:type="dxa"/>
            <w:vAlign w:val="bottom"/>
            <w:gridSpan w:val="2"/>
          </w:tcPr>
          <w:p>
            <w:pPr>
              <w:ind w:left="340"/>
              <w:spacing w:after="0"/>
              <w:rPr>
                <w:sz w:val="20"/>
                <w:szCs w:val="20"/>
                <w:color w:val="auto"/>
              </w:rPr>
            </w:pPr>
            <w:r>
              <w:rPr>
                <w:rFonts w:ascii="Arial" w:cs="Arial" w:eastAsia="Arial" w:hAnsi="Arial"/>
                <w:sz w:val="16"/>
                <w:szCs w:val="16"/>
                <w:color w:val="auto"/>
              </w:rPr>
              <w:t>Income (loss) from discontinued operations</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41"/>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512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shd w:val="clear" w:color="auto" w:fill="DCE2E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0.51</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0.59</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00" w:type="dxa"/>
            <w:vAlign w:val="bottom"/>
            <w:tcBorders>
              <w:top w:val="single" w:sz="8" w:color="auto"/>
              <w:bottom w:val="single" w:sz="8" w:color="auto"/>
            </w:tcBorders>
            <w:shd w:val="clear" w:color="auto" w:fill="DCE2EF"/>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1.33</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Net income per common share — Diluted</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6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Income from continuing operations</w:t>
            </w:r>
          </w:p>
        </w:tc>
        <w:tc>
          <w:tcPr>
            <w:tcW w:w="28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0.51</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0.58</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120" w:type="dxa"/>
            <w:vAlign w:val="bottom"/>
            <w:gridSpan w:val="2"/>
          </w:tcPr>
          <w:p>
            <w:pPr>
              <w:ind w:left="340"/>
              <w:spacing w:after="0"/>
              <w:rPr>
                <w:sz w:val="20"/>
                <w:szCs w:val="20"/>
                <w:color w:val="auto"/>
              </w:rPr>
            </w:pPr>
            <w:r>
              <w:rPr>
                <w:rFonts w:ascii="Arial" w:cs="Arial" w:eastAsia="Arial" w:hAnsi="Arial"/>
                <w:sz w:val="16"/>
                <w:szCs w:val="16"/>
                <w:color w:val="auto"/>
              </w:rPr>
              <w:t>Income (loss) from discontinued operations</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41"/>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5120" w:type="dxa"/>
            <w:vAlign w:val="bottom"/>
            <w:tcBorders>
              <w:top w:val="single" w:sz="8" w:color="DCE2EF"/>
              <w:bottom w:val="single" w:sz="8" w:color="DCE2EF"/>
            </w:tcBorders>
            <w:gridSpan w:val="2"/>
            <w:shd w:val="clear" w:color="auto" w:fill="DCE2EF"/>
          </w:tcPr>
          <w:p>
            <w:pPr>
              <w:ind w:left="340"/>
              <w:spacing w:after="0"/>
              <w:rPr>
                <w:sz w:val="20"/>
                <w:szCs w:val="20"/>
                <w:color w:val="auto"/>
              </w:rPr>
            </w:pPr>
            <w:r>
              <w:rPr>
                <w:rFonts w:ascii="Arial" w:cs="Arial" w:eastAsia="Arial" w:hAnsi="Arial"/>
                <w:sz w:val="16"/>
                <w:szCs w:val="16"/>
                <w:color w:val="auto"/>
              </w:rPr>
              <w:t>Net income</w:t>
            </w:r>
          </w:p>
        </w:tc>
        <w:tc>
          <w:tcPr>
            <w:tcW w:w="280" w:type="dxa"/>
            <w:vAlign w:val="bottom"/>
            <w:tcBorders>
              <w:top w:val="single" w:sz="8" w:color="auto"/>
              <w:bottom w:val="single" w:sz="8" w:color="auto"/>
            </w:tcBorders>
            <w:shd w:val="clear" w:color="auto" w:fill="DCE2E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DCE2EF"/>
          </w:tcPr>
          <w:p>
            <w:pPr>
              <w:jc w:val="right"/>
              <w:ind w:right="41"/>
              <w:spacing w:after="0"/>
              <w:rPr>
                <w:sz w:val="20"/>
                <w:szCs w:val="20"/>
                <w:color w:val="auto"/>
              </w:rPr>
            </w:pPr>
            <w:r>
              <w:rPr>
                <w:rFonts w:ascii="Arial" w:cs="Arial" w:eastAsia="Arial" w:hAnsi="Arial"/>
                <w:sz w:val="16"/>
                <w:szCs w:val="16"/>
                <w:color w:val="auto"/>
              </w:rPr>
              <w:t>0.51</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0.58</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00" w:type="dxa"/>
            <w:vAlign w:val="bottom"/>
            <w:tcBorders>
              <w:top w:val="single" w:sz="8" w:color="auto"/>
              <w:bottom w:val="single" w:sz="8" w:color="auto"/>
            </w:tcBorders>
            <w:shd w:val="clear" w:color="auto" w:fill="DCE2EF"/>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1.33</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0.13</w:t>
            </w:r>
          </w:p>
        </w:tc>
        <w:tc>
          <w:tcPr>
            <w:tcW w:w="0" w:type="dxa"/>
            <w:vAlign w:val="bottom"/>
          </w:tcPr>
          <w:p>
            <w:pPr>
              <w:spacing w:after="0"/>
              <w:rPr>
                <w:sz w:val="1"/>
                <w:szCs w:val="1"/>
                <w:color w:val="auto"/>
              </w:rPr>
            </w:pPr>
          </w:p>
        </w:tc>
      </w:tr>
      <w:tr>
        <w:trPr>
          <w:trHeight w:val="20"/>
        </w:trPr>
        <w:tc>
          <w:tcPr>
            <w:tcW w:w="5160" w:type="dxa"/>
            <w:vAlign w:val="bottom"/>
            <w:gridSpan w:val="3"/>
            <w:vMerge w:val="restart"/>
          </w:tcPr>
          <w:p>
            <w:pPr>
              <w:ind w:left="40"/>
              <w:spacing w:after="0" w:line="181" w:lineRule="exact"/>
              <w:rPr>
                <w:sz w:val="20"/>
                <w:szCs w:val="20"/>
                <w:color w:val="auto"/>
              </w:rPr>
            </w:pPr>
            <w:r>
              <w:rPr>
                <w:rFonts w:ascii="Arial" w:cs="Arial" w:eastAsia="Arial" w:hAnsi="Arial"/>
                <w:sz w:val="16"/>
                <w:szCs w:val="16"/>
                <w:b w:val="1"/>
                <w:bCs w:val="1"/>
                <w:color w:val="auto"/>
              </w:rPr>
              <w:t>Weighted-average common and common equivalent shares</w:t>
            </w: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1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5120" w:type="dxa"/>
            <w:vAlign w:val="bottom"/>
            <w:gridSpan w:val="2"/>
          </w:tcPr>
          <w:p>
            <w:pPr>
              <w:ind w:left="160"/>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0" w:type="dxa"/>
            <w:vAlign w:val="bottom"/>
            <w:shd w:val="clear" w:color="auto" w:fill="DCE2EF"/>
          </w:tcPr>
          <w:p>
            <w:pPr>
              <w:spacing w:after="0"/>
              <w:rPr>
                <w:sz w:val="23"/>
                <w:szCs w:val="23"/>
                <w:color w:val="auto"/>
              </w:rPr>
            </w:pPr>
          </w:p>
        </w:tc>
        <w:tc>
          <w:tcPr>
            <w:tcW w:w="512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Basic</w:t>
            </w:r>
          </w:p>
        </w:tc>
        <w:tc>
          <w:tcPr>
            <w:tcW w:w="280" w:type="dxa"/>
            <w:vAlign w:val="bottom"/>
            <w:shd w:val="clear" w:color="auto" w:fill="DCE2EF"/>
          </w:tcPr>
          <w:p>
            <w:pPr>
              <w:spacing w:after="0"/>
              <w:rPr>
                <w:sz w:val="23"/>
                <w:szCs w:val="23"/>
                <w:color w:val="auto"/>
              </w:rPr>
            </w:pP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66.1</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56.1</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66.0</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spacing w:after="0"/>
              <w:rPr>
                <w:sz w:val="23"/>
                <w:szCs w:val="23"/>
                <w:color w:val="auto"/>
              </w:rPr>
            </w:pP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56.0</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5120" w:type="dxa"/>
            <w:vAlign w:val="bottom"/>
            <w:gridSpan w:val="2"/>
          </w:tcPr>
          <w:p>
            <w:pPr>
              <w:ind w:left="340"/>
              <w:spacing w:after="0"/>
              <w:rPr>
                <w:sz w:val="20"/>
                <w:szCs w:val="20"/>
                <w:color w:val="auto"/>
              </w:rPr>
            </w:pPr>
            <w:r>
              <w:rPr>
                <w:rFonts w:ascii="Arial" w:cs="Arial" w:eastAsia="Arial" w:hAnsi="Arial"/>
                <w:sz w:val="16"/>
                <w:szCs w:val="16"/>
                <w:color w:val="auto"/>
              </w:rPr>
              <w:t>Diluted</w:t>
            </w:r>
          </w:p>
        </w:tc>
        <w:tc>
          <w:tcPr>
            <w:tcW w:w="280" w:type="dxa"/>
            <w:vAlign w:val="bottom"/>
          </w:tcPr>
          <w:p>
            <w:pPr>
              <w:spacing w:after="0"/>
              <w:rPr>
                <w:sz w:val="23"/>
                <w:szCs w:val="23"/>
                <w:color w:val="auto"/>
              </w:rPr>
            </w:pPr>
          </w:p>
        </w:tc>
        <w:tc>
          <w:tcPr>
            <w:tcW w:w="1220" w:type="dxa"/>
            <w:vAlign w:val="bottom"/>
          </w:tcPr>
          <w:p>
            <w:pPr>
              <w:jc w:val="right"/>
              <w:ind w:right="41"/>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tcPr>
          <w:p>
            <w:pPr>
              <w:jc w:val="right"/>
              <w:ind w:right="21"/>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21"/>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274"/>
        </w:trPr>
        <w:tc>
          <w:tcPr>
            <w:tcW w:w="516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Dividends declared per common share</w:t>
            </w:r>
          </w:p>
        </w:tc>
        <w:tc>
          <w:tcPr>
            <w:tcW w:w="28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0.175</w:t>
            </w:r>
          </w:p>
        </w:tc>
        <w:tc>
          <w:tcPr>
            <w:tcW w:w="12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0.170</w:t>
            </w: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jc w:val="right"/>
              <w:ind w:right="101"/>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0.525</w:t>
            </w:r>
          </w:p>
        </w:tc>
        <w:tc>
          <w:tcPr>
            <w:tcW w:w="100" w:type="dxa"/>
            <w:vAlign w:val="bottom"/>
            <w:shd w:val="clear" w:color="auto" w:fill="DCE2EF"/>
          </w:tcPr>
          <w:p>
            <w:pPr>
              <w:spacing w:after="0"/>
              <w:rPr>
                <w:sz w:val="23"/>
                <w:szCs w:val="23"/>
                <w:color w:val="auto"/>
              </w:rPr>
            </w:pPr>
          </w:p>
        </w:tc>
        <w:tc>
          <w:tcPr>
            <w:tcW w:w="340" w:type="dxa"/>
            <w:vAlign w:val="bottom"/>
            <w:shd w:val="clear" w:color="auto" w:fill="DCE2EF"/>
          </w:tcPr>
          <w:p>
            <w:pPr>
              <w:jc w:val="right"/>
              <w:ind w:right="141"/>
              <w:spacing w:after="0"/>
              <w:rPr>
                <w:sz w:val="20"/>
                <w:szCs w:val="20"/>
                <w:color w:val="auto"/>
              </w:rPr>
            </w:pPr>
            <w:r>
              <w:rPr>
                <w:rFonts w:ascii="Arial" w:cs="Arial" w:eastAsia="Arial" w:hAnsi="Arial"/>
                <w:sz w:val="16"/>
                <w:szCs w:val="16"/>
                <w:color w:val="auto"/>
              </w:rPr>
              <w:t>$</w:t>
            </w:r>
          </w:p>
        </w:tc>
        <w:tc>
          <w:tcPr>
            <w:tcW w:w="11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0.510</w:t>
            </w: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68" w:right="239" w:bottom="1440" w:gutter="0" w:footer="0" w:header="0"/>
        </w:sectPr>
      </w:pPr>
    </w:p>
    <w:bookmarkStart w:id="7" w:name="page8"/>
    <w:bookmarkEnd w:id="7"/>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ABM INDUSTRIES INCORPORATED AND SUBSIDIARIES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CONSOLIDATED STATEMENTS OF CASH FLOWS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6AD"/>
        </w:rPr>
        <w:t>(UNAUDITED)</w:t>
      </w:r>
    </w:p>
    <w:p>
      <w:pPr>
        <w:spacing w:after="0" w:line="240" w:lineRule="exact"/>
        <w:rPr>
          <w:sz w:val="20"/>
          <w:szCs w:val="20"/>
          <w:color w:val="auto"/>
        </w:rPr>
      </w:pPr>
    </w:p>
    <w:p>
      <w:pPr>
        <w:ind w:left="8940"/>
        <w:spacing w:after="0"/>
        <w:rPr>
          <w:sz w:val="20"/>
          <w:szCs w:val="20"/>
          <w:color w:val="auto"/>
        </w:rPr>
      </w:pPr>
      <w:r>
        <w:rPr>
          <w:rFonts w:ascii="Arial" w:cs="Arial" w:eastAsia="Arial" w:hAnsi="Arial"/>
          <w:sz w:val="14"/>
          <w:szCs w:val="14"/>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26035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34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340" w:type="dxa"/>
            <w:vAlign w:val="bottom"/>
          </w:tcPr>
          <w:p>
            <w:pPr>
              <w:spacing w:after="0"/>
              <w:rPr>
                <w:sz w:val="14"/>
                <w:szCs w:val="14"/>
                <w:color w:val="auto"/>
              </w:rPr>
            </w:pPr>
          </w:p>
        </w:tc>
        <w:tc>
          <w:tcPr>
            <w:tcW w:w="1160" w:type="dxa"/>
            <w:vAlign w:val="bottom"/>
          </w:tcPr>
          <w:p>
            <w:pPr>
              <w:jc w:val="right"/>
              <w:ind w:right="50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76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4"/>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Net income</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88.1</w:t>
            </w:r>
          </w:p>
        </w:tc>
        <w:tc>
          <w:tcPr>
            <w:tcW w:w="120" w:type="dxa"/>
            <w:vAlign w:val="bottom"/>
          </w:tcPr>
          <w:p>
            <w:pPr>
              <w:spacing w:after="0"/>
              <w:rPr>
                <w:sz w:val="22"/>
                <w:szCs w:val="22"/>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7.4</w:t>
            </w:r>
          </w:p>
        </w:tc>
      </w:tr>
      <w:tr>
        <w:trPr>
          <w:trHeight w:val="270"/>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(Income) loss from discontinued operations, net of taxes</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73.2</w:t>
            </w:r>
          </w:p>
        </w:tc>
      </w:tr>
      <w:tr>
        <w:trPr>
          <w:trHeight w:val="250"/>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Income from continuing operations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87.1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80.6</w:t>
            </w:r>
          </w:p>
        </w:tc>
      </w:tr>
      <w:tr>
        <w:trPr>
          <w:trHeight w:val="182"/>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Adjustments to reconcile income from continuing operations to net cash provided by operating activities of continuing</w:t>
            </w:r>
          </w:p>
        </w:tc>
        <w:tc>
          <w:tcPr>
            <w:tcW w:w="340" w:type="dxa"/>
            <w:vAlign w:val="bottom"/>
            <w:shd w:val="clear" w:color="auto" w:fill="DCE2EF"/>
          </w:tcPr>
          <w:p>
            <w:pPr>
              <w:spacing w:after="0"/>
              <w:rPr>
                <w:sz w:val="15"/>
                <w:szCs w:val="15"/>
                <w:color w:val="auto"/>
              </w:rPr>
            </w:pPr>
          </w:p>
        </w:tc>
        <w:tc>
          <w:tcPr>
            <w:tcW w:w="1160" w:type="dxa"/>
            <w:vAlign w:val="bottom"/>
            <w:shd w:val="clear" w:color="auto" w:fill="DCE2EF"/>
          </w:tcPr>
          <w:p>
            <w:pPr>
              <w:spacing w:after="0"/>
              <w:rPr>
                <w:sz w:val="15"/>
                <w:szCs w:val="15"/>
                <w:color w:val="auto"/>
              </w:rPr>
            </w:pPr>
          </w:p>
        </w:tc>
        <w:tc>
          <w:tcPr>
            <w:tcW w:w="120" w:type="dxa"/>
            <w:vAlign w:val="bottom"/>
            <w:shd w:val="clear" w:color="auto" w:fill="DCE2EF"/>
          </w:tcPr>
          <w:p>
            <w:pPr>
              <w:spacing w:after="0"/>
              <w:rPr>
                <w:sz w:val="15"/>
                <w:szCs w:val="15"/>
                <w:color w:val="auto"/>
              </w:rPr>
            </w:pPr>
          </w:p>
        </w:tc>
        <w:tc>
          <w:tcPr>
            <w:tcW w:w="340" w:type="dxa"/>
            <w:vAlign w:val="bottom"/>
            <w:shd w:val="clear" w:color="auto" w:fill="DCE2EF"/>
          </w:tcPr>
          <w:p>
            <w:pPr>
              <w:spacing w:after="0"/>
              <w:rPr>
                <w:sz w:val="15"/>
                <w:szCs w:val="15"/>
                <w:color w:val="auto"/>
              </w:rPr>
            </w:pPr>
          </w:p>
        </w:tc>
        <w:tc>
          <w:tcPr>
            <w:tcW w:w="1120" w:type="dxa"/>
            <w:vAlign w:val="bottom"/>
            <w:shd w:val="clear" w:color="auto" w:fill="DCE2EF"/>
          </w:tcPr>
          <w:p>
            <w:pPr>
              <w:spacing w:after="0"/>
              <w:rPr>
                <w:sz w:val="15"/>
                <w:szCs w:val="15"/>
                <w:color w:val="auto"/>
              </w:rPr>
            </w:pPr>
          </w:p>
        </w:tc>
      </w:tr>
      <w:tr>
        <w:trPr>
          <w:trHeight w:val="202"/>
        </w:trPr>
        <w:tc>
          <w:tcPr>
            <w:tcW w:w="40" w:type="dxa"/>
            <w:vAlign w:val="bottom"/>
            <w:shd w:val="clear" w:color="auto" w:fill="DCE2EF"/>
          </w:tcPr>
          <w:p>
            <w:pPr>
              <w:spacing w:after="0"/>
              <w:rPr>
                <w:sz w:val="17"/>
                <w:szCs w:val="17"/>
                <w:color w:val="auto"/>
              </w:rPr>
            </w:pPr>
          </w:p>
        </w:tc>
        <w:tc>
          <w:tcPr>
            <w:tcW w:w="8300" w:type="dxa"/>
            <w:vAlign w:val="bottom"/>
            <w:gridSpan w:val="2"/>
            <w:shd w:val="clear" w:color="auto" w:fill="DCE2EF"/>
          </w:tcPr>
          <w:p>
            <w:pPr>
              <w:ind w:left="160"/>
              <w:spacing w:after="0"/>
              <w:rPr>
                <w:sz w:val="20"/>
                <w:szCs w:val="20"/>
                <w:color w:val="auto"/>
              </w:rPr>
            </w:pPr>
            <w:r>
              <w:rPr>
                <w:rFonts w:ascii="Arial" w:cs="Arial" w:eastAsia="Arial" w:hAnsi="Arial"/>
                <w:sz w:val="14"/>
                <w:szCs w:val="14"/>
                <w:b w:val="1"/>
                <w:bCs w:val="1"/>
                <w:color w:val="auto"/>
              </w:rPr>
              <w:t>operations</w:t>
            </w:r>
          </w:p>
        </w:tc>
        <w:tc>
          <w:tcPr>
            <w:tcW w:w="340" w:type="dxa"/>
            <w:vAlign w:val="bottom"/>
            <w:shd w:val="clear" w:color="auto" w:fill="DCE2EF"/>
          </w:tcPr>
          <w:p>
            <w:pPr>
              <w:spacing w:after="0"/>
              <w:rPr>
                <w:sz w:val="17"/>
                <w:szCs w:val="17"/>
                <w:color w:val="auto"/>
              </w:rPr>
            </w:pPr>
          </w:p>
        </w:tc>
        <w:tc>
          <w:tcPr>
            <w:tcW w:w="1160" w:type="dxa"/>
            <w:vAlign w:val="bottom"/>
            <w:shd w:val="clear" w:color="auto" w:fill="DCE2EF"/>
          </w:tcPr>
          <w:p>
            <w:pPr>
              <w:spacing w:after="0"/>
              <w:rPr>
                <w:sz w:val="17"/>
                <w:szCs w:val="17"/>
                <w:color w:val="auto"/>
              </w:rPr>
            </w:pPr>
          </w:p>
        </w:tc>
        <w:tc>
          <w:tcPr>
            <w:tcW w:w="120" w:type="dxa"/>
            <w:vAlign w:val="bottom"/>
            <w:shd w:val="clear" w:color="auto" w:fill="DCE2EF"/>
          </w:tcPr>
          <w:p>
            <w:pPr>
              <w:spacing w:after="0"/>
              <w:rPr>
                <w:sz w:val="17"/>
                <w:szCs w:val="17"/>
                <w:color w:val="auto"/>
              </w:rPr>
            </w:pPr>
          </w:p>
        </w:tc>
        <w:tc>
          <w:tcPr>
            <w:tcW w:w="340" w:type="dxa"/>
            <w:vAlign w:val="bottom"/>
            <w:shd w:val="clear" w:color="auto" w:fill="DCE2EF"/>
          </w:tcPr>
          <w:p>
            <w:pPr>
              <w:spacing w:after="0"/>
              <w:rPr>
                <w:sz w:val="17"/>
                <w:szCs w:val="17"/>
                <w:color w:val="auto"/>
              </w:rPr>
            </w:pPr>
          </w:p>
        </w:tc>
        <w:tc>
          <w:tcPr>
            <w:tcW w:w="1120" w:type="dxa"/>
            <w:vAlign w:val="bottom"/>
            <w:shd w:val="clear" w:color="auto" w:fill="DCE2EF"/>
          </w:tcPr>
          <w:p>
            <w:pPr>
              <w:spacing w:after="0"/>
              <w:rPr>
                <w:sz w:val="17"/>
                <w:szCs w:val="17"/>
                <w:color w:val="auto"/>
              </w:rPr>
            </w:pP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86.1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43.4</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Proceeds from termination of interest rate swaps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25.9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Impairment recovery and gain on sale</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(18.5)</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Deferred income taxes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(19.5)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8.9</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Share-based compensation expense</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10.3</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Provision for bad debt</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4.5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2.7</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Discount accretion on insurance claims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0.1</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Loss (gain) on sale of assets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(2.4)</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Income from unconsolidated affiliates, net</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Distributions from unconsolidated affiliates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0.1</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5.7</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Changes in operating assets and liabilities, net of effects of acquisitions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Trade accounts receivable</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(69.5)</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Prepaid expenses and other current assets</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Other noncurrent assets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(8.3)</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Trade accounts payable and other accrued liabilities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15.6</w:t>
            </w:r>
          </w:p>
        </w:tc>
      </w:tr>
      <w:tr>
        <w:trPr>
          <w:trHeight w:val="276"/>
        </w:trPr>
        <w:tc>
          <w:tcPr>
            <w:tcW w:w="40" w:type="dxa"/>
            <w:vAlign w:val="bottom"/>
            <w:shd w:val="clear" w:color="auto" w:fill="DCE2EF"/>
          </w:tcPr>
          <w:p>
            <w:pPr>
              <w:spacing w:after="0"/>
              <w:rPr>
                <w:sz w:val="24"/>
                <w:szCs w:val="24"/>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Insurance claims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32.5</w:t>
            </w:r>
          </w:p>
        </w:tc>
      </w:tr>
      <w:tr>
        <w:trPr>
          <w:trHeight w:val="264"/>
        </w:trPr>
        <w:tc>
          <w:tcPr>
            <w:tcW w:w="40" w:type="dxa"/>
            <w:vAlign w:val="bottom"/>
          </w:tcPr>
          <w:p>
            <w:pPr>
              <w:spacing w:after="0"/>
              <w:rPr>
                <w:sz w:val="22"/>
                <w:szCs w:val="22"/>
                <w:color w:val="auto"/>
              </w:rPr>
            </w:pPr>
          </w:p>
        </w:tc>
        <w:tc>
          <w:tcPr>
            <w:tcW w:w="8300" w:type="dxa"/>
            <w:vAlign w:val="bottom"/>
            <w:gridSpan w:val="2"/>
          </w:tcPr>
          <w:p>
            <w:pPr>
              <w:ind w:left="340"/>
              <w:spacing w:after="0"/>
              <w:rPr>
                <w:sz w:val="20"/>
                <w:szCs w:val="20"/>
                <w:color w:val="auto"/>
              </w:rPr>
            </w:pPr>
            <w:r>
              <w:rPr>
                <w:rFonts w:ascii="Arial" w:cs="Arial" w:eastAsia="Arial" w:hAnsi="Arial"/>
                <w:sz w:val="14"/>
                <w:szCs w:val="14"/>
                <w:color w:val="auto"/>
              </w:rPr>
              <w:t>Income taxes payable</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(7.7)</w:t>
            </w:r>
          </w:p>
        </w:tc>
      </w:tr>
      <w:tr>
        <w:trPr>
          <w:trHeight w:val="270"/>
        </w:trPr>
        <w:tc>
          <w:tcPr>
            <w:tcW w:w="40" w:type="dxa"/>
            <w:vAlign w:val="bottom"/>
            <w:shd w:val="clear" w:color="auto" w:fill="DCE2EF"/>
          </w:tcPr>
          <w:p>
            <w:pPr>
              <w:spacing w:after="0"/>
              <w:rPr>
                <w:sz w:val="23"/>
                <w:szCs w:val="23"/>
                <w:color w:val="auto"/>
              </w:rPr>
            </w:pPr>
          </w:p>
        </w:tc>
        <w:tc>
          <w:tcPr>
            <w:tcW w:w="8300" w:type="dxa"/>
            <w:vAlign w:val="bottom"/>
            <w:gridSpan w:val="2"/>
            <w:shd w:val="clear" w:color="auto" w:fill="DCE2EF"/>
          </w:tcPr>
          <w:p>
            <w:pPr>
              <w:ind w:left="340"/>
              <w:spacing w:after="0"/>
              <w:rPr>
                <w:sz w:val="20"/>
                <w:szCs w:val="20"/>
                <w:color w:val="auto"/>
              </w:rPr>
            </w:pPr>
            <w:r>
              <w:rPr>
                <w:rFonts w:ascii="Arial" w:cs="Arial" w:eastAsia="Arial" w:hAnsi="Arial"/>
                <w:sz w:val="14"/>
                <w:szCs w:val="14"/>
                <w:color w:val="auto"/>
              </w:rPr>
              <w:t>Other noncurrent liabilities</w:t>
            </w:r>
          </w:p>
        </w:tc>
        <w:tc>
          <w:tcPr>
            <w:tcW w:w="340" w:type="dxa"/>
            <w:vAlign w:val="bottom"/>
            <w:tcBorders>
              <w:bottom w:val="single" w:sz="8" w:color="auto"/>
            </w:tcBorders>
            <w:shd w:val="clear" w:color="auto" w:fill="DCE2EF"/>
          </w:tcPr>
          <w:p>
            <w:pPr>
              <w:spacing w:after="0"/>
              <w:rPr>
                <w:sz w:val="23"/>
                <w:szCs w:val="23"/>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shd w:val="clear" w:color="auto" w:fill="DCE2EF"/>
          </w:tcPr>
          <w:p>
            <w:pPr>
              <w:spacing w:after="0"/>
              <w:rPr>
                <w:sz w:val="23"/>
                <w:szCs w:val="23"/>
                <w:color w:val="auto"/>
              </w:rPr>
            </w:pPr>
          </w:p>
        </w:tc>
        <w:tc>
          <w:tcPr>
            <w:tcW w:w="340" w:type="dxa"/>
            <w:vAlign w:val="bottom"/>
            <w:tcBorders>
              <w:bottom w:val="single" w:sz="8" w:color="auto"/>
            </w:tcBorders>
            <w:shd w:val="clear" w:color="auto" w:fill="DCE2EF"/>
          </w:tcPr>
          <w:p>
            <w:pPr>
              <w:spacing w:after="0"/>
              <w:rPr>
                <w:sz w:val="23"/>
                <w:szCs w:val="23"/>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7.6</w:t>
            </w:r>
          </w:p>
        </w:tc>
      </w:tr>
      <w:tr>
        <w:trPr>
          <w:trHeight w:val="250"/>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Total adjustments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119.3</w:t>
            </w:r>
          </w:p>
        </w:tc>
        <w:tc>
          <w:tcPr>
            <w:tcW w:w="12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206.4</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82.6</w:t>
            </w:r>
          </w:p>
        </w:tc>
      </w:tr>
      <w:tr>
        <w:trPr>
          <w:trHeight w:val="26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cash provided by operating activities</w:t>
            </w:r>
          </w:p>
        </w:tc>
        <w:tc>
          <w:tcPr>
            <w:tcW w:w="340" w:type="dxa"/>
            <w:vAlign w:val="bottom"/>
            <w:tcBorders>
              <w:bottom w:val="single" w:sz="8" w:color="auto"/>
            </w:tcBorders>
            <w:shd w:val="clear" w:color="auto" w:fill="DCE2EF"/>
          </w:tcPr>
          <w:p>
            <w:pPr>
              <w:spacing w:after="0"/>
              <w:rPr>
                <w:sz w:val="22"/>
                <w:szCs w:val="22"/>
                <w:color w:val="auto"/>
              </w:rPr>
            </w:pP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207.4</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25.3</w:t>
            </w:r>
          </w:p>
        </w:tc>
      </w:tr>
      <w:tr>
        <w:trPr>
          <w:trHeight w:val="258"/>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Additions to property, plant and equipment</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(37.3)</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(42.2)</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Proceeds from sale of assets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(Adjustments to) and proceeds from sale of business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35.5</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Purchase of businesses, net of cash acquired</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(18.6)</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Proceeds from redemption of auction rate security</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2.9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Investments in unconsolidated affiliates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(0.6)</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cash used in investing activities</w:t>
            </w:r>
          </w:p>
        </w:tc>
        <w:tc>
          <w:tcPr>
            <w:tcW w:w="340" w:type="dxa"/>
            <w:vAlign w:val="bottom"/>
            <w:tcBorders>
              <w:bottom w:val="single" w:sz="8" w:color="auto"/>
            </w:tcBorders>
            <w:shd w:val="clear" w:color="auto" w:fill="DCE2EF"/>
          </w:tcPr>
          <w:p>
            <w:pPr>
              <w:spacing w:after="0"/>
              <w:rPr>
                <w:sz w:val="22"/>
                <w:szCs w:val="22"/>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(36.3)</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(23.9)</w:t>
            </w:r>
          </w:p>
        </w:tc>
      </w:tr>
      <w:tr>
        <w:trPr>
          <w:trHeight w:val="258"/>
        </w:trPr>
        <w:tc>
          <w:tcPr>
            <w:tcW w:w="8340" w:type="dxa"/>
            <w:vAlign w:val="bottom"/>
            <w:gridSpan w:val="3"/>
          </w:tcPr>
          <w:p>
            <w:pPr>
              <w:ind w:left="40"/>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(Taxes withheld) and proceeds from issuance of share-based compensation awards, net</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(0.3)</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2.0</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Repurchases of common stock</w:t>
            </w:r>
          </w:p>
        </w:tc>
        <w:tc>
          <w:tcPr>
            <w:tcW w:w="340" w:type="dxa"/>
            <w:vAlign w:val="bottom"/>
          </w:tcPr>
          <w:p>
            <w:pPr>
              <w:spacing w:after="0"/>
              <w:rPr>
                <w:sz w:val="22"/>
                <w:szCs w:val="22"/>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(7.9)</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Dividends paid</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(34.5)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(28.4)</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Deferred financing costs paid</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Borrowings from credit facility</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887.0</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671.0</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Repayment of borrowings from credit facility</w:t>
            </w:r>
          </w:p>
        </w:tc>
        <w:tc>
          <w:tcPr>
            <w:tcW w:w="340" w:type="dxa"/>
            <w:vAlign w:val="bottom"/>
          </w:tcPr>
          <w:p>
            <w:pPr>
              <w:spacing w:after="0"/>
              <w:rPr>
                <w:sz w:val="22"/>
                <w:szCs w:val="22"/>
                <w:color w:val="auto"/>
              </w:rPr>
            </w:pPr>
          </w:p>
        </w:tc>
        <w:tc>
          <w:tcPr>
            <w:tcW w:w="1160" w:type="dxa"/>
            <w:vAlign w:val="bottom"/>
          </w:tcPr>
          <w:p>
            <w:pPr>
              <w:jc w:val="right"/>
              <w:ind w:right="8"/>
              <w:spacing w:after="0"/>
              <w:rPr>
                <w:sz w:val="20"/>
                <w:szCs w:val="20"/>
                <w:color w:val="auto"/>
              </w:rPr>
            </w:pPr>
            <w:r>
              <w:rPr>
                <w:rFonts w:ascii="Arial" w:cs="Arial" w:eastAsia="Arial" w:hAnsi="Arial"/>
                <w:sz w:val="14"/>
                <w:szCs w:val="14"/>
                <w:color w:val="auto"/>
              </w:rPr>
              <w:t>(1,042.1)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(674.6)</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Changes in book cash overdrafts</w:t>
            </w:r>
          </w:p>
        </w:tc>
        <w:tc>
          <w:tcPr>
            <w:tcW w:w="34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48"/>
              <w:spacing w:after="0"/>
              <w:rPr>
                <w:sz w:val="20"/>
                <w:szCs w:val="20"/>
                <w:color w:val="auto"/>
              </w:rPr>
            </w:pPr>
            <w:r>
              <w:rPr>
                <w:rFonts w:ascii="Arial" w:cs="Arial" w:eastAsia="Arial" w:hAnsi="Arial"/>
                <w:sz w:val="14"/>
                <w:szCs w:val="14"/>
                <w:color w:val="auto"/>
              </w:rPr>
              <w:t>1.1</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28"/>
              <w:spacing w:after="0"/>
              <w:rPr>
                <w:sz w:val="20"/>
                <w:szCs w:val="20"/>
                <w:color w:val="auto"/>
              </w:rPr>
            </w:pPr>
            <w:r>
              <w:rPr>
                <w:rFonts w:ascii="Arial" w:cs="Arial" w:eastAsia="Arial" w:hAnsi="Arial"/>
                <w:sz w:val="14"/>
                <w:szCs w:val="14"/>
                <w:color w:val="auto"/>
              </w:rPr>
              <w:t>26.5</w:t>
            </w:r>
          </w:p>
        </w:tc>
      </w:tr>
      <w:tr>
        <w:trPr>
          <w:trHeight w:val="264"/>
        </w:trPr>
        <w:tc>
          <w:tcPr>
            <w:tcW w:w="8340" w:type="dxa"/>
            <w:vAlign w:val="bottom"/>
            <w:gridSpan w:val="3"/>
          </w:tcPr>
          <w:p>
            <w:pPr>
              <w:ind w:left="40"/>
              <w:spacing w:after="0"/>
              <w:rPr>
                <w:sz w:val="20"/>
                <w:szCs w:val="20"/>
                <w:color w:val="auto"/>
              </w:rPr>
            </w:pPr>
            <w:r>
              <w:rPr>
                <w:rFonts w:ascii="Arial" w:cs="Arial" w:eastAsia="Arial" w:hAnsi="Arial"/>
                <w:sz w:val="14"/>
                <w:szCs w:val="14"/>
                <w:color w:val="auto"/>
              </w:rPr>
              <w:t>Financing of energy savings performance contracts</w:t>
            </w:r>
          </w:p>
        </w:tc>
        <w:tc>
          <w:tcPr>
            <w:tcW w:w="340" w:type="dxa"/>
            <w:vAlign w:val="bottom"/>
          </w:tcPr>
          <w:p>
            <w:pPr>
              <w:spacing w:after="0"/>
              <w:rPr>
                <w:sz w:val="22"/>
                <w:szCs w:val="22"/>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6.8</w:t>
            </w:r>
          </w:p>
        </w:tc>
      </w:tr>
      <w:tr>
        <w:trPr>
          <w:trHeight w:val="27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color w:val="auto"/>
              </w:rPr>
              <w:t>Payment of contingent consideration</w:t>
            </w:r>
          </w:p>
        </w:tc>
        <w:tc>
          <w:tcPr>
            <w:tcW w:w="340" w:type="dxa"/>
            <w:vAlign w:val="bottom"/>
            <w:shd w:val="clear" w:color="auto" w:fill="DCE2EF"/>
          </w:tcPr>
          <w:p>
            <w:pPr>
              <w:spacing w:after="0"/>
              <w:rPr>
                <w:sz w:val="24"/>
                <w:szCs w:val="24"/>
                <w:color w:val="auto"/>
              </w:rPr>
            </w:pPr>
          </w:p>
        </w:tc>
        <w:tc>
          <w:tcPr>
            <w:tcW w:w="1280" w:type="dxa"/>
            <w:vAlign w:val="bottom"/>
            <w:gridSpan w:val="2"/>
            <w:shd w:val="clear" w:color="auto" w:fill="DCE2E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(3.8)</w:t>
            </w:r>
          </w:p>
        </w:tc>
      </w:tr>
      <w:tr>
        <w:trPr>
          <w:trHeight w:val="26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color w:val="auto"/>
              </w:rPr>
              <w:t>Repayment of capital lease obligations</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(2.3)</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cash used in financing activities</w:t>
            </w:r>
          </w:p>
        </w:tc>
        <w:tc>
          <w:tcPr>
            <w:tcW w:w="340" w:type="dxa"/>
            <w:vAlign w:val="bottom"/>
            <w:tcBorders>
              <w:bottom w:val="single" w:sz="8" w:color="auto"/>
            </w:tcBorders>
            <w:shd w:val="clear" w:color="auto" w:fill="DCE2EF"/>
          </w:tcPr>
          <w:p>
            <w:pPr>
              <w:spacing w:after="0"/>
              <w:rPr>
                <w:sz w:val="22"/>
                <w:szCs w:val="22"/>
                <w:color w:val="auto"/>
              </w:rPr>
            </w:pPr>
          </w:p>
        </w:tc>
        <w:tc>
          <w:tcPr>
            <w:tcW w:w="1160" w:type="dxa"/>
            <w:vAlign w:val="bottom"/>
            <w:tcBorders>
              <w:bottom w:val="single" w:sz="8" w:color="auto"/>
            </w:tcBorders>
            <w:shd w:val="clear" w:color="auto" w:fill="DCE2EF"/>
          </w:tcPr>
          <w:p>
            <w:pPr>
              <w:jc w:val="right"/>
              <w:ind w:right="8"/>
              <w:spacing w:after="0"/>
              <w:rPr>
                <w:sz w:val="20"/>
                <w:szCs w:val="20"/>
                <w:color w:val="auto"/>
              </w:rPr>
            </w:pPr>
            <w:r>
              <w:rPr>
                <w:rFonts w:ascii="Arial" w:cs="Arial" w:eastAsia="Arial" w:hAnsi="Arial"/>
                <w:sz w:val="14"/>
                <w:szCs w:val="14"/>
                <w:color w:val="auto"/>
              </w:rPr>
              <w:t>(187.7)</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4"/>
                <w:szCs w:val="14"/>
                <w:color w:val="auto"/>
              </w:rPr>
              <w:t>(8.7)</w:t>
            </w:r>
          </w:p>
        </w:tc>
      </w:tr>
      <w:tr>
        <w:trPr>
          <w:trHeight w:val="24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Effect of exchange rate changes on cash and cash equivalents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DCE2E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w:t>
            </w:r>
          </w:p>
        </w:tc>
      </w:tr>
      <w:tr>
        <w:trPr>
          <w:trHeight w:val="256"/>
        </w:trPr>
        <w:tc>
          <w:tcPr>
            <w:tcW w:w="8340" w:type="dxa"/>
            <w:vAlign w:val="bottom"/>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Net decrease in cash and cash equivalents</w:t>
            </w:r>
          </w:p>
        </w:tc>
        <w:tc>
          <w:tcPr>
            <w:tcW w:w="340" w:type="dxa"/>
            <w:vAlign w:val="bottom"/>
            <w:shd w:val="clear" w:color="auto" w:fill="DCE2EF"/>
          </w:tcPr>
          <w:p>
            <w:pPr>
              <w:spacing w:after="0"/>
              <w:rPr>
                <w:sz w:val="22"/>
                <w:szCs w:val="22"/>
                <w:color w:val="auto"/>
              </w:rPr>
            </w:pPr>
          </w:p>
        </w:tc>
        <w:tc>
          <w:tcPr>
            <w:tcW w:w="1160" w:type="dxa"/>
            <w:vAlign w:val="bottom"/>
            <w:shd w:val="clear" w:color="auto" w:fill="DCE2EF"/>
          </w:tcPr>
          <w:p>
            <w:pPr>
              <w:jc w:val="right"/>
              <w:ind w:right="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4"/>
                <w:szCs w:val="14"/>
                <w:color w:val="auto"/>
              </w:rPr>
              <w:t>(5.8)</w:t>
            </w:r>
          </w:p>
        </w:tc>
      </w:tr>
      <w:tr>
        <w:trPr>
          <w:trHeight w:val="264"/>
        </w:trPr>
        <w:tc>
          <w:tcPr>
            <w:tcW w:w="8340" w:type="dxa"/>
            <w:vAlign w:val="bottom"/>
            <w:tcBorders>
              <w:bottom w:val="single" w:sz="8" w:color="DCE2EF"/>
            </w:tcBorders>
            <w:gridSpan w:val="3"/>
          </w:tcPr>
          <w:p>
            <w:pPr>
              <w:ind w:left="40"/>
              <w:spacing w:after="0"/>
              <w:rPr>
                <w:sz w:val="20"/>
                <w:szCs w:val="20"/>
                <w:color w:val="auto"/>
              </w:rPr>
            </w:pPr>
            <w:r>
              <w:rPr>
                <w:rFonts w:ascii="Arial" w:cs="Arial" w:eastAsia="Arial" w:hAnsi="Arial"/>
                <w:sz w:val="14"/>
                <w:szCs w:val="14"/>
                <w:b w:val="1"/>
                <w:bCs w:val="1"/>
                <w:color w:val="auto"/>
              </w:rPr>
              <w:t>Cash and cash equivalents at beginning of year</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62.8</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53.5</w:t>
            </w:r>
          </w:p>
        </w:tc>
      </w:tr>
      <w:tr>
        <w:trPr>
          <w:trHeight w:val="243"/>
        </w:trPr>
        <w:tc>
          <w:tcPr>
            <w:tcW w:w="834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4"/>
                <w:szCs w:val="14"/>
                <w:b w:val="1"/>
                <w:bCs w:val="1"/>
                <w:color w:val="auto"/>
              </w:rPr>
              <w:t>Cash and cash equivalents at end of period</w:t>
            </w:r>
          </w:p>
        </w:tc>
        <w:tc>
          <w:tcPr>
            <w:tcW w:w="340" w:type="dxa"/>
            <w:vAlign w:val="bottom"/>
            <w:tcBorders>
              <w:bottom w:val="single" w:sz="8" w:color="auto"/>
            </w:tcBorders>
            <w:shd w:val="clear" w:color="auto" w:fill="DCE2EF"/>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DCE2EF"/>
          </w:tcPr>
          <w:p>
            <w:pPr>
              <w:jc w:val="right"/>
              <w:ind w:right="48"/>
              <w:spacing w:after="0"/>
              <w:rPr>
                <w:sz w:val="20"/>
                <w:szCs w:val="20"/>
                <w:color w:val="auto"/>
              </w:rPr>
            </w:pPr>
            <w:r>
              <w:rPr>
                <w:rFonts w:ascii="Arial" w:cs="Arial" w:eastAsia="Arial" w:hAnsi="Arial"/>
                <w:sz w:val="14"/>
                <w:szCs w:val="14"/>
                <w:color w:val="auto"/>
              </w:rPr>
              <w:t>46.0</w:t>
            </w:r>
          </w:p>
        </w:tc>
        <w:tc>
          <w:tcPr>
            <w:tcW w:w="120" w:type="dxa"/>
            <w:vAlign w:val="bottom"/>
            <w:tcBorders>
              <w:bottom w:val="single" w:sz="8" w:color="DCE2EF"/>
            </w:tcBorders>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DCE2EF"/>
          </w:tcPr>
          <w:p>
            <w:pPr>
              <w:jc w:val="right"/>
              <w:ind w:right="28"/>
              <w:spacing w:after="0"/>
              <w:rPr>
                <w:sz w:val="20"/>
                <w:szCs w:val="20"/>
                <w:color w:val="auto"/>
              </w:rPr>
            </w:pPr>
            <w:r>
              <w:rPr>
                <w:rFonts w:ascii="Arial" w:cs="Arial" w:eastAsia="Arial" w:hAnsi="Arial"/>
                <w:sz w:val="14"/>
                <w:szCs w:val="14"/>
                <w:color w:val="auto"/>
              </w:rPr>
              <w:t>47.7</w:t>
            </w: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unaudited consolidated financial statements.</w:t>
      </w:r>
    </w:p>
    <w:p>
      <w:pPr>
        <w:sectPr>
          <w:pgSz w:w="11900" w:h="16876" w:orient="portrait"/>
          <w:cols w:equalWidth="0" w:num="1">
            <w:col w:w="11420"/>
          </w:cols>
          <w:pgMar w:left="240" w:top="364" w:right="239" w:bottom="0" w:gutter="0" w:footer="0" w:header="0"/>
        </w:sect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76" w:orient="portrait"/>
          <w:cols w:equalWidth="0" w:num="1">
            <w:col w:w="11420"/>
          </w:cols>
          <w:pgMar w:left="240" w:top="364" w:right="239" w:bottom="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0046AD"/>
        </w:rPr>
        <w:t>ABM INDUSTRIES INCORPORATED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NOTES TO CONSOLIDATED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(UNAUDITED)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 THE COMPANY AND NATURE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106045</wp:posOffset>
            </wp:positionV>
            <wp:extent cx="72377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ABM Industries Incorporated, which operates through its subsidiaries (collectively referred to as “ABM,” “we,” “us,” “our,” or the “Company”), is a leading provider of integrated facility services with a mission to </w:t>
      </w:r>
      <w:r>
        <w:rPr>
          <w:rFonts w:ascii="Arial" w:cs="Arial" w:eastAsia="Arial" w:hAnsi="Arial"/>
          <w:sz w:val="18"/>
          <w:szCs w:val="18"/>
          <w:b w:val="1"/>
          <w:bCs w:val="1"/>
          <w:color w:val="006EBF"/>
        </w:rPr>
        <w:t>make a difference, every person, every day</w:t>
      </w:r>
      <w:r>
        <w:rPr>
          <w:rFonts w:ascii="Arial" w:cs="Arial" w:eastAsia="Arial" w:hAnsi="Arial"/>
          <w:sz w:val="18"/>
          <w:szCs w:val="18"/>
          <w:color w:val="auto"/>
        </w:rPr>
        <w:t>. We are organized into five industry groups and one Technical Solutions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94615</wp:posOffset>
            </wp:positionV>
            <wp:extent cx="5814695" cy="7975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814695" cy="797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Through these groups, we offer janitorial, facilities engineering, parking, and specialized mechanical and electrical technical solutions, on a standalone basis or in combination with other services.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2. BASIS OF PRESENTATION AND SIGNIFICANT ACCOUNTING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Basis of Presentation</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(i) United States generally accepted accounting principles (“U.S. GAAP”) for interim financial information and (ii) the instructions to Form 10-Q and Article 10 of Regulation S-X. In the opinion of our management, our unaudited consolidated financial statements and accompanying notes (the “Financial Statements”) include all normal recurring adjustments that are necessary for the fair statement of the interim periods presented. Interim results of operations are not necessarily indicative of results for the full year. The Financial Statements should be read in conjunction with our audited consolidated financial statements (and notes thereto) in our Annual Report on Form 10-K for the fiscal year ended October 31, 2017. Unless otherwise indicated, all references to years are to our fiscal year, which ends on October 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GCA Services Group</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1, 2017 (the “Acquisition Date”), we completed the acquisition of GCA Services Group (“GCA”). Accordingly, our consolidated statements of comprehensive income (loss) and statements of cash flows include GCA’s results of operations in the three and nine months ended July 31, 2018, but exclude GCA’s results of operations in the three and nine months ended July 31, 2017, as that was prior to the Acquisition Date. See Note 3, “Acquisitions,” for further information on the acquisition of GCA.</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Government Services</w:t>
      </w:r>
    </w:p>
    <w:p>
      <w:pPr>
        <w:spacing w:after="0" w:line="193"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color w:val="auto"/>
        </w:rPr>
        <w:t>On May 31, 2017, we sold our Government Services business for $35.5 million and recorded a pre-tax gain of $1.1 million during the third quarter of 2017 that was subsequently adjusted to $1.2 million due to a working capital settlement. The reported results for this business are through the date of sale. Future results could include run-off costs associated with this former business.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Discontinued Operations</w:t>
      </w:r>
    </w:p>
    <w:p>
      <w:pPr>
        <w:spacing w:after="0" w:line="139"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Following the sale of our Security business in 2015, we record all costs associated with this former business in discontinued operations. Such costs generally relate to litigation we retained and insurance reserves.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0046AD"/>
        </w:rPr>
        <w:t>Prior Year Reclassifications</w:t>
      </w:r>
    </w:p>
    <w:p>
      <w:pPr>
        <w:spacing w:after="0" w:line="13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November 1, 2017, we made changes to our operating structure as a result of the GCA acquisition. To reflect these changes, certain prior year amounts, including operating segment data, have been reclassified to conform with our fiscal 2018 presentation. These changes had no impact on our previously reported consolidated balance sheets, statements of comprehensive income (loss), or statements of cash flows. See Note 12, “Segment Information,” for further details.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Rounding</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We round amounts in the Financial Statements to millions and calculate all percentages and per-share data from the underlying whole-dollar amounts. Thus, certain amounts may not foot, crossfoot, or recalculate based on reported numbers due to rounding.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Management Reimbursement Revenue by Segment</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operate certain parking facilities under managed location arrangements. Under these arrangements, we manage the parking facility for a management fee and pass through the revenue and expenses associated with the facility to the owner. These revenues and expenses are reported in equal amounts as costs reimbursed from our managed locations: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160" w:type="dxa"/>
            <w:vAlign w:val="bottom"/>
            <w:gridSpan w:val="5"/>
          </w:tcPr>
          <w:p>
            <w:pPr>
              <w:ind w:left="160"/>
              <w:spacing w:after="0"/>
              <w:rPr>
                <w:sz w:val="20"/>
                <w:szCs w:val="20"/>
                <w:color w:val="auto"/>
              </w:rPr>
            </w:pPr>
            <w:r>
              <w:rPr>
                <w:rFonts w:ascii="Arial" w:cs="Arial" w:eastAsia="Arial" w:hAnsi="Arial"/>
                <w:sz w:val="18"/>
                <w:szCs w:val="18"/>
                <w:b w:val="1"/>
                <w:bCs w:val="1"/>
                <w:color w:val="auto"/>
              </w:rPr>
              <w:t>Three Months Ended July 31,</w:t>
            </w:r>
          </w:p>
        </w:tc>
        <w:tc>
          <w:tcPr>
            <w:tcW w:w="300" w:type="dxa"/>
            <w:vAlign w:val="bottom"/>
          </w:tcPr>
          <w:p>
            <w:pPr>
              <w:spacing w:after="0"/>
              <w:rPr>
                <w:sz w:val="21"/>
                <w:szCs w:val="21"/>
                <w:color w:val="auto"/>
              </w:rPr>
            </w:pPr>
          </w:p>
        </w:tc>
        <w:tc>
          <w:tcPr>
            <w:tcW w:w="30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 July 31,</w:t>
            </w:r>
          </w:p>
        </w:tc>
      </w:tr>
      <w:tr>
        <w:trPr>
          <w:trHeight w:val="230"/>
        </w:trPr>
        <w:tc>
          <w:tcPr>
            <w:tcW w:w="46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9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50"/>
        </w:trPr>
        <w:tc>
          <w:tcPr>
            <w:tcW w:w="46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Business &amp; Industry</w:t>
            </w:r>
          </w:p>
        </w:tc>
        <w:tc>
          <w:tcPr>
            <w:tcW w:w="28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59.3</w:t>
            </w:r>
          </w:p>
        </w:tc>
        <w:tc>
          <w:tcPr>
            <w:tcW w:w="12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191.4</w:t>
            </w:r>
          </w:p>
        </w:tc>
        <w:tc>
          <w:tcPr>
            <w:tcW w:w="120" w:type="dxa"/>
            <w:vAlign w:val="bottom"/>
            <w:shd w:val="clear" w:color="auto" w:fill="DCE2EF"/>
          </w:tcPr>
          <w:p>
            <w:pPr>
              <w:spacing w:after="0"/>
              <w:rPr>
                <w:sz w:val="21"/>
                <w:szCs w:val="21"/>
                <w:color w:val="auto"/>
              </w:rPr>
            </w:pPr>
          </w:p>
        </w:tc>
        <w:tc>
          <w:tcPr>
            <w:tcW w:w="360" w:type="dxa"/>
            <w:vAlign w:val="bottom"/>
            <w:shd w:val="clear" w:color="auto" w:fill="DCE2E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175.2</w:t>
            </w:r>
          </w:p>
        </w:tc>
      </w:tr>
      <w:tr>
        <w:trPr>
          <w:trHeight w:val="263"/>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Aviation</w:t>
            </w:r>
          </w:p>
        </w:tc>
        <w:tc>
          <w:tcPr>
            <w:tcW w:w="280" w:type="dxa"/>
            <w:vAlign w:val="bottom"/>
          </w:tcPr>
          <w:p>
            <w:pPr>
              <w:spacing w:after="0"/>
              <w:rPr>
                <w:sz w:val="22"/>
                <w:szCs w:val="22"/>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54.7</w:t>
            </w:r>
          </w:p>
        </w:tc>
      </w:tr>
      <w:tr>
        <w:trPr>
          <w:trHeight w:val="270"/>
        </w:trPr>
        <w:tc>
          <w:tcPr>
            <w:tcW w:w="46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Healthcare</w:t>
            </w:r>
          </w:p>
        </w:tc>
        <w:tc>
          <w:tcPr>
            <w:tcW w:w="280" w:type="dxa"/>
            <w:vAlign w:val="bottom"/>
            <w:tcBorders>
              <w:bottom w:val="single" w:sz="8" w:color="auto"/>
            </w:tcBorders>
            <w:shd w:val="clear" w:color="auto" w:fill="DCE2EF"/>
          </w:tcPr>
          <w:p>
            <w:pPr>
              <w:spacing w:after="0"/>
              <w:rPr>
                <w:sz w:val="23"/>
                <w:szCs w:val="23"/>
                <w:color w:val="auto"/>
              </w:rPr>
            </w:pPr>
          </w:p>
        </w:tc>
        <w:tc>
          <w:tcPr>
            <w:tcW w:w="134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4.6</w:t>
            </w:r>
          </w:p>
        </w:tc>
        <w:tc>
          <w:tcPr>
            <w:tcW w:w="12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130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DCE2EF"/>
          </w:tcPr>
          <w:p>
            <w:pPr>
              <w:spacing w:after="0"/>
              <w:rPr>
                <w:sz w:val="23"/>
                <w:szCs w:val="23"/>
                <w:color w:val="auto"/>
              </w:rPr>
            </w:pPr>
          </w:p>
        </w:tc>
        <w:tc>
          <w:tcPr>
            <w:tcW w:w="360" w:type="dxa"/>
            <w:vAlign w:val="bottom"/>
            <w:tcBorders>
              <w:bottom w:val="single" w:sz="8" w:color="auto"/>
            </w:tcBorders>
            <w:shd w:val="clear" w:color="auto" w:fill="DCE2EF"/>
          </w:tcPr>
          <w:p>
            <w:pPr>
              <w:spacing w:after="0"/>
              <w:rPr>
                <w:sz w:val="23"/>
                <w:szCs w:val="23"/>
                <w:color w:val="auto"/>
              </w:rPr>
            </w:pPr>
          </w:p>
        </w:tc>
        <w:tc>
          <w:tcPr>
            <w:tcW w:w="1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14.0</w:t>
            </w:r>
          </w:p>
        </w:tc>
      </w:tr>
      <w:tr>
        <w:trPr>
          <w:trHeight w:val="257"/>
        </w:trPr>
        <w:tc>
          <w:tcPr>
            <w:tcW w:w="466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93.5</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85.8</w:t>
            </w:r>
          </w:p>
        </w:tc>
        <w:tc>
          <w:tcPr>
            <w:tcW w:w="12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282.9</w:t>
            </w:r>
          </w:p>
        </w:tc>
        <w:tc>
          <w:tcPr>
            <w:tcW w:w="12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243.8</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Impact of New Revenue Recognition Standard</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 xml:space="preserve">In May 2014, the Financial Accounting Standards Board (“FASB”) issued Accounting Standards Update (“ASU”) 2014-09, establishing Accounting Standards Codification (“ASC”) Topic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The FASB subsequently issued several clarifying ASUs, collectively referred to as “ASC 606,” that introduce a new principles-based framework for revenue recognition and disclosure. The core requirement of the standard is when an entity transfers goods or services to customers it will recognize revenue in an amount that reflects the consideration the entity expects to be entitled to for those goods or services. ASC 606 allows either a full retrospective adoption to all periods presented or a modified retrospective adoption approach with a cumulative-effect adjustment to retained earnings as of the beginning of the year of adoption.</w:t>
      </w:r>
    </w:p>
    <w:p>
      <w:pPr>
        <w:spacing w:after="0" w:line="15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To assess the impact of this standard, we have established a cross-functional implementation team consisting of representatives from all of our operating segments. The implementation team is completing the analysis of our contract portfolio to identify potential differences that would result from applying the requirements of this new standard. In addition, we continue to identify and implement the appropriate changes to our business processes and controls to support revenue recognition and the expanded disclosures required under this new standard. We expect adoption of this standard to have an impact on the timing of revenue recognition related to certain lines of business and the financial statement line item reporting of certain items. Additionally, the accounting for certain direct and incremental contract costs is significantly different from our current capitalization policy; however, the full impact of this difference is currently unknown. We are continuing to evaluate the impact of this standard and an estimate of the impact to our consolidated financial statements cannot be made at this time. We expect to adopt ASC 606 on November 1, 2018 using the modified retrospective approach, under which we will present the cumulative effect of adoption as an adjustment to the opening balance of retained earnings at the adoption date.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No other recently issued standards are expected to have a significant impact on our fiscal 2019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0046AD"/>
        </w:rPr>
        <w:t>3.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106045</wp:posOffset>
            </wp:positionV>
            <wp:extent cx="72377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Acquisition of GCA during 2017</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September 1, 2017, we acquired all of the outstanding stock of GCA, a provider of integrated facility services to educational institutions and commercial facilities, for a purchase price of approximately $1.3 billion. As described in Note 12, “Segment Information,” we integrated GCA’s operations into our industry group model effective November 1, 2017. As a result of the acquisition, we are now a leading facilities services provider in the education market.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Consideration Transferred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 except per share data)</w:t>
            </w:r>
          </w:p>
        </w:tc>
        <w:tc>
          <w:tcPr>
            <w:tcW w:w="7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1"/>
        </w:trPr>
        <w:tc>
          <w:tcPr>
            <w:tcW w:w="40" w:type="dxa"/>
            <w:vAlign w:val="bottom"/>
          </w:tcPr>
          <w:p>
            <w:pPr>
              <w:spacing w:after="0" w:line="20" w:lineRule="exact"/>
              <w:rPr>
                <w:sz w:val="1"/>
                <w:szCs w:val="1"/>
                <w:color w:val="auto"/>
              </w:rPr>
            </w:pPr>
          </w:p>
        </w:tc>
        <w:tc>
          <w:tcPr>
            <w:tcW w:w="202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70"/>
        </w:trPr>
        <w:tc>
          <w:tcPr>
            <w:tcW w:w="9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Shares of ABM common stock, net of shares withheld for taxes</w:t>
            </w:r>
          </w:p>
        </w:tc>
        <w:tc>
          <w:tcPr>
            <w:tcW w:w="740" w:type="dxa"/>
            <w:vAlign w:val="bottom"/>
            <w:shd w:val="clear" w:color="auto" w:fill="DCE2EF"/>
          </w:tcPr>
          <w:p>
            <w:pPr>
              <w:spacing w:after="0"/>
              <w:rPr>
                <w:sz w:val="23"/>
                <w:szCs w:val="23"/>
                <w:color w:val="auto"/>
              </w:rPr>
            </w:pPr>
          </w:p>
        </w:tc>
        <w:tc>
          <w:tcPr>
            <w:tcW w:w="1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9.4</w:t>
            </w:r>
          </w:p>
        </w:tc>
      </w:tr>
      <w:tr>
        <w:trPr>
          <w:trHeight w:val="264"/>
        </w:trPr>
        <w:tc>
          <w:tcPr>
            <w:tcW w:w="936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ABM common stock closing market price at acquisition date</w:t>
            </w:r>
          </w:p>
        </w:tc>
        <w:tc>
          <w:tcPr>
            <w:tcW w:w="7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44.63</w:t>
            </w:r>
          </w:p>
        </w:tc>
      </w:tr>
      <w:tr>
        <w:trPr>
          <w:trHeight w:val="257"/>
        </w:trPr>
        <w:tc>
          <w:tcPr>
            <w:tcW w:w="93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Fair value of ABM common stock at closing</w:t>
            </w:r>
          </w:p>
        </w:tc>
        <w:tc>
          <w:tcPr>
            <w:tcW w:w="740" w:type="dxa"/>
            <w:vAlign w:val="bottom"/>
            <w:shd w:val="clear" w:color="auto" w:fill="DCE2EF"/>
          </w:tcPr>
          <w:p>
            <w:pPr>
              <w:spacing w:after="0"/>
              <w:rPr>
                <w:sz w:val="22"/>
                <w:szCs w:val="22"/>
                <w:color w:val="auto"/>
              </w:rPr>
            </w:pPr>
          </w:p>
        </w:tc>
        <w:tc>
          <w:tcPr>
            <w:tcW w:w="1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421.3</w:t>
            </w:r>
          </w:p>
        </w:tc>
      </w:tr>
      <w:tr>
        <w:trPr>
          <w:trHeight w:val="270"/>
        </w:trPr>
        <w:tc>
          <w:tcPr>
            <w:tcW w:w="936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Cash consideration</w:t>
            </w:r>
            <w:r>
              <w:rPr>
                <w:rFonts w:ascii="Arial" w:cs="Arial" w:eastAsia="Arial" w:hAnsi="Arial"/>
                <w:sz w:val="21"/>
                <w:szCs w:val="21"/>
                <w:color w:val="auto"/>
                <w:vertAlign w:val="superscript"/>
              </w:rPr>
              <w:t>(1)</w:t>
            </w:r>
          </w:p>
        </w:tc>
        <w:tc>
          <w:tcPr>
            <w:tcW w:w="74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837.5</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932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Total consideration transferred</w:t>
            </w:r>
          </w:p>
        </w:tc>
        <w:tc>
          <w:tcPr>
            <w:tcW w:w="740" w:type="dxa"/>
            <w:vAlign w:val="bottom"/>
            <w:tcBorders>
              <w:bottom w:val="single" w:sz="8" w:color="auto"/>
            </w:tcBorders>
            <w:shd w:val="clear" w:color="auto" w:fill="DCE2EF"/>
          </w:tcPr>
          <w:p>
            <w:pPr>
              <w:jc w:val="right"/>
              <w:ind w:right="53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1,258.8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5939790</wp:posOffset>
            </wp:positionH>
            <wp:positionV relativeFrom="paragraph">
              <wp:posOffset>8890</wp:posOffset>
            </wp:positionV>
            <wp:extent cx="13119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ind w:left="180" w:hanging="172"/>
        <w:spacing w:after="0" w:line="222" w:lineRule="auto"/>
        <w:tabs>
          <w:tab w:leader="none" w:pos="180" w:val="left"/>
        </w:tabs>
        <w:numPr>
          <w:ilvl w:val="0"/>
          <w:numId w:val="5"/>
        </w:numPr>
        <w:rPr>
          <w:rFonts w:ascii="Arial" w:cs="Arial" w:eastAsia="Arial" w:hAnsi="Arial"/>
          <w:sz w:val="21"/>
          <w:szCs w:val="21"/>
          <w:color w:val="auto"/>
          <w:vertAlign w:val="superscript"/>
        </w:rPr>
      </w:pPr>
      <w:r>
        <w:rPr>
          <w:rFonts w:ascii="Arial" w:cs="Arial" w:eastAsia="Arial" w:hAnsi="Arial"/>
          <w:sz w:val="15"/>
          <w:szCs w:val="15"/>
          <w:color w:val="auto"/>
        </w:rPr>
        <w:t>Revised during the second quarter of 2018 to reflect a post-closing purchase price adjustment related to a net working capital settlement.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Preliminary Purchase Price Allocation</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preliminary purchase price allocation is based on information that is currently available, and we are continuing to evaluate the underlying inputs and assumptions used in our valuations. Accordingly, the purchase price allocation is subject to, among other items: further analysis of tax accounts, including deferred tax liabilities, and final valuation of identifiable intangible assets. During the nine months ended July 31, 2018, we refined our valuation of customer relationships and certain other estimates.</w:t>
      </w:r>
    </w:p>
    <w:p>
      <w:pPr>
        <w:spacing w:after="0" w:line="20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 following table presents our preliminary estimates of fair values of the assets we acquired and the liabilities we assumed on the date of acquisition as previously reported at year-end 2017 and at the end of the third quarter of 2018.</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 reported at</w:t>
            </w:r>
          </w:p>
        </w:tc>
        <w:tc>
          <w:tcPr>
            <w:tcW w:w="2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tcPr>
          <w:p>
            <w:pPr>
              <w:jc w:val="right"/>
              <w:ind w:right="279"/>
              <w:spacing w:after="0"/>
              <w:rPr>
                <w:sz w:val="20"/>
                <w:szCs w:val="20"/>
                <w:color w:val="auto"/>
              </w:rPr>
            </w:pPr>
            <w:r>
              <w:rPr>
                <w:rFonts w:ascii="Arial" w:cs="Arial" w:eastAsia="Arial" w:hAnsi="Arial"/>
                <w:sz w:val="16"/>
                <w:szCs w:val="16"/>
                <w:b w:val="1"/>
                <w:bCs w:val="1"/>
                <w:color w:val="auto"/>
              </w:rPr>
              <w:t>As reported at</w:t>
            </w:r>
          </w:p>
        </w:tc>
      </w:tr>
      <w:tr>
        <w:trPr>
          <w:trHeight w:val="249"/>
        </w:trPr>
        <w:tc>
          <w:tcPr>
            <w:tcW w:w="572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21"/>
                <w:szCs w:val="21"/>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October 31, 2017</w:t>
            </w:r>
          </w:p>
        </w:tc>
        <w:tc>
          <w:tcPr>
            <w:tcW w:w="260" w:type="dxa"/>
            <w:vAlign w:val="bottom"/>
          </w:tcPr>
          <w:p>
            <w:pPr>
              <w:spacing w:after="0"/>
              <w:rPr>
                <w:sz w:val="21"/>
                <w:szCs w:val="21"/>
                <w:color w:val="auto"/>
              </w:rPr>
            </w:pPr>
          </w:p>
        </w:tc>
        <w:tc>
          <w:tcPr>
            <w:tcW w:w="1680" w:type="dxa"/>
            <w:vAlign w:val="bottom"/>
            <w:gridSpan w:val="2"/>
          </w:tcPr>
          <w:p>
            <w:pPr>
              <w:ind w:left="160"/>
              <w:spacing w:after="0"/>
              <w:rPr>
                <w:sz w:val="20"/>
                <w:szCs w:val="20"/>
                <w:color w:val="auto"/>
              </w:rPr>
            </w:pPr>
            <w:r>
              <w:rPr>
                <w:rFonts w:ascii="Arial" w:cs="Arial" w:eastAsia="Arial" w:hAnsi="Arial"/>
                <w:sz w:val="16"/>
                <w:szCs w:val="16"/>
                <w:b w:val="1"/>
                <w:bCs w:val="1"/>
                <w:color w:val="auto"/>
              </w:rPr>
              <w:t>Adjustments</w:t>
            </w:r>
          </w:p>
        </w:tc>
        <w:tc>
          <w:tcPr>
            <w:tcW w:w="220" w:type="dxa"/>
            <w:vAlign w:val="bottom"/>
          </w:tcPr>
          <w:p>
            <w:pPr>
              <w:spacing w:after="0"/>
              <w:rPr>
                <w:sz w:val="21"/>
                <w:szCs w:val="21"/>
                <w:color w:val="auto"/>
              </w:rPr>
            </w:pPr>
          </w:p>
        </w:tc>
        <w:tc>
          <w:tcPr>
            <w:tcW w:w="1600" w:type="dxa"/>
            <w:vAlign w:val="bottom"/>
          </w:tcPr>
          <w:p>
            <w:pPr>
              <w:jc w:val="right"/>
              <w:ind w:right="339"/>
              <w:spacing w:after="0"/>
              <w:rPr>
                <w:sz w:val="20"/>
                <w:szCs w:val="20"/>
                <w:color w:val="auto"/>
              </w:rPr>
            </w:pPr>
            <w:r>
              <w:rPr>
                <w:rFonts w:ascii="Arial" w:cs="Arial" w:eastAsia="Arial" w:hAnsi="Arial"/>
                <w:sz w:val="16"/>
                <w:szCs w:val="16"/>
                <w:b w:val="1"/>
                <w:bCs w:val="1"/>
                <w:color w:val="auto"/>
              </w:rPr>
              <w:t>July 31, 2018</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00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5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0.2</w:t>
            </w:r>
          </w:p>
        </w:tc>
      </w:tr>
      <w:tr>
        <w:trPr>
          <w:trHeight w:val="27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Trade accounts receivable</w:t>
            </w:r>
            <w:r>
              <w:rPr>
                <w:rFonts w:ascii="Arial" w:cs="Arial" w:eastAsia="Arial" w:hAnsi="Arial"/>
                <w:sz w:val="21"/>
                <w:szCs w:val="21"/>
                <w:color w:val="auto"/>
                <w:vertAlign w:val="superscript"/>
              </w:rPr>
              <w:t>(1)</w:t>
            </w:r>
          </w:p>
        </w:tc>
        <w:tc>
          <w:tcPr>
            <w:tcW w:w="18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117.7</w:t>
            </w:r>
          </w:p>
        </w:tc>
      </w:tr>
      <w:tr>
        <w:trPr>
          <w:trHeight w:val="27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10.3</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6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10.1</w:t>
            </w:r>
          </w:p>
        </w:tc>
      </w:tr>
      <w:tr>
        <w:trPr>
          <w:trHeight w:val="26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Property, plant and equipment</w:t>
            </w:r>
          </w:p>
        </w:tc>
        <w:tc>
          <w:tcPr>
            <w:tcW w:w="18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41.4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41.5</w:t>
            </w:r>
          </w:p>
        </w:tc>
      </w:tr>
      <w:tr>
        <w:trPr>
          <w:trHeight w:val="28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Customer relationships</w:t>
            </w:r>
            <w:r>
              <w:rPr>
                <w:rFonts w:ascii="Arial" w:cs="Arial" w:eastAsia="Arial" w:hAnsi="Arial"/>
                <w:sz w:val="21"/>
                <w:szCs w:val="21"/>
                <w:color w:val="auto"/>
                <w:vertAlign w:val="superscript"/>
              </w:rPr>
              <w:t>(2)</w:t>
            </w:r>
          </w:p>
        </w:tc>
        <w:tc>
          <w:tcPr>
            <w:tcW w:w="180" w:type="dxa"/>
            <w:vAlign w:val="bottom"/>
            <w:shd w:val="clear" w:color="auto" w:fill="DCE2EF"/>
          </w:tcPr>
          <w:p>
            <w:pPr>
              <w:spacing w:after="0"/>
              <w:rPr>
                <w:sz w:val="24"/>
                <w:szCs w:val="24"/>
                <w:color w:val="auto"/>
              </w:rPr>
            </w:pPr>
          </w:p>
        </w:tc>
        <w:tc>
          <w:tcPr>
            <w:tcW w:w="16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340.0</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6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330.0</w:t>
            </w:r>
          </w:p>
        </w:tc>
      </w:tr>
      <w:tr>
        <w:trPr>
          <w:trHeight w:val="27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Trade names</w:t>
            </w:r>
            <w:r>
              <w:rPr>
                <w:rFonts w:ascii="Arial" w:cs="Arial" w:eastAsia="Arial" w:hAnsi="Arial"/>
                <w:sz w:val="21"/>
                <w:szCs w:val="21"/>
                <w:color w:val="auto"/>
                <w:vertAlign w:val="superscript"/>
              </w:rPr>
              <w:t>(2)</w:t>
            </w:r>
          </w:p>
        </w:tc>
        <w:tc>
          <w:tcPr>
            <w:tcW w:w="180" w:type="dxa"/>
            <w:vAlign w:val="bottom"/>
          </w:tcPr>
          <w:p>
            <w:pPr>
              <w:spacing w:after="0"/>
              <w:rPr>
                <w:sz w:val="23"/>
                <w:szCs w:val="23"/>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9.0</w:t>
            </w:r>
          </w:p>
        </w:tc>
      </w:tr>
      <w:tr>
        <w:trPr>
          <w:trHeight w:val="27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Goodwill</w:t>
            </w:r>
            <w:r>
              <w:rPr>
                <w:rFonts w:ascii="Arial" w:cs="Arial" w:eastAsia="Arial" w:hAnsi="Arial"/>
                <w:sz w:val="21"/>
                <w:szCs w:val="21"/>
                <w:color w:val="auto"/>
                <w:vertAlign w:val="superscript"/>
              </w:rPr>
              <w:t>(3)</w:t>
            </w:r>
          </w:p>
        </w:tc>
        <w:tc>
          <w:tcPr>
            <w:tcW w:w="18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933.9</w:t>
            </w:r>
          </w:p>
        </w:tc>
        <w:tc>
          <w:tcPr>
            <w:tcW w:w="10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15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DCE2EF"/>
          </w:tcPr>
          <w:p>
            <w:pPr>
              <w:spacing w:after="0"/>
              <w:rPr>
                <w:sz w:val="23"/>
                <w:szCs w:val="23"/>
                <w:color w:val="auto"/>
              </w:rPr>
            </w:pPr>
          </w:p>
        </w:tc>
        <w:tc>
          <w:tcPr>
            <w:tcW w:w="220" w:type="dxa"/>
            <w:vAlign w:val="bottom"/>
            <w:shd w:val="clear" w:color="auto" w:fill="DCE2EF"/>
          </w:tcPr>
          <w:p>
            <w:pPr>
              <w:spacing w:after="0"/>
              <w:rPr>
                <w:sz w:val="23"/>
                <w:szCs w:val="23"/>
                <w:color w:val="auto"/>
              </w:rPr>
            </w:pPr>
          </w:p>
        </w:tc>
        <w:tc>
          <w:tcPr>
            <w:tcW w:w="160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934.2</w:t>
            </w:r>
          </w:p>
        </w:tc>
      </w:tr>
      <w:tr>
        <w:trPr>
          <w:trHeight w:val="26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2"/>
                <w:szCs w:val="22"/>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ind w:right="39"/>
              <w:spacing w:after="0"/>
              <w:rPr>
                <w:sz w:val="20"/>
                <w:szCs w:val="20"/>
                <w:color w:val="auto"/>
              </w:rPr>
            </w:pPr>
            <w:r>
              <w:rPr>
                <w:rFonts w:ascii="Arial" w:cs="Arial" w:eastAsia="Arial" w:hAnsi="Arial"/>
                <w:sz w:val="16"/>
                <w:szCs w:val="16"/>
                <w:color w:val="auto"/>
              </w:rPr>
              <w:t>4.0</w:t>
            </w:r>
          </w:p>
        </w:tc>
      </w:tr>
      <w:tr>
        <w:trPr>
          <w:trHeight w:val="28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Trade accounts payable</w:t>
            </w:r>
          </w:p>
        </w:tc>
        <w:tc>
          <w:tcPr>
            <w:tcW w:w="180" w:type="dxa"/>
            <w:vAlign w:val="bottom"/>
            <w:shd w:val="clear" w:color="auto" w:fill="DCE2EF"/>
          </w:tcPr>
          <w:p>
            <w:pPr>
              <w:spacing w:after="0"/>
              <w:rPr>
                <w:sz w:val="24"/>
                <w:szCs w:val="24"/>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(9.1)</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15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(9.6)</w:t>
            </w:r>
          </w:p>
        </w:tc>
      </w:tr>
      <w:tr>
        <w:trPr>
          <w:trHeight w:val="26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Insurance reserves</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(36.1)</w:t>
            </w:r>
          </w:p>
        </w:tc>
      </w:tr>
      <w:tr>
        <w:trPr>
          <w:trHeight w:val="28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Income taxes payable</w:t>
            </w:r>
          </w:p>
        </w:tc>
        <w:tc>
          <w:tcPr>
            <w:tcW w:w="180" w:type="dxa"/>
            <w:vAlign w:val="bottom"/>
            <w:shd w:val="clear" w:color="auto" w:fill="DCE2EF"/>
          </w:tcPr>
          <w:p>
            <w:pPr>
              <w:spacing w:after="0"/>
              <w:rPr>
                <w:sz w:val="24"/>
                <w:szCs w:val="24"/>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(16.5)</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15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(8.3)</w:t>
            </w:r>
          </w:p>
        </w:tc>
      </w:tr>
      <w:tr>
        <w:trPr>
          <w:trHeight w:val="260"/>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Accrued liabilities</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(36.5)</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(33.1)</w:t>
            </w:r>
          </w:p>
        </w:tc>
      </w:tr>
      <w:tr>
        <w:trPr>
          <w:trHeight w:val="280"/>
        </w:trPr>
        <w:tc>
          <w:tcPr>
            <w:tcW w:w="5720" w:type="dxa"/>
            <w:vAlign w:val="bottom"/>
            <w:gridSpan w:val="3"/>
            <w:shd w:val="clear" w:color="auto" w:fill="DCE2EF"/>
          </w:tcPr>
          <w:p>
            <w:pPr>
              <w:ind w:left="20"/>
              <w:spacing w:after="0"/>
              <w:rPr>
                <w:sz w:val="20"/>
                <w:szCs w:val="20"/>
                <w:color w:val="auto"/>
              </w:rPr>
            </w:pPr>
            <w:r>
              <w:rPr>
                <w:rFonts w:ascii="Arial" w:cs="Arial" w:eastAsia="Arial" w:hAnsi="Arial"/>
                <w:sz w:val="16"/>
                <w:szCs w:val="16"/>
                <w:color w:val="auto"/>
              </w:rPr>
              <w:t>Deferred income tax liability, net</w:t>
            </w:r>
          </w:p>
        </w:tc>
        <w:tc>
          <w:tcPr>
            <w:tcW w:w="180" w:type="dxa"/>
            <w:vAlign w:val="bottom"/>
            <w:shd w:val="clear" w:color="auto" w:fill="DCE2EF"/>
          </w:tcPr>
          <w:p>
            <w:pPr>
              <w:spacing w:after="0"/>
              <w:rPr>
                <w:sz w:val="24"/>
                <w:szCs w:val="24"/>
                <w:color w:val="auto"/>
              </w:rPr>
            </w:pPr>
          </w:p>
        </w:tc>
        <w:tc>
          <w:tcPr>
            <w:tcW w:w="16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(92.6)</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168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shd w:val="clear" w:color="auto" w:fill="DCE2EF"/>
          </w:tcPr>
          <w:p>
            <w:pPr>
              <w:spacing w:after="0"/>
              <w:rPr>
                <w:sz w:val="24"/>
                <w:szCs w:val="24"/>
                <w:color w:val="auto"/>
              </w:rPr>
            </w:pPr>
          </w:p>
        </w:tc>
        <w:tc>
          <w:tcPr>
            <w:tcW w:w="16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(92.6)</w:t>
            </w:r>
          </w:p>
        </w:tc>
      </w:tr>
      <w:tr>
        <w:trPr>
          <w:trHeight w:val="264"/>
        </w:trPr>
        <w:tc>
          <w:tcPr>
            <w:tcW w:w="5720" w:type="dxa"/>
            <w:vAlign w:val="bottom"/>
            <w:gridSpan w:val="3"/>
          </w:tcPr>
          <w:p>
            <w:pPr>
              <w:ind w:left="20"/>
              <w:spacing w:after="0"/>
              <w:rPr>
                <w:sz w:val="20"/>
                <w:szCs w:val="20"/>
                <w:color w:val="auto"/>
              </w:rPr>
            </w:pPr>
            <w:r>
              <w:rPr>
                <w:rFonts w:ascii="Arial" w:cs="Arial" w:eastAsia="Arial" w:hAnsi="Arial"/>
                <w:sz w:val="16"/>
                <w:szCs w:val="16"/>
                <w:color w:val="auto"/>
              </w:rPr>
              <w:t>Other liabilities</w:t>
            </w:r>
          </w:p>
        </w:tc>
        <w:tc>
          <w:tcPr>
            <w:tcW w:w="18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40"/>
        </w:trPr>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5700" w:type="dxa"/>
            <w:vAlign w:val="bottom"/>
            <w:tcBorders>
              <w:top w:val="single" w:sz="8" w:color="DCE2EF"/>
              <w:bottom w:val="single" w:sz="8" w:color="DCE2EF"/>
            </w:tcBorders>
            <w:gridSpan w:val="2"/>
            <w:shd w:val="clear" w:color="auto" w:fill="DCE2EF"/>
          </w:tcPr>
          <w:p>
            <w:pPr>
              <w:ind w:left="240"/>
              <w:spacing w:after="0"/>
              <w:rPr>
                <w:sz w:val="20"/>
                <w:szCs w:val="20"/>
                <w:color w:val="auto"/>
              </w:rPr>
            </w:pPr>
            <w:r>
              <w:rPr>
                <w:rFonts w:ascii="Arial" w:cs="Arial" w:eastAsia="Arial" w:hAnsi="Arial"/>
                <w:sz w:val="16"/>
                <w:szCs w:val="16"/>
                <w:color w:val="auto"/>
              </w:rPr>
              <w:t>Net assets acquired</w:t>
            </w: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1,261.3</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260" w:type="dxa"/>
            <w:vAlign w:val="bottom"/>
            <w:tcBorders>
              <w:top w:val="single" w:sz="8" w:color="auto"/>
              <w:bottom w:val="single" w:sz="8" w:color="auto"/>
            </w:tcBorders>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15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(2.4)</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22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1,258.8</w:t>
            </w: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180" w:hanging="172"/>
        <w:spacing w:after="0"/>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The gross amount of trade accounts receivable was $122.0 million, of which $4.3 million is currently expected to be uncollectible.</w:t>
      </w:r>
    </w:p>
    <w:p>
      <w:pPr>
        <w:spacing w:after="0" w:line="76" w:lineRule="exact"/>
        <w:rPr>
          <w:rFonts w:ascii="Arial" w:cs="Arial" w:eastAsia="Arial" w:hAnsi="Arial"/>
          <w:sz w:val="21"/>
          <w:szCs w:val="21"/>
          <w:color w:val="auto"/>
          <w:vertAlign w:val="superscript"/>
        </w:rPr>
      </w:pPr>
    </w:p>
    <w:p>
      <w:pPr>
        <w:ind w:left="180" w:hanging="172"/>
        <w:spacing w:after="0" w:line="219" w:lineRule="auto"/>
        <w:tabs>
          <w:tab w:leader="none" w:pos="180"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The amortization periods for the acquired intangible assets are 15 years for customer relationships and 2 years for trade names.</w:t>
      </w:r>
    </w:p>
    <w:p>
      <w:pPr>
        <w:spacing w:after="0" w:line="102" w:lineRule="exact"/>
        <w:rPr>
          <w:rFonts w:ascii="Arial" w:cs="Arial" w:eastAsia="Arial" w:hAnsi="Arial"/>
          <w:sz w:val="21"/>
          <w:szCs w:val="21"/>
          <w:color w:val="auto"/>
          <w:vertAlign w:val="superscript"/>
        </w:rPr>
      </w:pPr>
    </w:p>
    <w:p>
      <w:pPr>
        <w:ind w:firstLine="8"/>
        <w:spacing w:after="0" w:line="263" w:lineRule="auto"/>
        <w:tabs>
          <w:tab w:leader="none" w:pos="162"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Goodwill is largely attributable to value we expect to obtain from long-term business growth, the established workforce, and buyer-specific synergies. This goodwill is not deductible for income tax purposes.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0046AD"/>
        </w:rPr>
        <w:t>Financial Information</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For the three and nine months ended July 31, 2018, we recorded revenue related to GCA of $260.0 million and $768.0 million, respectively, and operating profit of $9.8 million and $ 22.3 million, respectively. The following table presents our unaudited pro forma results as though the GCA acquisition occurred on November 1, 2015. The pro forma results include adjustments for the estimated amortization of intangible assets, interest expense, and the income tax impact of the pro forma adjustments at the statutory rate of 41%. These pro forma results do not reflect the cost of integration activities or benefits from expected revenue enhancements and synergies. Accordingly, the pro forma information is not necessarily indicative of the results that would have been achieved if the acquisition had been effective on November 1, 2015.</w:t>
      </w:r>
    </w:p>
    <w:p>
      <w:pPr>
        <w:spacing w:after="0" w:line="14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0"/>
                <w:szCs w:val="20"/>
                <w:color w:val="auto"/>
              </w:rPr>
            </w:pPr>
          </w:p>
        </w:tc>
        <w:tc>
          <w:tcPr>
            <w:tcW w:w="2160" w:type="dxa"/>
            <w:vAlign w:val="bottom"/>
          </w:tcPr>
          <w:p>
            <w:pPr>
              <w:jc w:val="right"/>
              <w:ind w:right="270"/>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6380" w:type="dxa"/>
            <w:vAlign w:val="bottom"/>
            <w:gridSpan w:val="3"/>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21"/>
                <w:szCs w:val="21"/>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July 31, 2017</w:t>
            </w:r>
          </w:p>
        </w:tc>
        <w:tc>
          <w:tcPr>
            <w:tcW w:w="240" w:type="dxa"/>
            <w:vAlign w:val="bottom"/>
          </w:tcPr>
          <w:p>
            <w:pPr>
              <w:spacing w:after="0"/>
              <w:rPr>
                <w:sz w:val="21"/>
                <w:szCs w:val="21"/>
                <w:color w:val="auto"/>
              </w:rPr>
            </w:pPr>
          </w:p>
        </w:tc>
        <w:tc>
          <w:tcPr>
            <w:tcW w:w="2160" w:type="dxa"/>
            <w:vAlign w:val="bottom"/>
          </w:tcPr>
          <w:p>
            <w:pPr>
              <w:jc w:val="right"/>
              <w:ind w:right="570"/>
              <w:spacing w:after="0"/>
              <w:rPr>
                <w:sz w:val="20"/>
                <w:szCs w:val="20"/>
                <w:color w:val="auto"/>
              </w:rPr>
            </w:pPr>
            <w:r>
              <w:rPr>
                <w:rFonts w:ascii="Arial" w:cs="Arial" w:eastAsia="Arial" w:hAnsi="Arial"/>
                <w:sz w:val="18"/>
                <w:szCs w:val="18"/>
                <w:b w:val="1"/>
                <w:bCs w:val="1"/>
                <w:color w:val="auto"/>
              </w:rPr>
              <w:t>July 31, 2017</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66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64"/>
        </w:trPr>
        <w:tc>
          <w:tcPr>
            <w:tcW w:w="638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Pro forma revenue</w:t>
            </w:r>
          </w:p>
        </w:tc>
        <w:tc>
          <w:tcPr>
            <w:tcW w:w="3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21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1,573.2</w:t>
            </w:r>
          </w:p>
        </w:tc>
        <w:tc>
          <w:tcPr>
            <w:tcW w:w="120" w:type="dxa"/>
            <w:vAlign w:val="bottom"/>
            <w:shd w:val="clear" w:color="auto" w:fill="DCE2EF"/>
          </w:tcPr>
          <w:p>
            <w:pPr>
              <w:spacing w:after="0"/>
              <w:rPr>
                <w:sz w:val="22"/>
                <w:szCs w:val="22"/>
                <w:color w:val="auto"/>
              </w:rPr>
            </w:pP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4,712.5</w:t>
            </w:r>
          </w:p>
        </w:tc>
      </w:tr>
      <w:tr>
        <w:trPr>
          <w:trHeight w:val="257"/>
        </w:trPr>
        <w:tc>
          <w:tcPr>
            <w:tcW w:w="6380" w:type="dxa"/>
            <w:vAlign w:val="bottom"/>
            <w:gridSpan w:val="3"/>
          </w:tcPr>
          <w:p>
            <w:pPr>
              <w:ind w:left="20"/>
              <w:spacing w:after="0"/>
              <w:rPr>
                <w:sz w:val="20"/>
                <w:szCs w:val="20"/>
                <w:color w:val="auto"/>
              </w:rPr>
            </w:pPr>
            <w:r>
              <w:rPr>
                <w:rFonts w:ascii="Arial" w:cs="Arial" w:eastAsia="Arial" w:hAnsi="Arial"/>
                <w:sz w:val="18"/>
                <w:szCs w:val="18"/>
                <w:color w:val="auto"/>
              </w:rPr>
              <w:t>Pro forma income from continuing operations</w:t>
            </w:r>
          </w:p>
        </w:tc>
        <w:tc>
          <w:tcPr>
            <w:tcW w:w="32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82.6</w:t>
            </w:r>
          </w:p>
        </w:tc>
      </w:tr>
    </w:tbl>
    <w:p>
      <w:pPr>
        <w:spacing w:after="0" w:line="17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These pro forma results were adjusted to exclude $ 2.2 million of acquisition-related costs incurred during the three and nine months ended July 31, 2017, which are included in selling, general and administrative expenses in the accompanying unaudited consolidated statements of comprehensive income (loss).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Other 2017 Acquisitions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Effective December 1, 2016, we acquired all of the outstanding stock of Mechanical Solutions, Inc. (“MSI”), a provider of specialized HVAC, chiller, and plumbing services, for a purchase price of $12.6 million. The purchase price includes up to $1.0 million of undiscounted contingent consideration that is based on the expected achievement of certain pre-established revenue goals. See Note 6, “Fair Value of Financial Instruments,” regarding our valuation of contingent consideration liabilities. As of December 1, 2016, the operations of MSI are included in our Technical Solutions segment.</w:t>
      </w:r>
    </w:p>
    <w:p>
      <w:pPr>
        <w:spacing w:after="0" w:line="20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Effective December 1, 2016, we also acquired all of the outstanding stock of OFJ Connections Ltd (“OFJ”), a provider of airport transportation services in the United Kingdom, for a purchase price of $6.3 million. As of December 1, 2016, the operations of OFJ are included in our Aviation segment.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Pro Forma and Other Supplemental Financial Information</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Except for GCA, we do not present pro forma and other financial information for our other acquisitions, as they are not considered material business combinations individually or on a combined basis.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36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0046AD"/>
        </w:rPr>
        <w:t>4. RESTRUCTURING AND RELATED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GCA Restructuring</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Following the acquisition of GCA, during the first quarter of 2018 we initiated a restructuring program to achieve cost synergies from our combined operations. We incurred the majority of our anticipated severance expense associated with this restructuring program in the first half of 2018. We expect to incur additional charges related to other project fees and rebranding activities in the fourth quarter of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r>
        <w:rPr>
          <w:rFonts w:ascii="Arial" w:cs="Arial" w:eastAsia="Arial" w:hAnsi="Arial"/>
          <w:sz w:val="18"/>
          <w:szCs w:val="18"/>
          <w:b w:val="1"/>
          <w:bCs w:val="1"/>
          <w:color w:val="FF9900"/>
        </w:rPr>
        <w:t xml:space="preserve"> </w:t>
      </w:r>
      <w:r>
        <w:rPr>
          <w:rFonts w:ascii="Arial" w:cs="Arial" w:eastAsia="Arial" w:hAnsi="Arial"/>
          <w:sz w:val="18"/>
          <w:szCs w:val="18"/>
          <w:b w:val="1"/>
          <w:bCs w:val="1"/>
          <w:color w:val="0046AD"/>
        </w:rPr>
        <w:t>Restructuring</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fourth quarter of 2015, our Board of Directors approved a comprehensive strategy intended to have a positive transformative effect on ABM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As part of the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we identified key priorities to differentiate ABM in the marketplace, accelerate revenue growth for certain industry groups, and improve our margin profile. We incurred additional expenses primarily related to external support fees and other project fees during the nine months ended July 31, 2018 relating to this strategy. We do not expect to incur significant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restructuring and related expenses in the future, other than in connection with the continued consolidation of our real estate leases.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Rollforward of Restructuring and Related Liabilities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Balance,</w:t>
            </w: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Costs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320"/>
              <w:spacing w:after="0"/>
              <w:rPr>
                <w:sz w:val="20"/>
                <w:szCs w:val="20"/>
                <w:color w:val="auto"/>
              </w:rPr>
            </w:pPr>
            <w:r>
              <w:rPr>
                <w:rFonts w:ascii="Arial" w:cs="Arial" w:eastAsia="Arial" w:hAnsi="Arial"/>
                <w:sz w:val="16"/>
                <w:szCs w:val="16"/>
                <w:b w:val="1"/>
                <w:bCs w:val="1"/>
                <w:color w:val="auto"/>
              </w:rPr>
              <w:t>Balance,</w:t>
            </w:r>
          </w:p>
        </w:tc>
      </w:tr>
      <w:tr>
        <w:trPr>
          <w:trHeight w:val="192"/>
        </w:trPr>
        <w:tc>
          <w:tcPr>
            <w:tcW w:w="35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Pr>
          <w:p>
            <w:pPr>
              <w:spacing w:after="0"/>
              <w:rPr>
                <w:sz w:val="16"/>
                <w:szCs w:val="16"/>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October 31, 2017</w:t>
            </w:r>
          </w:p>
        </w:tc>
        <w:tc>
          <w:tcPr>
            <w:tcW w:w="160" w:type="dxa"/>
            <w:vAlign w:val="bottom"/>
          </w:tcPr>
          <w:p>
            <w:pPr>
              <w:spacing w:after="0"/>
              <w:rPr>
                <w:sz w:val="16"/>
                <w:szCs w:val="16"/>
                <w:color w:val="auto"/>
              </w:rPr>
            </w:pPr>
          </w:p>
        </w:tc>
        <w:tc>
          <w:tcPr>
            <w:tcW w:w="1420" w:type="dxa"/>
            <w:vAlign w:val="bottom"/>
            <w:gridSpan w:val="2"/>
          </w:tcPr>
          <w:p>
            <w:pPr>
              <w:jc w:val="center"/>
              <w:ind w:right="280"/>
              <w:spacing w:after="0" w:line="192" w:lineRule="exact"/>
              <w:rPr>
                <w:sz w:val="20"/>
                <w:szCs w:val="20"/>
                <w:color w:val="auto"/>
              </w:rPr>
            </w:pPr>
            <w:r>
              <w:rPr>
                <w:rFonts w:ascii="Arial" w:cs="Arial" w:eastAsia="Arial" w:hAnsi="Arial"/>
                <w:sz w:val="14"/>
                <w:szCs w:val="14"/>
                <w:b w:val="1"/>
                <w:bCs w:val="1"/>
                <w:color w:val="auto"/>
              </w:rPr>
              <w:t>Recognized</w:t>
            </w:r>
            <w:r>
              <w:rPr>
                <w:rFonts w:ascii="Arial" w:cs="Arial" w:eastAsia="Arial" w:hAnsi="Arial"/>
                <w:sz w:val="22"/>
                <w:szCs w:val="22"/>
                <w:b w:val="1"/>
                <w:bCs w:val="1"/>
                <w:color w:val="auto"/>
                <w:vertAlign w:val="superscript"/>
              </w:rPr>
              <w:t>(1)</w:t>
            </w:r>
          </w:p>
        </w:tc>
        <w:tc>
          <w:tcPr>
            <w:tcW w:w="200" w:type="dxa"/>
            <w:vAlign w:val="bottom"/>
          </w:tcPr>
          <w:p>
            <w:pPr>
              <w:spacing w:after="0"/>
              <w:rPr>
                <w:sz w:val="16"/>
                <w:szCs w:val="16"/>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Payments</w:t>
            </w: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Non-Cash Items</w:t>
            </w:r>
          </w:p>
        </w:tc>
        <w:tc>
          <w:tcPr>
            <w:tcW w:w="180" w:type="dxa"/>
            <w:vAlign w:val="bottom"/>
          </w:tcPr>
          <w:p>
            <w:pPr>
              <w:spacing w:after="0"/>
              <w:rPr>
                <w:sz w:val="16"/>
                <w:szCs w:val="16"/>
                <w:color w:val="auto"/>
              </w:rPr>
            </w:pPr>
          </w:p>
        </w:tc>
        <w:tc>
          <w:tcPr>
            <w:tcW w:w="1280" w:type="dxa"/>
            <w:vAlign w:val="bottom"/>
          </w:tcPr>
          <w:p>
            <w:pPr>
              <w:jc w:val="right"/>
              <w:ind w:right="160"/>
              <w:spacing w:after="0"/>
              <w:rPr>
                <w:sz w:val="20"/>
                <w:szCs w:val="20"/>
                <w:color w:val="auto"/>
              </w:rPr>
            </w:pPr>
            <w:r>
              <w:rPr>
                <w:rFonts w:ascii="Arial" w:cs="Arial" w:eastAsia="Arial" w:hAnsi="Arial"/>
                <w:sz w:val="16"/>
                <w:szCs w:val="16"/>
                <w:b w:val="1"/>
                <w:bCs w:val="1"/>
                <w:color w:val="auto"/>
              </w:rPr>
              <w:t>July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28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0"/>
        </w:trPr>
        <w:tc>
          <w:tcPr>
            <w:tcW w:w="35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Employee severance</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56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2.7</w:t>
            </w:r>
          </w:p>
        </w:tc>
        <w:tc>
          <w:tcPr>
            <w:tcW w:w="120" w:type="dxa"/>
            <w:vAlign w:val="bottom"/>
            <w:shd w:val="clear" w:color="auto" w:fill="DCE2EF"/>
          </w:tcPr>
          <w:p>
            <w:pPr>
              <w:spacing w:after="0"/>
              <w:rPr>
                <w:sz w:val="21"/>
                <w:szCs w:val="21"/>
                <w:color w:val="auto"/>
              </w:rPr>
            </w:pPr>
          </w:p>
        </w:tc>
        <w:tc>
          <w:tcPr>
            <w:tcW w:w="16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10.8</w:t>
            </w:r>
          </w:p>
        </w:tc>
        <w:tc>
          <w:tcPr>
            <w:tcW w:w="120" w:type="dxa"/>
            <w:vAlign w:val="bottom"/>
            <w:shd w:val="clear" w:color="auto" w:fill="DCE2EF"/>
          </w:tcPr>
          <w:p>
            <w:pPr>
              <w:spacing w:after="0"/>
              <w:rPr>
                <w:sz w:val="21"/>
                <w:szCs w:val="21"/>
                <w:color w:val="auto"/>
              </w:rPr>
            </w:pPr>
          </w:p>
        </w:tc>
        <w:tc>
          <w:tcPr>
            <w:tcW w:w="20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DCE2EF"/>
          </w:tcPr>
          <w:p>
            <w:pPr>
              <w:spacing w:after="0"/>
              <w:rPr>
                <w:sz w:val="21"/>
                <w:szCs w:val="21"/>
                <w:color w:val="auto"/>
              </w:rPr>
            </w:pPr>
          </w:p>
        </w:tc>
        <w:tc>
          <w:tcPr>
            <w:tcW w:w="560" w:type="dxa"/>
            <w:vAlign w:val="bottom"/>
            <w:shd w:val="clear" w:color="auto" w:fill="DCE2EF"/>
          </w:tcPr>
          <w:p>
            <w:pPr>
              <w:jc w:val="right"/>
              <w:ind w:right="36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4.6</w:t>
            </w:r>
          </w:p>
        </w:tc>
      </w:tr>
      <w:tr>
        <w:trPr>
          <w:trHeight w:val="260"/>
        </w:trPr>
        <w:tc>
          <w:tcPr>
            <w:tcW w:w="3560" w:type="dxa"/>
            <w:vAlign w:val="bottom"/>
            <w:gridSpan w:val="3"/>
          </w:tcPr>
          <w:p>
            <w:pPr>
              <w:ind w:left="40"/>
              <w:spacing w:after="0"/>
              <w:rPr>
                <w:sz w:val="20"/>
                <w:szCs w:val="20"/>
                <w:color w:val="auto"/>
              </w:rPr>
            </w:pPr>
            <w:r>
              <w:rPr>
                <w:rFonts w:ascii="Arial" w:cs="Arial" w:eastAsia="Arial" w:hAnsi="Arial"/>
                <w:sz w:val="16"/>
                <w:szCs w:val="16"/>
                <w:color w:val="auto"/>
              </w:rPr>
              <w:t>Lease exit costs and asset impairment</w:t>
            </w:r>
          </w:p>
        </w:tc>
        <w:tc>
          <w:tcPr>
            <w:tcW w:w="180" w:type="dxa"/>
            <w:vAlign w:val="bottom"/>
          </w:tcPr>
          <w:p>
            <w:pPr>
              <w:spacing w:after="0"/>
              <w:rPr>
                <w:sz w:val="22"/>
                <w:szCs w:val="22"/>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3.1</w:t>
            </w:r>
          </w:p>
        </w:tc>
      </w:tr>
      <w:tr>
        <w:trPr>
          <w:trHeight w:val="280"/>
        </w:trPr>
        <w:tc>
          <w:tcPr>
            <w:tcW w:w="356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Other project fees</w:t>
            </w:r>
          </w:p>
        </w:tc>
        <w:tc>
          <w:tcPr>
            <w:tcW w:w="180" w:type="dxa"/>
            <w:vAlign w:val="bottom"/>
            <w:shd w:val="clear" w:color="auto" w:fill="DCE2EF"/>
          </w:tcPr>
          <w:p>
            <w:pPr>
              <w:spacing w:after="0"/>
              <w:rPr>
                <w:sz w:val="24"/>
                <w:szCs w:val="24"/>
                <w:color w:val="auto"/>
              </w:rPr>
            </w:pPr>
          </w:p>
        </w:tc>
        <w:tc>
          <w:tcPr>
            <w:tcW w:w="156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0.4</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5.1</w:t>
            </w:r>
          </w:p>
        </w:tc>
        <w:tc>
          <w:tcPr>
            <w:tcW w:w="12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160" w:type="dxa"/>
            <w:vAlign w:val="bottom"/>
            <w:shd w:val="clear" w:color="auto" w:fill="DCE2E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92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spacing w:after="0"/>
              <w:rPr>
                <w:sz w:val="24"/>
                <w:szCs w:val="24"/>
                <w:color w:val="auto"/>
              </w:rPr>
            </w:pPr>
          </w:p>
        </w:tc>
        <w:tc>
          <w:tcPr>
            <w:tcW w:w="128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1.1</w:t>
            </w:r>
          </w:p>
        </w:tc>
      </w:tr>
      <w:tr>
        <w:trPr>
          <w:trHeight w:val="264"/>
        </w:trPr>
        <w:tc>
          <w:tcPr>
            <w:tcW w:w="3560" w:type="dxa"/>
            <w:vAlign w:val="bottom"/>
            <w:gridSpan w:val="3"/>
          </w:tcPr>
          <w:p>
            <w:pPr>
              <w:ind w:left="40"/>
              <w:spacing w:after="0"/>
              <w:rPr>
                <w:sz w:val="20"/>
                <w:szCs w:val="20"/>
                <w:color w:val="auto"/>
              </w:rPr>
            </w:pPr>
            <w:r>
              <w:rPr>
                <w:rFonts w:ascii="Arial" w:cs="Arial" w:eastAsia="Arial" w:hAnsi="Arial"/>
                <w:sz w:val="16"/>
                <w:szCs w:val="16"/>
                <w:color w:val="auto"/>
              </w:rPr>
              <w:t>External support fees</w:t>
            </w:r>
          </w:p>
        </w:tc>
        <w:tc>
          <w:tcPr>
            <w:tcW w:w="180" w:type="dxa"/>
            <w:vAlign w:val="bottom"/>
          </w:tcPr>
          <w:p>
            <w:pPr>
              <w:spacing w:after="0"/>
              <w:rPr>
                <w:sz w:val="22"/>
                <w:szCs w:val="22"/>
                <w:color w:val="auto"/>
              </w:rPr>
            </w:pPr>
          </w:p>
        </w:tc>
        <w:tc>
          <w:tcPr>
            <w:tcW w:w="1560" w:type="dxa"/>
            <w:vAlign w:val="bottom"/>
          </w:tcPr>
          <w:p>
            <w:pPr>
              <w:jc w:val="right"/>
              <w:ind w:right="4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1"/>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28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240"/>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3520" w:type="dxa"/>
            <w:vAlign w:val="bottom"/>
            <w:tcBorders>
              <w:top w:val="single" w:sz="8" w:color="DCE2EF"/>
              <w:bottom w:val="single" w:sz="8" w:color="DCE2EF"/>
            </w:tcBorders>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Total</w:t>
            </w: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560" w:type="dxa"/>
            <w:vAlign w:val="bottom"/>
            <w:tcBorders>
              <w:top w:val="single" w:sz="8" w:color="auto"/>
              <w:bottom w:val="single" w:sz="8" w:color="auto"/>
            </w:tcBorders>
            <w:shd w:val="clear" w:color="auto" w:fill="DCE2EF"/>
          </w:tcPr>
          <w:p>
            <w:pPr>
              <w:jc w:val="right"/>
              <w:ind w:right="40"/>
              <w:spacing w:after="0"/>
              <w:rPr>
                <w:sz w:val="20"/>
                <w:szCs w:val="20"/>
                <w:color w:val="auto"/>
              </w:rPr>
            </w:pPr>
            <w:r>
              <w:rPr>
                <w:rFonts w:ascii="Arial" w:cs="Arial" w:eastAsia="Arial" w:hAnsi="Arial"/>
                <w:sz w:val="16"/>
                <w:szCs w:val="16"/>
                <w:b w:val="1"/>
                <w:bCs w:val="1"/>
                <w:color w:val="auto"/>
              </w:rPr>
              <w:t>8.4</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w w:val="89"/>
              </w:rPr>
              <w:t>$</w:t>
            </w:r>
          </w:p>
        </w:tc>
        <w:tc>
          <w:tcPr>
            <w:tcW w:w="1300" w:type="dxa"/>
            <w:vAlign w:val="bottom"/>
            <w:tcBorders>
              <w:top w:val="single" w:sz="8" w:color="auto"/>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b w:val="1"/>
                <w:bCs w:val="1"/>
                <w:color w:val="auto"/>
              </w:rPr>
              <w:t>22.5</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200" w:type="dxa"/>
            <w:vAlign w:val="bottom"/>
            <w:tcBorders>
              <w:top w:val="single" w:sz="8" w:color="auto"/>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(21.0)</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560" w:type="dxa"/>
            <w:vAlign w:val="bottom"/>
            <w:tcBorders>
              <w:top w:val="single" w:sz="8" w:color="auto"/>
              <w:bottom w:val="single" w:sz="8" w:color="auto"/>
            </w:tcBorders>
            <w:shd w:val="clear" w:color="auto" w:fill="DCE2EF"/>
          </w:tcPr>
          <w:p>
            <w:pPr>
              <w:jc w:val="right"/>
              <w:ind w:right="360"/>
              <w:spacing w:after="0"/>
              <w:rPr>
                <w:sz w:val="20"/>
                <w:szCs w:val="20"/>
                <w:color w:val="auto"/>
              </w:rPr>
            </w:pPr>
            <w:r>
              <w:rPr>
                <w:rFonts w:ascii="Arial" w:cs="Arial" w:eastAsia="Arial" w:hAnsi="Arial"/>
                <w:sz w:val="16"/>
                <w:szCs w:val="16"/>
                <w:b w:val="1"/>
                <w:bCs w:val="1"/>
                <w:color w:val="auto"/>
              </w:rPr>
              <w:t>$</w:t>
            </w:r>
          </w:p>
        </w:tc>
        <w:tc>
          <w:tcPr>
            <w:tcW w:w="80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(1.1)</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18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280" w:type="dxa"/>
            <w:vAlign w:val="bottom"/>
            <w:tcBorders>
              <w:top w:val="single" w:sz="8" w:color="auto"/>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b w:val="1"/>
                <w:bCs w:val="1"/>
                <w:color w:val="auto"/>
              </w:rPr>
              <w:t>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2260600</wp:posOffset>
            </wp:positionH>
            <wp:positionV relativeFrom="paragraph">
              <wp:posOffset>8890</wp:posOffset>
            </wp:positionV>
            <wp:extent cx="49828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ind w:left="180" w:hanging="172"/>
        <w:spacing w:after="0" w:line="222" w:lineRule="auto"/>
        <w:tabs>
          <w:tab w:leader="none" w:pos="180" w:val="left"/>
        </w:tabs>
        <w:numPr>
          <w:ilvl w:val="0"/>
          <w:numId w:val="7"/>
        </w:numPr>
        <w:rPr>
          <w:rFonts w:ascii="Arial" w:cs="Arial" w:eastAsia="Arial" w:hAnsi="Arial"/>
          <w:sz w:val="21"/>
          <w:szCs w:val="21"/>
          <w:color w:val="auto"/>
          <w:vertAlign w:val="superscript"/>
        </w:rPr>
      </w:pPr>
      <w:r>
        <w:rPr>
          <w:rFonts w:ascii="Arial" w:cs="Arial" w:eastAsia="Arial" w:hAnsi="Arial"/>
          <w:sz w:val="15"/>
          <w:szCs w:val="15"/>
          <w:color w:val="auto"/>
        </w:rPr>
        <w:t>We include these costs within corporate expenses.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Cumulative Restructuring and Related Charges</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External Support</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6"/>
                <w:szCs w:val="16"/>
                <w:b w:val="1"/>
                <w:bCs w:val="1"/>
                <w:color w:val="auto"/>
              </w:rPr>
              <w:t>Employee</w:t>
            </w: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Other Project</w:t>
            </w: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Asset</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92"/>
        </w:trPr>
        <w:tc>
          <w:tcPr>
            <w:tcW w:w="262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6"/>
                <w:szCs w:val="16"/>
                <w:b w:val="1"/>
                <w:bCs w:val="1"/>
                <w:color w:val="auto"/>
              </w:rPr>
              <w:t>Fees</w:t>
            </w:r>
          </w:p>
        </w:tc>
        <w:tc>
          <w:tcPr>
            <w:tcW w:w="20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Arial" w:cs="Arial" w:eastAsia="Arial" w:hAnsi="Arial"/>
                <w:sz w:val="16"/>
                <w:szCs w:val="16"/>
                <w:b w:val="1"/>
                <w:bCs w:val="1"/>
                <w:color w:val="auto"/>
              </w:rPr>
              <w:t>Severance</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Fees</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rPr>
              <w:t>Lease Exit Costs</w:t>
            </w:r>
          </w:p>
        </w:tc>
        <w:tc>
          <w:tcPr>
            <w:tcW w:w="18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Impairment</w:t>
            </w:r>
          </w:p>
        </w:tc>
        <w:tc>
          <w:tcPr>
            <w:tcW w:w="320" w:type="dxa"/>
            <w:vAlign w:val="bottom"/>
          </w:tcPr>
          <w:p>
            <w:pPr>
              <w:spacing w:after="0"/>
              <w:rPr>
                <w:sz w:val="16"/>
                <w:szCs w:val="16"/>
                <w:color w:val="auto"/>
              </w:rPr>
            </w:pPr>
          </w:p>
        </w:tc>
        <w:tc>
          <w:tcPr>
            <w:tcW w:w="1060" w:type="dxa"/>
            <w:vAlign w:val="bottom"/>
          </w:tcPr>
          <w:p>
            <w:pPr>
              <w:jc w:val="right"/>
              <w:ind w:right="420"/>
              <w:spacing w:after="0"/>
              <w:rPr>
                <w:sz w:val="20"/>
                <w:szCs w:val="20"/>
                <w:color w:val="auto"/>
              </w:rPr>
            </w:pPr>
            <w:r>
              <w:rPr>
                <w:rFonts w:ascii="Arial" w:cs="Arial" w:eastAsia="Arial" w:hAnsi="Arial"/>
                <w:sz w:val="16"/>
                <w:szCs w:val="16"/>
                <w:b w:val="1"/>
                <w:bCs w:val="1"/>
                <w:color w:val="auto"/>
              </w:rPr>
              <w:t>Total</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88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7"/>
        </w:trPr>
        <w:tc>
          <w:tcPr>
            <w:tcW w:w="262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GCA</w:t>
            </w:r>
          </w:p>
        </w:tc>
        <w:tc>
          <w:tcPr>
            <w:tcW w:w="320" w:type="dxa"/>
            <w:vAlign w:val="bottom"/>
            <w:shd w:val="clear" w:color="auto" w:fill="DCE2EF"/>
          </w:tcPr>
          <w:p>
            <w:pPr>
              <w:ind w:lef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2.0</w:t>
            </w:r>
          </w:p>
        </w:tc>
        <w:tc>
          <w:tcPr>
            <w:tcW w:w="100" w:type="dxa"/>
            <w:vAlign w:val="bottom"/>
            <w:shd w:val="clear" w:color="auto" w:fill="DCE2EF"/>
          </w:tcPr>
          <w:p>
            <w:pPr>
              <w:spacing w:after="0"/>
              <w:rPr>
                <w:sz w:val="20"/>
                <w:szCs w:val="20"/>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DCE2EF"/>
          </w:tcPr>
          <w:p>
            <w:pPr>
              <w:spacing w:after="0"/>
              <w:rPr>
                <w:sz w:val="20"/>
                <w:szCs w:val="20"/>
                <w:color w:val="auto"/>
              </w:rPr>
            </w:pPr>
          </w:p>
        </w:tc>
        <w:tc>
          <w:tcPr>
            <w:tcW w:w="140" w:type="dxa"/>
            <w:vAlign w:val="bottom"/>
            <w:shd w:val="clear" w:color="auto" w:fill="DCE2E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4.9</w:t>
            </w:r>
          </w:p>
        </w:tc>
        <w:tc>
          <w:tcPr>
            <w:tcW w:w="100" w:type="dxa"/>
            <w:vAlign w:val="bottom"/>
            <w:shd w:val="clear" w:color="auto" w:fill="DCE2EF"/>
          </w:tcPr>
          <w:p>
            <w:pPr>
              <w:spacing w:after="0"/>
              <w:rPr>
                <w:sz w:val="20"/>
                <w:szCs w:val="20"/>
                <w:color w:val="auto"/>
              </w:rPr>
            </w:pPr>
          </w:p>
        </w:tc>
        <w:tc>
          <w:tcPr>
            <w:tcW w:w="580" w:type="dxa"/>
            <w:vAlign w:val="bottom"/>
            <w:shd w:val="clear" w:color="auto" w:fill="DCE2EF"/>
          </w:tcPr>
          <w:p>
            <w:pPr>
              <w:ind w:left="40"/>
              <w:spacing w:after="0"/>
              <w:rPr>
                <w:sz w:val="20"/>
                <w:szCs w:val="20"/>
                <w:color w:val="auto"/>
              </w:rPr>
            </w:pPr>
            <w:r>
              <w:rPr>
                <w:rFonts w:ascii="Arial" w:cs="Arial" w:eastAsia="Arial" w:hAnsi="Arial"/>
                <w:sz w:val="16"/>
                <w:szCs w:val="16"/>
                <w:color w:val="auto"/>
              </w:rPr>
              <w:t>$</w:t>
            </w:r>
          </w:p>
        </w:tc>
        <w:tc>
          <w:tcPr>
            <w:tcW w:w="90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DCE2E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shd w:val="clear" w:color="auto" w:fill="DCE2EF"/>
          </w:tcPr>
          <w:p>
            <w:pPr>
              <w:jc w:val="right"/>
              <w:ind w:right="120"/>
              <w:spacing w:after="0"/>
              <w:rPr>
                <w:sz w:val="20"/>
                <w:szCs w:val="20"/>
                <w:color w:val="auto"/>
              </w:rPr>
            </w:pPr>
            <w:r>
              <w:rPr>
                <w:rFonts w:ascii="Arial" w:cs="Arial" w:eastAsia="Arial" w:hAnsi="Arial"/>
                <w:sz w:val="16"/>
                <w:szCs w:val="16"/>
                <w:color w:val="auto"/>
              </w:rPr>
              <w:t>$</w:t>
            </w:r>
          </w:p>
        </w:tc>
        <w:tc>
          <w:tcPr>
            <w:tcW w:w="1060" w:type="dxa"/>
            <w:vAlign w:val="bottom"/>
            <w:shd w:val="clear" w:color="auto" w:fill="DCE2EF"/>
          </w:tcPr>
          <w:p>
            <w:pPr>
              <w:jc w:val="right"/>
              <w:ind w:right="40"/>
              <w:spacing w:after="0"/>
              <w:rPr>
                <w:sz w:val="20"/>
                <w:szCs w:val="20"/>
                <w:color w:val="auto"/>
              </w:rPr>
            </w:pPr>
            <w:r>
              <w:rPr>
                <w:rFonts w:ascii="Arial" w:cs="Arial" w:eastAsia="Arial" w:hAnsi="Arial"/>
                <w:sz w:val="16"/>
                <w:szCs w:val="16"/>
                <w:color w:val="auto"/>
              </w:rPr>
              <w:t>19.6</w:t>
            </w:r>
          </w:p>
        </w:tc>
      </w:tr>
      <w:tr>
        <w:trPr>
          <w:trHeight w:val="237"/>
        </w:trPr>
        <w:tc>
          <w:tcPr>
            <w:tcW w:w="262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b w:val="1"/>
                <w:bCs w:val="1"/>
                <w:color w:val="FF9900"/>
              </w:rPr>
              <w:t xml:space="preserve">2020 </w:t>
            </w:r>
            <w:r>
              <w:rPr>
                <w:rFonts w:ascii="Arial" w:cs="Arial" w:eastAsia="Arial" w:hAnsi="Arial"/>
                <w:sz w:val="16"/>
                <w:szCs w:val="16"/>
                <w:b w:val="1"/>
                <w:bCs w:val="1"/>
                <w:color w:val="0070C0"/>
              </w:rPr>
              <w:t>Vision</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30.0</w:t>
            </w:r>
          </w:p>
        </w:tc>
        <w:tc>
          <w:tcPr>
            <w:tcW w:w="100" w:type="dxa"/>
            <w:vAlign w:val="bottom"/>
            <w:tcBorders>
              <w:bottom w:val="single" w:sz="8" w:color="DCE2E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DCE2E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DCE2E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DCE2E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5.2</w:t>
            </w:r>
          </w:p>
        </w:tc>
        <w:tc>
          <w:tcPr>
            <w:tcW w:w="100" w:type="dxa"/>
            <w:vAlign w:val="bottom"/>
            <w:tcBorders>
              <w:bottom w:val="single" w:sz="8" w:color="DCE2E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67.1</w:t>
            </w:r>
          </w:p>
        </w:tc>
      </w:tr>
      <w:tr>
        <w:trPr>
          <w:trHeight w:val="240"/>
        </w:trPr>
        <w:tc>
          <w:tcPr>
            <w:tcW w:w="40" w:type="dxa"/>
            <w:vAlign w:val="bottom"/>
            <w:tcBorders>
              <w:bottom w:val="single" w:sz="8" w:color="DCE2EF"/>
            </w:tcBorders>
            <w:shd w:val="clear" w:color="auto" w:fill="DCE2EF"/>
          </w:tcPr>
          <w:p>
            <w:pPr>
              <w:spacing w:after="0"/>
              <w:rPr>
                <w:sz w:val="20"/>
                <w:szCs w:val="20"/>
                <w:color w:val="auto"/>
              </w:rPr>
            </w:pPr>
          </w:p>
        </w:tc>
        <w:tc>
          <w:tcPr>
            <w:tcW w:w="2580" w:type="dxa"/>
            <w:vAlign w:val="bottom"/>
            <w:tcBorders>
              <w:bottom w:val="single" w:sz="8" w:color="DCE2EF"/>
            </w:tcBorders>
            <w:gridSpan w:val="2"/>
            <w:shd w:val="clear" w:color="auto" w:fill="DCE2EF"/>
          </w:tcPr>
          <w:p>
            <w:pPr>
              <w:ind w:left="140"/>
              <w:spacing w:after="0"/>
              <w:rPr>
                <w:sz w:val="20"/>
                <w:szCs w:val="20"/>
                <w:color w:val="auto"/>
              </w:rPr>
            </w:pPr>
            <w:r>
              <w:rPr>
                <w:rFonts w:ascii="Arial" w:cs="Arial" w:eastAsia="Arial" w:hAnsi="Arial"/>
                <w:sz w:val="16"/>
                <w:szCs w:val="16"/>
                <w:b w:val="1"/>
                <w:bCs w:val="1"/>
                <w:color w:val="auto"/>
              </w:rPr>
              <w:t>Total</w:t>
            </w:r>
          </w:p>
        </w:tc>
        <w:tc>
          <w:tcPr>
            <w:tcW w:w="320" w:type="dxa"/>
            <w:vAlign w:val="bottom"/>
            <w:tcBorders>
              <w:bottom w:val="single" w:sz="8" w:color="auto"/>
            </w:tcBorders>
            <w:shd w:val="clear" w:color="auto" w:fill="DCE2EF"/>
          </w:tcPr>
          <w:p>
            <w:pPr>
              <w:ind w:left="4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CE2EF"/>
          </w:tcPr>
          <w:p>
            <w:pPr>
              <w:jc w:val="right"/>
              <w:ind w:right="40"/>
              <w:spacing w:after="0"/>
              <w:rPr>
                <w:sz w:val="20"/>
                <w:szCs w:val="20"/>
                <w:color w:val="auto"/>
              </w:rPr>
            </w:pPr>
            <w:r>
              <w:rPr>
                <w:rFonts w:ascii="Arial" w:cs="Arial" w:eastAsia="Arial" w:hAnsi="Arial"/>
                <w:sz w:val="16"/>
                <w:szCs w:val="16"/>
                <w:b w:val="1"/>
                <w:bCs w:val="1"/>
                <w:color w:val="auto"/>
              </w:rPr>
              <w:t>32.0</w:t>
            </w:r>
          </w:p>
        </w:tc>
        <w:tc>
          <w:tcPr>
            <w:tcW w:w="100" w:type="dxa"/>
            <w:vAlign w:val="bottom"/>
            <w:tcBorders>
              <w:bottom w:val="single" w:sz="8" w:color="DCE2EF"/>
            </w:tcBorders>
            <w:shd w:val="clear" w:color="auto" w:fill="DCE2EF"/>
          </w:tcPr>
          <w:p>
            <w:pPr>
              <w:spacing w:after="0"/>
              <w:rPr>
                <w:sz w:val="20"/>
                <w:szCs w:val="20"/>
                <w:color w:val="auto"/>
              </w:rPr>
            </w:pPr>
          </w:p>
        </w:tc>
        <w:tc>
          <w:tcPr>
            <w:tcW w:w="20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tcBorders>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b w:val="1"/>
                <w:bCs w:val="1"/>
                <w:color w:val="auto"/>
              </w:rPr>
              <w:t>26.3</w:t>
            </w:r>
          </w:p>
        </w:tc>
        <w:tc>
          <w:tcPr>
            <w:tcW w:w="120" w:type="dxa"/>
            <w:vAlign w:val="bottom"/>
            <w:tcBorders>
              <w:bottom w:val="single" w:sz="8" w:color="DCE2EF"/>
            </w:tcBorders>
            <w:shd w:val="clear" w:color="auto" w:fill="DCE2EF"/>
          </w:tcPr>
          <w:p>
            <w:pPr>
              <w:spacing w:after="0"/>
              <w:rPr>
                <w:sz w:val="20"/>
                <w:szCs w:val="20"/>
                <w:color w:val="auto"/>
              </w:rPr>
            </w:pPr>
          </w:p>
        </w:tc>
        <w:tc>
          <w:tcPr>
            <w:tcW w:w="1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w w:val="89"/>
              </w:rPr>
              <w:t>$</w:t>
            </w:r>
          </w:p>
        </w:tc>
        <w:tc>
          <w:tcPr>
            <w:tcW w:w="1220" w:type="dxa"/>
            <w:vAlign w:val="bottom"/>
            <w:tcBorders>
              <w:bottom w:val="single" w:sz="8" w:color="auto"/>
            </w:tcBorders>
            <w:shd w:val="clear" w:color="auto" w:fill="DCE2EF"/>
          </w:tcPr>
          <w:p>
            <w:pPr>
              <w:jc w:val="right"/>
              <w:ind w:right="40"/>
              <w:spacing w:after="0"/>
              <w:rPr>
                <w:sz w:val="20"/>
                <w:szCs w:val="20"/>
                <w:color w:val="auto"/>
              </w:rPr>
            </w:pPr>
            <w:r>
              <w:rPr>
                <w:rFonts w:ascii="Arial" w:cs="Arial" w:eastAsia="Arial" w:hAnsi="Arial"/>
                <w:sz w:val="16"/>
                <w:szCs w:val="16"/>
                <w:b w:val="1"/>
                <w:bCs w:val="1"/>
                <w:color w:val="auto"/>
              </w:rPr>
              <w:t>15.5</w:t>
            </w:r>
          </w:p>
        </w:tc>
        <w:tc>
          <w:tcPr>
            <w:tcW w:w="100" w:type="dxa"/>
            <w:vAlign w:val="bottom"/>
            <w:tcBorders>
              <w:bottom w:val="single" w:sz="8" w:color="DCE2EF"/>
            </w:tcBorders>
            <w:shd w:val="clear" w:color="auto" w:fill="DCE2EF"/>
          </w:tcPr>
          <w:p>
            <w:pPr>
              <w:spacing w:after="0"/>
              <w:rPr>
                <w:sz w:val="20"/>
                <w:szCs w:val="20"/>
                <w:color w:val="auto"/>
              </w:rPr>
            </w:pPr>
          </w:p>
        </w:tc>
        <w:tc>
          <w:tcPr>
            <w:tcW w:w="580" w:type="dxa"/>
            <w:vAlign w:val="bottom"/>
            <w:tcBorders>
              <w:bottom w:val="single" w:sz="8" w:color="auto"/>
            </w:tcBorders>
            <w:shd w:val="clear" w:color="auto" w:fill="DCE2EF"/>
          </w:tcPr>
          <w:p>
            <w:pPr>
              <w:ind w:lef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b w:val="1"/>
                <w:bCs w:val="1"/>
                <w:color w:val="auto"/>
              </w:rPr>
              <w:t>7.7</w:t>
            </w:r>
          </w:p>
        </w:tc>
        <w:tc>
          <w:tcPr>
            <w:tcW w:w="120" w:type="dxa"/>
            <w:vAlign w:val="bottom"/>
            <w:tcBorders>
              <w:bottom w:val="single" w:sz="8" w:color="DCE2EF"/>
            </w:tcBorders>
            <w:shd w:val="clear" w:color="auto" w:fill="DCE2EF"/>
          </w:tcPr>
          <w:p>
            <w:pPr>
              <w:spacing w:after="0"/>
              <w:rPr>
                <w:sz w:val="20"/>
                <w:szCs w:val="20"/>
                <w:color w:val="auto"/>
              </w:rPr>
            </w:pPr>
          </w:p>
        </w:tc>
        <w:tc>
          <w:tcPr>
            <w:tcW w:w="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b w:val="1"/>
                <w:bCs w:val="1"/>
                <w:color w:val="auto"/>
              </w:rPr>
              <w:t>$</w:t>
            </w:r>
          </w:p>
        </w:tc>
        <w:tc>
          <w:tcPr>
            <w:tcW w:w="1180" w:type="dxa"/>
            <w:vAlign w:val="bottom"/>
            <w:tcBorders>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b w:val="1"/>
                <w:bCs w:val="1"/>
                <w:color w:val="auto"/>
              </w:rPr>
              <w:t>5.2</w:t>
            </w:r>
          </w:p>
        </w:tc>
        <w:tc>
          <w:tcPr>
            <w:tcW w:w="100" w:type="dxa"/>
            <w:vAlign w:val="bottom"/>
            <w:tcBorders>
              <w:bottom w:val="single" w:sz="8" w:color="DCE2EF"/>
            </w:tcBorders>
            <w:shd w:val="clear" w:color="auto" w:fill="DCE2EF"/>
          </w:tcPr>
          <w:p>
            <w:pPr>
              <w:spacing w:after="0"/>
              <w:rPr>
                <w:sz w:val="20"/>
                <w:szCs w:val="20"/>
                <w:color w:val="auto"/>
              </w:rPr>
            </w:pPr>
          </w:p>
        </w:tc>
        <w:tc>
          <w:tcPr>
            <w:tcW w:w="320" w:type="dxa"/>
            <w:vAlign w:val="bottom"/>
            <w:tcBorders>
              <w:bottom w:val="single" w:sz="8" w:color="auto"/>
            </w:tcBorders>
            <w:shd w:val="clear" w:color="auto" w:fill="DCE2EF"/>
          </w:tcPr>
          <w:p>
            <w:pPr>
              <w:jc w:val="right"/>
              <w:ind w:right="120"/>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DCE2EF"/>
          </w:tcPr>
          <w:p>
            <w:pPr>
              <w:jc w:val="right"/>
              <w:ind w:right="40"/>
              <w:spacing w:after="0"/>
              <w:rPr>
                <w:sz w:val="20"/>
                <w:szCs w:val="20"/>
                <w:color w:val="auto"/>
              </w:rPr>
            </w:pPr>
            <w:r>
              <w:rPr>
                <w:rFonts w:ascii="Arial" w:cs="Arial" w:eastAsia="Arial" w:hAnsi="Arial"/>
                <w:sz w:val="16"/>
                <w:szCs w:val="16"/>
                <w:b w:val="1"/>
                <w:bCs w:val="1"/>
                <w:color w:val="auto"/>
              </w:rPr>
              <w:t>86.7</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2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0046AD"/>
        </w:rPr>
        <w:t>5. NET INCOME PER COMMON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Basic and Diluted Net Income Per Common Share Calculations</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8"/>
          </w:tcPr>
          <w:p>
            <w:pPr>
              <w:ind w:left="120"/>
              <w:spacing w:after="0"/>
              <w:rPr>
                <w:sz w:val="20"/>
                <w:szCs w:val="20"/>
                <w:color w:val="auto"/>
              </w:rPr>
            </w:pPr>
            <w:r>
              <w:rPr>
                <w:rFonts w:ascii="Arial" w:cs="Arial" w:eastAsia="Arial" w:hAnsi="Arial"/>
                <w:sz w:val="17"/>
                <w:szCs w:val="17"/>
                <w:b w:val="1"/>
                <w:bCs w:val="1"/>
                <w:color w:val="auto"/>
              </w:rPr>
              <w:t>Three Months Ended July 31,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0" w:type="dxa"/>
            <w:vAlign w:val="bottom"/>
            <w:gridSpan w:val="6"/>
          </w:tcPr>
          <w:p>
            <w:pPr>
              <w:jc w:val="right"/>
              <w:ind w:right="315"/>
              <w:spacing w:after="0"/>
              <w:rPr>
                <w:sz w:val="20"/>
                <w:szCs w:val="20"/>
                <w:color w:val="auto"/>
              </w:rPr>
            </w:pPr>
            <w:r>
              <w:rPr>
                <w:rFonts w:ascii="Arial" w:cs="Arial" w:eastAsia="Arial" w:hAnsi="Arial"/>
                <w:sz w:val="17"/>
                <w:szCs w:val="17"/>
                <w:b w:val="1"/>
                <w:bCs w:val="1"/>
                <w:color w:val="auto"/>
              </w:rPr>
              <w:t>Nine Months Ended July 31,</w:t>
            </w:r>
          </w:p>
        </w:tc>
      </w:tr>
      <w:tr>
        <w:trPr>
          <w:trHeight w:val="230"/>
        </w:trPr>
        <w:tc>
          <w:tcPr>
            <w:tcW w:w="516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2018</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375"/>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5160" w:type="dxa"/>
            <w:vAlign w:val="bottom"/>
            <w:gridSpan w:val="4"/>
            <w:shd w:val="clear" w:color="auto" w:fill="DCE2EF"/>
          </w:tcPr>
          <w:p>
            <w:pPr>
              <w:ind w:left="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33.7</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340" w:type="dxa"/>
            <w:vAlign w:val="bottom"/>
            <w:gridSpan w:val="2"/>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32.9</w:t>
            </w:r>
          </w:p>
        </w:tc>
        <w:tc>
          <w:tcPr>
            <w:tcW w:w="4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280" w:type="dxa"/>
            <w:vAlign w:val="bottom"/>
            <w:gridSpan w:val="2"/>
            <w:shd w:val="clear" w:color="auto" w:fill="DCE2E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87.1</w:t>
            </w:r>
          </w:p>
        </w:tc>
        <w:tc>
          <w:tcPr>
            <w:tcW w:w="8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80.6</w:t>
            </w:r>
          </w:p>
        </w:tc>
      </w:tr>
      <w:tr>
        <w:trPr>
          <w:trHeight w:val="264"/>
        </w:trPr>
        <w:tc>
          <w:tcPr>
            <w:tcW w:w="5160" w:type="dxa"/>
            <w:vAlign w:val="bottom"/>
            <w:gridSpan w:val="4"/>
          </w:tcPr>
          <w:p>
            <w:pPr>
              <w:ind w:left="40"/>
              <w:spacing w:after="0"/>
              <w:rPr>
                <w:sz w:val="20"/>
                <w:szCs w:val="20"/>
                <w:color w:val="auto"/>
              </w:rPr>
            </w:pPr>
            <w:r>
              <w:rPr>
                <w:rFonts w:ascii="Arial" w:cs="Arial" w:eastAsia="Arial" w:hAnsi="Arial"/>
                <w:sz w:val="17"/>
                <w:szCs w:val="17"/>
                <w:color w:val="auto"/>
              </w:rPr>
              <w:t>(Loss) income from discontinued operations, net of taxes</w:t>
            </w:r>
          </w:p>
        </w:tc>
        <w:tc>
          <w:tcPr>
            <w:tcW w:w="24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(73.2)</w:t>
            </w:r>
          </w:p>
        </w:tc>
      </w:tr>
      <w:tr>
        <w:trPr>
          <w:trHeight w:val="241"/>
        </w:trPr>
        <w:tc>
          <w:tcPr>
            <w:tcW w:w="5160" w:type="dxa"/>
            <w:vAlign w:val="bottom"/>
            <w:tcBorders>
              <w:top w:val="single" w:sz="8" w:color="DCE2EF"/>
              <w:bottom w:val="single" w:sz="8" w:color="DCE2EF"/>
            </w:tcBorders>
            <w:gridSpan w:val="4"/>
            <w:shd w:val="clear" w:color="auto" w:fill="DCE2EF"/>
          </w:tcPr>
          <w:p>
            <w:pPr>
              <w:ind w:left="40"/>
              <w:spacing w:after="0"/>
              <w:rPr>
                <w:sz w:val="20"/>
                <w:szCs w:val="20"/>
                <w:color w:val="auto"/>
              </w:rPr>
            </w:pPr>
            <w:r>
              <w:rPr>
                <w:rFonts w:ascii="Arial" w:cs="Arial" w:eastAsia="Arial" w:hAnsi="Arial"/>
                <w:sz w:val="17"/>
                <w:szCs w:val="17"/>
                <w:b w:val="1"/>
                <w:bCs w:val="1"/>
                <w:color w:val="auto"/>
              </w:rPr>
              <w:t>Net income</w:t>
            </w:r>
          </w:p>
        </w:tc>
        <w:tc>
          <w:tcPr>
            <w:tcW w:w="240" w:type="dxa"/>
            <w:vAlign w:val="bottom"/>
            <w:tcBorders>
              <w:top w:val="single" w:sz="8" w:color="auto"/>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33.6</w:t>
            </w:r>
          </w:p>
        </w:tc>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8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gridSpan w:val="2"/>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32.9</w:t>
            </w:r>
          </w:p>
        </w:tc>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60" w:type="dxa"/>
            <w:vAlign w:val="bottom"/>
            <w:tcBorders>
              <w:top w:val="single" w:sz="8" w:color="DCE2EF"/>
              <w:bottom w:val="single" w:sz="8" w:color="DCE2EF"/>
            </w:tcBorders>
            <w:shd w:val="clear" w:color="auto" w:fill="DCE2E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DCE2E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88.1</w:t>
            </w:r>
          </w:p>
        </w:tc>
        <w:tc>
          <w:tcPr>
            <w:tcW w:w="80" w:type="dxa"/>
            <w:vAlign w:val="bottom"/>
            <w:tcBorders>
              <w:top w:val="single" w:sz="8" w:color="auto"/>
              <w:bottom w:val="single" w:sz="8" w:color="auto"/>
            </w:tcBorders>
            <w:shd w:val="clear" w:color="auto" w:fill="DCE2EF"/>
          </w:tcPr>
          <w:p>
            <w:pPr>
              <w:spacing w:after="0"/>
              <w:rPr>
                <w:sz w:val="20"/>
                <w:szCs w:val="20"/>
                <w:color w:val="auto"/>
              </w:rPr>
            </w:pPr>
          </w:p>
        </w:tc>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00" w:type="dxa"/>
            <w:vAlign w:val="bottom"/>
            <w:tcBorders>
              <w:top w:val="single" w:sz="8" w:color="auto"/>
              <w:bottom w:val="single" w:sz="8" w:color="auto"/>
            </w:tcBorders>
            <w:shd w:val="clear" w:color="auto" w:fill="DCE2E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7.4</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0"/>
        </w:trPr>
        <w:tc>
          <w:tcPr>
            <w:tcW w:w="5160" w:type="dxa"/>
            <w:vAlign w:val="bottom"/>
            <w:gridSpan w:val="4"/>
            <w:shd w:val="clear" w:color="auto" w:fill="DCE2EF"/>
          </w:tcPr>
          <w:p>
            <w:pPr>
              <w:ind w:left="40"/>
              <w:spacing w:after="0" w:line="190"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40" w:type="dxa"/>
            <w:vAlign w:val="bottom"/>
            <w:shd w:val="clear" w:color="auto" w:fill="DCE2EF"/>
          </w:tcPr>
          <w:p>
            <w:pPr>
              <w:spacing w:after="0"/>
              <w:rPr>
                <w:sz w:val="16"/>
                <w:szCs w:val="16"/>
                <w:color w:val="auto"/>
              </w:rPr>
            </w:pPr>
          </w:p>
        </w:tc>
        <w:tc>
          <w:tcPr>
            <w:tcW w:w="124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1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60" w:type="dxa"/>
            <w:vAlign w:val="bottom"/>
            <w:shd w:val="clear" w:color="auto" w:fill="DCE2EF"/>
          </w:tcPr>
          <w:p>
            <w:pPr>
              <w:spacing w:after="0"/>
              <w:rPr>
                <w:sz w:val="16"/>
                <w:szCs w:val="16"/>
                <w:color w:val="auto"/>
              </w:rPr>
            </w:pPr>
          </w:p>
        </w:tc>
        <w:tc>
          <w:tcPr>
            <w:tcW w:w="40" w:type="dxa"/>
            <w:vAlign w:val="bottom"/>
            <w:shd w:val="clear" w:color="auto" w:fill="DCE2EF"/>
          </w:tcPr>
          <w:p>
            <w:pPr>
              <w:spacing w:after="0"/>
              <w:rPr>
                <w:sz w:val="16"/>
                <w:szCs w:val="16"/>
                <w:color w:val="auto"/>
              </w:rPr>
            </w:pPr>
          </w:p>
        </w:tc>
        <w:tc>
          <w:tcPr>
            <w:tcW w:w="240" w:type="dxa"/>
            <w:vAlign w:val="bottom"/>
            <w:shd w:val="clear" w:color="auto" w:fill="DCE2EF"/>
          </w:tcPr>
          <w:p>
            <w:pPr>
              <w:spacing w:after="0"/>
              <w:rPr>
                <w:sz w:val="16"/>
                <w:szCs w:val="16"/>
                <w:color w:val="auto"/>
              </w:rPr>
            </w:pPr>
          </w:p>
        </w:tc>
        <w:tc>
          <w:tcPr>
            <w:tcW w:w="1120" w:type="dxa"/>
            <w:vAlign w:val="bottom"/>
            <w:shd w:val="clear" w:color="auto" w:fill="DCE2EF"/>
          </w:tcPr>
          <w:p>
            <w:pPr>
              <w:spacing w:after="0"/>
              <w:rPr>
                <w:sz w:val="16"/>
                <w:szCs w:val="16"/>
                <w:color w:val="auto"/>
              </w:rPr>
            </w:pPr>
          </w:p>
        </w:tc>
        <w:tc>
          <w:tcPr>
            <w:tcW w:w="80" w:type="dxa"/>
            <w:vAlign w:val="bottom"/>
            <w:shd w:val="clear" w:color="auto" w:fill="DCE2EF"/>
          </w:tcPr>
          <w:p>
            <w:pPr>
              <w:spacing w:after="0"/>
              <w:rPr>
                <w:sz w:val="16"/>
                <w:szCs w:val="16"/>
                <w:color w:val="auto"/>
              </w:rPr>
            </w:pPr>
          </w:p>
        </w:tc>
        <w:tc>
          <w:tcPr>
            <w:tcW w:w="20" w:type="dxa"/>
            <w:vAlign w:val="bottom"/>
            <w:shd w:val="clear" w:color="auto" w:fill="DCE2EF"/>
          </w:tcPr>
          <w:p>
            <w:pPr>
              <w:spacing w:after="0"/>
              <w:rPr>
                <w:sz w:val="16"/>
                <w:szCs w:val="16"/>
                <w:color w:val="auto"/>
              </w:rPr>
            </w:pPr>
          </w:p>
        </w:tc>
        <w:tc>
          <w:tcPr>
            <w:tcW w:w="100" w:type="dxa"/>
            <w:vAlign w:val="bottom"/>
            <w:shd w:val="clear" w:color="auto" w:fill="DCE2EF"/>
          </w:tcPr>
          <w:p>
            <w:pPr>
              <w:spacing w:after="0"/>
              <w:rPr>
                <w:sz w:val="16"/>
                <w:szCs w:val="16"/>
                <w:color w:val="auto"/>
              </w:rPr>
            </w:pPr>
          </w:p>
        </w:tc>
        <w:tc>
          <w:tcPr>
            <w:tcW w:w="300" w:type="dxa"/>
            <w:vAlign w:val="bottom"/>
            <w:shd w:val="clear" w:color="auto" w:fill="DCE2EF"/>
          </w:tcPr>
          <w:p>
            <w:pPr>
              <w:spacing w:after="0"/>
              <w:rPr>
                <w:sz w:val="16"/>
                <w:szCs w:val="16"/>
                <w:color w:val="auto"/>
              </w:rPr>
            </w:pPr>
          </w:p>
        </w:tc>
        <w:tc>
          <w:tcPr>
            <w:tcW w:w="1180" w:type="dxa"/>
            <w:vAlign w:val="bottom"/>
            <w:shd w:val="clear" w:color="auto" w:fill="DCE2EF"/>
          </w:tcPr>
          <w:p>
            <w:pPr>
              <w:spacing w:after="0"/>
              <w:rPr>
                <w:sz w:val="16"/>
                <w:szCs w:val="16"/>
                <w:color w:val="auto"/>
              </w:rPr>
            </w:pPr>
          </w:p>
        </w:tc>
      </w:tr>
      <w:tr>
        <w:trPr>
          <w:trHeight w:val="242"/>
        </w:trPr>
        <w:tc>
          <w:tcPr>
            <w:tcW w:w="40" w:type="dxa"/>
            <w:vAlign w:val="bottom"/>
            <w:shd w:val="clear" w:color="auto" w:fill="DCE2EF"/>
          </w:tcPr>
          <w:p>
            <w:pPr>
              <w:spacing w:after="0"/>
              <w:rPr>
                <w:sz w:val="21"/>
                <w:szCs w:val="21"/>
                <w:color w:val="auto"/>
              </w:rPr>
            </w:pPr>
          </w:p>
        </w:tc>
        <w:tc>
          <w:tcPr>
            <w:tcW w:w="5120" w:type="dxa"/>
            <w:vAlign w:val="bottom"/>
            <w:gridSpan w:val="3"/>
            <w:shd w:val="clear" w:color="auto" w:fill="DCE2EF"/>
          </w:tcPr>
          <w:p>
            <w:pPr>
              <w:ind w:left="160"/>
              <w:spacing w:after="0"/>
              <w:rPr>
                <w:sz w:val="20"/>
                <w:szCs w:val="20"/>
                <w:color w:val="auto"/>
              </w:rPr>
            </w:pPr>
            <w:r>
              <w:rPr>
                <w:rFonts w:ascii="Arial" w:cs="Arial" w:eastAsia="Arial" w:hAnsi="Arial"/>
                <w:sz w:val="17"/>
                <w:szCs w:val="17"/>
                <w:b w:val="1"/>
                <w:bCs w:val="1"/>
                <w:color w:val="auto"/>
              </w:rPr>
              <w:t>outstanding — Basic</w:t>
            </w:r>
          </w:p>
        </w:tc>
        <w:tc>
          <w:tcPr>
            <w:tcW w:w="240" w:type="dxa"/>
            <w:vAlign w:val="bottom"/>
            <w:shd w:val="clear" w:color="auto" w:fill="DCE2EF"/>
          </w:tcPr>
          <w:p>
            <w:pPr>
              <w:spacing w:after="0"/>
              <w:rPr>
                <w:sz w:val="21"/>
                <w:szCs w:val="21"/>
                <w:color w:val="auto"/>
              </w:rPr>
            </w:pP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66.1</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56.1</w:t>
            </w:r>
          </w:p>
        </w:tc>
        <w:tc>
          <w:tcPr>
            <w:tcW w:w="40" w:type="dxa"/>
            <w:vAlign w:val="bottom"/>
            <w:shd w:val="clear" w:color="auto" w:fill="DCE2EF"/>
          </w:tcPr>
          <w:p>
            <w:pPr>
              <w:spacing w:after="0"/>
              <w:rPr>
                <w:sz w:val="21"/>
                <w:szCs w:val="21"/>
                <w:color w:val="auto"/>
              </w:rPr>
            </w:pPr>
          </w:p>
        </w:tc>
        <w:tc>
          <w:tcPr>
            <w:tcW w:w="6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66.0</w:t>
            </w:r>
          </w:p>
        </w:tc>
        <w:tc>
          <w:tcPr>
            <w:tcW w:w="8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1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56.0</w:t>
            </w:r>
          </w:p>
        </w:tc>
      </w:tr>
      <w:tr>
        <w:trPr>
          <w:trHeight w:val="261"/>
        </w:trPr>
        <w:tc>
          <w:tcPr>
            <w:tcW w:w="5160" w:type="dxa"/>
            <w:vAlign w:val="bottom"/>
            <w:gridSpan w:val="4"/>
          </w:tcPr>
          <w:p>
            <w:pPr>
              <w:ind w:left="40"/>
              <w:spacing w:after="0"/>
              <w:rPr>
                <w:sz w:val="20"/>
                <w:szCs w:val="20"/>
                <w:color w:val="auto"/>
              </w:rPr>
            </w:pPr>
            <w:r>
              <w:rPr>
                <w:rFonts w:ascii="Arial" w:cs="Arial" w:eastAsia="Arial" w:hAnsi="Arial"/>
                <w:sz w:val="17"/>
                <w:szCs w:val="17"/>
                <w:color w:val="auto"/>
              </w:rPr>
              <w:t>Effect of dilutive securities</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9"/>
        </w:trPr>
        <w:tc>
          <w:tcPr>
            <w:tcW w:w="40" w:type="dxa"/>
            <w:vAlign w:val="bottom"/>
            <w:shd w:val="clear" w:color="auto" w:fill="DCE2EF"/>
          </w:tcPr>
          <w:p>
            <w:pPr>
              <w:spacing w:after="0"/>
              <w:rPr>
                <w:sz w:val="24"/>
                <w:szCs w:val="24"/>
                <w:color w:val="auto"/>
              </w:rPr>
            </w:pPr>
          </w:p>
        </w:tc>
        <w:tc>
          <w:tcPr>
            <w:tcW w:w="5120" w:type="dxa"/>
            <w:vAlign w:val="bottom"/>
            <w:gridSpan w:val="3"/>
            <w:shd w:val="clear" w:color="auto" w:fill="DCE2EF"/>
          </w:tcPr>
          <w:p>
            <w:pPr>
              <w:ind w:left="340"/>
              <w:spacing w:after="0"/>
              <w:rPr>
                <w:sz w:val="20"/>
                <w:szCs w:val="20"/>
                <w:color w:val="auto"/>
              </w:rPr>
            </w:pPr>
            <w:r>
              <w:rPr>
                <w:rFonts w:ascii="Arial" w:cs="Arial" w:eastAsia="Arial" w:hAnsi="Arial"/>
                <w:sz w:val="17"/>
                <w:szCs w:val="17"/>
                <w:color w:val="auto"/>
              </w:rPr>
              <w:t>Restricted stock units</w:t>
            </w:r>
          </w:p>
        </w:tc>
        <w:tc>
          <w:tcPr>
            <w:tcW w:w="24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0.1</w:t>
            </w: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0.3</w:t>
            </w:r>
          </w:p>
        </w:tc>
        <w:tc>
          <w:tcPr>
            <w:tcW w:w="4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0.1</w:t>
            </w:r>
          </w:p>
        </w:tc>
        <w:tc>
          <w:tcPr>
            <w:tcW w:w="8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0.3</w:t>
            </w:r>
          </w:p>
        </w:tc>
      </w:tr>
      <w:tr>
        <w:trPr>
          <w:trHeight w:val="261"/>
        </w:trPr>
        <w:tc>
          <w:tcPr>
            <w:tcW w:w="40" w:type="dxa"/>
            <w:vAlign w:val="bottom"/>
          </w:tcPr>
          <w:p>
            <w:pPr>
              <w:spacing w:after="0"/>
              <w:rPr>
                <w:sz w:val="22"/>
                <w:szCs w:val="22"/>
                <w:color w:val="auto"/>
              </w:rPr>
            </w:pPr>
          </w:p>
        </w:tc>
        <w:tc>
          <w:tcPr>
            <w:tcW w:w="5120" w:type="dxa"/>
            <w:vAlign w:val="bottom"/>
            <w:gridSpan w:val="3"/>
          </w:tcPr>
          <w:p>
            <w:pPr>
              <w:ind w:left="340"/>
              <w:spacing w:after="0"/>
              <w:rPr>
                <w:sz w:val="20"/>
                <w:szCs w:val="20"/>
                <w:color w:val="auto"/>
              </w:rPr>
            </w:pPr>
            <w:r>
              <w:rPr>
                <w:rFonts w:ascii="Arial" w:cs="Arial" w:eastAsia="Arial" w:hAnsi="Arial"/>
                <w:sz w:val="17"/>
                <w:szCs w:val="17"/>
                <w:color w:val="auto"/>
              </w:rPr>
              <w:t>Stock options</w:t>
            </w:r>
          </w:p>
        </w:tc>
        <w:tc>
          <w:tcPr>
            <w:tcW w:w="240" w:type="dxa"/>
            <w:vAlign w:val="bottom"/>
          </w:tcPr>
          <w:p>
            <w:pPr>
              <w:spacing w:after="0"/>
              <w:rPr>
                <w:sz w:val="22"/>
                <w:szCs w:val="22"/>
                <w:color w:val="auto"/>
              </w:rPr>
            </w:pP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0.1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0.2</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0.2</w:t>
            </w:r>
          </w:p>
        </w:tc>
      </w:tr>
      <w:tr>
        <w:trPr>
          <w:trHeight w:val="279"/>
        </w:trPr>
        <w:tc>
          <w:tcPr>
            <w:tcW w:w="40" w:type="dxa"/>
            <w:vAlign w:val="bottom"/>
            <w:shd w:val="clear" w:color="auto" w:fill="DCE2EF"/>
          </w:tcPr>
          <w:p>
            <w:pPr>
              <w:spacing w:after="0"/>
              <w:rPr>
                <w:sz w:val="24"/>
                <w:szCs w:val="24"/>
                <w:color w:val="auto"/>
              </w:rPr>
            </w:pPr>
          </w:p>
        </w:tc>
        <w:tc>
          <w:tcPr>
            <w:tcW w:w="5120" w:type="dxa"/>
            <w:vAlign w:val="bottom"/>
            <w:gridSpan w:val="3"/>
            <w:shd w:val="clear" w:color="auto" w:fill="DCE2EF"/>
          </w:tcPr>
          <w:p>
            <w:pPr>
              <w:ind w:left="340"/>
              <w:spacing w:after="0"/>
              <w:rPr>
                <w:sz w:val="20"/>
                <w:szCs w:val="20"/>
                <w:color w:val="auto"/>
              </w:rPr>
            </w:pPr>
            <w:r>
              <w:rPr>
                <w:rFonts w:ascii="Arial" w:cs="Arial" w:eastAsia="Arial" w:hAnsi="Arial"/>
                <w:sz w:val="17"/>
                <w:szCs w:val="17"/>
                <w:color w:val="auto"/>
              </w:rPr>
              <w:t>Performance shares</w:t>
            </w:r>
          </w:p>
        </w:tc>
        <w:tc>
          <w:tcPr>
            <w:tcW w:w="240" w:type="dxa"/>
            <w:vAlign w:val="bottom"/>
            <w:shd w:val="clear" w:color="auto" w:fill="DCE2EF"/>
          </w:tcPr>
          <w:p>
            <w:pPr>
              <w:spacing w:after="0"/>
              <w:rPr>
                <w:sz w:val="24"/>
                <w:szCs w:val="24"/>
                <w:color w:val="auto"/>
              </w:rPr>
            </w:pPr>
          </w:p>
        </w:tc>
        <w:tc>
          <w:tcPr>
            <w:tcW w:w="1340" w:type="dxa"/>
            <w:vAlign w:val="bottom"/>
            <w:gridSpan w:val="3"/>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260" w:type="dxa"/>
            <w:vAlign w:val="bottom"/>
            <w:gridSpan w:val="3"/>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320" w:type="dxa"/>
            <w:vAlign w:val="bottom"/>
            <w:gridSpan w:val="4"/>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0.1</w:t>
            </w:r>
          </w:p>
        </w:tc>
      </w:tr>
      <w:tr>
        <w:trPr>
          <w:trHeight w:val="170"/>
        </w:trPr>
        <w:tc>
          <w:tcPr>
            <w:tcW w:w="5160" w:type="dxa"/>
            <w:vAlign w:val="bottom"/>
            <w:gridSpan w:val="4"/>
          </w:tcPr>
          <w:p>
            <w:pPr>
              <w:ind w:left="40"/>
              <w:spacing w:after="0" w:line="170" w:lineRule="exact"/>
              <w:rPr>
                <w:sz w:val="20"/>
                <w:szCs w:val="20"/>
                <w:color w:val="auto"/>
              </w:rPr>
            </w:pPr>
            <w:r>
              <w:rPr>
                <w:rFonts w:ascii="Arial" w:cs="Arial" w:eastAsia="Arial" w:hAnsi="Arial"/>
                <w:sz w:val="17"/>
                <w:szCs w:val="17"/>
                <w:b w:val="1"/>
                <w:bCs w:val="1"/>
                <w:color w:val="auto"/>
              </w:rPr>
              <w:t>Weighted-average common and common equivalent shares</w:t>
            </w:r>
          </w:p>
        </w:tc>
        <w:tc>
          <w:tcPr>
            <w:tcW w:w="24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r>
      <w:tr>
        <w:trPr>
          <w:trHeight w:val="267"/>
        </w:trPr>
        <w:tc>
          <w:tcPr>
            <w:tcW w:w="40" w:type="dxa"/>
            <w:vAlign w:val="bottom"/>
            <w:tcBorders>
              <w:bottom w:val="single" w:sz="8" w:color="DCE2EF"/>
            </w:tcBorders>
          </w:tcPr>
          <w:p>
            <w:pPr>
              <w:spacing w:after="0"/>
              <w:rPr>
                <w:sz w:val="23"/>
                <w:szCs w:val="23"/>
                <w:color w:val="auto"/>
              </w:rPr>
            </w:pPr>
          </w:p>
        </w:tc>
        <w:tc>
          <w:tcPr>
            <w:tcW w:w="5120" w:type="dxa"/>
            <w:vAlign w:val="bottom"/>
            <w:tcBorders>
              <w:bottom w:val="single" w:sz="8" w:color="DCE2EF"/>
            </w:tcBorders>
            <w:gridSpan w:val="3"/>
          </w:tcPr>
          <w:p>
            <w:pPr>
              <w:ind w:left="160"/>
              <w:spacing w:after="0"/>
              <w:rPr>
                <w:sz w:val="20"/>
                <w:szCs w:val="20"/>
                <w:color w:val="auto"/>
              </w:rPr>
            </w:pPr>
            <w:r>
              <w:rPr>
                <w:rFonts w:ascii="Arial" w:cs="Arial" w:eastAsia="Arial" w:hAnsi="Arial"/>
                <w:sz w:val="17"/>
                <w:szCs w:val="17"/>
                <w:b w:val="1"/>
                <w:bCs w:val="1"/>
                <w:color w:val="auto"/>
              </w:rPr>
              <w:t>outstanding — Diluted</w:t>
            </w: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66.3</w:t>
            </w:r>
          </w:p>
        </w:tc>
        <w:tc>
          <w:tcPr>
            <w:tcW w:w="20" w:type="dxa"/>
            <w:vAlign w:val="bottom"/>
            <w:tcBorders>
              <w:bottom w:val="single" w:sz="8" w:color="DCE2EF"/>
            </w:tcBorders>
          </w:tcPr>
          <w:p>
            <w:pPr>
              <w:spacing w:after="0"/>
              <w:rPr>
                <w:sz w:val="23"/>
                <w:szCs w:val="23"/>
                <w:color w:val="auto"/>
              </w:rPr>
            </w:pPr>
          </w:p>
        </w:tc>
        <w:tc>
          <w:tcPr>
            <w:tcW w:w="80" w:type="dxa"/>
            <w:vAlign w:val="bottom"/>
            <w:tcBorders>
              <w:bottom w:val="single" w:sz="8" w:color="DCE2E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56.6</w:t>
            </w:r>
          </w:p>
        </w:tc>
        <w:tc>
          <w:tcPr>
            <w:tcW w:w="40" w:type="dxa"/>
            <w:vAlign w:val="bottom"/>
            <w:tcBorders>
              <w:bottom w:val="single" w:sz="8" w:color="DCE2EF"/>
            </w:tcBorders>
          </w:tcPr>
          <w:p>
            <w:pPr>
              <w:spacing w:after="0"/>
              <w:rPr>
                <w:sz w:val="23"/>
                <w:szCs w:val="23"/>
                <w:color w:val="auto"/>
              </w:rPr>
            </w:pPr>
          </w:p>
        </w:tc>
        <w:tc>
          <w:tcPr>
            <w:tcW w:w="60" w:type="dxa"/>
            <w:vAlign w:val="bottom"/>
            <w:tcBorders>
              <w:bottom w:val="single" w:sz="8" w:color="DCE2E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66.3</w:t>
            </w:r>
          </w:p>
        </w:tc>
        <w:tc>
          <w:tcPr>
            <w:tcW w:w="80" w:type="dxa"/>
            <w:vAlign w:val="bottom"/>
            <w:tcBorders>
              <w:bottom w:val="single" w:sz="8" w:color="auto"/>
            </w:tcBorders>
          </w:tcPr>
          <w:p>
            <w:pPr>
              <w:spacing w:after="0"/>
              <w:rPr>
                <w:sz w:val="23"/>
                <w:szCs w:val="23"/>
                <w:color w:val="auto"/>
              </w:rPr>
            </w:pPr>
          </w:p>
        </w:tc>
        <w:tc>
          <w:tcPr>
            <w:tcW w:w="20" w:type="dxa"/>
            <w:vAlign w:val="bottom"/>
            <w:tcBorders>
              <w:bottom w:val="single" w:sz="8" w:color="DCE2EF"/>
            </w:tcBorders>
          </w:tcPr>
          <w:p>
            <w:pPr>
              <w:spacing w:after="0"/>
              <w:rPr>
                <w:sz w:val="23"/>
                <w:szCs w:val="23"/>
                <w:color w:val="auto"/>
              </w:rPr>
            </w:pPr>
          </w:p>
        </w:tc>
        <w:tc>
          <w:tcPr>
            <w:tcW w:w="100" w:type="dxa"/>
            <w:vAlign w:val="bottom"/>
            <w:tcBorders>
              <w:bottom w:val="single" w:sz="8" w:color="DCE2E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56.6</w:t>
            </w:r>
          </w:p>
        </w:tc>
      </w:tr>
      <w:tr>
        <w:trPr>
          <w:trHeight w:val="280"/>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1540" w:type="dxa"/>
            <w:vAlign w:val="bottom"/>
            <w:shd w:val="clear" w:color="auto" w:fill="DCE2EF"/>
          </w:tcPr>
          <w:p>
            <w:pPr>
              <w:spacing w:after="0"/>
              <w:rPr>
                <w:sz w:val="24"/>
                <w:szCs w:val="24"/>
                <w:color w:val="auto"/>
              </w:rPr>
            </w:pPr>
          </w:p>
        </w:tc>
        <w:tc>
          <w:tcPr>
            <w:tcW w:w="288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24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16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4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11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180" w:type="dxa"/>
            <w:vAlign w:val="bottom"/>
            <w:shd w:val="clear" w:color="auto" w:fill="DCE2EF"/>
          </w:tcPr>
          <w:p>
            <w:pPr>
              <w:spacing w:after="0"/>
              <w:rPr>
                <w:sz w:val="24"/>
                <w:szCs w:val="24"/>
                <w:color w:val="auto"/>
              </w:rPr>
            </w:pPr>
          </w:p>
        </w:tc>
      </w:tr>
      <w:tr>
        <w:trPr>
          <w:trHeight w:val="261"/>
        </w:trPr>
        <w:tc>
          <w:tcPr>
            <w:tcW w:w="5160" w:type="dxa"/>
            <w:vAlign w:val="bottom"/>
            <w:gridSpan w:val="4"/>
          </w:tcPr>
          <w:p>
            <w:pPr>
              <w:ind w:left="40"/>
              <w:spacing w:after="0"/>
              <w:rPr>
                <w:sz w:val="20"/>
                <w:szCs w:val="20"/>
                <w:color w:val="auto"/>
              </w:rPr>
            </w:pPr>
            <w:r>
              <w:rPr>
                <w:rFonts w:ascii="Arial" w:cs="Arial" w:eastAsia="Arial" w:hAnsi="Arial"/>
                <w:sz w:val="17"/>
                <w:szCs w:val="17"/>
                <w:b w:val="1"/>
                <w:bCs w:val="1"/>
                <w:color w:val="auto"/>
              </w:rPr>
              <w:t>Net income per common share — Basic</w:t>
            </w: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79"/>
        </w:trPr>
        <w:tc>
          <w:tcPr>
            <w:tcW w:w="40" w:type="dxa"/>
            <w:vAlign w:val="bottom"/>
            <w:shd w:val="clear" w:color="auto" w:fill="DCE2EF"/>
          </w:tcPr>
          <w:p>
            <w:pPr>
              <w:spacing w:after="0"/>
              <w:rPr>
                <w:sz w:val="24"/>
                <w:szCs w:val="24"/>
                <w:color w:val="auto"/>
              </w:rPr>
            </w:pPr>
          </w:p>
        </w:tc>
        <w:tc>
          <w:tcPr>
            <w:tcW w:w="5120" w:type="dxa"/>
            <w:vAlign w:val="bottom"/>
            <w:gridSpan w:val="3"/>
            <w:shd w:val="clear" w:color="auto" w:fill="DCE2EF"/>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0.51</w:t>
            </w:r>
          </w:p>
        </w:tc>
        <w:tc>
          <w:tcPr>
            <w:tcW w:w="20" w:type="dxa"/>
            <w:vAlign w:val="bottom"/>
            <w:shd w:val="clear" w:color="auto" w:fill="DCE2EF"/>
          </w:tcPr>
          <w:p>
            <w:pPr>
              <w:spacing w:after="0"/>
              <w:rPr>
                <w:sz w:val="24"/>
                <w:szCs w:val="24"/>
                <w:color w:val="auto"/>
              </w:rPr>
            </w:pPr>
          </w:p>
        </w:tc>
        <w:tc>
          <w:tcPr>
            <w:tcW w:w="80" w:type="dxa"/>
            <w:vAlign w:val="bottom"/>
            <w:shd w:val="clear" w:color="auto" w:fill="DCE2EF"/>
          </w:tcPr>
          <w:p>
            <w:pPr>
              <w:spacing w:after="0"/>
              <w:rPr>
                <w:sz w:val="24"/>
                <w:szCs w:val="24"/>
                <w:color w:val="auto"/>
              </w:rPr>
            </w:pPr>
          </w:p>
        </w:tc>
        <w:tc>
          <w:tcPr>
            <w:tcW w:w="340" w:type="dxa"/>
            <w:vAlign w:val="bottom"/>
            <w:gridSpan w:val="2"/>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0.59</w:t>
            </w:r>
          </w:p>
        </w:tc>
        <w:tc>
          <w:tcPr>
            <w:tcW w:w="40" w:type="dxa"/>
            <w:vAlign w:val="bottom"/>
            <w:shd w:val="clear" w:color="auto" w:fill="DCE2EF"/>
          </w:tcPr>
          <w:p>
            <w:pPr>
              <w:spacing w:after="0"/>
              <w:rPr>
                <w:sz w:val="24"/>
                <w:szCs w:val="24"/>
                <w:color w:val="auto"/>
              </w:rPr>
            </w:pPr>
          </w:p>
        </w:tc>
        <w:tc>
          <w:tcPr>
            <w:tcW w:w="60" w:type="dxa"/>
            <w:vAlign w:val="bottom"/>
            <w:shd w:val="clear" w:color="auto" w:fill="DCE2EF"/>
          </w:tcPr>
          <w:p>
            <w:pPr>
              <w:spacing w:after="0"/>
              <w:rPr>
                <w:sz w:val="24"/>
                <w:szCs w:val="24"/>
                <w:color w:val="auto"/>
              </w:rPr>
            </w:pPr>
          </w:p>
        </w:tc>
        <w:tc>
          <w:tcPr>
            <w:tcW w:w="280" w:type="dxa"/>
            <w:vAlign w:val="bottom"/>
            <w:gridSpan w:val="2"/>
            <w:shd w:val="clear" w:color="auto" w:fill="DCE2E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1.32</w:t>
            </w:r>
          </w:p>
        </w:tc>
        <w:tc>
          <w:tcPr>
            <w:tcW w:w="80" w:type="dxa"/>
            <w:vAlign w:val="bottom"/>
            <w:shd w:val="clear" w:color="auto" w:fill="DCE2EF"/>
          </w:tcPr>
          <w:p>
            <w:pPr>
              <w:spacing w:after="0"/>
              <w:rPr>
                <w:sz w:val="24"/>
                <w:szCs w:val="24"/>
                <w:color w:val="auto"/>
              </w:rPr>
            </w:pPr>
          </w:p>
        </w:tc>
        <w:tc>
          <w:tcPr>
            <w:tcW w:w="2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300" w:type="dxa"/>
            <w:vAlign w:val="bottom"/>
            <w:shd w:val="clear" w:color="auto" w:fill="DCE2E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1.44</w:t>
            </w:r>
          </w:p>
        </w:tc>
      </w:tr>
      <w:tr>
        <w:trPr>
          <w:trHeight w:val="264"/>
        </w:trPr>
        <w:tc>
          <w:tcPr>
            <w:tcW w:w="40" w:type="dxa"/>
            <w:vAlign w:val="bottom"/>
          </w:tcPr>
          <w:p>
            <w:pPr>
              <w:spacing w:after="0"/>
              <w:rPr>
                <w:sz w:val="22"/>
                <w:szCs w:val="22"/>
                <w:color w:val="auto"/>
              </w:rPr>
            </w:pPr>
          </w:p>
        </w:tc>
        <w:tc>
          <w:tcPr>
            <w:tcW w:w="5120" w:type="dxa"/>
            <w:vAlign w:val="bottom"/>
            <w:gridSpan w:val="3"/>
          </w:tcPr>
          <w:p>
            <w:pPr>
              <w:ind w:left="340"/>
              <w:spacing w:after="0"/>
              <w:rPr>
                <w:sz w:val="20"/>
                <w:szCs w:val="20"/>
                <w:color w:val="auto"/>
              </w:rPr>
            </w:pPr>
            <w:r>
              <w:rPr>
                <w:rFonts w:ascii="Arial" w:cs="Arial" w:eastAsia="Arial" w:hAnsi="Arial"/>
                <w:sz w:val="17"/>
                <w:szCs w:val="17"/>
                <w:color w:val="auto"/>
              </w:rPr>
              <w:t>Income (loss) from discontinued operations</w:t>
            </w:r>
          </w:p>
        </w:tc>
        <w:tc>
          <w:tcPr>
            <w:tcW w:w="240" w:type="dxa"/>
            <w:vAlign w:val="bottom"/>
          </w:tcPr>
          <w:p>
            <w:pPr>
              <w:spacing w:after="0"/>
              <w:rPr>
                <w:sz w:val="22"/>
                <w:szCs w:val="22"/>
                <w:color w:val="auto"/>
              </w:rPr>
            </w:pPr>
          </w:p>
        </w:tc>
        <w:tc>
          <w:tcPr>
            <w:tcW w:w="134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0.02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(1.31)</w:t>
            </w:r>
          </w:p>
        </w:tc>
      </w:tr>
      <w:tr>
        <w:trPr>
          <w:trHeight w:val="241"/>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5120" w:type="dxa"/>
            <w:vAlign w:val="bottom"/>
            <w:tcBorders>
              <w:top w:val="single" w:sz="8" w:color="DCE2EF"/>
              <w:bottom w:val="single" w:sz="8" w:color="DCE2EF"/>
            </w:tcBorders>
            <w:gridSpan w:val="3"/>
            <w:shd w:val="clear" w:color="auto" w:fill="DCE2EF"/>
          </w:tcPr>
          <w:p>
            <w:pPr>
              <w:ind w:left="340"/>
              <w:spacing w:after="0"/>
              <w:rPr>
                <w:sz w:val="20"/>
                <w:szCs w:val="20"/>
                <w:color w:val="auto"/>
              </w:rPr>
            </w:pPr>
            <w:r>
              <w:rPr>
                <w:rFonts w:ascii="Arial" w:cs="Arial" w:eastAsia="Arial" w:hAnsi="Arial"/>
                <w:sz w:val="17"/>
                <w:szCs w:val="17"/>
                <w:color w:val="auto"/>
              </w:rPr>
              <w:t>Net income</w:t>
            </w:r>
          </w:p>
        </w:tc>
        <w:tc>
          <w:tcPr>
            <w:tcW w:w="240" w:type="dxa"/>
            <w:vAlign w:val="bottom"/>
            <w:tcBorders>
              <w:top w:val="single" w:sz="8" w:color="auto"/>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0.51</w:t>
            </w:r>
          </w:p>
        </w:tc>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8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gridSpan w:val="2"/>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shd w:val="clear" w:color="auto" w:fill="DCE2EF"/>
          </w:tcPr>
          <w:p>
            <w:pPr>
              <w:jc w:val="right"/>
              <w:ind w:right="35"/>
              <w:spacing w:after="0"/>
              <w:rPr>
                <w:sz w:val="20"/>
                <w:szCs w:val="20"/>
                <w:color w:val="auto"/>
              </w:rPr>
            </w:pPr>
            <w:r>
              <w:rPr>
                <w:rFonts w:ascii="Arial" w:cs="Arial" w:eastAsia="Arial" w:hAnsi="Arial"/>
                <w:sz w:val="17"/>
                <w:szCs w:val="17"/>
                <w:color w:val="auto"/>
              </w:rPr>
              <w:t>0.59</w:t>
            </w:r>
          </w:p>
        </w:tc>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60" w:type="dxa"/>
            <w:vAlign w:val="bottom"/>
            <w:tcBorders>
              <w:top w:val="single" w:sz="8" w:color="DCE2EF"/>
              <w:bottom w:val="single" w:sz="8" w:color="DCE2EF"/>
            </w:tcBorders>
            <w:shd w:val="clear" w:color="auto" w:fill="DCE2E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DCE2E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shd w:val="clear" w:color="auto" w:fill="DCE2EF"/>
          </w:tcPr>
          <w:p>
            <w:pPr>
              <w:jc w:val="right"/>
              <w:spacing w:after="0"/>
              <w:rPr>
                <w:sz w:val="20"/>
                <w:szCs w:val="20"/>
                <w:color w:val="auto"/>
              </w:rPr>
            </w:pPr>
            <w:r>
              <w:rPr>
                <w:rFonts w:ascii="Arial" w:cs="Arial" w:eastAsia="Arial" w:hAnsi="Arial"/>
                <w:sz w:val="17"/>
                <w:szCs w:val="17"/>
                <w:color w:val="auto"/>
              </w:rPr>
              <w:t>1.33</w:t>
            </w:r>
          </w:p>
        </w:tc>
        <w:tc>
          <w:tcPr>
            <w:tcW w:w="80" w:type="dxa"/>
            <w:vAlign w:val="bottom"/>
            <w:tcBorders>
              <w:top w:val="single" w:sz="8" w:color="auto"/>
              <w:bottom w:val="single" w:sz="8" w:color="auto"/>
            </w:tcBorders>
            <w:shd w:val="clear" w:color="auto" w:fill="DCE2EF"/>
          </w:tcPr>
          <w:p>
            <w:pPr>
              <w:spacing w:after="0"/>
              <w:rPr>
                <w:sz w:val="20"/>
                <w:szCs w:val="20"/>
                <w:color w:val="auto"/>
              </w:rPr>
            </w:pPr>
          </w:p>
        </w:tc>
        <w:tc>
          <w:tcPr>
            <w:tcW w:w="20" w:type="dxa"/>
            <w:vAlign w:val="bottom"/>
            <w:tcBorders>
              <w:top w:val="single" w:sz="8" w:color="DCE2EF"/>
              <w:bottom w:val="single" w:sz="8" w:color="DCE2EF"/>
            </w:tcBorders>
            <w:shd w:val="clear" w:color="auto" w:fill="DCE2EF"/>
          </w:tcPr>
          <w:p>
            <w:pPr>
              <w:spacing w:after="0"/>
              <w:rPr>
                <w:sz w:val="20"/>
                <w:szCs w:val="20"/>
                <w:color w:val="auto"/>
              </w:rPr>
            </w:pP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00" w:type="dxa"/>
            <w:vAlign w:val="bottom"/>
            <w:tcBorders>
              <w:top w:val="single" w:sz="8" w:color="auto"/>
              <w:bottom w:val="single" w:sz="8" w:color="auto"/>
            </w:tcBorders>
            <w:shd w:val="clear" w:color="auto" w:fill="DCE2EF"/>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DCE2EF"/>
          </w:tcPr>
          <w:p>
            <w:pPr>
              <w:jc w:val="right"/>
              <w:ind w:right="15"/>
              <w:spacing w:after="0"/>
              <w:rPr>
                <w:sz w:val="20"/>
                <w:szCs w:val="20"/>
                <w:color w:val="auto"/>
              </w:rPr>
            </w:pPr>
            <w:r>
              <w:rPr>
                <w:rFonts w:ascii="Arial" w:cs="Arial" w:eastAsia="Arial" w:hAnsi="Arial"/>
                <w:sz w:val="17"/>
                <w:szCs w:val="17"/>
                <w:color w:val="auto"/>
              </w:rPr>
              <w:t>0.13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5160" w:type="dxa"/>
            <w:vAlign w:val="bottom"/>
            <w:gridSpan w:val="4"/>
            <w:shd w:val="clear" w:color="auto" w:fill="DCE2EF"/>
          </w:tcPr>
          <w:p>
            <w:pPr>
              <w:ind w:left="40"/>
              <w:spacing w:after="0"/>
              <w:rPr>
                <w:sz w:val="20"/>
                <w:szCs w:val="20"/>
                <w:color w:val="auto"/>
              </w:rPr>
            </w:pPr>
            <w:r>
              <w:rPr>
                <w:rFonts w:ascii="Arial" w:cs="Arial" w:eastAsia="Arial" w:hAnsi="Arial"/>
                <w:sz w:val="17"/>
                <w:szCs w:val="17"/>
                <w:b w:val="1"/>
                <w:bCs w:val="1"/>
                <w:color w:val="auto"/>
              </w:rPr>
              <w:t>Net income per common share — Diluted</w:t>
            </w:r>
          </w:p>
        </w:tc>
        <w:tc>
          <w:tcPr>
            <w:tcW w:w="240" w:type="dxa"/>
            <w:vAlign w:val="bottom"/>
            <w:shd w:val="clear" w:color="auto" w:fill="DCE2EF"/>
          </w:tcPr>
          <w:p>
            <w:pPr>
              <w:spacing w:after="0"/>
              <w:rPr>
                <w:sz w:val="23"/>
                <w:szCs w:val="23"/>
                <w:color w:val="auto"/>
              </w:rPr>
            </w:pPr>
          </w:p>
        </w:tc>
        <w:tc>
          <w:tcPr>
            <w:tcW w:w="124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6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60" w:type="dxa"/>
            <w:vAlign w:val="bottom"/>
            <w:shd w:val="clear" w:color="auto" w:fill="DCE2EF"/>
          </w:tcPr>
          <w:p>
            <w:pPr>
              <w:spacing w:after="0"/>
              <w:rPr>
                <w:sz w:val="23"/>
                <w:szCs w:val="23"/>
                <w:color w:val="auto"/>
              </w:rPr>
            </w:pPr>
          </w:p>
        </w:tc>
        <w:tc>
          <w:tcPr>
            <w:tcW w:w="4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120" w:type="dxa"/>
            <w:vAlign w:val="bottom"/>
            <w:shd w:val="clear" w:color="auto" w:fill="DCE2EF"/>
          </w:tcPr>
          <w:p>
            <w:pPr>
              <w:spacing w:after="0"/>
              <w:rPr>
                <w:sz w:val="23"/>
                <w:szCs w:val="23"/>
                <w:color w:val="auto"/>
              </w:rPr>
            </w:pPr>
          </w:p>
        </w:tc>
        <w:tc>
          <w:tcPr>
            <w:tcW w:w="8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spacing w:after="0"/>
              <w:rPr>
                <w:sz w:val="23"/>
                <w:szCs w:val="23"/>
                <w:color w:val="auto"/>
              </w:rPr>
            </w:pPr>
          </w:p>
        </w:tc>
      </w:tr>
      <w:tr>
        <w:trPr>
          <w:trHeight w:val="261"/>
        </w:trPr>
        <w:tc>
          <w:tcPr>
            <w:tcW w:w="40" w:type="dxa"/>
            <w:vAlign w:val="bottom"/>
          </w:tcPr>
          <w:p>
            <w:pPr>
              <w:spacing w:after="0"/>
              <w:rPr>
                <w:sz w:val="22"/>
                <w:szCs w:val="22"/>
                <w:color w:val="auto"/>
              </w:rPr>
            </w:pPr>
          </w:p>
        </w:tc>
        <w:tc>
          <w:tcPr>
            <w:tcW w:w="5120" w:type="dxa"/>
            <w:vAlign w:val="bottom"/>
            <w:gridSpan w:val="3"/>
          </w:tcPr>
          <w:p>
            <w:pPr>
              <w:ind w:left="340"/>
              <w:spacing w:after="0"/>
              <w:rPr>
                <w:sz w:val="20"/>
                <w:szCs w:val="20"/>
                <w:color w:val="auto"/>
              </w:rPr>
            </w:pPr>
            <w:r>
              <w:rPr>
                <w:rFonts w:ascii="Arial" w:cs="Arial" w:eastAsia="Arial" w:hAnsi="Arial"/>
                <w:sz w:val="17"/>
                <w:szCs w:val="17"/>
                <w:color w:val="auto"/>
              </w:rPr>
              <w:t>Income from continuing operations</w:t>
            </w:r>
          </w:p>
        </w:tc>
        <w:tc>
          <w:tcPr>
            <w:tcW w:w="2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Pr>
          <w:p>
            <w:pPr>
              <w:jc w:val="right"/>
              <w:ind w:right="15"/>
              <w:spacing w:after="0"/>
              <w:rPr>
                <w:sz w:val="20"/>
                <w:szCs w:val="20"/>
                <w:color w:val="auto"/>
              </w:rPr>
            </w:pPr>
            <w:r>
              <w:rPr>
                <w:rFonts w:ascii="Arial" w:cs="Arial" w:eastAsia="Arial" w:hAnsi="Arial"/>
                <w:sz w:val="17"/>
                <w:szCs w:val="17"/>
                <w:color w:val="auto"/>
              </w:rPr>
              <w:t>0.51</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35"/>
              <w:spacing w:after="0"/>
              <w:rPr>
                <w:sz w:val="20"/>
                <w:szCs w:val="20"/>
                <w:color w:val="auto"/>
              </w:rPr>
            </w:pPr>
            <w:r>
              <w:rPr>
                <w:rFonts w:ascii="Arial" w:cs="Arial" w:eastAsia="Arial" w:hAnsi="Arial"/>
                <w:sz w:val="17"/>
                <w:szCs w:val="17"/>
                <w:color w:val="auto"/>
              </w:rPr>
              <w:t>0.58</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1.31</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15"/>
              <w:spacing w:after="0"/>
              <w:rPr>
                <w:sz w:val="20"/>
                <w:szCs w:val="20"/>
                <w:color w:val="auto"/>
              </w:rPr>
            </w:pPr>
            <w:r>
              <w:rPr>
                <w:rFonts w:ascii="Arial" w:cs="Arial" w:eastAsia="Arial" w:hAnsi="Arial"/>
                <w:sz w:val="17"/>
                <w:szCs w:val="17"/>
                <w:color w:val="auto"/>
              </w:rPr>
              <w:t>1.42</w:t>
            </w:r>
          </w:p>
        </w:tc>
      </w:tr>
      <w:tr>
        <w:trPr>
          <w:trHeight w:val="272"/>
        </w:trPr>
        <w:tc>
          <w:tcPr>
            <w:tcW w:w="40" w:type="dxa"/>
            <w:vAlign w:val="bottom"/>
            <w:shd w:val="clear" w:color="auto" w:fill="DCE2EF"/>
          </w:tcPr>
          <w:p>
            <w:pPr>
              <w:spacing w:after="0"/>
              <w:rPr>
                <w:sz w:val="23"/>
                <w:szCs w:val="23"/>
                <w:color w:val="auto"/>
              </w:rPr>
            </w:pPr>
          </w:p>
        </w:tc>
        <w:tc>
          <w:tcPr>
            <w:tcW w:w="5120" w:type="dxa"/>
            <w:vAlign w:val="bottom"/>
            <w:gridSpan w:val="3"/>
            <w:shd w:val="clear" w:color="auto" w:fill="DCE2EF"/>
          </w:tcPr>
          <w:p>
            <w:pPr>
              <w:ind w:left="340"/>
              <w:spacing w:after="0"/>
              <w:rPr>
                <w:sz w:val="20"/>
                <w:szCs w:val="20"/>
                <w:color w:val="auto"/>
              </w:rPr>
            </w:pPr>
            <w:r>
              <w:rPr>
                <w:rFonts w:ascii="Arial" w:cs="Arial" w:eastAsia="Arial" w:hAnsi="Arial"/>
                <w:sz w:val="17"/>
                <w:szCs w:val="17"/>
                <w:color w:val="auto"/>
              </w:rPr>
              <w:t>Income (loss) from discontinued operations</w:t>
            </w:r>
          </w:p>
        </w:tc>
        <w:tc>
          <w:tcPr>
            <w:tcW w:w="240" w:type="dxa"/>
            <w:vAlign w:val="bottom"/>
            <w:shd w:val="clear" w:color="auto" w:fill="DCE2EF"/>
          </w:tcPr>
          <w:p>
            <w:pPr>
              <w:spacing w:after="0"/>
              <w:rPr>
                <w:sz w:val="23"/>
                <w:szCs w:val="23"/>
                <w:color w:val="auto"/>
              </w:rPr>
            </w:pPr>
          </w:p>
        </w:tc>
        <w:tc>
          <w:tcPr>
            <w:tcW w:w="1340" w:type="dxa"/>
            <w:vAlign w:val="bottom"/>
            <w:gridSpan w:val="3"/>
            <w:shd w:val="clear" w:color="auto" w:fill="DCE2EF"/>
          </w:tcPr>
          <w:p>
            <w:pPr>
              <w:jc w:val="right"/>
              <w:ind w:right="200"/>
              <w:spacing w:after="0"/>
              <w:rPr>
                <w:sz w:val="20"/>
                <w:szCs w:val="20"/>
                <w:color w:val="auto"/>
              </w:rPr>
            </w:pPr>
            <w:r>
              <w:rPr>
                <w:rFonts w:ascii="Arial" w:cs="Arial" w:eastAsia="Arial" w:hAnsi="Arial"/>
                <w:sz w:val="17"/>
                <w:szCs w:val="17"/>
                <w:color w:val="auto"/>
              </w:rPr>
              <w:t>—</w:t>
            </w:r>
          </w:p>
        </w:tc>
        <w:tc>
          <w:tcPr>
            <w:tcW w:w="4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260" w:type="dxa"/>
            <w:vAlign w:val="bottom"/>
            <w:gridSpan w:val="3"/>
            <w:shd w:val="clear" w:color="auto" w:fill="DCE2EF"/>
          </w:tcPr>
          <w:p>
            <w:pPr>
              <w:jc w:val="right"/>
              <w:ind w:right="220"/>
              <w:spacing w:after="0"/>
              <w:rPr>
                <w:sz w:val="20"/>
                <w:szCs w:val="20"/>
                <w:color w:val="auto"/>
              </w:rPr>
            </w:pPr>
            <w:r>
              <w:rPr>
                <w:rFonts w:ascii="Arial" w:cs="Arial" w:eastAsia="Arial" w:hAnsi="Arial"/>
                <w:sz w:val="17"/>
                <w:szCs w:val="17"/>
                <w:color w:val="auto"/>
              </w:rPr>
              <w:t>—</w:t>
            </w:r>
          </w:p>
        </w:tc>
        <w:tc>
          <w:tcPr>
            <w:tcW w:w="40" w:type="dxa"/>
            <w:vAlign w:val="bottom"/>
            <w:shd w:val="clear" w:color="auto" w:fill="DCE2EF"/>
          </w:tcPr>
          <w:p>
            <w:pPr>
              <w:spacing w:after="0"/>
              <w:rPr>
                <w:sz w:val="23"/>
                <w:szCs w:val="23"/>
                <w:color w:val="auto"/>
              </w:rPr>
            </w:pPr>
          </w:p>
        </w:tc>
        <w:tc>
          <w:tcPr>
            <w:tcW w:w="240" w:type="dxa"/>
            <w:vAlign w:val="bottom"/>
            <w:shd w:val="clear" w:color="auto" w:fill="DCE2EF"/>
          </w:tcPr>
          <w:p>
            <w:pPr>
              <w:spacing w:after="0"/>
              <w:rPr>
                <w:sz w:val="23"/>
                <w:szCs w:val="23"/>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7"/>
                <w:szCs w:val="17"/>
                <w:color w:val="auto"/>
              </w:rPr>
              <w:t>0.02</w:t>
            </w:r>
          </w:p>
        </w:tc>
        <w:tc>
          <w:tcPr>
            <w:tcW w:w="80" w:type="dxa"/>
            <w:vAlign w:val="bottom"/>
            <w:shd w:val="clear" w:color="auto" w:fill="DCE2EF"/>
          </w:tcPr>
          <w:p>
            <w:pPr>
              <w:spacing w:after="0"/>
              <w:rPr>
                <w:sz w:val="23"/>
                <w:szCs w:val="23"/>
                <w:color w:val="auto"/>
              </w:rPr>
            </w:pPr>
          </w:p>
        </w:tc>
        <w:tc>
          <w:tcPr>
            <w:tcW w:w="20" w:type="dxa"/>
            <w:vAlign w:val="bottom"/>
            <w:shd w:val="clear" w:color="auto" w:fill="DCE2EF"/>
          </w:tcPr>
          <w:p>
            <w:pPr>
              <w:spacing w:after="0"/>
              <w:rPr>
                <w:sz w:val="23"/>
                <w:szCs w:val="23"/>
                <w:color w:val="auto"/>
              </w:rPr>
            </w:pPr>
          </w:p>
        </w:tc>
        <w:tc>
          <w:tcPr>
            <w:tcW w:w="100" w:type="dxa"/>
            <w:vAlign w:val="bottom"/>
            <w:shd w:val="clear" w:color="auto" w:fill="DCE2EF"/>
          </w:tcPr>
          <w:p>
            <w:pPr>
              <w:spacing w:after="0"/>
              <w:rPr>
                <w:sz w:val="23"/>
                <w:szCs w:val="23"/>
                <w:color w:val="auto"/>
              </w:rPr>
            </w:pPr>
          </w:p>
        </w:tc>
        <w:tc>
          <w:tcPr>
            <w:tcW w:w="300" w:type="dxa"/>
            <w:vAlign w:val="bottom"/>
            <w:shd w:val="clear" w:color="auto" w:fill="DCE2EF"/>
          </w:tcPr>
          <w:p>
            <w:pPr>
              <w:spacing w:after="0"/>
              <w:rPr>
                <w:sz w:val="23"/>
                <w:szCs w:val="23"/>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7"/>
                <w:szCs w:val="17"/>
                <w:color w:val="auto"/>
              </w:rPr>
              <w:t>(1.29)</w:t>
            </w:r>
          </w:p>
        </w:tc>
      </w:tr>
      <w:tr>
        <w:trPr>
          <w:trHeight w:val="241"/>
        </w:trPr>
        <w:tc>
          <w:tcPr>
            <w:tcW w:w="40" w:type="dxa"/>
            <w:vAlign w:val="bottom"/>
          </w:tcPr>
          <w:p>
            <w:pPr>
              <w:spacing w:after="0"/>
              <w:rPr>
                <w:sz w:val="20"/>
                <w:szCs w:val="20"/>
                <w:color w:val="auto"/>
              </w:rPr>
            </w:pPr>
          </w:p>
        </w:tc>
        <w:tc>
          <w:tcPr>
            <w:tcW w:w="5120" w:type="dxa"/>
            <w:vAlign w:val="bottom"/>
            <w:gridSpan w:val="3"/>
          </w:tcPr>
          <w:p>
            <w:pPr>
              <w:ind w:left="340"/>
              <w:spacing w:after="0"/>
              <w:rPr>
                <w:sz w:val="20"/>
                <w:szCs w:val="20"/>
                <w:color w:val="auto"/>
              </w:rPr>
            </w:pPr>
            <w:r>
              <w:rPr>
                <w:rFonts w:ascii="Arial" w:cs="Arial" w:eastAsia="Arial" w:hAnsi="Arial"/>
                <w:sz w:val="17"/>
                <w:szCs w:val="17"/>
                <w:color w:val="auto"/>
              </w:rPr>
              <w:t>Net income</w:t>
            </w: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0.51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7"/>
                <w:szCs w:val="17"/>
                <w:color w:val="auto"/>
              </w:rPr>
              <w:t>0.58</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top w:val="single" w:sz="8" w:color="auto"/>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1.33</w:t>
            </w:r>
          </w:p>
        </w:tc>
        <w:tc>
          <w:tcPr>
            <w:tcW w:w="80" w:type="dxa"/>
            <w:vAlign w:val="bottom"/>
            <w:tcBorders>
              <w:top w:val="single" w:sz="8" w:color="auto"/>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color w:val="auto"/>
              </w:rPr>
              <w:t>0.13</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361"/>
        </w:trPr>
        <w:tc>
          <w:tcPr>
            <w:tcW w:w="8340" w:type="dxa"/>
            <w:vAlign w:val="bottom"/>
            <w:gridSpan w:val="13"/>
          </w:tcPr>
          <w:p>
            <w:pPr>
              <w:spacing w:after="0"/>
              <w:rPr>
                <w:sz w:val="20"/>
                <w:szCs w:val="20"/>
                <w:color w:val="auto"/>
              </w:rPr>
            </w:pPr>
            <w:r>
              <w:rPr>
                <w:rFonts w:ascii="Arial" w:cs="Arial" w:eastAsia="Arial" w:hAnsi="Arial"/>
                <w:sz w:val="18"/>
                <w:szCs w:val="18"/>
                <w:b w:val="1"/>
                <w:bCs w:val="1"/>
                <w:color w:val="0046AD"/>
              </w:rPr>
              <w:t>Anti-Dilutive Outstanding Stock Awards Issued Under Share-Based Compensation Plans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8"/>
          </w:tcPr>
          <w:p>
            <w:pPr>
              <w:ind w:left="140"/>
              <w:spacing w:after="0"/>
              <w:rPr>
                <w:sz w:val="20"/>
                <w:szCs w:val="20"/>
                <w:color w:val="auto"/>
              </w:rPr>
            </w:pPr>
            <w:r>
              <w:rPr>
                <w:rFonts w:ascii="Arial" w:cs="Arial" w:eastAsia="Arial" w:hAnsi="Arial"/>
                <w:sz w:val="17"/>
                <w:szCs w:val="17"/>
                <w:b w:val="1"/>
                <w:bCs w:val="1"/>
                <w:color w:val="auto"/>
              </w:rPr>
              <w:t>Three Months Ended July 31,</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0" w:type="dxa"/>
            <w:vAlign w:val="bottom"/>
            <w:gridSpan w:val="6"/>
          </w:tcPr>
          <w:p>
            <w:pPr>
              <w:jc w:val="right"/>
              <w:ind w:right="295"/>
              <w:spacing w:after="0"/>
              <w:rPr>
                <w:sz w:val="20"/>
                <w:szCs w:val="20"/>
                <w:color w:val="auto"/>
              </w:rPr>
            </w:pPr>
            <w:r>
              <w:rPr>
                <w:rFonts w:ascii="Arial" w:cs="Arial" w:eastAsia="Arial" w:hAnsi="Arial"/>
                <w:sz w:val="17"/>
                <w:szCs w:val="17"/>
                <w:b w:val="1"/>
                <w:bCs w:val="1"/>
                <w:color w:val="auto"/>
              </w:rPr>
              <w:t>Nine Months Ended July 31,</w:t>
            </w:r>
          </w:p>
        </w:tc>
      </w:tr>
      <w:tr>
        <w:trPr>
          <w:trHeight w:val="230"/>
        </w:trPr>
        <w:tc>
          <w:tcPr>
            <w:tcW w:w="5160" w:type="dxa"/>
            <w:vAlign w:val="bottom"/>
            <w:gridSpan w:val="4"/>
          </w:tcPr>
          <w:p>
            <w:pPr>
              <w:ind w:left="4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2018</w:t>
            </w: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2017</w:t>
            </w:r>
          </w:p>
        </w:tc>
        <w:tc>
          <w:tcPr>
            <w:tcW w:w="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2018</w:t>
            </w:r>
          </w:p>
        </w:tc>
        <w:tc>
          <w:tcPr>
            <w:tcW w:w="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1540" w:type="dxa"/>
            <w:vAlign w:val="bottom"/>
            <w:tcBorders>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DCE2EF"/>
            </w:tcBorders>
          </w:tcPr>
          <w:p>
            <w:pPr>
              <w:spacing w:after="0" w:line="20" w:lineRule="exact"/>
              <w:rPr>
                <w:sz w:val="1"/>
                <w:szCs w:val="1"/>
                <w:color w:val="auto"/>
              </w:rPr>
            </w:pPr>
          </w:p>
        </w:tc>
        <w:tc>
          <w:tcPr>
            <w:tcW w:w="4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DCE2EF"/>
            </w:tcBorders>
          </w:tcPr>
          <w:p>
            <w:pPr>
              <w:spacing w:after="0" w:line="20" w:lineRule="exact"/>
              <w:rPr>
                <w:sz w:val="1"/>
                <w:szCs w:val="1"/>
                <w:color w:val="auto"/>
              </w:rPr>
            </w:pPr>
          </w:p>
        </w:tc>
        <w:tc>
          <w:tcPr>
            <w:tcW w:w="20" w:type="dxa"/>
            <w:vAlign w:val="bottom"/>
            <w:tcBorders>
              <w:bottom w:val="single" w:sz="8" w:color="DCE2E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0"/>
        </w:trPr>
        <w:tc>
          <w:tcPr>
            <w:tcW w:w="5160" w:type="dxa"/>
            <w:vAlign w:val="bottom"/>
            <w:gridSpan w:val="4"/>
            <w:shd w:val="clear" w:color="auto" w:fill="DCE2EF"/>
          </w:tcPr>
          <w:p>
            <w:pPr>
              <w:ind w:left="40"/>
              <w:spacing w:after="0"/>
              <w:rPr>
                <w:sz w:val="20"/>
                <w:szCs w:val="20"/>
                <w:color w:val="auto"/>
              </w:rPr>
            </w:pPr>
            <w:r>
              <w:rPr>
                <w:rFonts w:ascii="Arial" w:cs="Arial" w:eastAsia="Arial" w:hAnsi="Arial"/>
                <w:sz w:val="17"/>
                <w:szCs w:val="17"/>
                <w:b w:val="1"/>
                <w:bCs w:val="1"/>
                <w:color w:val="auto"/>
              </w:rPr>
              <w:t>Anti-dilutive</w:t>
            </w:r>
          </w:p>
        </w:tc>
        <w:tc>
          <w:tcPr>
            <w:tcW w:w="240" w:type="dxa"/>
            <w:vAlign w:val="bottom"/>
            <w:shd w:val="clear" w:color="auto" w:fill="DCE2EF"/>
          </w:tcPr>
          <w:p>
            <w:pPr>
              <w:spacing w:after="0"/>
              <w:rPr>
                <w:sz w:val="21"/>
                <w:szCs w:val="21"/>
                <w:color w:val="auto"/>
              </w:rPr>
            </w:pPr>
          </w:p>
        </w:tc>
        <w:tc>
          <w:tcPr>
            <w:tcW w:w="124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0.5</w:t>
            </w:r>
          </w:p>
        </w:tc>
        <w:tc>
          <w:tcPr>
            <w:tcW w:w="20" w:type="dxa"/>
            <w:vAlign w:val="bottom"/>
            <w:shd w:val="clear" w:color="auto" w:fill="DCE2EF"/>
          </w:tcPr>
          <w:p>
            <w:pPr>
              <w:spacing w:after="0"/>
              <w:rPr>
                <w:sz w:val="21"/>
                <w:szCs w:val="21"/>
                <w:color w:val="auto"/>
              </w:rPr>
            </w:pPr>
          </w:p>
        </w:tc>
        <w:tc>
          <w:tcPr>
            <w:tcW w:w="80" w:type="dxa"/>
            <w:vAlign w:val="bottom"/>
            <w:shd w:val="clear" w:color="auto" w:fill="DCE2EF"/>
          </w:tcPr>
          <w:p>
            <w:pPr>
              <w:spacing w:after="0"/>
              <w:rPr>
                <w:sz w:val="21"/>
                <w:szCs w:val="21"/>
                <w:color w:val="auto"/>
              </w:rPr>
            </w:pPr>
          </w:p>
        </w:tc>
        <w:tc>
          <w:tcPr>
            <w:tcW w:w="4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260" w:type="dxa"/>
            <w:vAlign w:val="bottom"/>
            <w:gridSpan w:val="3"/>
            <w:shd w:val="clear" w:color="auto" w:fill="DCE2EF"/>
          </w:tcPr>
          <w:p>
            <w:pPr>
              <w:ind w:left="900"/>
              <w:spacing w:after="0"/>
              <w:rPr>
                <w:sz w:val="20"/>
                <w:szCs w:val="20"/>
                <w:color w:val="auto"/>
              </w:rPr>
            </w:pPr>
            <w:r>
              <w:rPr>
                <w:rFonts w:ascii="Arial" w:cs="Arial" w:eastAsia="Arial" w:hAnsi="Arial"/>
                <w:sz w:val="17"/>
                <w:szCs w:val="17"/>
                <w:color w:val="auto"/>
              </w:rPr>
              <w:t>—</w:t>
            </w:r>
          </w:p>
        </w:tc>
        <w:tc>
          <w:tcPr>
            <w:tcW w:w="40" w:type="dxa"/>
            <w:vAlign w:val="bottom"/>
            <w:shd w:val="clear" w:color="auto" w:fill="DCE2EF"/>
          </w:tcPr>
          <w:p>
            <w:pPr>
              <w:spacing w:after="0"/>
              <w:rPr>
                <w:sz w:val="21"/>
                <w:szCs w:val="21"/>
                <w:color w:val="auto"/>
              </w:rPr>
            </w:pPr>
          </w:p>
        </w:tc>
        <w:tc>
          <w:tcPr>
            <w:tcW w:w="240" w:type="dxa"/>
            <w:vAlign w:val="bottom"/>
            <w:shd w:val="clear" w:color="auto" w:fill="DCE2EF"/>
          </w:tcPr>
          <w:p>
            <w:pPr>
              <w:spacing w:after="0"/>
              <w:rPr>
                <w:sz w:val="21"/>
                <w:szCs w:val="21"/>
                <w:color w:val="auto"/>
              </w:rPr>
            </w:pPr>
          </w:p>
        </w:tc>
        <w:tc>
          <w:tcPr>
            <w:tcW w:w="1120" w:type="dxa"/>
            <w:vAlign w:val="bottom"/>
            <w:shd w:val="clear" w:color="auto" w:fill="DCE2EF"/>
          </w:tcPr>
          <w:p>
            <w:pPr>
              <w:jc w:val="right"/>
              <w:ind w:right="35"/>
              <w:spacing w:after="0"/>
              <w:rPr>
                <w:sz w:val="20"/>
                <w:szCs w:val="20"/>
                <w:color w:val="auto"/>
              </w:rPr>
            </w:pPr>
            <w:r>
              <w:rPr>
                <w:rFonts w:ascii="Arial" w:cs="Arial" w:eastAsia="Arial" w:hAnsi="Arial"/>
                <w:sz w:val="17"/>
                <w:szCs w:val="17"/>
                <w:color w:val="auto"/>
              </w:rPr>
              <w:t>0.4</w:t>
            </w:r>
          </w:p>
        </w:tc>
        <w:tc>
          <w:tcPr>
            <w:tcW w:w="80" w:type="dxa"/>
            <w:vAlign w:val="bottom"/>
            <w:shd w:val="clear" w:color="auto" w:fill="DCE2EF"/>
          </w:tcPr>
          <w:p>
            <w:pPr>
              <w:spacing w:after="0"/>
              <w:rPr>
                <w:sz w:val="21"/>
                <w:szCs w:val="21"/>
                <w:color w:val="auto"/>
              </w:rPr>
            </w:pPr>
          </w:p>
        </w:tc>
        <w:tc>
          <w:tcPr>
            <w:tcW w:w="20" w:type="dxa"/>
            <w:vAlign w:val="bottom"/>
            <w:shd w:val="clear" w:color="auto" w:fill="DCE2EF"/>
          </w:tcPr>
          <w:p>
            <w:pPr>
              <w:spacing w:after="0"/>
              <w:rPr>
                <w:sz w:val="21"/>
                <w:szCs w:val="21"/>
                <w:color w:val="auto"/>
              </w:rPr>
            </w:pPr>
          </w:p>
        </w:tc>
        <w:tc>
          <w:tcPr>
            <w:tcW w:w="100" w:type="dxa"/>
            <w:vAlign w:val="bottom"/>
            <w:shd w:val="clear" w:color="auto" w:fill="DCE2EF"/>
          </w:tcPr>
          <w:p>
            <w:pPr>
              <w:spacing w:after="0"/>
              <w:rPr>
                <w:sz w:val="21"/>
                <w:szCs w:val="21"/>
                <w:color w:val="auto"/>
              </w:rPr>
            </w:pPr>
          </w:p>
        </w:tc>
        <w:tc>
          <w:tcPr>
            <w:tcW w:w="300" w:type="dxa"/>
            <w:vAlign w:val="bottom"/>
            <w:shd w:val="clear" w:color="auto" w:fill="DCE2EF"/>
          </w:tcPr>
          <w:p>
            <w:pPr>
              <w:spacing w:after="0"/>
              <w:rPr>
                <w:sz w:val="21"/>
                <w:szCs w:val="21"/>
                <w:color w:val="auto"/>
              </w:rPr>
            </w:pPr>
          </w:p>
        </w:tc>
        <w:tc>
          <w:tcPr>
            <w:tcW w:w="1180" w:type="dxa"/>
            <w:vAlign w:val="bottom"/>
            <w:shd w:val="clear" w:color="auto" w:fill="DCE2EF"/>
          </w:tcPr>
          <w:p>
            <w:pPr>
              <w:jc w:val="right"/>
              <w:ind w:right="15"/>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22"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0046AD"/>
        </w:rPr>
        <w:t>6. FAIR VALUE OF FINANCIAL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Fair Value Hierarchy of Our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Assets and Liabilities Measured at Fair Value on a Recurring Basis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Fair Value</w:t>
            </w:r>
          </w:p>
        </w:tc>
        <w:tc>
          <w:tcPr>
            <w:tcW w:w="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194"/>
        </w:trPr>
        <w:tc>
          <w:tcPr>
            <w:tcW w:w="6280" w:type="dxa"/>
            <w:vAlign w:val="bottom"/>
            <w:gridSpan w:val="3"/>
          </w:tcPr>
          <w:p>
            <w:pPr>
              <w:ind w:left="40"/>
              <w:spacing w:after="0"/>
              <w:rPr>
                <w:sz w:val="20"/>
                <w:szCs w:val="20"/>
                <w:color w:val="auto"/>
              </w:rPr>
            </w:pPr>
            <w:r>
              <w:rPr>
                <w:rFonts w:ascii="Arial" w:cs="Arial" w:eastAsia="Arial" w:hAnsi="Arial"/>
                <w:sz w:val="13"/>
                <w:szCs w:val="13"/>
                <w:i w:val="1"/>
                <w:iCs w:val="1"/>
                <w:color w:val="auto"/>
              </w:rPr>
              <w:t>(in millions)</w:t>
            </w:r>
          </w:p>
        </w:tc>
        <w:tc>
          <w:tcPr>
            <w:tcW w:w="13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Hierarchy</w:t>
            </w:r>
          </w:p>
        </w:tc>
        <w:tc>
          <w:tcPr>
            <w:tcW w:w="260" w:type="dxa"/>
            <w:vAlign w:val="bottom"/>
          </w:tcPr>
          <w:p>
            <w:pPr>
              <w:spacing w:after="0"/>
              <w:rPr>
                <w:sz w:val="16"/>
                <w:szCs w:val="16"/>
                <w:color w:val="auto"/>
              </w:rPr>
            </w:pPr>
          </w:p>
        </w:tc>
        <w:tc>
          <w:tcPr>
            <w:tcW w:w="16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July 31, 2018</w:t>
            </w:r>
          </w:p>
        </w:tc>
        <w:tc>
          <w:tcPr>
            <w:tcW w:w="200" w:type="dxa"/>
            <w:vAlign w:val="bottom"/>
          </w:tcPr>
          <w:p>
            <w:pPr>
              <w:spacing w:after="0"/>
              <w:rPr>
                <w:sz w:val="16"/>
                <w:szCs w:val="16"/>
                <w:color w:val="auto"/>
              </w:rPr>
            </w:pPr>
          </w:p>
        </w:tc>
        <w:tc>
          <w:tcPr>
            <w:tcW w:w="1620" w:type="dxa"/>
            <w:vAlign w:val="bottom"/>
          </w:tcPr>
          <w:p>
            <w:pPr>
              <w:jc w:val="right"/>
              <w:ind w:right="179"/>
              <w:spacing w:after="0"/>
              <w:rPr>
                <w:sz w:val="20"/>
                <w:szCs w:val="20"/>
                <w:color w:val="auto"/>
              </w:rPr>
            </w:pPr>
            <w:r>
              <w:rPr>
                <w:rFonts w:ascii="Arial" w:cs="Arial" w:eastAsia="Arial" w:hAnsi="Arial"/>
                <w:sz w:val="16"/>
                <w:szCs w:val="16"/>
                <w:b w:val="1"/>
                <w:bCs w:val="1"/>
                <w:color w:val="auto"/>
              </w:rPr>
              <w:t>October 31, 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620" w:type="dxa"/>
            <w:vAlign w:val="bottom"/>
            <w:tcBorders>
              <w:top w:val="single" w:sz="8" w:color="auto"/>
              <w:bottom w:val="single" w:sz="8" w:color="DCE2EF"/>
            </w:tcBorders>
          </w:tcPr>
          <w:p>
            <w:pPr>
              <w:spacing w:after="0" w:line="20" w:lineRule="exact"/>
              <w:rPr>
                <w:sz w:val="1"/>
                <w:szCs w:val="1"/>
                <w:color w:val="auto"/>
              </w:rPr>
            </w:pPr>
          </w:p>
        </w:tc>
        <w:tc>
          <w:tcPr>
            <w:tcW w:w="562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5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Cash and cash equivalents</w:t>
            </w:r>
            <w:r>
              <w:rPr>
                <w:rFonts w:ascii="Arial" w:cs="Arial" w:eastAsia="Arial" w:hAnsi="Arial"/>
                <w:sz w:val="21"/>
                <w:szCs w:val="21"/>
                <w:color w:val="auto"/>
                <w:vertAlign w:val="superscript"/>
              </w:rPr>
              <w:t>(1)</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w w:val="89"/>
              </w:rPr>
              <w:t>$</w:t>
            </w:r>
          </w:p>
        </w:tc>
        <w:tc>
          <w:tcPr>
            <w:tcW w:w="15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DCE2EF"/>
          </w:tcPr>
          <w:p>
            <w:pPr>
              <w:spacing w:after="0"/>
              <w:rPr>
                <w:sz w:val="21"/>
                <w:szCs w:val="21"/>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6"/>
                <w:szCs w:val="16"/>
                <w:color w:val="auto"/>
              </w:rPr>
              <w:t>$</w:t>
            </w: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62.8</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Insurance deposits</w:t>
            </w:r>
            <w:r>
              <w:rPr>
                <w:rFonts w:ascii="Arial" w:cs="Arial" w:eastAsia="Arial" w:hAnsi="Arial"/>
                <w:sz w:val="21"/>
                <w:szCs w:val="21"/>
                <w:color w:val="auto"/>
                <w:vertAlign w:val="superscript"/>
              </w:rPr>
              <w:t>(2)</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11.2</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Assets held in funded deferred compensation plan</w:t>
            </w:r>
            <w:r>
              <w:rPr>
                <w:rFonts w:ascii="Arial" w:cs="Arial" w:eastAsia="Arial" w:hAnsi="Arial"/>
                <w:sz w:val="21"/>
                <w:szCs w:val="21"/>
                <w:color w:val="auto"/>
                <w:vertAlign w:val="superscript"/>
              </w:rPr>
              <w:t>(3)</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1</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15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2.8</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4.6</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Credit facility</w:t>
            </w:r>
            <w:r>
              <w:rPr>
                <w:rFonts w:ascii="Arial" w:cs="Arial" w:eastAsia="Arial" w:hAnsi="Arial"/>
                <w:sz w:val="21"/>
                <w:szCs w:val="21"/>
                <w:color w:val="auto"/>
                <w:vertAlign w:val="superscript"/>
              </w:rPr>
              <w:t>(4)</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1,036.1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1,191.2</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rate swaps</w:t>
            </w:r>
            <w:r>
              <w:rPr>
                <w:rFonts w:ascii="Arial" w:cs="Arial" w:eastAsia="Arial" w:hAnsi="Arial"/>
                <w:sz w:val="21"/>
                <w:szCs w:val="21"/>
                <w:color w:val="auto"/>
                <w:vertAlign w:val="superscript"/>
              </w:rPr>
              <w:t>(5)</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2</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1660" w:type="dxa"/>
            <w:vAlign w:val="bottom"/>
            <w:gridSpan w:val="2"/>
            <w:shd w:val="clear" w:color="auto" w:fill="DCE2E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2.9</w:t>
            </w:r>
          </w:p>
        </w:tc>
      </w:tr>
      <w:tr>
        <w:trPr>
          <w:trHeight w:val="270"/>
        </w:trPr>
        <w:tc>
          <w:tcPr>
            <w:tcW w:w="6280" w:type="dxa"/>
            <w:vAlign w:val="bottom"/>
            <w:gridSpan w:val="3"/>
          </w:tcPr>
          <w:p>
            <w:pPr>
              <w:ind w:left="40"/>
              <w:spacing w:after="0"/>
              <w:rPr>
                <w:sz w:val="20"/>
                <w:szCs w:val="20"/>
                <w:color w:val="auto"/>
              </w:rPr>
            </w:pPr>
            <w:r>
              <w:rPr>
                <w:rFonts w:ascii="Arial" w:cs="Arial" w:eastAsia="Arial" w:hAnsi="Arial"/>
                <w:sz w:val="16"/>
                <w:szCs w:val="16"/>
                <w:color w:val="auto"/>
              </w:rPr>
              <w:t>Investments in auction rate securities</w:t>
            </w:r>
            <w:r>
              <w:rPr>
                <w:rFonts w:ascii="Arial" w:cs="Arial" w:eastAsia="Arial" w:hAnsi="Arial"/>
                <w:sz w:val="21"/>
                <w:szCs w:val="21"/>
                <w:color w:val="auto"/>
                <w:vertAlign w:val="superscript"/>
              </w:rPr>
              <w:t>(6)</w:t>
            </w:r>
          </w:p>
        </w:tc>
        <w:tc>
          <w:tcPr>
            <w:tcW w:w="126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56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
              <w:spacing w:after="0"/>
              <w:rPr>
                <w:sz w:val="20"/>
                <w:szCs w:val="20"/>
                <w:color w:val="auto"/>
              </w:rPr>
            </w:pPr>
            <w:r>
              <w:rPr>
                <w:rFonts w:ascii="Arial" w:cs="Arial" w:eastAsia="Arial" w:hAnsi="Arial"/>
                <w:sz w:val="16"/>
                <w:szCs w:val="16"/>
                <w:color w:val="auto"/>
              </w:rPr>
              <w:t>8.0</w:t>
            </w:r>
          </w:p>
        </w:tc>
      </w:tr>
      <w:tr>
        <w:trPr>
          <w:trHeight w:val="270"/>
        </w:trPr>
        <w:tc>
          <w:tcPr>
            <w:tcW w:w="628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Contingent consideration liability</w:t>
            </w:r>
            <w:r>
              <w:rPr>
                <w:rFonts w:ascii="Arial" w:cs="Arial" w:eastAsia="Arial" w:hAnsi="Arial"/>
                <w:sz w:val="21"/>
                <w:szCs w:val="21"/>
                <w:color w:val="auto"/>
                <w:vertAlign w:val="superscript"/>
              </w:rPr>
              <w:t>(7)</w:t>
            </w:r>
          </w:p>
        </w:tc>
        <w:tc>
          <w:tcPr>
            <w:tcW w:w="1260" w:type="dxa"/>
            <w:vAlign w:val="bottom"/>
            <w:shd w:val="clear" w:color="auto" w:fill="DCE2EF"/>
          </w:tcPr>
          <w:p>
            <w:pPr>
              <w:jc w:val="center"/>
              <w:spacing w:after="0"/>
              <w:rPr>
                <w:sz w:val="20"/>
                <w:szCs w:val="20"/>
                <w:color w:val="auto"/>
              </w:rPr>
            </w:pPr>
            <w:r>
              <w:rPr>
                <w:rFonts w:ascii="Arial" w:cs="Arial" w:eastAsia="Arial" w:hAnsi="Arial"/>
                <w:sz w:val="16"/>
                <w:szCs w:val="16"/>
                <w:color w:val="auto"/>
                <w:w w:val="89"/>
              </w:rPr>
              <w:t>3</w:t>
            </w:r>
          </w:p>
        </w:tc>
        <w:tc>
          <w:tcPr>
            <w:tcW w:w="120" w:type="dxa"/>
            <w:vAlign w:val="bottom"/>
            <w:shd w:val="clear" w:color="auto" w:fill="DCE2EF"/>
          </w:tcPr>
          <w:p>
            <w:pPr>
              <w:spacing w:after="0"/>
              <w:rPr>
                <w:sz w:val="23"/>
                <w:szCs w:val="23"/>
                <w:color w:val="auto"/>
              </w:rPr>
            </w:pPr>
          </w:p>
        </w:tc>
        <w:tc>
          <w:tcPr>
            <w:tcW w:w="260" w:type="dxa"/>
            <w:vAlign w:val="bottom"/>
            <w:shd w:val="clear" w:color="auto" w:fill="DCE2EF"/>
          </w:tcPr>
          <w:p>
            <w:pPr>
              <w:spacing w:after="0"/>
              <w:rPr>
                <w:sz w:val="23"/>
                <w:szCs w:val="23"/>
                <w:color w:val="auto"/>
              </w:rPr>
            </w:pPr>
          </w:p>
        </w:tc>
        <w:tc>
          <w:tcPr>
            <w:tcW w:w="156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6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0.9</w:t>
            </w:r>
          </w:p>
        </w:tc>
      </w:tr>
    </w:tbl>
    <w:p>
      <w:pPr>
        <w:spacing w:after="0" w:line="63" w:lineRule="exact"/>
        <w:rPr>
          <w:sz w:val="20"/>
          <w:szCs w:val="20"/>
          <w:color w:val="auto"/>
        </w:rPr>
      </w:pPr>
    </w:p>
    <w:p>
      <w:pPr>
        <w:ind w:left="180" w:hanging="172"/>
        <w:spacing w:after="0"/>
        <w:tabs>
          <w:tab w:leader="none" w:pos="180" w:val="left"/>
        </w:tabs>
        <w:numPr>
          <w:ilvl w:val="0"/>
          <w:numId w:val="8"/>
        </w:numPr>
        <w:rPr>
          <w:rFonts w:ascii="Arial" w:cs="Arial" w:eastAsia="Arial" w:hAnsi="Arial"/>
          <w:sz w:val="21"/>
          <w:szCs w:val="21"/>
          <w:color w:val="auto"/>
          <w:vertAlign w:val="superscript"/>
        </w:rPr>
      </w:pPr>
      <w:r>
        <w:rPr>
          <w:rFonts w:ascii="Arial" w:cs="Arial" w:eastAsia="Arial" w:hAnsi="Arial"/>
          <w:sz w:val="15"/>
          <w:szCs w:val="15"/>
          <w:color w:val="auto"/>
        </w:rPr>
        <w:t>Cash and cash equivalents are stated at nominal value, which equals fair value.</w:t>
      </w:r>
    </w:p>
    <w:p>
      <w:pPr>
        <w:spacing w:after="0" w:line="102" w:lineRule="exact"/>
        <w:rPr>
          <w:rFonts w:ascii="Arial" w:cs="Arial" w:eastAsia="Arial" w:hAnsi="Arial"/>
          <w:sz w:val="21"/>
          <w:szCs w:val="21"/>
          <w:color w:val="auto"/>
          <w:vertAlign w:val="superscript"/>
        </w:rPr>
      </w:pPr>
    </w:p>
    <w:p>
      <w:pPr>
        <w:jc w:val="both"/>
        <w:ind w:firstLine="8"/>
        <w:spacing w:after="0" w:line="411" w:lineRule="auto"/>
        <w:tabs>
          <w:tab w:leader="none" w:pos="176" w:val="left"/>
        </w:tabs>
        <w:numPr>
          <w:ilvl w:val="0"/>
          <w:numId w:val="8"/>
        </w:numPr>
        <w:rPr>
          <w:rFonts w:ascii="Arial" w:cs="Arial" w:eastAsia="Arial" w:hAnsi="Arial"/>
          <w:sz w:val="19"/>
          <w:szCs w:val="19"/>
          <w:color w:val="auto"/>
          <w:vertAlign w:val="superscript"/>
        </w:rPr>
      </w:pPr>
      <w:r>
        <w:rPr>
          <w:rFonts w:ascii="Arial" w:cs="Arial" w:eastAsia="Arial" w:hAnsi="Arial"/>
          <w:sz w:val="15"/>
          <w:szCs w:val="15"/>
          <w:color w:val="auto"/>
        </w:rPr>
        <w:t>Represents restricted deposits that are used to collateralize our insurance obligations and are stated at nominal value, which equals fair value. These insurance deposits are included in “Other noncurrent assets” on the accompanying unaudited consolidated balance sheets. See Note 8, “Insurance,” for further information.</w:t>
      </w:r>
    </w:p>
    <w:p>
      <w:pPr>
        <w:spacing w:after="0" w:line="5" w:lineRule="exact"/>
        <w:rPr>
          <w:rFonts w:ascii="Arial" w:cs="Arial" w:eastAsia="Arial" w:hAnsi="Arial"/>
          <w:sz w:val="19"/>
          <w:szCs w:val="19"/>
          <w:color w:val="auto"/>
          <w:vertAlign w:val="superscript"/>
        </w:rPr>
      </w:pPr>
    </w:p>
    <w:p>
      <w:pPr>
        <w:jc w:val="both"/>
        <w:ind w:firstLine="8"/>
        <w:spacing w:after="0" w:line="437"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Represents investments held in a Rabbi trust associated with one of our deferred compensation plans, which we include in “Other noncurrent assets” on the accompanying unaudited consolidated balance sheets. The fair value of the assets held in the funded deferred compensation plan is based on quoted market prices.</w:t>
      </w:r>
    </w:p>
    <w:p>
      <w:pPr>
        <w:spacing w:after="0" w:line="5" w:lineRule="exact"/>
        <w:rPr>
          <w:rFonts w:ascii="Arial" w:cs="Arial" w:eastAsia="Arial" w:hAnsi="Arial"/>
          <w:sz w:val="18"/>
          <w:szCs w:val="18"/>
          <w:color w:val="auto"/>
          <w:vertAlign w:val="superscript"/>
        </w:rPr>
      </w:pPr>
    </w:p>
    <w:p>
      <w:pPr>
        <w:ind w:firstLine="8"/>
        <w:spacing w:after="0" w:line="263"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Represents gross outstanding borrowings under our syndicated line of credit and term loan. Due to variable interest rates, the carrying value of outstanding borrowings under our line of credit and term loan approximates the fair value. See Note 9, “Credit Facility,” for further information.</w:t>
      </w:r>
    </w:p>
    <w:p>
      <w:pPr>
        <w:spacing w:after="0" w:line="82" w:lineRule="exact"/>
        <w:rPr>
          <w:rFonts w:ascii="Arial" w:cs="Arial" w:eastAsia="Arial" w:hAnsi="Arial"/>
          <w:sz w:val="18"/>
          <w:szCs w:val="18"/>
          <w:color w:val="auto"/>
          <w:vertAlign w:val="superscript"/>
        </w:rPr>
      </w:pPr>
    </w:p>
    <w:p>
      <w:pPr>
        <w:jc w:val="both"/>
        <w:ind w:firstLine="8"/>
        <w:spacing w:after="0" w:line="272"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Represents interest rate swap derivatives designated as cash flow hedges. The fair values of the interest rate swaps are estimated based on the present value of the difference between expected cash flows calculated at the contracted interest rates and the expected cash flows at current market interest rates using observable benchmarks for LIBOR forward rates at the end of the period. At October 31, 2017, these interest rate swaps were included in “Other noncurrent assets” on the accompanying unaudited consolidated balance sheets. During April 2018, we elected to terminate our interest rate swaps. See Note 9, “Credit Facility,” for further information.</w:t>
      </w:r>
    </w:p>
    <w:p>
      <w:pPr>
        <w:spacing w:after="0" w:line="271" w:lineRule="exact"/>
        <w:rPr>
          <w:rFonts w:ascii="Arial" w:cs="Arial" w:eastAsia="Arial" w:hAnsi="Arial"/>
          <w:sz w:val="18"/>
          <w:szCs w:val="18"/>
          <w:color w:val="auto"/>
          <w:vertAlign w:val="superscript"/>
        </w:rPr>
      </w:pPr>
    </w:p>
    <w:p>
      <w:pPr>
        <w:jc w:val="both"/>
        <w:ind w:firstLine="8"/>
        <w:spacing w:after="0" w:line="272"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The fair value of investments in auction rate securities is based on discounted cash flow valuation models, primarily utilizing unobservable inputs, including assumptions about the underlying collateral, credit risks associated with the issuer, credit enhancements associated with financial insurance guarantees, and the possibility of the security being re-financed by the issuer or having a successful auction. These amounts are included in “Other investments” on the accompanying unaudited consolidated balance sheets. See Note 7, “Auction Rate Securities,” for further information.</w:t>
      </w:r>
    </w:p>
    <w:p>
      <w:pPr>
        <w:spacing w:after="0" w:line="82" w:lineRule="exact"/>
        <w:rPr>
          <w:rFonts w:ascii="Arial" w:cs="Arial" w:eastAsia="Arial" w:hAnsi="Arial"/>
          <w:sz w:val="18"/>
          <w:szCs w:val="18"/>
          <w:color w:val="auto"/>
          <w:vertAlign w:val="superscript"/>
        </w:rPr>
      </w:pPr>
    </w:p>
    <w:p>
      <w:pPr>
        <w:jc w:val="both"/>
        <w:ind w:firstLine="8"/>
        <w:spacing w:after="0" w:line="260" w:lineRule="auto"/>
        <w:tabs>
          <w:tab w:leader="none" w:pos="162"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Certain of our acquisitions involve the payment of contingent consideration. The fair value of these liabilities is based on the expected achievement of certain pre-established revenue goals. Our contingent consideration liability is included in “Other accrued liabilities” and “Other noncurrent liabilities” on the accompanying unaudited consolidated balance sheets.</w:t>
      </w:r>
    </w:p>
    <w:p>
      <w:pPr>
        <w:spacing w:after="0" w:line="3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nine months ended July 31, 2018, we had no transfers of assets or liabilities between any of the above hierarchy levels.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Non-Financial Assets Measured at Fair Value on a Non-Recurring Basis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6"/>
          <w:szCs w:val="16"/>
          <w:color w:val="auto"/>
        </w:rPr>
        <w:t>I</w:t>
      </w:r>
      <w:r>
        <w:rPr>
          <w:rFonts w:ascii="Arial" w:cs="Arial" w:eastAsia="Arial" w:hAnsi="Arial"/>
          <w:sz w:val="18"/>
          <w:szCs w:val="18"/>
          <w:color w:val="auto"/>
        </w:rPr>
        <w:t>n certain circumstances we measure certain assets that are subject to fair value adjustments at fair value on a non-recurring basis.</w:t>
      </w:r>
      <w:r>
        <w:rPr>
          <w:rFonts w:ascii="Arial" w:cs="Arial" w:eastAsia="Arial" w:hAnsi="Arial"/>
          <w:sz w:val="16"/>
          <w:szCs w:val="16"/>
          <w:color w:val="auto"/>
        </w:rPr>
        <w:t xml:space="preserve"> </w:t>
      </w:r>
      <w:r>
        <w:rPr>
          <w:rFonts w:ascii="Arial" w:cs="Arial" w:eastAsia="Arial" w:hAnsi="Arial"/>
          <w:sz w:val="18"/>
          <w:szCs w:val="18"/>
          <w:color w:val="auto"/>
        </w:rPr>
        <w:t>These assets can include: goodwill; intangible assets; property, plant and equipment; and long-lived assets that have been reduced to fair value when they are held for sale.</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November 1, 2017, we reorganized our reportable segments and goodwill reporting units. In connection with this reorganization, we performed a qualitative goodwill impairment test immediately before and after the segment realignment. In analyzing the results of operations and business conditions of the goodwill reporting units, we determined the likelihood of a goodwill impairment did not reach the more-likely-than-not threshold specified in U.S. GAAP for any of the reporting units that were evaluated. Accordingly, we concluded that goodwill related to those reporting units was not impaired and further quantitative testing was not required.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22"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0046AD"/>
        </w:rPr>
        <w:t>7. AUCTION RATE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At October 31, 2017, we held investments in auction rate securities from two different issuers that had an aggregate original principal amount of $10.0 million and an amortized cost and fair value of $8.0 million. During the third quarter of 2018, we sold one of our auction rate securities with an original par value of $5.0 million and an amortized cost basis of $3.0 million for proceeds of $2.9 million. The resulting loss is included in “Selling, general and administrative expenses” on the accompanying unaudited consolidated statements of comprehensive income (loss). The total amount of other-than-temporary impairment credit loss previously recognized on this security investment and included in our retained earnings was $2.0 million.</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At July 31, 2018, the remaining auction rate security had an aggregate original principal amount, amortized cost, and fair value of $5.0 million. This auction rate security is a debt instrument with a stated maturity in 2050. The interest rate for this security is designed to be reset through Dutch auctions approximately every thirty days; however, auctions for this security have not occurred since August 2007.</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July 31, 2018 and October 31, 2017, there were no unrealized gains or losses on our auction rate securities included in accumulated other comprehensive income (loss), net of taxes (“AOCI”).</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Significant Assumptions Used to Determine the Fair Values of Our Auction Rate Securities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Assumption</w:t>
            </w:r>
          </w:p>
        </w:tc>
        <w:tc>
          <w:tcPr>
            <w:tcW w:w="120" w:type="dxa"/>
            <w:vAlign w:val="bottom"/>
            <w:tcBorders>
              <w:bottom w:val="single" w:sz="8" w:color="DCE2EF"/>
            </w:tcBorders>
          </w:tcPr>
          <w:p>
            <w:pPr>
              <w:spacing w:after="0"/>
              <w:rPr>
                <w:sz w:val="21"/>
                <w:szCs w:val="21"/>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July 31, 2018</w:t>
            </w:r>
          </w:p>
        </w:tc>
        <w:tc>
          <w:tcPr>
            <w:tcW w:w="100" w:type="dxa"/>
            <w:vAlign w:val="bottom"/>
            <w:tcBorders>
              <w:bottom w:val="single" w:sz="8" w:color="DCE2EF"/>
            </w:tcBorders>
          </w:tcPr>
          <w:p>
            <w:pPr>
              <w:spacing w:after="0"/>
              <w:rPr>
                <w:sz w:val="21"/>
                <w:szCs w:val="21"/>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October 31, 2017</w:t>
            </w:r>
          </w:p>
        </w:tc>
      </w:tr>
      <w:tr>
        <w:trPr>
          <w:trHeight w:val="257"/>
        </w:trPr>
        <w:tc>
          <w:tcPr>
            <w:tcW w:w="516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Discount rates</w:t>
            </w:r>
          </w:p>
        </w:tc>
        <w:tc>
          <w:tcPr>
            <w:tcW w:w="318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rPr>
              <w:t>L + 0.41%</w:t>
            </w:r>
          </w:p>
        </w:tc>
        <w:tc>
          <w:tcPr>
            <w:tcW w:w="306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9"/>
              </w:rPr>
              <w:t>L + 0.42% and L + 0.79%</w:t>
            </w:r>
          </w:p>
        </w:tc>
      </w:tr>
      <w:tr>
        <w:trPr>
          <w:trHeight w:val="263"/>
        </w:trPr>
        <w:tc>
          <w:tcPr>
            <w:tcW w:w="5160" w:type="dxa"/>
            <w:vAlign w:val="bottom"/>
            <w:gridSpan w:val="2"/>
          </w:tcPr>
          <w:p>
            <w:pPr>
              <w:ind w:left="40"/>
              <w:spacing w:after="0"/>
              <w:rPr>
                <w:sz w:val="20"/>
                <w:szCs w:val="20"/>
                <w:color w:val="auto"/>
              </w:rPr>
            </w:pPr>
            <w:r>
              <w:rPr>
                <w:rFonts w:ascii="Arial" w:cs="Arial" w:eastAsia="Arial" w:hAnsi="Arial"/>
                <w:sz w:val="18"/>
                <w:szCs w:val="18"/>
                <w:color w:val="auto"/>
              </w:rPr>
              <w:t>Yields</w:t>
            </w:r>
          </w:p>
        </w:tc>
        <w:tc>
          <w:tcPr>
            <w:tcW w:w="3180" w:type="dxa"/>
            <w:vAlign w:val="bottom"/>
            <w:gridSpan w:val="2"/>
          </w:tcPr>
          <w:p>
            <w:pPr>
              <w:jc w:val="center"/>
              <w:ind w:right="120"/>
              <w:spacing w:after="0"/>
              <w:rPr>
                <w:sz w:val="20"/>
                <w:szCs w:val="20"/>
                <w:color w:val="auto"/>
              </w:rPr>
            </w:pPr>
            <w:r>
              <w:rPr>
                <w:rFonts w:ascii="Arial" w:cs="Arial" w:eastAsia="Arial" w:hAnsi="Arial"/>
                <w:sz w:val="18"/>
                <w:szCs w:val="18"/>
                <w:color w:val="auto"/>
              </w:rPr>
              <w:t>L + 2.00%</w:t>
            </w:r>
          </w:p>
        </w:tc>
        <w:tc>
          <w:tcPr>
            <w:tcW w:w="3060" w:type="dxa"/>
            <w:vAlign w:val="bottom"/>
          </w:tcPr>
          <w:p>
            <w:pPr>
              <w:jc w:val="center"/>
              <w:spacing w:after="0"/>
              <w:rPr>
                <w:sz w:val="20"/>
                <w:szCs w:val="20"/>
                <w:color w:val="auto"/>
              </w:rPr>
            </w:pPr>
            <w:r>
              <w:rPr>
                <w:rFonts w:ascii="Arial" w:cs="Arial" w:eastAsia="Arial" w:hAnsi="Arial"/>
                <w:sz w:val="18"/>
                <w:szCs w:val="18"/>
                <w:color w:val="auto"/>
                <w:w w:val="99"/>
              </w:rPr>
              <w:t>2.15%, L + 2.00%</w:t>
            </w:r>
          </w:p>
        </w:tc>
      </w:tr>
      <w:tr>
        <w:trPr>
          <w:trHeight w:val="277"/>
        </w:trPr>
        <w:tc>
          <w:tcPr>
            <w:tcW w:w="516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Average expected lives</w:t>
            </w:r>
          </w:p>
        </w:tc>
        <w:tc>
          <w:tcPr>
            <w:tcW w:w="318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8"/>
              </w:rPr>
              <w:t>4 years</w:t>
            </w:r>
          </w:p>
        </w:tc>
        <w:tc>
          <w:tcPr>
            <w:tcW w:w="3060" w:type="dxa"/>
            <w:vAlign w:val="bottom"/>
            <w:shd w:val="clear" w:color="auto" w:fill="DCE2EF"/>
          </w:tcPr>
          <w:p>
            <w:pPr>
              <w:jc w:val="center"/>
              <w:spacing w:after="0"/>
              <w:rPr>
                <w:sz w:val="20"/>
                <w:szCs w:val="20"/>
                <w:color w:val="auto"/>
              </w:rPr>
            </w:pPr>
            <w:r>
              <w:rPr>
                <w:rFonts w:ascii="Arial" w:cs="Arial" w:eastAsia="Arial" w:hAnsi="Arial"/>
                <w:sz w:val="18"/>
                <w:szCs w:val="18"/>
                <w:color w:val="auto"/>
                <w:w w:val="98"/>
              </w:rPr>
              <w:t>4 - 10 years</w:t>
            </w:r>
          </w:p>
        </w:tc>
      </w:tr>
      <w:tr>
        <w:trPr>
          <w:trHeight w:val="359"/>
        </w:trPr>
        <w:tc>
          <w:tcPr>
            <w:tcW w:w="5160" w:type="dxa"/>
            <w:vAlign w:val="bottom"/>
            <w:gridSpan w:val="2"/>
          </w:tcPr>
          <w:p>
            <w:pPr>
              <w:spacing w:after="0"/>
              <w:rPr>
                <w:sz w:val="20"/>
                <w:szCs w:val="20"/>
                <w:color w:val="auto"/>
              </w:rPr>
            </w:pPr>
            <w:r>
              <w:rPr>
                <w:rFonts w:ascii="Arial" w:cs="Arial" w:eastAsia="Arial" w:hAnsi="Arial"/>
                <w:sz w:val="16"/>
                <w:szCs w:val="16"/>
                <w:color w:val="auto"/>
              </w:rPr>
              <w:t>L – One Month LIBOR</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425"/>
        </w:trPr>
        <w:tc>
          <w:tcPr>
            <w:tcW w:w="5160" w:type="dxa"/>
            <w:vAlign w:val="bottom"/>
            <w:gridSpan w:val="2"/>
          </w:tcPr>
          <w:p>
            <w:pPr>
              <w:spacing w:after="0"/>
              <w:rPr>
                <w:sz w:val="20"/>
                <w:szCs w:val="20"/>
                <w:color w:val="auto"/>
              </w:rPr>
            </w:pPr>
            <w:r>
              <w:rPr>
                <w:rFonts w:ascii="Arial" w:cs="Arial" w:eastAsia="Arial" w:hAnsi="Arial"/>
                <w:sz w:val="18"/>
                <w:szCs w:val="18"/>
                <w:b w:val="1"/>
                <w:bCs w:val="1"/>
                <w:color w:val="0046AD"/>
              </w:rPr>
              <w:t>8. INSURANCE</w:t>
            </w:r>
          </w:p>
        </w:tc>
        <w:tc>
          <w:tcPr>
            <w:tcW w:w="3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60" w:type="dxa"/>
            <w:vAlign w:val="bottom"/>
          </w:tcPr>
          <w:p>
            <w:pPr>
              <w:spacing w:after="0"/>
              <w:rPr>
                <w:sz w:val="24"/>
                <w:szCs w:val="24"/>
                <w:color w:val="auto"/>
              </w:rPr>
            </w:pPr>
          </w:p>
        </w:tc>
      </w:tr>
      <w:tr>
        <w:trPr>
          <w:trHeight w:val="135"/>
        </w:trPr>
        <w:tc>
          <w:tcPr>
            <w:tcW w:w="5040" w:type="dxa"/>
            <w:vAlign w:val="bottom"/>
            <w:tcBorders>
              <w:bottom w:val="single" w:sz="8" w:color="E98300"/>
            </w:tcBorders>
          </w:tcPr>
          <w:p>
            <w:pPr>
              <w:spacing w:after="0"/>
              <w:rPr>
                <w:sz w:val="11"/>
                <w:szCs w:val="11"/>
                <w:color w:val="auto"/>
              </w:rPr>
            </w:pPr>
          </w:p>
        </w:tc>
        <w:tc>
          <w:tcPr>
            <w:tcW w:w="120" w:type="dxa"/>
            <w:vAlign w:val="bottom"/>
            <w:tcBorders>
              <w:bottom w:val="single" w:sz="8" w:color="E98300"/>
            </w:tcBorders>
          </w:tcPr>
          <w:p>
            <w:pPr>
              <w:spacing w:after="0"/>
              <w:rPr>
                <w:sz w:val="11"/>
                <w:szCs w:val="11"/>
                <w:color w:val="auto"/>
              </w:rPr>
            </w:pPr>
          </w:p>
        </w:tc>
        <w:tc>
          <w:tcPr>
            <w:tcW w:w="3080" w:type="dxa"/>
            <w:vAlign w:val="bottom"/>
            <w:tcBorders>
              <w:bottom w:val="single" w:sz="8" w:color="E98300"/>
            </w:tcBorders>
          </w:tcPr>
          <w:p>
            <w:pPr>
              <w:spacing w:after="0"/>
              <w:rPr>
                <w:sz w:val="11"/>
                <w:szCs w:val="11"/>
                <w:color w:val="auto"/>
              </w:rPr>
            </w:pPr>
          </w:p>
        </w:tc>
        <w:tc>
          <w:tcPr>
            <w:tcW w:w="100" w:type="dxa"/>
            <w:vAlign w:val="bottom"/>
            <w:tcBorders>
              <w:bottom w:val="single" w:sz="8" w:color="E98300"/>
            </w:tcBorders>
          </w:tcPr>
          <w:p>
            <w:pPr>
              <w:spacing w:after="0"/>
              <w:rPr>
                <w:sz w:val="11"/>
                <w:szCs w:val="11"/>
                <w:color w:val="auto"/>
              </w:rPr>
            </w:pPr>
          </w:p>
        </w:tc>
        <w:tc>
          <w:tcPr>
            <w:tcW w:w="3060" w:type="dxa"/>
            <w:vAlign w:val="bottom"/>
            <w:tcBorders>
              <w:bottom w:val="single" w:sz="8" w:color="E98300"/>
            </w:tcBorders>
          </w:tcPr>
          <w:p>
            <w:pPr>
              <w:spacing w:after="0"/>
              <w:rPr>
                <w:sz w:val="11"/>
                <w:szCs w:val="11"/>
                <w:color w:val="auto"/>
              </w:rPr>
            </w:pPr>
          </w:p>
        </w:tc>
      </w:tr>
    </w:tbl>
    <w:p>
      <w:pPr>
        <w:spacing w:after="0" w:line="28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use a combination of insured and self-insurance programs to cover workers’ compensation, general liability, automobile liability, property damage, and other insurable risks. For the majority of these insurance programs, we retain the initial $ 1.0 million of exposure on a per-occurrence basis, either through deductibles or self-insured retentions. Beyond the retained exposures, we have varying primary policy limits ranging between $1.0 million and $5.0 million per occurrence. To cover general liability and automobile liability losses above these primary limits, we maintain commercial umbrella insurance policies that provide aggregate limits of $200.0 million. Our insurance policies generally cover workers’ compensation losses to the full extent of statutory requirements. Additionally, to cover property damage risks above our retained limits, we maintain policies that provide per occurrence limits of $75.0 million. We are also self-insured for certain employee medical and dental plans. We maintain stop-loss insurance for our self-insured medical plan under which we retain up to $0.4 million of exposure on a per-participant, per-year basis with respect to claims.</w:t>
      </w:r>
    </w:p>
    <w:p>
      <w:pPr>
        <w:spacing w:after="0" w:line="15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 During 2018, we performed both an annual actuarial review and an actuarial update. As a result of these studies, we increased our reserves for claims related to prior periods by approximately $10.0 million during 2018, as described below.</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Actuarial Studies Performed During 2018</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three months ended January 31, 2018, we performed an actuarial review of the majority of our casualty insurance programs that considered changes in claim developments and claim payment activity for the period commencing May 1, 2017 and ending October 31, 2017 for all policy years. During the three months ended July 31, 2018, we performed an annual actuarial update of the majority of our casualty insurance programs, evaluating all changes made to claims reserves and claim payment activity for the period commencing November 1, 2017 and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22" w:right="239" w:bottom="1440" w:gutter="0" w:footer="0" w:header="0"/>
        </w:sectPr>
      </w:pPr>
    </w:p>
    <w:bookmarkStart w:id="16" w:name="page17"/>
    <w:bookmarkEnd w:id="16"/>
    <w:p>
      <w:pPr>
        <w:jc w:val="both"/>
        <w:ind w:right="20"/>
        <w:spacing w:after="0" w:line="262" w:lineRule="auto"/>
        <w:rPr>
          <w:sz w:val="20"/>
          <w:szCs w:val="20"/>
          <w:color w:val="auto"/>
        </w:rPr>
      </w:pPr>
      <w:r>
        <w:rPr>
          <w:rFonts w:ascii="Arial" w:cs="Arial" w:eastAsia="Arial" w:hAnsi="Arial"/>
          <w:sz w:val="18"/>
          <w:szCs w:val="18"/>
          <w:color w:val="auto"/>
        </w:rPr>
        <w:t>ending April 30, 2018 for all policy years. The studies excluded claims relating to certain previously acquired businesses, which we expect to evaluate during the fourth quarter of 2018.</w:t>
      </w:r>
    </w:p>
    <w:p>
      <w:pPr>
        <w:spacing w:after="0" w:line="14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Both the actuarial review and actuarial update indicate the changes we have made to our risk management program have reduced the frequency of claims and have had a positive impact on claim costs. Changes include the implementation of programs to identify claims that have the potential to develop adversely earlier in the claims cycle and to facilitate the establishment of reserves consistent with known fact patterns. However, with respect to claims related to certain prior fiscal years, actuarial studies completed to date show unfavorable developments in our estimate of ultimate losses related to general liability, property damage, workers’ compensation, and automobile liability claims, as described below.</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actuarial studies related to our general liability program indicated the total number of claims continues to show a pattern of decreasing losses, particularly with bodily injury claims. However, we experienced adverse developments with respect to claims related to certain prior fiscal years that are largely attributable to adjustments for certain alleged bodily injury claims and to losses for property damage.</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increases in projected costs and severity of claims in certain prior fiscal years, in 2018 we increased our estimate of ultimate losses for workers’ compensation claims. Statutory, regulatory, and legal developments have also contributed to the increase in our estimated losses. Our workers’ compensation estimate of ultimate losses was primarily impacted by increases in projected costs for a significant number of prior year claims in California.</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automobile liability program covers our fleet of passenger vehicles, service vans, and shuttle buses, which are associated with our various transportation service contracts. Claim frequency and severity associated with our fleet operations developed unfavorably versus actuarial expectations, consistent with insurance trends exhibited in the broader insurance book of claims.</w:t>
      </w:r>
    </w:p>
    <w:p>
      <w:pPr>
        <w:spacing w:after="0" w:line="14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Based on the results of the actuarial studies performed during 2018, which included analyzing recent loss development patterns, comparing the loss development against benchmarks, and applying actuarial projection methods to estimate ultimate losses, we increased our total reserves for known claims as well as our estimate of the loss amounts associated with incurred but not reported claims for prior periods by $4.0 million during the first half of 2018 and by an additional $6.0 million during the third quarter of 2018, for a total adjustment related to prior year claims of approximately $10.0 million during the nine months ended July 31, 2018. This adjustment was $12.3 million lower than the total adjustment related to prior year claims of $22.3 million in the nine months ended July 31,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Insurance Related Balances and Activity</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 2018</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50"/>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claim reserves excluding medical and dental</w:t>
            </w:r>
          </w:p>
        </w:tc>
        <w:tc>
          <w:tcPr>
            <w:tcW w:w="30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500.4</w:t>
            </w:r>
          </w:p>
        </w:tc>
        <w:tc>
          <w:tcPr>
            <w:tcW w:w="10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485.6</w:t>
            </w: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Medical and dental claim reserves</w:t>
            </w:r>
          </w:p>
        </w:tc>
        <w:tc>
          <w:tcPr>
            <w:tcW w:w="300" w:type="dxa"/>
            <w:vAlign w:val="bottom"/>
          </w:tcPr>
          <w:p>
            <w:pPr>
              <w:spacing w:after="0"/>
              <w:rPr>
                <w:sz w:val="22"/>
                <w:szCs w:val="22"/>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7"/>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Insurance recoverables</w:t>
            </w:r>
          </w:p>
        </w:tc>
        <w:tc>
          <w:tcPr>
            <w:tcW w:w="300" w:type="dxa"/>
            <w:vAlign w:val="bottom"/>
            <w:shd w:val="clear" w:color="auto" w:fill="DCE2EF"/>
          </w:tcPr>
          <w:p>
            <w:pPr>
              <w:spacing w:after="0"/>
              <w:rPr>
                <w:sz w:val="24"/>
                <w:szCs w:val="24"/>
                <w:color w:val="auto"/>
              </w:rPr>
            </w:pP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73.8</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73.1</w:t>
            </w: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July 31, 2018 and October 31, 2017, insurance recoverables are included in “Other current assets” and “Other noncurrent assets” on the accompanying unaudited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Instruments Used to Collateralize Our Insurance Obligations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 2018</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260" w:type="dxa"/>
            <w:vAlign w:val="bottom"/>
            <w:tcBorders>
              <w:bottom w:val="single" w:sz="8" w:color="DCE2EF"/>
            </w:tcBorders>
          </w:tcPr>
          <w:p>
            <w:pPr>
              <w:spacing w:after="0" w:line="20" w:lineRule="exact"/>
              <w:rPr>
                <w:sz w:val="1"/>
                <w:szCs w:val="1"/>
                <w:color w:val="auto"/>
              </w:rPr>
            </w:pPr>
          </w:p>
        </w:tc>
        <w:tc>
          <w:tcPr>
            <w:tcW w:w="316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Standby letters of credit</w:t>
            </w:r>
          </w:p>
        </w:tc>
        <w:tc>
          <w:tcPr>
            <w:tcW w:w="3460" w:type="dxa"/>
            <w:vAlign w:val="bottom"/>
            <w:gridSpan w:val="2"/>
            <w:shd w:val="clear" w:color="auto" w:fill="DCE2EF"/>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146.7</w:t>
            </w:r>
          </w:p>
        </w:tc>
        <w:tc>
          <w:tcPr>
            <w:tcW w:w="100" w:type="dxa"/>
            <w:vAlign w:val="bottom"/>
            <w:shd w:val="clear" w:color="auto" w:fill="DCE2EF"/>
          </w:tcPr>
          <w:p>
            <w:pPr>
              <w:spacing w:after="0"/>
              <w:rPr>
                <w:sz w:val="21"/>
                <w:szCs w:val="21"/>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6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Surety bonds</w:t>
            </w:r>
          </w:p>
        </w:tc>
        <w:tc>
          <w:tcPr>
            <w:tcW w:w="3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70"/>
        </w:trPr>
        <w:tc>
          <w:tcPr>
            <w:tcW w:w="40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Restricted insurance deposits</w:t>
            </w:r>
          </w:p>
        </w:tc>
        <w:tc>
          <w:tcPr>
            <w:tcW w:w="3160" w:type="dxa"/>
            <w:vAlign w:val="bottom"/>
            <w:shd w:val="clear" w:color="auto" w:fill="DCE2EF"/>
          </w:tcPr>
          <w:p>
            <w:pPr>
              <w:spacing w:after="0"/>
              <w:rPr>
                <w:sz w:val="23"/>
                <w:szCs w:val="23"/>
                <w:color w:val="auto"/>
              </w:rPr>
            </w:pPr>
          </w:p>
        </w:tc>
        <w:tc>
          <w:tcPr>
            <w:tcW w:w="300" w:type="dxa"/>
            <w:vAlign w:val="bottom"/>
            <w:tcBorders>
              <w:bottom w:val="single" w:sz="8" w:color="auto"/>
            </w:tcBorders>
            <w:shd w:val="clear" w:color="auto" w:fill="DCE2EF"/>
          </w:tcPr>
          <w:p>
            <w:pPr>
              <w:spacing w:after="0"/>
              <w:rPr>
                <w:sz w:val="23"/>
                <w:szCs w:val="23"/>
                <w:color w:val="auto"/>
              </w:rPr>
            </w:pPr>
          </w:p>
        </w:tc>
        <w:tc>
          <w:tcPr>
            <w:tcW w:w="178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5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Total</w:t>
            </w:r>
          </w:p>
        </w:tc>
        <w:tc>
          <w:tcPr>
            <w:tcW w:w="3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226.3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3160" w:type="dxa"/>
            <w:vAlign w:val="bottom"/>
            <w:vMerge w:val="restart"/>
          </w:tcPr>
          <w:p>
            <w:pPr>
              <w:jc w:val="right"/>
              <w:ind w:right="1250"/>
              <w:spacing w:after="0"/>
              <w:rPr>
                <w:sz w:val="20"/>
                <w:szCs w:val="20"/>
                <w:color w:val="auto"/>
              </w:rPr>
            </w:pPr>
            <w:r>
              <w:rPr>
                <w:rFonts w:ascii="Arial" w:cs="Arial" w:eastAsia="Arial" w:hAnsi="Arial"/>
                <w:sz w:val="18"/>
                <w:szCs w:val="18"/>
                <w:color w:val="auto"/>
              </w:rPr>
              <w:t>14</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0046AD"/>
        </w:rPr>
        <w:t>9. CREDIT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The Credit Facility also provides for the issuance of up to $ 300.0 million for standby letters of credit and the issuance of up to $75.0 million in swingline advances. The obligations under the Credit Facility are secured on a first-priority basis by a lien on substantially all of our assets and properties, subject to certain exceptions.</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Borrowings under the Credit Facility bear interest at a rate equal to 1-month LIBOR plus a spread that is based upon our leverage ratio. The spread ranges from 1.00% to 2.25% for Eurocurrency loans and 0.00% to 1.25% for base rate loans. At July 31, 2018, the weighted average interest rate on our outstanding borrowings was 4.07%. We also pay a commitment fee, based on our leverage ratio and payable quarterly in arrears, ranging from 0.200% to 0.350% on the average daily unused portion of the line of credit. For purposes of this calculation, irrevocable standby letters of credit, which are issued primarily in conjunction with our insurance programs, and cash borrowings are included as outstanding under the line of credit.</w:t>
      </w:r>
    </w:p>
    <w:p>
      <w:pPr>
        <w:spacing w:after="0" w:line="155"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Credit Facility contains certain covenants, including a maximum leverage ratio of 4.75 to 1.0 through April 2018, which steps down to 3.50 to 1.0 by July 2020, and a minimum fixed charge coverage ratio of 1.50 to 1.0, as well as other financial and non-financial covenants. In the event of a material acquisition, as defined in the Credit Facility, we may elect to increase the leverage ratio to 3.75 to 1.0 for a total of four fiscal quarters, provided the leverage ratio had already been reduced to 3.50 to 1.0. Our borrowing capacity is subject to, and limited by, compliance with the covenants described above. At July 31, 2018, we were in compliance with these covenants. On September 5, 2018, we amended our Credit Facility to increase the maximum leverage ratio for fiscal quarters commencing July 31, 2018 through April 30, 2021 by 25 basis points for such quarters.</w:t>
      </w:r>
    </w:p>
    <w:p>
      <w:pPr>
        <w:spacing w:after="0" w:line="15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Credit Facility also includes customary events of default, including failure to pay principal, interest, or fees when due, failure to comply with covenants, the occurrence of certain material judgments, or a change in control of the Company. If certain events of default occur, including certain cross-defaults, insolvency, change in control, or violation of specific covenants, the lenders can terminate or suspend our access to the Credit Facility and declare all amounts outstanding (including all accrued interest and unpaid fees) to be immediately due and payable, and require that we cash collateralize the outstanding standby letters of credit.</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Total deferred financing costs related to the Credit Facility were $18.7 million, consisting of $ 13.4 million related to the term loan and $5.2 million related to the line of credit, which are being amortized to interest expense over the term of the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Credit Facility Information</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Pr>
          <w:p>
            <w:pPr>
              <w:spacing w:after="0"/>
              <w:rPr>
                <w:sz w:val="18"/>
                <w:szCs w:val="18"/>
                <w:color w:val="auto"/>
              </w:rPr>
            </w:pPr>
          </w:p>
        </w:tc>
        <w:tc>
          <w:tcPr>
            <w:tcW w:w="18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July 31, 2018</w:t>
            </w:r>
          </w:p>
        </w:tc>
        <w:tc>
          <w:tcPr>
            <w:tcW w:w="220" w:type="dxa"/>
            <w:vAlign w:val="bottom"/>
          </w:tcPr>
          <w:p>
            <w:pPr>
              <w:spacing w:after="0"/>
              <w:rPr>
                <w:sz w:val="18"/>
                <w:szCs w:val="18"/>
                <w:color w:val="auto"/>
              </w:rPr>
            </w:pPr>
          </w:p>
        </w:tc>
        <w:tc>
          <w:tcPr>
            <w:tcW w:w="1840" w:type="dxa"/>
            <w:vAlign w:val="bottom"/>
          </w:tcPr>
          <w:p>
            <w:pPr>
              <w:jc w:val="right"/>
              <w:ind w:right="210"/>
              <w:spacing w:after="0"/>
              <w:rPr>
                <w:sz w:val="20"/>
                <w:szCs w:val="20"/>
                <w:color w:val="auto"/>
              </w:rPr>
            </w:pPr>
            <w:r>
              <w:rPr>
                <w:rFonts w:ascii="Arial" w:cs="Arial" w:eastAsia="Arial" w:hAnsi="Arial"/>
                <w:sz w:val="18"/>
                <w:szCs w:val="18"/>
                <w:b w:val="1"/>
                <w:bCs w:val="1"/>
                <w:color w:val="auto"/>
              </w:rPr>
              <w:t>October 31, 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64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64"/>
        </w:trPr>
        <w:tc>
          <w:tcPr>
            <w:tcW w:w="71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shd w:val="clear" w:color="auto" w:fill="DCE2EF"/>
          </w:tcPr>
          <w:p>
            <w:pPr>
              <w:spacing w:after="0"/>
              <w:rPr>
                <w:sz w:val="22"/>
                <w:szCs w:val="22"/>
                <w:color w:val="auto"/>
              </w:rPr>
            </w:pPr>
          </w:p>
        </w:tc>
        <w:tc>
          <w:tcPr>
            <w:tcW w:w="178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spacing w:after="0"/>
              <w:rPr>
                <w:sz w:val="22"/>
                <w:szCs w:val="22"/>
                <w:color w:val="auto"/>
              </w:rPr>
            </w:pPr>
          </w:p>
        </w:tc>
      </w:tr>
      <w:tr>
        <w:trPr>
          <w:trHeight w:val="263"/>
        </w:trPr>
        <w:tc>
          <w:tcPr>
            <w:tcW w:w="40" w:type="dxa"/>
            <w:vAlign w:val="bottom"/>
          </w:tcPr>
          <w:p>
            <w:pPr>
              <w:spacing w:after="0"/>
              <w:rPr>
                <w:sz w:val="22"/>
                <w:szCs w:val="22"/>
                <w:color w:val="auto"/>
              </w:rPr>
            </w:pPr>
          </w:p>
        </w:tc>
        <w:tc>
          <w:tcPr>
            <w:tcW w:w="7120" w:type="dxa"/>
            <w:vAlign w:val="bottom"/>
            <w:gridSpan w:val="2"/>
          </w:tcPr>
          <w:p>
            <w:pPr>
              <w:ind w:left="240"/>
              <w:spacing w:after="0"/>
              <w:rPr>
                <w:sz w:val="20"/>
                <w:szCs w:val="20"/>
                <w:color w:val="auto"/>
              </w:rPr>
            </w:pPr>
            <w:r>
              <w:rPr>
                <w:rFonts w:ascii="Arial" w:cs="Arial" w:eastAsia="Arial" w:hAnsi="Arial"/>
                <w:sz w:val="18"/>
                <w:szCs w:val="18"/>
                <w:color w:val="auto"/>
              </w:rPr>
              <w:t>Gross term loan</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20.0</w:t>
            </w:r>
          </w:p>
        </w:tc>
      </w:tr>
      <w:tr>
        <w:trPr>
          <w:trHeight w:val="270"/>
        </w:trPr>
        <w:tc>
          <w:tcPr>
            <w:tcW w:w="40" w:type="dxa"/>
            <w:vAlign w:val="bottom"/>
            <w:shd w:val="clear" w:color="auto" w:fill="DCE2EF"/>
          </w:tcPr>
          <w:p>
            <w:pPr>
              <w:spacing w:after="0"/>
              <w:rPr>
                <w:sz w:val="23"/>
                <w:szCs w:val="23"/>
                <w:color w:val="auto"/>
              </w:rPr>
            </w:pPr>
          </w:p>
        </w:tc>
        <w:tc>
          <w:tcPr>
            <w:tcW w:w="71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Less: unamortized deferred financing costs</w:t>
            </w:r>
          </w:p>
        </w:tc>
        <w:tc>
          <w:tcPr>
            <w:tcW w:w="300" w:type="dxa"/>
            <w:vAlign w:val="bottom"/>
            <w:tcBorders>
              <w:bottom w:val="single" w:sz="8" w:color="auto"/>
            </w:tcBorders>
            <w:shd w:val="clear" w:color="auto" w:fill="DCE2EF"/>
          </w:tcPr>
          <w:p>
            <w:pPr>
              <w:spacing w:after="0"/>
              <w:rPr>
                <w:sz w:val="23"/>
                <w:szCs w:val="23"/>
                <w:color w:val="auto"/>
              </w:rPr>
            </w:pPr>
          </w:p>
        </w:tc>
        <w:tc>
          <w:tcPr>
            <w:tcW w:w="17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18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40" w:type="dxa"/>
            <w:vAlign w:val="bottom"/>
            <w:tcBorders>
              <w:bottom w:val="single" w:sz="8" w:color="DCE2EF"/>
            </w:tcBorders>
          </w:tcPr>
          <w:p>
            <w:pPr>
              <w:spacing w:after="0"/>
              <w:rPr>
                <w:sz w:val="21"/>
                <w:szCs w:val="21"/>
                <w:color w:val="auto"/>
              </w:rPr>
            </w:pPr>
          </w:p>
        </w:tc>
        <w:tc>
          <w:tcPr>
            <w:tcW w:w="7120" w:type="dxa"/>
            <w:vAlign w:val="bottom"/>
            <w:tcBorders>
              <w:bottom w:val="single" w:sz="8" w:color="DCE2EF"/>
            </w:tcBorders>
            <w:gridSpan w:val="2"/>
          </w:tcPr>
          <w:p>
            <w:pPr>
              <w:ind w:left="460"/>
              <w:spacing w:after="0"/>
              <w:rPr>
                <w:sz w:val="20"/>
                <w:szCs w:val="20"/>
                <w:color w:val="auto"/>
              </w:rPr>
            </w:pPr>
            <w:r>
              <w:rPr>
                <w:rFonts w:ascii="Arial" w:cs="Arial" w:eastAsia="Arial" w:hAnsi="Arial"/>
                <w:sz w:val="18"/>
                <w:szCs w:val="18"/>
                <w:color w:val="auto"/>
              </w:rPr>
              <w:t>Current portion of term loan</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DCE2EF"/>
            </w:tcBorders>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16.9</w:t>
            </w:r>
          </w:p>
        </w:tc>
      </w:tr>
      <w:tr>
        <w:trPr>
          <w:trHeight w:val="324"/>
        </w:trPr>
        <w:tc>
          <w:tcPr>
            <w:tcW w:w="40" w:type="dxa"/>
            <w:vAlign w:val="bottom"/>
            <w:shd w:val="clear" w:color="auto" w:fill="DCE2EF"/>
          </w:tcPr>
          <w:p>
            <w:pPr>
              <w:spacing w:after="0"/>
              <w:rPr>
                <w:sz w:val="24"/>
                <w:szCs w:val="24"/>
                <w:color w:val="auto"/>
              </w:rPr>
            </w:pPr>
          </w:p>
        </w:tc>
        <w:tc>
          <w:tcPr>
            <w:tcW w:w="700" w:type="dxa"/>
            <w:vAlign w:val="bottom"/>
            <w:shd w:val="clear" w:color="auto" w:fill="DCE2EF"/>
          </w:tcPr>
          <w:p>
            <w:pPr>
              <w:spacing w:after="0"/>
              <w:rPr>
                <w:sz w:val="24"/>
                <w:szCs w:val="24"/>
                <w:color w:val="auto"/>
              </w:rPr>
            </w:pPr>
          </w:p>
        </w:tc>
        <w:tc>
          <w:tcPr>
            <w:tcW w:w="64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178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1840" w:type="dxa"/>
            <w:vAlign w:val="bottom"/>
            <w:shd w:val="clear" w:color="auto" w:fill="DCE2EF"/>
          </w:tcPr>
          <w:p>
            <w:pPr>
              <w:spacing w:after="0"/>
              <w:rPr>
                <w:sz w:val="24"/>
                <w:szCs w:val="24"/>
                <w:color w:val="auto"/>
              </w:rPr>
            </w:pPr>
          </w:p>
        </w:tc>
      </w:tr>
      <w:tr>
        <w:trPr>
          <w:trHeight w:val="263"/>
        </w:trPr>
        <w:tc>
          <w:tcPr>
            <w:tcW w:w="7160" w:type="dxa"/>
            <w:vAlign w:val="bottom"/>
            <w:gridSpan w:val="3"/>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40" w:type="dxa"/>
            <w:vAlign w:val="bottom"/>
          </w:tcPr>
          <w:p>
            <w:pPr>
              <w:spacing w:after="0"/>
              <w:rPr>
                <w:sz w:val="22"/>
                <w:szCs w:val="22"/>
                <w:color w:val="auto"/>
              </w:rPr>
            </w:pPr>
          </w:p>
        </w:tc>
      </w:tr>
      <w:tr>
        <w:trPr>
          <w:trHeight w:val="277"/>
        </w:trPr>
        <w:tc>
          <w:tcPr>
            <w:tcW w:w="40" w:type="dxa"/>
            <w:vAlign w:val="bottom"/>
            <w:shd w:val="clear" w:color="auto" w:fill="DCE2EF"/>
          </w:tcPr>
          <w:p>
            <w:pPr>
              <w:spacing w:after="0"/>
              <w:rPr>
                <w:sz w:val="24"/>
                <w:szCs w:val="24"/>
                <w:color w:val="auto"/>
              </w:rPr>
            </w:pPr>
          </w:p>
        </w:tc>
        <w:tc>
          <w:tcPr>
            <w:tcW w:w="7120" w:type="dxa"/>
            <w:vAlign w:val="bottom"/>
            <w:gridSpan w:val="2"/>
            <w:shd w:val="clear" w:color="auto" w:fill="DCE2EF"/>
          </w:tcPr>
          <w:p>
            <w:pPr>
              <w:ind w:left="240"/>
              <w:spacing w:after="0"/>
              <w:rPr>
                <w:sz w:val="20"/>
                <w:szCs w:val="20"/>
                <w:color w:val="auto"/>
              </w:rPr>
            </w:pPr>
            <w:r>
              <w:rPr>
                <w:rFonts w:ascii="Arial" w:cs="Arial" w:eastAsia="Arial" w:hAnsi="Arial"/>
                <w:sz w:val="18"/>
                <w:szCs w:val="18"/>
                <w:color w:val="auto"/>
              </w:rPr>
              <w:t>Gross term loan</w:t>
            </w:r>
          </w:p>
        </w:tc>
        <w:tc>
          <w:tcPr>
            <w:tcW w:w="30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750.0</w:t>
            </w:r>
          </w:p>
        </w:tc>
        <w:tc>
          <w:tcPr>
            <w:tcW w:w="100" w:type="dxa"/>
            <w:vAlign w:val="bottom"/>
            <w:shd w:val="clear" w:color="auto" w:fill="DCE2EF"/>
          </w:tcPr>
          <w:p>
            <w:pPr>
              <w:spacing w:after="0"/>
              <w:rPr>
                <w:sz w:val="24"/>
                <w:szCs w:val="24"/>
                <w:color w:val="auto"/>
              </w:rPr>
            </w:pP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780.0</w:t>
            </w:r>
          </w:p>
        </w:tc>
      </w:tr>
      <w:tr>
        <w:trPr>
          <w:trHeight w:val="264"/>
        </w:trPr>
        <w:tc>
          <w:tcPr>
            <w:tcW w:w="40" w:type="dxa"/>
            <w:vAlign w:val="bottom"/>
            <w:tcBorders>
              <w:bottom w:val="single" w:sz="8" w:color="DCE2EF"/>
            </w:tcBorders>
          </w:tcPr>
          <w:p>
            <w:pPr>
              <w:spacing w:after="0"/>
              <w:rPr>
                <w:sz w:val="22"/>
                <w:szCs w:val="22"/>
                <w:color w:val="auto"/>
              </w:rPr>
            </w:pPr>
          </w:p>
        </w:tc>
        <w:tc>
          <w:tcPr>
            <w:tcW w:w="71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Less: unamortized deferred financing costs</w:t>
            </w:r>
          </w:p>
        </w:tc>
        <w:tc>
          <w:tcPr>
            <w:tcW w:w="300" w:type="dxa"/>
            <w:vAlign w:val="bottom"/>
            <w:tcBorders>
              <w:bottom w:val="single" w:sz="8" w:color="auto"/>
            </w:tcBorders>
          </w:tcPr>
          <w:p>
            <w:pPr>
              <w:spacing w:after="0"/>
              <w:rPr>
                <w:sz w:val="22"/>
                <w:szCs w:val="22"/>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DCE2E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57"/>
        </w:trPr>
        <w:tc>
          <w:tcPr>
            <w:tcW w:w="40" w:type="dxa"/>
            <w:vAlign w:val="bottom"/>
            <w:shd w:val="clear" w:color="auto" w:fill="DCE2EF"/>
          </w:tcPr>
          <w:p>
            <w:pPr>
              <w:spacing w:after="0"/>
              <w:rPr>
                <w:sz w:val="22"/>
                <w:szCs w:val="22"/>
                <w:color w:val="auto"/>
              </w:rPr>
            </w:pPr>
          </w:p>
        </w:tc>
        <w:tc>
          <w:tcPr>
            <w:tcW w:w="7120" w:type="dxa"/>
            <w:vAlign w:val="bottom"/>
            <w:gridSpan w:val="2"/>
            <w:shd w:val="clear" w:color="auto" w:fill="DCE2EF"/>
          </w:tcPr>
          <w:p>
            <w:pPr>
              <w:ind w:left="460"/>
              <w:spacing w:after="0"/>
              <w:rPr>
                <w:sz w:val="20"/>
                <w:szCs w:val="20"/>
                <w:color w:val="auto"/>
              </w:rPr>
            </w:pPr>
            <w:r>
              <w:rPr>
                <w:rFonts w:ascii="Arial" w:cs="Arial" w:eastAsia="Arial" w:hAnsi="Arial"/>
                <w:sz w:val="18"/>
                <w:szCs w:val="18"/>
                <w:color w:val="auto"/>
              </w:rPr>
              <w:t>Total noncurrent portion of term loan</w:t>
            </w:r>
          </w:p>
        </w:tc>
        <w:tc>
          <w:tcPr>
            <w:tcW w:w="300" w:type="dxa"/>
            <w:vAlign w:val="bottom"/>
            <w:shd w:val="clear" w:color="auto" w:fill="DCE2EF"/>
          </w:tcPr>
          <w:p>
            <w:pPr>
              <w:spacing w:after="0"/>
              <w:rPr>
                <w:sz w:val="22"/>
                <w:szCs w:val="22"/>
                <w:color w:val="auto"/>
              </w:rPr>
            </w:pPr>
          </w:p>
        </w:tc>
        <w:tc>
          <w:tcPr>
            <w:tcW w:w="17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742.3</w:t>
            </w:r>
          </w:p>
        </w:tc>
        <w:tc>
          <w:tcPr>
            <w:tcW w:w="100" w:type="dxa"/>
            <w:vAlign w:val="bottom"/>
            <w:shd w:val="clear" w:color="auto" w:fill="DCE2EF"/>
          </w:tcPr>
          <w:p>
            <w:pPr>
              <w:spacing w:after="0"/>
              <w:rPr>
                <w:sz w:val="22"/>
                <w:szCs w:val="22"/>
                <w:color w:val="auto"/>
              </w:rPr>
            </w:pPr>
          </w:p>
        </w:tc>
        <w:tc>
          <w:tcPr>
            <w:tcW w:w="220" w:type="dxa"/>
            <w:vAlign w:val="bottom"/>
            <w:shd w:val="clear" w:color="auto" w:fill="DCE2EF"/>
          </w:tcPr>
          <w:p>
            <w:pPr>
              <w:spacing w:after="0"/>
              <w:rPr>
                <w:sz w:val="22"/>
                <w:szCs w:val="22"/>
                <w:color w:val="auto"/>
              </w:rPr>
            </w:pPr>
          </w:p>
        </w:tc>
        <w:tc>
          <w:tcPr>
            <w:tcW w:w="18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770.1</w:t>
            </w:r>
          </w:p>
        </w:tc>
      </w:tr>
      <w:tr>
        <w:trPr>
          <w:trHeight w:val="270"/>
        </w:trPr>
        <w:tc>
          <w:tcPr>
            <w:tcW w:w="40" w:type="dxa"/>
            <w:vAlign w:val="bottom"/>
            <w:tcBorders>
              <w:bottom w:val="single" w:sz="8" w:color="DCE2EF"/>
            </w:tcBorders>
          </w:tcPr>
          <w:p>
            <w:pPr>
              <w:spacing w:after="0"/>
              <w:rPr>
                <w:sz w:val="23"/>
                <w:szCs w:val="23"/>
                <w:color w:val="auto"/>
              </w:rPr>
            </w:pPr>
          </w:p>
        </w:tc>
        <w:tc>
          <w:tcPr>
            <w:tcW w:w="7120" w:type="dxa"/>
            <w:vAlign w:val="bottom"/>
            <w:tcBorders>
              <w:bottom w:val="single" w:sz="8" w:color="DCE2EF"/>
            </w:tcBorders>
            <w:gridSpan w:val="2"/>
          </w:tcPr>
          <w:p>
            <w:pPr>
              <w:ind w:left="240"/>
              <w:spacing w:after="0"/>
              <w:rPr>
                <w:sz w:val="20"/>
                <w:szCs w:val="20"/>
                <w:color w:val="auto"/>
              </w:rPr>
            </w:pPr>
            <w:r>
              <w:rPr>
                <w:rFonts w:ascii="Arial" w:cs="Arial" w:eastAsia="Arial" w:hAnsi="Arial"/>
                <w:sz w:val="18"/>
                <w:szCs w:val="18"/>
                <w:color w:val="auto"/>
              </w:rPr>
              <w:t>Line of credit</w:t>
            </w:r>
            <w:r>
              <w:rPr>
                <w:rFonts w:ascii="Arial" w:cs="Arial" w:eastAsia="Arial" w:hAnsi="Arial"/>
                <w:sz w:val="21"/>
                <w:szCs w:val="21"/>
                <w:color w:val="auto"/>
                <w:vertAlign w:val="superscript"/>
              </w:rPr>
              <w:t>(1)(2)</w:t>
            </w:r>
          </w:p>
        </w:tc>
        <w:tc>
          <w:tcPr>
            <w:tcW w:w="30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DCE2E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391.2</w:t>
            </w:r>
          </w:p>
        </w:tc>
      </w:tr>
      <w:tr>
        <w:trPr>
          <w:trHeight w:val="250"/>
        </w:trPr>
        <w:tc>
          <w:tcPr>
            <w:tcW w:w="40" w:type="dxa"/>
            <w:vAlign w:val="bottom"/>
            <w:tcBorders>
              <w:bottom w:val="single" w:sz="8" w:color="DCE2EF"/>
            </w:tcBorders>
            <w:shd w:val="clear" w:color="auto" w:fill="DCE2EF"/>
          </w:tcPr>
          <w:p>
            <w:pPr>
              <w:spacing w:after="0"/>
              <w:rPr>
                <w:sz w:val="21"/>
                <w:szCs w:val="21"/>
                <w:color w:val="auto"/>
              </w:rPr>
            </w:pPr>
          </w:p>
        </w:tc>
        <w:tc>
          <w:tcPr>
            <w:tcW w:w="7120" w:type="dxa"/>
            <w:vAlign w:val="bottom"/>
            <w:tcBorders>
              <w:bottom w:val="single" w:sz="8" w:color="DCE2EF"/>
            </w:tcBorders>
            <w:gridSpan w:val="2"/>
            <w:shd w:val="clear" w:color="auto" w:fill="DCE2EF"/>
          </w:tcPr>
          <w:p>
            <w:pPr>
              <w:ind w:left="240"/>
              <w:spacing w:after="0"/>
              <w:rPr>
                <w:sz w:val="20"/>
                <w:szCs w:val="20"/>
                <w:color w:val="auto"/>
              </w:rPr>
            </w:pPr>
            <w:r>
              <w:rPr>
                <w:rFonts w:ascii="Arial" w:cs="Arial" w:eastAsia="Arial" w:hAnsi="Arial"/>
                <w:sz w:val="18"/>
                <w:szCs w:val="18"/>
                <w:color w:val="auto"/>
              </w:rPr>
              <w:t>Long-term debt</w:t>
            </w:r>
          </w:p>
        </w:tc>
        <w:tc>
          <w:tcPr>
            <w:tcW w:w="300" w:type="dxa"/>
            <w:vAlign w:val="bottom"/>
            <w:tcBorders>
              <w:bottom w:val="single" w:sz="8" w:color="auto"/>
            </w:tcBorders>
            <w:shd w:val="clear" w:color="auto" w:fill="DCE2EF"/>
          </w:tcPr>
          <w:p>
            <w:pPr>
              <w:jc w:val="right"/>
              <w:ind w:right="70"/>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auto"/>
            </w:tcBorders>
            <w:shd w:val="clear" w:color="auto" w:fill="DCE2EF"/>
          </w:tcPr>
          <w:p>
            <w:pPr>
              <w:jc w:val="right"/>
              <w:ind w:right="30"/>
              <w:spacing w:after="0"/>
              <w:rPr>
                <w:sz w:val="20"/>
                <w:szCs w:val="20"/>
                <w:color w:val="auto"/>
              </w:rPr>
            </w:pPr>
            <w:r>
              <w:rPr>
                <w:rFonts w:ascii="Arial" w:cs="Arial" w:eastAsia="Arial" w:hAnsi="Arial"/>
                <w:sz w:val="18"/>
                <w:szCs w:val="18"/>
                <w:color w:val="auto"/>
              </w:rPr>
              <w:t>998.4</w:t>
            </w:r>
          </w:p>
        </w:tc>
        <w:tc>
          <w:tcPr>
            <w:tcW w:w="100" w:type="dxa"/>
            <w:vAlign w:val="bottom"/>
            <w:tcBorders>
              <w:bottom w:val="single" w:sz="8" w:color="DCE2EF"/>
            </w:tcBorders>
            <w:shd w:val="clear" w:color="auto" w:fill="DCE2EF"/>
          </w:tcPr>
          <w:p>
            <w:pPr>
              <w:spacing w:after="0"/>
              <w:rPr>
                <w:sz w:val="21"/>
                <w:szCs w:val="21"/>
                <w:color w:val="auto"/>
              </w:rPr>
            </w:pPr>
          </w:p>
        </w:tc>
        <w:tc>
          <w:tcPr>
            <w:tcW w:w="22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1,161.3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4550410</wp:posOffset>
            </wp:positionH>
            <wp:positionV relativeFrom="paragraph">
              <wp:posOffset>8890</wp:posOffset>
            </wp:positionV>
            <wp:extent cx="26930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ind w:left="180" w:hanging="172"/>
        <w:spacing w:after="0" w:line="222"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Standby letters of credit amounted to $155.5 million at July 31, 2018.</w:t>
      </w:r>
    </w:p>
    <w:p>
      <w:pPr>
        <w:spacing w:after="0" w:line="76" w:lineRule="exact"/>
        <w:rPr>
          <w:rFonts w:ascii="Arial" w:cs="Arial" w:eastAsia="Arial" w:hAnsi="Arial"/>
          <w:sz w:val="21"/>
          <w:szCs w:val="21"/>
          <w:color w:val="auto"/>
          <w:vertAlign w:val="superscript"/>
        </w:rPr>
      </w:pPr>
    </w:p>
    <w:p>
      <w:pPr>
        <w:ind w:left="180" w:hanging="172"/>
        <w:spacing w:after="0" w:line="219" w:lineRule="auto"/>
        <w:tabs>
          <w:tab w:leader="none" w:pos="18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At July 31, 2018, we had borrowing capacity of $477.3 million; however, covenant restrictions limited our actual borrowing capacity to $196.0 million.</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22"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0046AD"/>
        </w:rPr>
        <w:t>Term Loan Maturities</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During the first quarter, we made $20.0 million of principal payments. As of July 31, 2018, the following principal payments are required under the term loan.</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53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50"/>
        </w:trPr>
        <w:tc>
          <w:tcPr>
            <w:tcW w:w="60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Debt maturities</w:t>
            </w: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DCE2EF"/>
          </w:tcPr>
          <w:p>
            <w:pPr>
              <w:spacing w:after="0"/>
              <w:rPr>
                <w:sz w:val="21"/>
                <w:szCs w:val="21"/>
                <w:color w:val="auto"/>
              </w:rPr>
            </w:pPr>
          </w:p>
        </w:tc>
        <w:tc>
          <w:tcPr>
            <w:tcW w:w="28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120.0</w:t>
            </w:r>
          </w:p>
        </w:tc>
        <w:tc>
          <w:tcPr>
            <w:tcW w:w="120" w:type="dxa"/>
            <w:vAlign w:val="bottom"/>
            <w:shd w:val="clear" w:color="auto" w:fill="DCE2EF"/>
          </w:tcPr>
          <w:p>
            <w:pPr>
              <w:spacing w:after="0"/>
              <w:rPr>
                <w:sz w:val="21"/>
                <w:szCs w:val="21"/>
                <w:color w:val="auto"/>
              </w:rPr>
            </w:pPr>
          </w:p>
        </w:tc>
        <w:tc>
          <w:tcPr>
            <w:tcW w:w="26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560.0</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Interest Rate Swaps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enter into interest rate swaps to manage the interest rate risk associated with our floating-rate, LIBOR-based borrowings under our Credit Facility. Under these arrangements, we typically pay a fixed interest rate in exchange for LIBOR-based variable interest throughout the life of the agreement. We initially report the mark-to-market gain or loss on a derivative as a component of AOCI and subsequently reclassify the gain or loss into earnings when the hedged transactions occur and affect earnings. Interest payables and receivables under the swap agreements are accrued and recorded as adjustments to interest expense. All of our interest rate swaps were designated and accounted for as cash flow hedges from inception. See Note 6, “Fair Value of Financial Instruments,” regarding the valuation of our interest rate swaps.</w:t>
      </w:r>
    </w:p>
    <w:p>
      <w:pPr>
        <w:spacing w:after="0" w:line="15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During April 2018, we elected to terminate all of our interest rate swaps and received cash proceeds of $25.9 million from the swap counterparties upon termination. We classified the cash proceeds as an operating activity on our consolidated statements of cash flows. We subsequently entered into new forward-starting interest rate swaps, as summarized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Notional Amounts</w:t>
            </w:r>
          </w:p>
        </w:tc>
        <w:tc>
          <w:tcPr>
            <w:tcW w:w="120" w:type="dxa"/>
            <w:vAlign w:val="bottom"/>
            <w:tcBorders>
              <w:bottom w:val="single" w:sz="8" w:color="DCE2EF"/>
            </w:tcBorders>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Fixed Interest Rates</w:t>
            </w:r>
          </w:p>
        </w:tc>
        <w:tc>
          <w:tcPr>
            <w:tcW w:w="100" w:type="dxa"/>
            <w:vAlign w:val="bottom"/>
            <w:tcBorders>
              <w:bottom w:val="single" w:sz="8" w:color="DCE2EF"/>
            </w:tcBorders>
          </w:tcPr>
          <w:p>
            <w:pPr>
              <w:spacing w:after="0"/>
              <w:rPr>
                <w:sz w:val="21"/>
                <w:szCs w:val="21"/>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Effective Dates</w:t>
            </w:r>
          </w:p>
        </w:tc>
        <w:tc>
          <w:tcPr>
            <w:tcW w:w="100" w:type="dxa"/>
            <w:vAlign w:val="bottom"/>
            <w:tcBorders>
              <w:bottom w:val="single" w:sz="8" w:color="DCE2EF"/>
            </w:tcBorders>
          </w:tcPr>
          <w:p>
            <w:pPr>
              <w:spacing w:after="0"/>
              <w:rPr>
                <w:sz w:val="21"/>
                <w:szCs w:val="21"/>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 Dates</w:t>
            </w:r>
          </w:p>
        </w:tc>
      </w:tr>
      <w:tr>
        <w:trPr>
          <w:trHeight w:val="257"/>
        </w:trPr>
        <w:tc>
          <w:tcPr>
            <w:tcW w:w="3000" w:type="dxa"/>
            <w:vAlign w:val="bottom"/>
            <w:gridSpan w:val="2"/>
            <w:shd w:val="clear" w:color="auto" w:fill="DCE2EF"/>
          </w:tcPr>
          <w:p>
            <w:pPr>
              <w:jc w:val="center"/>
              <w:ind w:right="140"/>
              <w:spacing w:after="0"/>
              <w:rPr>
                <w:sz w:val="20"/>
                <w:szCs w:val="20"/>
                <w:color w:val="auto"/>
              </w:rPr>
            </w:pPr>
            <w:r>
              <w:rPr>
                <w:rFonts w:ascii="Arial" w:cs="Arial" w:eastAsia="Arial" w:hAnsi="Arial"/>
                <w:sz w:val="18"/>
                <w:szCs w:val="18"/>
                <w:color w:val="auto"/>
                <w:w w:val="99"/>
              </w:rPr>
              <w:t>$ 90.0 million</w:t>
            </w:r>
          </w:p>
        </w:tc>
        <w:tc>
          <w:tcPr>
            <w:tcW w:w="27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2.83%</w:t>
            </w:r>
          </w:p>
        </w:tc>
        <w:tc>
          <w:tcPr>
            <w:tcW w:w="100" w:type="dxa"/>
            <w:vAlign w:val="bottom"/>
            <w:shd w:val="clear" w:color="auto" w:fill="DCE2EF"/>
          </w:tcPr>
          <w:p>
            <w:pPr>
              <w:spacing w:after="0"/>
              <w:rPr>
                <w:sz w:val="22"/>
                <w:szCs w:val="22"/>
                <w:color w:val="auto"/>
              </w:rPr>
            </w:pPr>
          </w:p>
        </w:tc>
        <w:tc>
          <w:tcPr>
            <w:tcW w:w="284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April 30, 2021</w:t>
            </w:r>
          </w:p>
        </w:tc>
      </w:tr>
      <w:tr>
        <w:trPr>
          <w:trHeight w:val="263"/>
        </w:trPr>
        <w:tc>
          <w:tcPr>
            <w:tcW w:w="300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$ 90.0 million</w:t>
            </w:r>
          </w:p>
        </w:tc>
        <w:tc>
          <w:tcPr>
            <w:tcW w:w="274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tcPr>
          <w:p>
            <w:pPr>
              <w:jc w:val="center"/>
              <w:spacing w:after="0"/>
              <w:rPr>
                <w:sz w:val="20"/>
                <w:szCs w:val="20"/>
                <w:color w:val="auto"/>
              </w:rPr>
            </w:pPr>
            <w:r>
              <w:rPr>
                <w:rFonts w:ascii="Arial" w:cs="Arial" w:eastAsia="Arial" w:hAnsi="Arial"/>
                <w:sz w:val="18"/>
                <w:szCs w:val="18"/>
                <w:color w:val="auto"/>
              </w:rPr>
              <w:t>October 31, 2021</w:t>
            </w:r>
          </w:p>
        </w:tc>
      </w:tr>
      <w:tr>
        <w:trPr>
          <w:trHeight w:val="277"/>
        </w:trPr>
        <w:tc>
          <w:tcPr>
            <w:tcW w:w="300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4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2.86%</w:t>
            </w:r>
          </w:p>
        </w:tc>
        <w:tc>
          <w:tcPr>
            <w:tcW w:w="100" w:type="dxa"/>
            <w:vAlign w:val="bottom"/>
            <w:shd w:val="clear" w:color="auto" w:fill="DCE2EF"/>
          </w:tcPr>
          <w:p>
            <w:pPr>
              <w:spacing w:after="0"/>
              <w:rPr>
                <w:sz w:val="24"/>
                <w:szCs w:val="24"/>
                <w:color w:val="auto"/>
              </w:rPr>
            </w:pPr>
          </w:p>
        </w:tc>
        <w:tc>
          <w:tcPr>
            <w:tcW w:w="2840" w:type="dxa"/>
            <w:vAlign w:val="bottom"/>
            <w:gridSpan w:val="2"/>
            <w:shd w:val="clear" w:color="auto" w:fill="DCE2EF"/>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shd w:val="clear" w:color="auto" w:fill="DCE2EF"/>
          </w:tcPr>
          <w:p>
            <w:pPr>
              <w:jc w:val="center"/>
              <w:spacing w:after="0"/>
              <w:rPr>
                <w:sz w:val="20"/>
                <w:szCs w:val="20"/>
                <w:color w:val="auto"/>
              </w:rPr>
            </w:pPr>
            <w:r>
              <w:rPr>
                <w:rFonts w:ascii="Arial" w:cs="Arial" w:eastAsia="Arial" w:hAnsi="Arial"/>
                <w:sz w:val="18"/>
                <w:szCs w:val="18"/>
                <w:color w:val="auto"/>
              </w:rPr>
              <w:t>April 30, 2022</w:t>
            </w:r>
          </w:p>
        </w:tc>
      </w:tr>
      <w:tr>
        <w:trPr>
          <w:trHeight w:val="257"/>
        </w:trPr>
        <w:tc>
          <w:tcPr>
            <w:tcW w:w="30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$ 130.0 million</w:t>
            </w:r>
          </w:p>
        </w:tc>
        <w:tc>
          <w:tcPr>
            <w:tcW w:w="2740" w:type="dxa"/>
            <w:vAlign w:val="bottom"/>
          </w:tcPr>
          <w:p>
            <w:pPr>
              <w:jc w:val="center"/>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2"/>
                <w:szCs w:val="22"/>
                <w:color w:val="auto"/>
              </w:rPr>
            </w:pP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November 1, 2018</w:t>
            </w: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September 1, 2022</w:t>
            </w:r>
          </w:p>
        </w:tc>
      </w:tr>
    </w:tbl>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At July 31, 2018, the realized gain recorded in AOCI was $17.8 million, net of taxes of $7.1 million, which will be amortized to interest expense as interest payments are made over the term of our Credit Facility. During the three and nine months ended July 31, 2018, we amortized $ 0.9 million of this gain, net of taxes of $0.3 million, to interest expense. Additionally, at July 31, 2018, the amount expected to be reclassified from AOCI to earnings during the next twelve months was $3.9 million, net of taxes of $1.6 million. At October 31, 2017, amounts recorded in AOCI were $1.7 million, net of taxes of $1.2 million.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2"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0046AD"/>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Letters of Credit and Surety Bonds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use letters of credit and surety bonds to secure certain commitments related to insurance programs and for other purposes. As of July 31, 2018, these letters of credit and surety bonds totaled $155.5 million and $454.7 million, respectively. Included in the total amount of surety bonds is $2.7 million of bonds with an effective date starting after July 31,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Guarantees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some instances, we offer clients guaranteed energy savings under certain energy savings contracts. At July 31, 2018, total guarantees were $176.0 million and extend through 2038. We accrue for the estimated cost of guarantees when it is probable that a liability has been incurred and the amount can be reasonably estimated. Historically, we have not incurred any material losses in connection with these guarantees.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connection with an unconsolidated joint venture in which one of our subsidiaries has a 33% ownership interest, that subsidiary and the other joint venture partners have each jointly and severally guaranteed the obligations of the joint venture to perform under certain contracts extending through 2019. Annual revenues relating to the underlying contracts are approximately $35 million. Should the joint venture be unable to perform under these contracts, the joint venture partners would be jointly and severally liable for any losses incurred by the client due to the failure to perform.</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Sales Tax Audits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We collect sales tax from clients and remit those collections to the applicable states. When clients fail to pay their invoices, including the amount of any sales tax that we paid on their behalf, in some cases we are entitled to seek a refund of that amount of sales tax from the applicable state. Sales tax laws and regulations enacted by the various states are subject to interpretation, and our compliance with such laws is routinely subject to audit and review by such states. Audit risk is concentrated in several states, and these states are conducting ongoing audits. The outcomes of ongoing and any future audits and changes in the states’ interpretation of the sales tax laws and regulations could materially adversely impact our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Legal Matters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At July 31, 2018, the total amount accrued for all probable litigation losses where a reasonable estimate of the loss could be made was $11.7 million, including $ 3.8 million accrued during the three months ended July 31, 2018 and an accrual of $3.8 million in connection with the </w:t>
      </w:r>
      <w:r>
        <w:rPr>
          <w:rFonts w:ascii="Arial" w:cs="Arial" w:eastAsia="Arial" w:hAnsi="Arial"/>
          <w:sz w:val="18"/>
          <w:szCs w:val="18"/>
          <w:i w:val="1"/>
          <w:iCs w:val="1"/>
          <w:color w:val="auto"/>
        </w:rPr>
        <w:t xml:space="preserve">Hussein </w:t>
      </w:r>
      <w:r>
        <w:rPr>
          <w:rFonts w:ascii="Arial" w:cs="Arial" w:eastAsia="Arial" w:hAnsi="Arial"/>
          <w:sz w:val="18"/>
          <w:szCs w:val="18"/>
          <w:color w:val="auto"/>
        </w:rPr>
        <w:t>case discussed below.</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$4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22" w:right="239" w:bottom="1440" w:gutter="0" w:footer="0" w:header="0"/>
        </w:sectPr>
      </w:pPr>
    </w:p>
    <w:bookmarkStart w:id="20" w:name="page21"/>
    <w:bookmarkEnd w:id="20"/>
    <w:p>
      <w:pPr>
        <w:jc w:val="both"/>
        <w:ind w:firstLine="648"/>
        <w:spacing w:after="0" w:line="262" w:lineRule="auto"/>
        <w:rPr>
          <w:sz w:val="20"/>
          <w:szCs w:val="20"/>
          <w:color w:val="auto"/>
        </w:rPr>
      </w:pPr>
      <w:r>
        <w:rPr>
          <w:rFonts w:ascii="Arial" w:cs="Arial" w:eastAsia="Arial" w:hAnsi="Arial"/>
          <w:sz w:val="18"/>
          <w:szCs w:val="18"/>
          <w:color w:val="auto"/>
        </w:rPr>
        <w:t>While the results of these lawsuits, claims, and proceedings cannot be predicted with any certainty, our management believes that the final outcome of these matters will not have a material adverse effect on our financial position, results of operations, or cash flows.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Certain Legal Proceedings</w:t>
      </w:r>
    </w:p>
    <w:p>
      <w:pPr>
        <w:spacing w:after="0" w:line="2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Certain lawsuits to which we are a party are discussed below. In determining whether to include any particular lawsuit or other proceeding, we consider both quantitative and qualitative factors. These factors include, but are not limited to: the amount of damages and the nature of any other relief sought in the proceeding; if such damages and other relief are specified, our view of the merits of the claims; whether the action is or purports to be a class action, and our view of the likelihood that a class will be certified by the court; the jurisdiction in which the proceeding is pending; and the potential impact of the proceeding on our reputation.</w:t>
      </w:r>
    </w:p>
    <w:p>
      <w:pPr>
        <w:spacing w:after="0" w:line="188"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i w:val="1"/>
          <w:iCs w:val="1"/>
          <w:color w:val="auto"/>
        </w:rPr>
        <w:t>The Consolidated Cases of Bucio and Martinez v. ABM Janitorial Services filed on April 7, 2006, in the Superior Court of California, County of San Francisco (the “Bucio case”)</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Bucio</w:t>
      </w:r>
      <w:r>
        <w:rPr>
          <w:rFonts w:ascii="Arial" w:cs="Arial" w:eastAsia="Arial" w:hAnsi="Arial"/>
          <w:sz w:val="18"/>
          <w:szCs w:val="18"/>
          <w:color w:val="auto"/>
        </w:rPr>
        <w:t xml:space="preserve"> case is a class action pending in San Francisco Superior Court that alleges we failed to provide legally required meal periods and make additional premium payments for such meal periods, pay split shift premiums when owed, and reimburse janitors for travel expenses. There is also a claim for penalties under the California Labor Code Private Attorneys General Act. On April 19, 2011, the trial court held a hearing on plaintiffs’ motion to certify the class. At the conclusion of that hearing, the trial court denied plaintiffs’ motion to certify the class. On May 11, 2011, the plaintiffs filed a motion to reconsider, which was denied. The plaintiffs appealed the class certification issues. The trial court stayed the underlying lawsuit pending the decision in the appeal. The Court of Appeal of the State of California, First Appellate District (the “Court of Appeal”), heard oral arguments on November 7, 2017. On December 11, 2017, the Court of Appeal reversed the trial court’s order denying class certification and remanded the matter for certification of a meal period, travel expense reimbursement, and split shift class. The case was remitted to the trial court for further proceedings on class certification, discovery, dispositive motions, and trial.</w:t>
      </w:r>
    </w:p>
    <w:p>
      <w:pPr>
        <w:spacing w:after="0" w:line="189" w:lineRule="exact"/>
        <w:rPr>
          <w:sz w:val="20"/>
          <w:szCs w:val="20"/>
          <w:color w:val="auto"/>
        </w:rPr>
      </w:pPr>
    </w:p>
    <w:p>
      <w:pPr>
        <w:ind w:left="660"/>
        <w:spacing w:after="0" w:line="282" w:lineRule="auto"/>
        <w:rPr>
          <w:sz w:val="20"/>
          <w:szCs w:val="20"/>
          <w:color w:val="auto"/>
        </w:rPr>
      </w:pPr>
      <w:r>
        <w:rPr>
          <w:rFonts w:ascii="Arial" w:cs="Arial" w:eastAsia="Arial" w:hAnsi="Arial"/>
          <w:sz w:val="18"/>
          <w:szCs w:val="18"/>
          <w:i w:val="1"/>
          <w:iCs w:val="1"/>
          <w:color w:val="auto"/>
        </w:rPr>
        <w:t xml:space="preserve">Hussein and Hirsi v. Air Serv Corporation filed on January 20, 2016, pending in the United States District Court for the Western District of Washington at Seattle (the “Hussein case”) </w:t>
      </w:r>
      <w:r>
        <w:rPr>
          <w:rFonts w:ascii="Arial" w:cs="Arial" w:eastAsia="Arial" w:hAnsi="Arial"/>
          <w:sz w:val="18"/>
          <w:szCs w:val="18"/>
          <w:color w:val="auto"/>
        </w:rPr>
        <w:t>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Isse et al. v. Air Serv Corporation filed on February 7, 2017 in the Superior Court of Washington for King County (the “Isse” case)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was a certified class action involving a class of certain hourly Air Serv employees at Seattle-Tacoma International Airport in SeaTac, Washington. The plaintiffs alleged that Air Serv violated a minimum wage requirement in an ordinance applicable to certain employers in the local city of SeaTac (the “Ordinance”). Plaintiffs sought retroactive wages, double damages, interest, and attorneys’ fees. This matter was removed to federal court. In a separate lawsuit brought by Filo Foods, LLC, Alaska Airlines, and several other employers at SeaTac airport, the King County Superior Court issued a decision that invalidated the Ordinance as it applied to workers at SeaTac airport. Subsequently, the Washington Supreme Court reversed the Superior Court’s decision. On February 7, 2017,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was filed against Air Serv on behalf of 60 individual plaintiffs (who would otherwise be members of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class), who alleged failure to comply with both the minimum wage provision and the sick and safe time provision of the Ordinance.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sought retroactive wages and sick benefits, double damages for wages and sick benefits, interest, and attorneys’ fees.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 later expanded to approximately 220 individual plaintiffs.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mediations on November 2 and 3, 2017, and without admitting liability in either matter, we agreed to settle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and </w:t>
      </w:r>
      <w:r>
        <w:rPr>
          <w:rFonts w:ascii="Arial" w:cs="Arial" w:eastAsia="Arial" w:hAnsi="Arial"/>
          <w:sz w:val="18"/>
          <w:szCs w:val="18"/>
          <w:i w:val="1"/>
          <w:iCs w:val="1"/>
          <w:color w:val="auto"/>
        </w:rPr>
        <w:t>Isse</w:t>
      </w:r>
      <w:r>
        <w:rPr>
          <w:rFonts w:ascii="Arial" w:cs="Arial" w:eastAsia="Arial" w:hAnsi="Arial"/>
          <w:sz w:val="18"/>
          <w:szCs w:val="18"/>
          <w:color w:val="auto"/>
        </w:rPr>
        <w:t xml:space="preserve"> cases for a combined total of $ 8.3 million, inclusive of damages, interest, attorneys’ fees, and employer payroll taxes. Eligible employees will be able to participate in either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or </w:t>
      </w:r>
      <w:r>
        <w:rPr>
          <w:rFonts w:ascii="Arial" w:cs="Arial" w:eastAsia="Arial" w:hAnsi="Arial"/>
          <w:sz w:val="18"/>
          <w:szCs w:val="18"/>
          <w:i w:val="1"/>
          <w:iCs w:val="1"/>
          <w:color w:val="auto"/>
        </w:rPr>
        <w:t>Isse</w:t>
      </w:r>
      <w:r>
        <w:rPr>
          <w:rFonts w:ascii="Arial" w:cs="Arial" w:eastAsia="Arial" w:hAnsi="Arial"/>
          <w:sz w:val="18"/>
          <w:szCs w:val="18"/>
          <w:color w:val="auto"/>
        </w:rPr>
        <w:t xml:space="preserve"> settlements, but cannot recover in both settlements. The settlements in both cases require court approval because of the nature of the claims being released. On December 8, 2017, the Superior Court of Washington for King County approved the settlement agreement for the 220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and we subsequently made a settlement payment of $4.5 million to the </w:t>
      </w:r>
      <w:r>
        <w:rPr>
          <w:rFonts w:ascii="Arial" w:cs="Arial" w:eastAsia="Arial" w:hAnsi="Arial"/>
          <w:sz w:val="18"/>
          <w:szCs w:val="18"/>
          <w:i w:val="1"/>
          <w:iCs w:val="1"/>
          <w:color w:val="auto"/>
        </w:rPr>
        <w:t>Isse</w:t>
      </w:r>
      <w:r>
        <w:rPr>
          <w:rFonts w:ascii="Arial" w:cs="Arial" w:eastAsia="Arial" w:hAnsi="Arial"/>
          <w:sz w:val="18"/>
          <w:szCs w:val="18"/>
          <w:color w:val="auto"/>
        </w:rPr>
        <w:t xml:space="preserve"> plaintiffs in January 2018.</w:t>
      </w:r>
    </w:p>
    <w:p>
      <w:pPr>
        <w:spacing w:after="0" w:line="20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July 30, 2018, the United States District Court for the Western District of Washington at Seattle preliminarily approved the settlement in the </w:t>
      </w:r>
      <w:r>
        <w:rPr>
          <w:rFonts w:ascii="Arial" w:cs="Arial" w:eastAsia="Arial" w:hAnsi="Arial"/>
          <w:sz w:val="18"/>
          <w:szCs w:val="18"/>
          <w:i w:val="1"/>
          <w:iCs w:val="1"/>
          <w:color w:val="auto"/>
        </w:rPr>
        <w:t>Hussein</w:t>
      </w:r>
      <w:r>
        <w:rPr>
          <w:rFonts w:ascii="Arial" w:cs="Arial" w:eastAsia="Arial" w:hAnsi="Arial"/>
          <w:sz w:val="18"/>
          <w:szCs w:val="18"/>
          <w:color w:val="auto"/>
        </w:rPr>
        <w:t xml:space="preserve"> case. The final approval hearing is set for December 5, 2018, and, if approved, the settlement proceeds will be distributed thereafter.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44" w:right="239" w:bottom="1440" w:gutter="0" w:footer="0" w:header="0"/>
        </w:sectPr>
      </w:pPr>
    </w:p>
    <w:bookmarkStart w:id="21" w:name="page22"/>
    <w:bookmarkEnd w:id="21"/>
    <w:p>
      <w:pPr>
        <w:ind w:left="660"/>
        <w:spacing w:after="0" w:line="282" w:lineRule="auto"/>
        <w:rPr>
          <w:sz w:val="20"/>
          <w:szCs w:val="20"/>
          <w:color w:val="auto"/>
        </w:rPr>
      </w:pPr>
      <w:r>
        <w:rPr>
          <w:rFonts w:ascii="Arial" w:cs="Arial" w:eastAsia="Arial" w:hAnsi="Arial"/>
          <w:sz w:val="18"/>
          <w:szCs w:val="18"/>
          <w:i w:val="1"/>
          <w:iCs w:val="1"/>
          <w:color w:val="auto"/>
        </w:rPr>
        <w:t>Castro and Marmolejo v. ABM Industries, Inc., et al., filed on October 24, 2014, pending in the United States District Court for the Northern District of California (the “Castro” case)</w:t>
      </w:r>
    </w:p>
    <w:p>
      <w:pPr>
        <w:spacing w:after="0" w:line="18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On October 24, 2014, Plaintiff Marley Castro filed a class action lawsuit alleging that ABM did not reimburse janitorial employees in California for using their personal cell phones for work-related purposes, in violation of California Labor Code section 2802. On January 23, 2015, Plaintiff Lucia Marmolejo was added to the case as a named plaintiff. On October 27, 2017, plaintiffs moved for class certification seeking to represent a class of all employees who were, are, or will be employed by ABM in the State of California with the Employee Master Job Description Code “Cleaner” (hereafter referred to as “Cleaner Employees”) beginning from October 24, 2010. ABM filed its opposition to class certification on November 27, 2017. On January 26, 2018, the district court granted plaintiffs’ motion for class certification. The court rejected plaintiffs’ proposed class, instead certifying three classes that the court formulated on its own: (1) all employees who were, are, or will be employed by ABM in the State of California as Cleaner Employees who used a personal cell phone to punch in and out of the EPAY system and who (a) worked at an ABM facility that did not provide a biometric clock and (b) were not offered an ABM-provided cell phone during the period beginning on January 1, 2012, through the date of notice to the Class Members that a class has been certified in this action; (2) all employees who were, are, or will be employed by ABM in the State of California as Cleaner Employees who used a personal cell phone to report unusual or suspicious circumstances to supervisors and were not offered (a) an ABM-provided cell phone or (b) a two-way radio during the period beginning four years prior to the filing of the original complaint, October 24, 2014, through the date of notice to the Class Members that a class has been certified in this action; and (3) all employees who were, are, or will be employed by ABM in the State of California as Cleaner Employees who used a personal cell phone to respond to communications from supervisors and were not offered (a) an ABM-provided cell phone or (b) a two-way radio during the period beginning four years prior to the filing of the original complaint, October 24, 2014, through the date of notice to the Class Members that a class has been certified in this action.</w:t>
      </w:r>
    </w:p>
    <w:p>
      <w:pPr>
        <w:spacing w:after="0" w:line="20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February 9, 2018, ABM filed a petition for permission to appeal the district court’s order granting class certification with the United States Court of Appeals for the Ninth Circuit, which was denied on April 30, 2018. On March 20, 2018, ABM moved to compel arbitration of the claims of certain class members pursuant to the terms of three collective bargaining agreements. In response to that motion, on May 14, 2018, the district court modified the class definition to exclude all claims arising after the operative date(s) of the applicable collective bargaining agreements (which is June 1, 2016 for one agreement and May 1, 2016 for the other two agreements). However, the district court denied the motion to compel arbitration as to claims that arose prior to the operative date(s) of the applicable collective bargaining agreements. ABM has appealed to the Ninth Circuit the district court’s order denying the motion to compel arbitration with respect to the periods preceding the operative dates of the collective bargaining agreements. The parties have a court ordered mediation scheduled for October 15, 2018.</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Tax Cuts and Jobs Act (the “Tax Act”), which was enacted on December 22, 2017, represents the most significant overhaul of the U.S. tax code in more than 30 years. Among other provisions, the Tax Act provides for a reduction of the federal corporate income tax rate from 35% to 21% and a “transition tax” to be levied on the deemed repatriation of indefinitely reinvested earnings of international subsidiaries. Since we have an October 31 fiscal year-end, the lower corporate income tax rate will be phased in, resulting in a U.S. statutory federal rate of 23.3% for fiscal 2018 and 21% for subsequent fiscal years. Other provisions under the Tax Act will not be effective for us until fiscal 2019, including limitations on deductibility of interest and executive compensation as well as a new minimum tax on Global Intangible Low-Taxed Income (“GILTI”).</w:t>
      </w:r>
    </w:p>
    <w:p>
      <w:pPr>
        <w:spacing w:after="0" w:line="15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Due to the complexities of implementing the provisions of the Tax Act, the staff of the U.S. Securities and Exchange Commission issued Staff Accounting Bulletin 118 (“SAB 118”), which provides guidance on accounting for tax effects of the Tax Act and permits a measurement period not to exceed one year from the enactment date for companies to complete the required analyses and accounting. As permitted under SAB 118, some elements of the tax adjustments recorded in the first quarter of 2018 due to the enactment of the Tax Act, including the remeasurement of deferred tax assets and liabilities and the transition tax, are based on reasonable estimates and are considered provisional.</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64" w:right="239" w:bottom="1440" w:gutter="0" w:footer="0" w:header="0"/>
        </w:sectPr>
      </w:pPr>
    </w:p>
    <w:bookmarkStart w:id="22" w:name="page23"/>
    <w:bookmarkEnd w:id="22"/>
    <w:p>
      <w:pPr>
        <w:jc w:val="both"/>
        <w:ind w:firstLine="648"/>
        <w:spacing w:after="0" w:line="252" w:lineRule="auto"/>
        <w:rPr>
          <w:sz w:val="20"/>
          <w:szCs w:val="20"/>
          <w:color w:val="auto"/>
        </w:rPr>
      </w:pPr>
      <w:r>
        <w:rPr>
          <w:rFonts w:ascii="Arial" w:cs="Arial" w:eastAsia="Arial" w:hAnsi="Arial"/>
          <w:sz w:val="18"/>
          <w:szCs w:val="18"/>
          <w:color w:val="auto"/>
        </w:rPr>
        <w:t>During the three months ended January 31, 2018 we remeasured certain deferred tax assets and liabilities based on the new rates at which they are expected to reverse in the future and recorded a net discrete tax benefit of $28.5 million. In addition, we recorded an expense of $7.0 million for the one-time transition tax on the deemed repatriation of indefinitely reinvested earnings of our international subsidiaries. We plan to reinvest our foreign earnings to fund future non-U.S. growth and expansion, and we do not anticipate remitting such earnings to the United States. While U.S. federal tax expense has been recognized as a result of the Tax Act, no deferred tax liabilities with respect to state income taxes or foreign withholding taxes have been recognized.</w:t>
      </w:r>
    </w:p>
    <w:p>
      <w:pPr>
        <w:spacing w:after="0" w:line="155"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We continue to analyze certain aspects of the Tax Act and refine our calculation of the impact on our deferred tax balances, which could potentially affect the measurement of these balances. The provisional amount recorded is based on our estimate of the expected reversals of certain tax assets and liabilities, which may be revised in future quarters during the one-year measurement period as additional information becomes available. The final impact related to the one-time transition tax may differ from our current estimate due to the complexity of calculating and supporting U.S. tax attributes involved in foreign tax credit calculations, such as accumulated foreign earnings and profits, foreign tax paid, and other tax components. Changes to our estimates over the one-year measurement period could be material due to, among other things: changes in interpretations of the Tax Act; future legislative action to address questions that arise from the Tax Act; changes in accounting standards for income taxes or related interpretations in response to the Tax Act; or any updates or changes to estimates we have utilized to calculate the provisional amounts. We adjusted our provisional amounts by $0.2 million during the three months ended July 31, 2018.</w:t>
      </w:r>
    </w:p>
    <w:p>
      <w:pPr>
        <w:spacing w:after="0" w:line="15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Beginning in fiscal year 2019, provisions under GILTI could result in incremental U.S. federal tax on our foreign subsidiaries’ income in excess of an allowed return on certain tangible property. The Financial Accounting Standards Board has determined that filers have a policy choice to account for this tax on either a period basis or a deferred tax basis. We are still evaluating the impacts of GILTI on our business model and have not yet made any accounting adjustments or policy decisions regarding this new source of incremental U.S. taxable income.</w:t>
      </w:r>
    </w:p>
    <w:p>
      <w:pPr>
        <w:spacing w:after="0" w:line="15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Our quarterly provision for income taxes from continuing operations is calculated using an estimated annual effective income tax rate, which is adjusted for discrete items that occur during the reporting period. Our income taxes for the three months ended July 31, 2018 were favorably impacted by the reduction of the federal corporate income tax rate resulting from the Tax Act. Discrete tax benefits of $4.2 million, including interest of $0.7 million, related to expiring statute of limitations for an uncertain tax position and $1.6 million of excess tax benefits related to the vesting of share-based compensation awards were also recorded during the quarter. Our income taxes for the nine months ended July 31, 2018 were favorably impacted by: a net discrete tax benefit of $21.5 million related to the enactment of the Tax Act; $4.1 million, including interest of $0.6 million, related to expiring statute of limitations for an uncertain tax position; $3.1 million of excess tax benefits related to the vesting of share-based compensation awards; and $ 2.6 million related to tax deductions on energy efficient government buildings. These benefits were partially offset by a $1.5 million reduction in certain tax credits, including the prior year Work Opportunity Tax Credits (“WOTC”) for new hires.</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income taxes for the three and nine months ended July 31, 2017 were favorably impacted by a benefit of $15.8 million, including interest of $1.2 million, related to expiring statute of limitations for an uncertain tax position. In addition, the nine months ended July 31, 2017 also benefited from $2.7 million of excess tax benefits related to the vesting of share-based compensation awards, $1.8 million of tax deductions for energy efficient government buildings, and the 2017 WOTC for new hires.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544"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0046AD"/>
        </w:rPr>
        <w:t>12. SEGMENT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2377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889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Effective November 1, 2017, we reorganized our reportable segments to reflect the integration of GCA into our industry group model. Our reportable segments consist of Business &amp; Industry (“B&amp;I”), Aviation, Technology &amp; Manufacturing (“T&amp;M”), Education, Technical Solutions, and Healthcare, as further described below. Refer to Note 2, “Basis of Presentation and Significant Accounting Policies,” for information related to our former Government Services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246620" cy="28816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881630"/>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220" w:type="dxa"/>
            <w:vAlign w:val="bottom"/>
            <w:tcBorders>
              <w:top w:val="single" w:sz="8" w:color="auto"/>
              <w:right w:val="single" w:sz="8" w:color="auto"/>
            </w:tcBorders>
          </w:tcPr>
          <w:p>
            <w:pPr>
              <w:spacing w:after="0"/>
              <w:rPr>
                <w:sz w:val="20"/>
                <w:szCs w:val="20"/>
                <w:color w:val="auto"/>
              </w:rPr>
            </w:pPr>
          </w:p>
        </w:tc>
        <w:tc>
          <w:tcPr>
            <w:tcW w:w="8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B&amp;I, our largest reportable segment, encompasses janitorial, facilities engineering, and parking</w:t>
            </w:r>
          </w:p>
        </w:tc>
        <w:tc>
          <w:tcPr>
            <w:tcW w:w="0" w:type="dxa"/>
            <w:vAlign w:val="bottom"/>
          </w:tcPr>
          <w:p>
            <w:pPr>
              <w:spacing w:after="0"/>
              <w:rPr>
                <w:sz w:val="1"/>
                <w:szCs w:val="1"/>
                <w:color w:val="auto"/>
              </w:rPr>
            </w:pPr>
          </w:p>
        </w:tc>
      </w:tr>
      <w:tr>
        <w:trPr>
          <w:trHeight w:val="203"/>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B&amp;I</w:t>
            </w:r>
          </w:p>
        </w:tc>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services for commercial real estate properties and sports and entertainment venues. B&amp;I also</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provides  vehicle  maintenance  and  other  services  to  rental  car  providers  (“Vehicle  Services</w:t>
            </w:r>
          </w:p>
        </w:tc>
        <w:tc>
          <w:tcPr>
            <w:tcW w:w="0" w:type="dxa"/>
            <w:vAlign w:val="bottom"/>
          </w:tcPr>
          <w:p>
            <w:pPr>
              <w:spacing w:after="0"/>
              <w:rPr>
                <w:sz w:val="1"/>
                <w:szCs w:val="1"/>
                <w:color w:val="auto"/>
              </w:rPr>
            </w:pPr>
          </w:p>
        </w:tc>
      </w:tr>
      <w:tr>
        <w:trPr>
          <w:trHeight w:val="94"/>
        </w:trPr>
        <w:tc>
          <w:tcPr>
            <w:tcW w:w="3220" w:type="dxa"/>
            <w:vAlign w:val="bottom"/>
            <w:tcBorders>
              <w:right w:val="single" w:sz="8" w:color="auto"/>
            </w:tcBorders>
          </w:tcPr>
          <w:p>
            <w:pPr>
              <w:spacing w:after="0"/>
              <w:rPr>
                <w:sz w:val="8"/>
                <w:szCs w:val="8"/>
                <w:color w:val="auto"/>
              </w:rPr>
            </w:pPr>
          </w:p>
        </w:tc>
        <w:tc>
          <w:tcPr>
            <w:tcW w:w="8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22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Contracts”).</w:t>
            </w:r>
          </w:p>
        </w:tc>
        <w:tc>
          <w:tcPr>
            <w:tcW w:w="0" w:type="dxa"/>
            <w:vAlign w:val="bottom"/>
          </w:tcPr>
          <w:p>
            <w:pPr>
              <w:spacing w:after="0"/>
              <w:rPr>
                <w:sz w:val="1"/>
                <w:szCs w:val="1"/>
                <w:color w:val="auto"/>
              </w:rPr>
            </w:pPr>
          </w:p>
        </w:tc>
      </w:tr>
      <w:tr>
        <w:trPr>
          <w:trHeight w:val="229"/>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Aviation</w:t>
            </w:r>
          </w:p>
        </w:tc>
        <w:tc>
          <w:tcPr>
            <w:tcW w:w="8200" w:type="dxa"/>
            <w:vAlign w:val="bottom"/>
          </w:tcPr>
          <w:p>
            <w:pPr>
              <w:ind w:left="20"/>
              <w:spacing w:after="0"/>
              <w:rPr>
                <w:sz w:val="20"/>
                <w:szCs w:val="20"/>
                <w:color w:val="auto"/>
              </w:rPr>
            </w:pPr>
            <w:r>
              <w:rPr>
                <w:rFonts w:ascii="Arial" w:cs="Arial" w:eastAsia="Arial" w:hAnsi="Arial"/>
                <w:sz w:val="18"/>
                <w:szCs w:val="18"/>
                <w:color w:val="auto"/>
              </w:rPr>
              <w:t>Aviation supports airlines and airports with services ranging from parking and janitorial to passenger</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rPr>
                <w:sz w:val="20"/>
                <w:szCs w:val="20"/>
                <w:color w:val="auto"/>
              </w:rPr>
            </w:pPr>
            <w:r>
              <w:rPr>
                <w:rFonts w:ascii="Arial" w:cs="Arial" w:eastAsia="Arial" w:hAnsi="Arial"/>
                <w:sz w:val="18"/>
                <w:szCs w:val="18"/>
                <w:color w:val="auto"/>
              </w:rPr>
              <w:t>assistance, catering logistics, air cabin maintenance, and transportation.</w:t>
            </w:r>
          </w:p>
        </w:tc>
        <w:tc>
          <w:tcPr>
            <w:tcW w:w="0" w:type="dxa"/>
            <w:vAlign w:val="bottom"/>
          </w:tcPr>
          <w:p>
            <w:pPr>
              <w:spacing w:after="0"/>
              <w:rPr>
                <w:sz w:val="1"/>
                <w:szCs w:val="1"/>
                <w:color w:val="auto"/>
              </w:rPr>
            </w:pPr>
          </w:p>
        </w:tc>
      </w:tr>
      <w:tr>
        <w:trPr>
          <w:trHeight w:val="115"/>
        </w:trPr>
        <w:tc>
          <w:tcPr>
            <w:tcW w:w="322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220" w:type="dxa"/>
            <w:vAlign w:val="bottom"/>
            <w:tcBorders>
              <w:right w:val="single" w:sz="8" w:color="auto"/>
            </w:tcBorders>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T&amp;M combines our legacy Industrial &amp; Manufacturing business, which was previously included in our</w:t>
            </w:r>
          </w:p>
        </w:tc>
        <w:tc>
          <w:tcPr>
            <w:tcW w:w="0" w:type="dxa"/>
            <w:vAlign w:val="bottom"/>
          </w:tcPr>
          <w:p>
            <w:pPr>
              <w:spacing w:after="0"/>
              <w:rPr>
                <w:sz w:val="1"/>
                <w:szCs w:val="1"/>
                <w:color w:val="auto"/>
              </w:rPr>
            </w:pPr>
          </w:p>
        </w:tc>
      </w:tr>
      <w:tr>
        <w:trPr>
          <w:trHeight w:val="203"/>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T&amp;M</w:t>
            </w:r>
          </w:p>
        </w:tc>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B&amp;I segment, with our legacy High Tech industry group, which was previously reported as part of our</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legacy Emerging Industries Group. T&amp;M provides janitorial, facilities engineering, and parking</w:t>
            </w:r>
          </w:p>
        </w:tc>
        <w:tc>
          <w:tcPr>
            <w:tcW w:w="0" w:type="dxa"/>
            <w:vAlign w:val="bottom"/>
          </w:tcPr>
          <w:p>
            <w:pPr>
              <w:spacing w:after="0"/>
              <w:rPr>
                <w:sz w:val="1"/>
                <w:szCs w:val="1"/>
                <w:color w:val="auto"/>
              </w:rPr>
            </w:pPr>
          </w:p>
        </w:tc>
      </w:tr>
      <w:tr>
        <w:trPr>
          <w:trHeight w:val="94"/>
        </w:trPr>
        <w:tc>
          <w:tcPr>
            <w:tcW w:w="3220" w:type="dxa"/>
            <w:vAlign w:val="bottom"/>
            <w:tcBorders>
              <w:right w:val="single" w:sz="8" w:color="auto"/>
            </w:tcBorders>
          </w:tcPr>
          <w:p>
            <w:pPr>
              <w:spacing w:after="0"/>
              <w:rPr>
                <w:sz w:val="8"/>
                <w:szCs w:val="8"/>
                <w:color w:val="auto"/>
              </w:rPr>
            </w:pPr>
          </w:p>
        </w:tc>
        <w:tc>
          <w:tcPr>
            <w:tcW w:w="8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22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services.</w:t>
            </w:r>
          </w:p>
        </w:tc>
        <w:tc>
          <w:tcPr>
            <w:tcW w:w="0" w:type="dxa"/>
            <w:vAlign w:val="bottom"/>
          </w:tcPr>
          <w:p>
            <w:pPr>
              <w:spacing w:after="0"/>
              <w:rPr>
                <w:sz w:val="1"/>
                <w:szCs w:val="1"/>
                <w:color w:val="auto"/>
              </w:rPr>
            </w:pPr>
          </w:p>
        </w:tc>
      </w:tr>
      <w:tr>
        <w:trPr>
          <w:trHeight w:val="229"/>
        </w:trPr>
        <w:tc>
          <w:tcPr>
            <w:tcW w:w="3220" w:type="dxa"/>
            <w:vAlign w:val="bottom"/>
            <w:tcBorders>
              <w:right w:val="single" w:sz="8" w:color="auto"/>
            </w:tcBorders>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Education delivers janitorial, custodial, landscaping and grounds, facilities engineering, and parking</w:t>
            </w:r>
          </w:p>
        </w:tc>
        <w:tc>
          <w:tcPr>
            <w:tcW w:w="0" w:type="dxa"/>
            <w:vAlign w:val="bottom"/>
          </w:tcPr>
          <w:p>
            <w:pPr>
              <w:spacing w:after="0"/>
              <w:rPr>
                <w:sz w:val="1"/>
                <w:szCs w:val="1"/>
                <w:color w:val="auto"/>
              </w:rPr>
            </w:pPr>
          </w:p>
        </w:tc>
      </w:tr>
      <w:tr>
        <w:trPr>
          <w:trHeight w:val="203"/>
        </w:trPr>
        <w:tc>
          <w:tcPr>
            <w:tcW w:w="3220" w:type="dxa"/>
            <w:vAlign w:val="bottom"/>
            <w:tcBorders>
              <w:right w:val="single" w:sz="8" w:color="auto"/>
            </w:tcBorders>
          </w:tcPr>
          <w:p>
            <w:pPr>
              <w:jc w:val="center"/>
              <w:spacing w:after="0" w:line="202" w:lineRule="exact"/>
              <w:rPr>
                <w:sz w:val="20"/>
                <w:szCs w:val="20"/>
                <w:color w:val="auto"/>
              </w:rPr>
            </w:pPr>
            <w:r>
              <w:rPr>
                <w:rFonts w:ascii="Arial" w:cs="Arial" w:eastAsia="Arial" w:hAnsi="Arial"/>
                <w:sz w:val="18"/>
                <w:szCs w:val="18"/>
                <w:color w:val="auto"/>
                <w:w w:val="99"/>
              </w:rPr>
              <w:t>Education</w:t>
            </w:r>
          </w:p>
        </w:tc>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services for public school districts, private schools, colleges, and universities. This business was</w:t>
            </w:r>
          </w:p>
        </w:tc>
        <w:tc>
          <w:tcPr>
            <w:tcW w:w="0" w:type="dxa"/>
            <w:vAlign w:val="bottom"/>
          </w:tcPr>
          <w:p>
            <w:pPr>
              <w:spacing w:after="0"/>
              <w:rPr>
                <w:sz w:val="1"/>
                <w:szCs w:val="1"/>
                <w:color w:val="auto"/>
              </w:rPr>
            </w:pPr>
          </w:p>
        </w:tc>
      </w:tr>
      <w:tr>
        <w:trPr>
          <w:trHeight w:val="224"/>
        </w:trPr>
        <w:tc>
          <w:tcPr>
            <w:tcW w:w="322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previously reported as part of our legacy Emerging Industries Group.</w:t>
            </w:r>
          </w:p>
        </w:tc>
        <w:tc>
          <w:tcPr>
            <w:tcW w:w="0" w:type="dxa"/>
            <w:vAlign w:val="bottom"/>
          </w:tcPr>
          <w:p>
            <w:pPr>
              <w:spacing w:after="0"/>
              <w:rPr>
                <w:sz w:val="1"/>
                <w:szCs w:val="1"/>
                <w:color w:val="auto"/>
              </w:rPr>
            </w:pPr>
          </w:p>
        </w:tc>
      </w:tr>
      <w:tr>
        <w:trPr>
          <w:trHeight w:val="229"/>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Technical Solutions</w:t>
            </w:r>
          </w:p>
        </w:tc>
        <w:tc>
          <w:tcPr>
            <w:tcW w:w="8200" w:type="dxa"/>
            <w:vAlign w:val="bottom"/>
          </w:tcPr>
          <w:p>
            <w:pPr>
              <w:ind w:left="20"/>
              <w:spacing w:after="0"/>
              <w:rPr>
                <w:sz w:val="20"/>
                <w:szCs w:val="20"/>
                <w:color w:val="auto"/>
              </w:rPr>
            </w:pPr>
            <w:r>
              <w:rPr>
                <w:rFonts w:ascii="Arial" w:cs="Arial" w:eastAsia="Arial" w:hAnsi="Arial"/>
                <w:sz w:val="18"/>
                <w:szCs w:val="18"/>
                <w:color w:val="auto"/>
              </w:rPr>
              <w:t>Technical Solutions specializes in mechanical and electrical services. These services can also be</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rPr>
                <w:sz w:val="20"/>
                <w:szCs w:val="20"/>
                <w:color w:val="auto"/>
              </w:rPr>
            </w:pPr>
            <w:r>
              <w:rPr>
                <w:rFonts w:ascii="Arial" w:cs="Arial" w:eastAsia="Arial" w:hAnsi="Arial"/>
                <w:sz w:val="18"/>
                <w:szCs w:val="18"/>
                <w:color w:val="auto"/>
              </w:rPr>
              <w:t>leveraged for cross-selling across all of our industry groups, both domestically and internationally.</w:t>
            </w:r>
          </w:p>
        </w:tc>
        <w:tc>
          <w:tcPr>
            <w:tcW w:w="0" w:type="dxa"/>
            <w:vAlign w:val="bottom"/>
          </w:tcPr>
          <w:p>
            <w:pPr>
              <w:spacing w:after="0"/>
              <w:rPr>
                <w:sz w:val="1"/>
                <w:szCs w:val="1"/>
                <w:color w:val="auto"/>
              </w:rPr>
            </w:pPr>
          </w:p>
        </w:tc>
      </w:tr>
      <w:tr>
        <w:trPr>
          <w:trHeight w:val="115"/>
        </w:trPr>
        <w:tc>
          <w:tcPr>
            <w:tcW w:w="3220" w:type="dxa"/>
            <w:vAlign w:val="bottom"/>
            <w:tcBorders>
              <w:bottom w:val="single" w:sz="8" w:color="auto"/>
              <w:right w:val="single" w:sz="8" w:color="auto"/>
            </w:tcBorders>
          </w:tcPr>
          <w:p>
            <w:pPr>
              <w:spacing w:after="0"/>
              <w:rPr>
                <w:sz w:val="10"/>
                <w:szCs w:val="10"/>
                <w:color w:val="auto"/>
              </w:rPr>
            </w:pPr>
          </w:p>
        </w:tc>
        <w:tc>
          <w:tcPr>
            <w:tcW w:w="820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3220" w:type="dxa"/>
            <w:vAlign w:val="bottom"/>
            <w:tcBorders>
              <w:right w:val="single" w:sz="8" w:color="auto"/>
            </w:tcBorders>
          </w:tcPr>
          <w:p>
            <w:pPr>
              <w:spacing w:after="0"/>
              <w:rPr>
                <w:sz w:val="19"/>
                <w:szCs w:val="19"/>
                <w:color w:val="auto"/>
              </w:rPr>
            </w:pPr>
          </w:p>
        </w:tc>
        <w:tc>
          <w:tcPr>
            <w:tcW w:w="8200" w:type="dxa"/>
            <w:vAlign w:val="bottom"/>
          </w:tcPr>
          <w:p>
            <w:pPr>
              <w:ind w:left="20"/>
              <w:spacing w:after="0"/>
              <w:rPr>
                <w:sz w:val="20"/>
                <w:szCs w:val="20"/>
                <w:color w:val="auto"/>
              </w:rPr>
            </w:pPr>
            <w:r>
              <w:rPr>
                <w:rFonts w:ascii="Arial" w:cs="Arial" w:eastAsia="Arial" w:hAnsi="Arial"/>
                <w:sz w:val="18"/>
                <w:szCs w:val="18"/>
                <w:color w:val="auto"/>
              </w:rPr>
              <w:t>Healthcare offers janitorial, facilities management, clinical engineering, food and nutrition, laundry and</w:t>
            </w:r>
          </w:p>
        </w:tc>
        <w:tc>
          <w:tcPr>
            <w:tcW w:w="0" w:type="dxa"/>
            <w:vAlign w:val="bottom"/>
          </w:tcPr>
          <w:p>
            <w:pPr>
              <w:spacing w:after="0"/>
              <w:rPr>
                <w:sz w:val="1"/>
                <w:szCs w:val="1"/>
                <w:color w:val="auto"/>
              </w:rPr>
            </w:pPr>
          </w:p>
        </w:tc>
      </w:tr>
      <w:tr>
        <w:trPr>
          <w:trHeight w:val="203"/>
        </w:trPr>
        <w:tc>
          <w:tcPr>
            <w:tcW w:w="3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Healthcare</w:t>
            </w:r>
          </w:p>
        </w:tc>
        <w:tc>
          <w:tcPr>
            <w:tcW w:w="8200" w:type="dxa"/>
            <w:vAlign w:val="bottom"/>
          </w:tcPr>
          <w:p>
            <w:pPr>
              <w:ind w:left="20"/>
              <w:spacing w:after="0" w:line="202" w:lineRule="exact"/>
              <w:rPr>
                <w:sz w:val="20"/>
                <w:szCs w:val="20"/>
                <w:color w:val="auto"/>
              </w:rPr>
            </w:pPr>
            <w:r>
              <w:rPr>
                <w:rFonts w:ascii="Arial" w:cs="Arial" w:eastAsia="Arial" w:hAnsi="Arial"/>
                <w:sz w:val="18"/>
                <w:szCs w:val="18"/>
                <w:color w:val="auto"/>
              </w:rPr>
              <w:t>linen, parking and guest services, and patient transportation services at traditional hospitals and non-</w:t>
            </w:r>
          </w:p>
        </w:tc>
        <w:tc>
          <w:tcPr>
            <w:tcW w:w="0" w:type="dxa"/>
            <w:vAlign w:val="bottom"/>
          </w:tcPr>
          <w:p>
            <w:pPr>
              <w:spacing w:after="0"/>
              <w:rPr>
                <w:sz w:val="1"/>
                <w:szCs w:val="1"/>
                <w:color w:val="auto"/>
              </w:rPr>
            </w:pPr>
          </w:p>
        </w:tc>
      </w:tr>
      <w:tr>
        <w:trPr>
          <w:trHeight w:val="109"/>
        </w:trPr>
        <w:tc>
          <w:tcPr>
            <w:tcW w:w="3220" w:type="dxa"/>
            <w:vAlign w:val="bottom"/>
            <w:tcBorders>
              <w:right w:val="single" w:sz="8" w:color="auto"/>
            </w:tcBorders>
            <w:vMerge w:val="continue"/>
          </w:tcPr>
          <w:p>
            <w:pPr>
              <w:spacing w:after="0"/>
              <w:rPr>
                <w:sz w:val="9"/>
                <w:szCs w:val="9"/>
                <w:color w:val="auto"/>
              </w:rPr>
            </w:pPr>
          </w:p>
        </w:tc>
        <w:tc>
          <w:tcPr>
            <w:tcW w:w="820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acute facilities. This business was previously reported as part of our legacy Emerging Industries</w:t>
            </w:r>
          </w:p>
        </w:tc>
        <w:tc>
          <w:tcPr>
            <w:tcW w:w="0" w:type="dxa"/>
            <w:vAlign w:val="bottom"/>
          </w:tcPr>
          <w:p>
            <w:pPr>
              <w:spacing w:after="0"/>
              <w:rPr>
                <w:sz w:val="1"/>
                <w:szCs w:val="1"/>
                <w:color w:val="auto"/>
              </w:rPr>
            </w:pPr>
          </w:p>
        </w:tc>
      </w:tr>
      <w:tr>
        <w:trPr>
          <w:trHeight w:val="94"/>
        </w:trPr>
        <w:tc>
          <w:tcPr>
            <w:tcW w:w="3220" w:type="dxa"/>
            <w:vAlign w:val="bottom"/>
            <w:tcBorders>
              <w:right w:val="single" w:sz="8" w:color="auto"/>
            </w:tcBorders>
          </w:tcPr>
          <w:p>
            <w:pPr>
              <w:spacing w:after="0"/>
              <w:rPr>
                <w:sz w:val="8"/>
                <w:szCs w:val="8"/>
                <w:color w:val="auto"/>
              </w:rPr>
            </w:pPr>
          </w:p>
        </w:tc>
        <w:tc>
          <w:tcPr>
            <w:tcW w:w="82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3220" w:type="dxa"/>
            <w:vAlign w:val="bottom"/>
            <w:tcBorders>
              <w:bottom w:val="single" w:sz="8" w:color="auto"/>
              <w:right w:val="single" w:sz="8" w:color="auto"/>
            </w:tcBorders>
          </w:tcPr>
          <w:p>
            <w:pPr>
              <w:spacing w:after="0"/>
              <w:rPr>
                <w:sz w:val="19"/>
                <w:szCs w:val="19"/>
                <w:color w:val="auto"/>
              </w:rPr>
            </w:pPr>
          </w:p>
        </w:tc>
        <w:tc>
          <w:tcPr>
            <w:tcW w:w="8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Group.</w:t>
            </w:r>
          </w:p>
        </w:tc>
        <w:tc>
          <w:tcPr>
            <w:tcW w:w="0" w:type="dxa"/>
            <w:vAlign w:val="bottom"/>
          </w:tcPr>
          <w:p>
            <w:pPr>
              <w:spacing w:after="0"/>
              <w:rPr>
                <w:sz w:val="1"/>
                <w:szCs w:val="1"/>
                <w:color w:val="auto"/>
              </w:rPr>
            </w:pPr>
          </w:p>
        </w:tc>
      </w:tr>
      <w:tr>
        <w:trPr>
          <w:trHeight w:val="459"/>
        </w:trPr>
        <w:tc>
          <w:tcPr>
            <w:tcW w:w="3220" w:type="dxa"/>
            <w:vAlign w:val="bottom"/>
          </w:tcPr>
          <w:p>
            <w:pPr>
              <w:spacing w:after="0"/>
              <w:rPr>
                <w:sz w:val="24"/>
                <w:szCs w:val="24"/>
                <w:color w:val="auto"/>
              </w:rPr>
            </w:pPr>
          </w:p>
        </w:tc>
        <w:tc>
          <w:tcPr>
            <w:tcW w:w="8200" w:type="dxa"/>
            <w:vAlign w:val="bottom"/>
          </w:tcPr>
          <w:p>
            <w:pPr>
              <w:ind w:left="24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ectPr>
          <w:pgSz w:w="11900" w:h="16838" w:orient="portrait"/>
          <w:cols w:equalWidth="0" w:num="1">
            <w:col w:w="11420"/>
          </w:cols>
          <w:pgMar w:left="240" w:top="522"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i w:val="1"/>
          <w:iCs w:val="1"/>
          <w:color w:val="0046AD"/>
        </w:rPr>
        <w:t>Financial Information by Reportable Segment</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94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July 31,</w:t>
            </w:r>
          </w:p>
        </w:tc>
        <w:tc>
          <w:tcPr>
            <w:tcW w:w="280" w:type="dxa"/>
            <w:vAlign w:val="bottom"/>
          </w:tcPr>
          <w:p>
            <w:pPr>
              <w:spacing w:after="0"/>
              <w:rPr>
                <w:sz w:val="19"/>
                <w:szCs w:val="19"/>
                <w:color w:val="auto"/>
              </w:rPr>
            </w:pPr>
          </w:p>
        </w:tc>
        <w:tc>
          <w:tcPr>
            <w:tcW w:w="2760" w:type="dxa"/>
            <w:vAlign w:val="bottom"/>
            <w:gridSpan w:val="4"/>
          </w:tcPr>
          <w:p>
            <w:pPr>
              <w:jc w:val="right"/>
              <w:ind w:right="339"/>
              <w:spacing w:after="0"/>
              <w:rPr>
                <w:sz w:val="20"/>
                <w:szCs w:val="20"/>
                <w:color w:val="auto"/>
              </w:rPr>
            </w:pPr>
            <w:r>
              <w:rPr>
                <w:rFonts w:ascii="Arial" w:cs="Arial" w:eastAsia="Arial" w:hAnsi="Arial"/>
                <w:sz w:val="16"/>
                <w:szCs w:val="16"/>
                <w:b w:val="1"/>
                <w:bCs w:val="1"/>
                <w:color w:val="auto"/>
              </w:rPr>
              <w:t>Nine Months Ended July 31,</w:t>
            </w:r>
          </w:p>
        </w:tc>
        <w:tc>
          <w:tcPr>
            <w:tcW w:w="0" w:type="dxa"/>
            <w:vAlign w:val="bottom"/>
          </w:tcPr>
          <w:p>
            <w:pPr>
              <w:spacing w:after="0"/>
              <w:rPr>
                <w:sz w:val="1"/>
                <w:szCs w:val="1"/>
                <w:color w:val="auto"/>
              </w:rPr>
            </w:pPr>
          </w:p>
        </w:tc>
      </w:tr>
      <w:tr>
        <w:trPr>
          <w:trHeight w:val="230"/>
        </w:trPr>
        <w:tc>
          <w:tcPr>
            <w:tcW w:w="51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440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280" w:type="dxa"/>
            <w:vAlign w:val="bottom"/>
            <w:shd w:val="clear" w:color="auto" w:fill="DCE2EF"/>
          </w:tcPr>
          <w:p>
            <w:pPr>
              <w:spacing w:after="0"/>
              <w:rPr>
                <w:sz w:val="22"/>
                <w:szCs w:val="22"/>
                <w:color w:val="auto"/>
              </w:rPr>
            </w:pPr>
          </w:p>
        </w:tc>
        <w:tc>
          <w:tcPr>
            <w:tcW w:w="12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280" w:type="dxa"/>
            <w:vAlign w:val="bottom"/>
            <w:shd w:val="clear" w:color="auto" w:fill="DCE2EF"/>
          </w:tcPr>
          <w:p>
            <w:pPr>
              <w:spacing w:after="0"/>
              <w:rPr>
                <w:sz w:val="22"/>
                <w:szCs w:val="22"/>
                <w:color w:val="auto"/>
              </w:rPr>
            </w:pPr>
          </w:p>
        </w:tc>
        <w:tc>
          <w:tcPr>
            <w:tcW w:w="118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2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735.2</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652.6</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2,180.5</w:t>
            </w:r>
          </w:p>
        </w:tc>
        <w:tc>
          <w:tcPr>
            <w:tcW w:w="120" w:type="dxa"/>
            <w:vAlign w:val="bottom"/>
          </w:tcPr>
          <w:p>
            <w:pPr>
              <w:spacing w:after="0"/>
              <w:rPr>
                <w:sz w:val="22"/>
                <w:szCs w:val="22"/>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1,945.6</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256.8</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258.9</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758.3</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722.9</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230.8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161.5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690.3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494.4</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210.9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67.3</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623.5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199.5</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121.6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334.1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325.2</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59.3</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206.7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181.6</w:t>
            </w:r>
          </w:p>
        </w:tc>
        <w:tc>
          <w:tcPr>
            <w:tcW w:w="0" w:type="dxa"/>
            <w:vAlign w:val="bottom"/>
          </w:tcPr>
          <w:p>
            <w:pPr>
              <w:spacing w:after="0"/>
              <w:rPr>
                <w:sz w:val="1"/>
                <w:szCs w:val="1"/>
                <w:color w:val="auto"/>
              </w:rPr>
            </w:pPr>
          </w:p>
        </w:tc>
      </w:tr>
      <w:tr>
        <w:trPr>
          <w:trHeight w:val="264"/>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Government Services</w:t>
            </w:r>
          </w:p>
        </w:tc>
        <w:tc>
          <w:tcPr>
            <w:tcW w:w="280" w:type="dxa"/>
            <w:vAlign w:val="bottom"/>
          </w:tcPr>
          <w:p>
            <w:pPr>
              <w:spacing w:after="0"/>
              <w:rPr>
                <w:sz w:val="22"/>
                <w:szCs w:val="22"/>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86.5</w:t>
            </w:r>
          </w:p>
        </w:tc>
        <w:tc>
          <w:tcPr>
            <w:tcW w:w="0" w:type="dxa"/>
            <w:vAlign w:val="bottom"/>
          </w:tcPr>
          <w:p>
            <w:pPr>
              <w:spacing w:after="0"/>
              <w:rPr>
                <w:sz w:val="1"/>
                <w:szCs w:val="1"/>
                <w:color w:val="auto"/>
              </w:rPr>
            </w:pPr>
          </w:p>
        </w:tc>
      </w:tr>
      <w:tr>
        <w:trPr>
          <w:trHeight w:val="237"/>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700" w:type="dxa"/>
            <w:vAlign w:val="bottom"/>
            <w:tcBorders>
              <w:top w:val="single" w:sz="8" w:color="DCE2EF"/>
              <w:bottom w:val="single" w:sz="8" w:color="DCE2EF"/>
            </w:tcBorders>
            <w:shd w:val="clear" w:color="auto" w:fill="DCE2EF"/>
          </w:tcPr>
          <w:p>
            <w:pPr>
              <w:spacing w:after="0"/>
              <w:rPr>
                <w:sz w:val="20"/>
                <w:szCs w:val="20"/>
                <w:color w:val="auto"/>
              </w:rPr>
            </w:pPr>
          </w:p>
        </w:tc>
        <w:tc>
          <w:tcPr>
            <w:tcW w:w="4400" w:type="dxa"/>
            <w:vAlign w:val="bottom"/>
            <w:tcBorders>
              <w:top w:val="single" w:sz="8" w:color="DCE2EF"/>
              <w:bottom w:val="single" w:sz="8" w:color="DCE2EF"/>
            </w:tcBorders>
            <w:shd w:val="clear" w:color="auto" w:fill="DCE2EF"/>
          </w:tcPr>
          <w:p>
            <w:pPr>
              <w:spacing w:after="0"/>
              <w:rPr>
                <w:sz w:val="20"/>
                <w:szCs w:val="20"/>
                <w:color w:val="auto"/>
              </w:rPr>
            </w:pPr>
          </w:p>
        </w:tc>
        <w:tc>
          <w:tcPr>
            <w:tcW w:w="280" w:type="dxa"/>
            <w:vAlign w:val="bottom"/>
            <w:tcBorders>
              <w:top w:val="single" w:sz="8" w:color="auto"/>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1,624.3</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1,318.4</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280" w:type="dxa"/>
            <w:vAlign w:val="bottom"/>
            <w:tcBorders>
              <w:top w:val="single" w:sz="8" w:color="auto"/>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4,793.5</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340" w:type="dxa"/>
            <w:vAlign w:val="bottom"/>
            <w:tcBorders>
              <w:top w:val="single" w:sz="8" w:color="auto"/>
              <w:bottom w:val="single" w:sz="8" w:color="auto"/>
            </w:tcBorders>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3,955.6</w:t>
            </w:r>
          </w:p>
        </w:tc>
        <w:tc>
          <w:tcPr>
            <w:tcW w:w="0" w:type="dxa"/>
            <w:vAlign w:val="bottom"/>
          </w:tcPr>
          <w:p>
            <w:pPr>
              <w:spacing w:after="0"/>
              <w:rPr>
                <w:sz w:val="1"/>
                <w:szCs w:val="1"/>
                <w:color w:val="auto"/>
              </w:rPr>
            </w:pPr>
          </w:p>
        </w:tc>
      </w:tr>
      <w:tr>
        <w:trPr>
          <w:trHeight w:val="20"/>
        </w:trPr>
        <w:tc>
          <w:tcPr>
            <w:tcW w:w="514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140" w:type="dxa"/>
            <w:vAlign w:val="bottom"/>
            <w:gridSpan w:val="3"/>
            <w:vMerge w:val="continue"/>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37.3</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111.0</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100.4</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Aviation</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Technology &amp; Manufacturing</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35.8</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Education</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Technical Solutions</w:t>
            </w:r>
          </w:p>
        </w:tc>
        <w:tc>
          <w:tcPr>
            <w:tcW w:w="280" w:type="dxa"/>
            <w:vAlign w:val="bottom"/>
            <w:shd w:val="clear" w:color="auto" w:fill="DCE2EF"/>
          </w:tcPr>
          <w:p>
            <w:pPr>
              <w:spacing w:after="0"/>
              <w:rPr>
                <w:sz w:val="24"/>
                <w:szCs w:val="24"/>
                <w:color w:val="auto"/>
              </w:rPr>
            </w:pPr>
          </w:p>
        </w:tc>
        <w:tc>
          <w:tcPr>
            <w:tcW w:w="12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9.4</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22"/>
                <w:szCs w:val="22"/>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Government Services</w:t>
            </w:r>
          </w:p>
        </w:tc>
        <w:tc>
          <w:tcPr>
            <w:tcW w:w="280" w:type="dxa"/>
            <w:vAlign w:val="bottom"/>
            <w:shd w:val="clear" w:color="auto" w:fill="DCE2EF"/>
          </w:tcPr>
          <w:p>
            <w:pPr>
              <w:spacing w:after="0"/>
              <w:rPr>
                <w:sz w:val="24"/>
                <w:szCs w:val="24"/>
                <w:color w:val="auto"/>
              </w:rPr>
            </w:pPr>
          </w:p>
        </w:tc>
        <w:tc>
          <w:tcPr>
            <w:tcW w:w="1360" w:type="dxa"/>
            <w:vAlign w:val="bottom"/>
            <w:gridSpan w:val="2"/>
            <w:shd w:val="clear" w:color="auto" w:fill="DCE2E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1.7</w:t>
            </w:r>
          </w:p>
        </w:tc>
        <w:tc>
          <w:tcPr>
            <w:tcW w:w="120" w:type="dxa"/>
            <w:vAlign w:val="bottom"/>
            <w:shd w:val="clear" w:color="auto" w:fill="DCE2EF"/>
          </w:tcPr>
          <w:p>
            <w:pPr>
              <w:spacing w:after="0"/>
              <w:rPr>
                <w:sz w:val="24"/>
                <w:szCs w:val="24"/>
                <w:color w:val="auto"/>
              </w:rPr>
            </w:pPr>
          </w:p>
        </w:tc>
        <w:tc>
          <w:tcPr>
            <w:tcW w:w="280" w:type="dxa"/>
            <w:vAlign w:val="bottom"/>
            <w:shd w:val="clear" w:color="auto" w:fill="DCE2EF"/>
          </w:tcPr>
          <w:p>
            <w:pPr>
              <w:spacing w:after="0"/>
              <w:rPr>
                <w:sz w:val="24"/>
                <w:szCs w:val="24"/>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2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6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Corporate</w:t>
            </w:r>
          </w:p>
        </w:tc>
        <w:tc>
          <w:tcPr>
            <w:tcW w:w="2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(47.5)</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(127.3)</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(118.5)</w:t>
            </w:r>
          </w:p>
        </w:tc>
        <w:tc>
          <w:tcPr>
            <w:tcW w:w="0" w:type="dxa"/>
            <w:vAlign w:val="bottom"/>
          </w:tcPr>
          <w:p>
            <w:pPr>
              <w:spacing w:after="0"/>
              <w:rPr>
                <w:sz w:val="1"/>
                <w:szCs w:val="1"/>
                <w:color w:val="auto"/>
              </w:rPr>
            </w:pPr>
          </w:p>
        </w:tc>
      </w:tr>
      <w:tr>
        <w:trPr>
          <w:trHeight w:val="228"/>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280" w:type="dxa"/>
            <w:vAlign w:val="bottom"/>
            <w:shd w:val="clear" w:color="auto" w:fill="DCE2EF"/>
          </w:tcPr>
          <w:p>
            <w:pPr>
              <w:spacing w:after="0"/>
              <w:rPr>
                <w:sz w:val="19"/>
                <w:szCs w:val="19"/>
                <w:color w:val="auto"/>
              </w:rPr>
            </w:pPr>
          </w:p>
        </w:tc>
        <w:tc>
          <w:tcPr>
            <w:tcW w:w="12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280" w:type="dxa"/>
            <w:vAlign w:val="bottom"/>
            <w:shd w:val="clear" w:color="auto" w:fill="DCE2EF"/>
          </w:tcPr>
          <w:p>
            <w:pPr>
              <w:spacing w:after="0"/>
              <w:rPr>
                <w:sz w:val="19"/>
                <w:szCs w:val="19"/>
                <w:color w:val="auto"/>
              </w:rPr>
            </w:pPr>
          </w:p>
        </w:tc>
        <w:tc>
          <w:tcPr>
            <w:tcW w:w="118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340" w:type="dxa"/>
            <w:vAlign w:val="bottom"/>
            <w:shd w:val="clear" w:color="auto" w:fill="DCE2EF"/>
          </w:tcPr>
          <w:p>
            <w:pPr>
              <w:spacing w:after="0"/>
              <w:rPr>
                <w:sz w:val="19"/>
                <w:szCs w:val="19"/>
                <w:color w:val="auto"/>
              </w:rPr>
            </w:pPr>
          </w:p>
        </w:tc>
        <w:tc>
          <w:tcPr>
            <w:tcW w:w="112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shd w:val="clear" w:color="auto" w:fill="DCE2EF"/>
          </w:tcPr>
          <w:p>
            <w:pPr>
              <w:spacing w:after="0"/>
              <w:rPr>
                <w:sz w:val="18"/>
                <w:szCs w:val="18"/>
                <w:color w:val="auto"/>
              </w:rPr>
            </w:pPr>
          </w:p>
        </w:tc>
        <w:tc>
          <w:tcPr>
            <w:tcW w:w="510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Aviation and Government Services</w:t>
            </w:r>
          </w:p>
        </w:tc>
        <w:tc>
          <w:tcPr>
            <w:tcW w:w="280" w:type="dxa"/>
            <w:vAlign w:val="bottom"/>
            <w:shd w:val="clear" w:color="auto" w:fill="DCE2EF"/>
          </w:tcPr>
          <w:p>
            <w:pPr>
              <w:spacing w:after="0"/>
              <w:rPr>
                <w:sz w:val="18"/>
                <w:szCs w:val="18"/>
                <w:color w:val="auto"/>
              </w:rPr>
            </w:pPr>
          </w:p>
        </w:tc>
        <w:tc>
          <w:tcPr>
            <w:tcW w:w="12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CE2EF"/>
          </w:tcPr>
          <w:p>
            <w:pPr>
              <w:spacing w:after="0"/>
              <w:rPr>
                <w:sz w:val="18"/>
                <w:szCs w:val="18"/>
                <w:color w:val="auto"/>
              </w:rPr>
            </w:pPr>
          </w:p>
        </w:tc>
        <w:tc>
          <w:tcPr>
            <w:tcW w:w="280" w:type="dxa"/>
            <w:vAlign w:val="bottom"/>
            <w:shd w:val="clear" w:color="auto" w:fill="DCE2EF"/>
          </w:tcPr>
          <w:p>
            <w:pPr>
              <w:spacing w:after="0"/>
              <w:rPr>
                <w:sz w:val="18"/>
                <w:szCs w:val="18"/>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DCE2EF"/>
          </w:tcPr>
          <w:p>
            <w:pPr>
              <w:spacing w:after="0"/>
              <w:rPr>
                <w:sz w:val="18"/>
                <w:szCs w:val="18"/>
                <w:color w:val="auto"/>
              </w:rPr>
            </w:pPr>
          </w:p>
        </w:tc>
        <w:tc>
          <w:tcPr>
            <w:tcW w:w="340" w:type="dxa"/>
            <w:vAlign w:val="bottom"/>
            <w:shd w:val="clear" w:color="auto" w:fill="DCE2EF"/>
          </w:tcPr>
          <w:p>
            <w:pPr>
              <w:spacing w:after="0"/>
              <w:rPr>
                <w:sz w:val="18"/>
                <w:szCs w:val="18"/>
                <w:color w:val="auto"/>
              </w:rPr>
            </w:pPr>
          </w:p>
        </w:tc>
        <w:tc>
          <w:tcPr>
            <w:tcW w:w="11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18"/>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Adjustment for tax deductions for energy efficient government</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 w:type="dxa"/>
            <w:vAlign w:val="bottom"/>
            <w:tcBorders>
              <w:bottom w:val="single" w:sz="8" w:color="DCE2EF"/>
            </w:tcBorders>
          </w:tcPr>
          <w:p>
            <w:pPr>
              <w:spacing w:after="0"/>
              <w:rPr>
                <w:sz w:val="18"/>
                <w:szCs w:val="18"/>
                <w:color w:val="auto"/>
              </w:rPr>
            </w:pPr>
          </w:p>
        </w:tc>
        <w:tc>
          <w:tcPr>
            <w:tcW w:w="5100" w:type="dxa"/>
            <w:vAlign w:val="bottom"/>
            <w:tcBorders>
              <w:bottom w:val="single" w:sz="8" w:color="DCE2EF"/>
            </w:tcBorders>
            <w:gridSpan w:val="2"/>
          </w:tcPr>
          <w:p>
            <w:pPr>
              <w:ind w:left="160"/>
              <w:spacing w:after="0"/>
              <w:rPr>
                <w:sz w:val="20"/>
                <w:szCs w:val="20"/>
                <w:color w:val="auto"/>
              </w:rPr>
            </w:pPr>
            <w:r>
              <w:rPr>
                <w:rFonts w:ascii="Arial" w:cs="Arial" w:eastAsia="Arial" w:hAnsi="Arial"/>
                <w:sz w:val="16"/>
                <w:szCs w:val="16"/>
                <w:color w:val="auto"/>
              </w:rPr>
              <w:t>buildings, included in Technical Solutions</w:t>
            </w:r>
          </w:p>
        </w:tc>
        <w:tc>
          <w:tcPr>
            <w:tcW w:w="2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DCE2E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DCE2E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50"/>
        </w:trPr>
        <w:tc>
          <w:tcPr>
            <w:tcW w:w="40" w:type="dxa"/>
            <w:vAlign w:val="bottom"/>
            <w:shd w:val="clear" w:color="auto" w:fill="DCE2EF"/>
          </w:tcPr>
          <w:p>
            <w:pPr>
              <w:spacing w:after="0"/>
              <w:rPr>
                <w:sz w:val="21"/>
                <w:szCs w:val="21"/>
                <w:color w:val="auto"/>
              </w:rPr>
            </w:pPr>
          </w:p>
        </w:tc>
        <w:tc>
          <w:tcPr>
            <w:tcW w:w="700" w:type="dxa"/>
            <w:vAlign w:val="bottom"/>
            <w:shd w:val="clear" w:color="auto" w:fill="DCE2EF"/>
          </w:tcPr>
          <w:p>
            <w:pPr>
              <w:spacing w:after="0"/>
              <w:rPr>
                <w:sz w:val="21"/>
                <w:szCs w:val="21"/>
                <w:color w:val="auto"/>
              </w:rPr>
            </w:pPr>
          </w:p>
        </w:tc>
        <w:tc>
          <w:tcPr>
            <w:tcW w:w="4400" w:type="dxa"/>
            <w:vAlign w:val="bottom"/>
            <w:shd w:val="clear" w:color="auto" w:fill="DCE2EF"/>
          </w:tcPr>
          <w:p>
            <w:pPr>
              <w:spacing w:after="0"/>
              <w:rPr>
                <w:sz w:val="21"/>
                <w:szCs w:val="21"/>
                <w:color w:val="auto"/>
              </w:rPr>
            </w:pPr>
          </w:p>
        </w:tc>
        <w:tc>
          <w:tcPr>
            <w:tcW w:w="280" w:type="dxa"/>
            <w:vAlign w:val="bottom"/>
            <w:tcBorders>
              <w:bottom w:val="single" w:sz="8" w:color="auto"/>
            </w:tcBorders>
            <w:shd w:val="clear" w:color="auto" w:fill="DCE2EF"/>
          </w:tcPr>
          <w:p>
            <w:pPr>
              <w:spacing w:after="0"/>
              <w:rPr>
                <w:sz w:val="21"/>
                <w:szCs w:val="21"/>
                <w:color w:val="auto"/>
              </w:rPr>
            </w:pPr>
          </w:p>
        </w:tc>
        <w:tc>
          <w:tcPr>
            <w:tcW w:w="12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spacing w:after="0"/>
              <w:rPr>
                <w:sz w:val="21"/>
                <w:szCs w:val="21"/>
                <w:color w:val="auto"/>
              </w:rPr>
            </w:pPr>
          </w:p>
        </w:tc>
        <w:tc>
          <w:tcPr>
            <w:tcW w:w="11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22.6</w:t>
            </w:r>
          </w:p>
        </w:tc>
        <w:tc>
          <w:tcPr>
            <w:tcW w:w="120" w:type="dxa"/>
            <w:vAlign w:val="bottom"/>
            <w:shd w:val="clear" w:color="auto" w:fill="DCE2EF"/>
          </w:tcPr>
          <w:p>
            <w:pPr>
              <w:spacing w:after="0"/>
              <w:rPr>
                <w:sz w:val="21"/>
                <w:szCs w:val="21"/>
                <w:color w:val="auto"/>
              </w:rPr>
            </w:pPr>
          </w:p>
        </w:tc>
        <w:tc>
          <w:tcPr>
            <w:tcW w:w="280" w:type="dxa"/>
            <w:vAlign w:val="bottom"/>
            <w:tcBorders>
              <w:bottom w:val="single" w:sz="8" w:color="auto"/>
            </w:tcBorders>
            <w:shd w:val="clear" w:color="auto" w:fill="DCE2EF"/>
          </w:tcPr>
          <w:p>
            <w:pPr>
              <w:spacing w:after="0"/>
              <w:rPr>
                <w:sz w:val="21"/>
                <w:szCs w:val="21"/>
                <w:color w:val="auto"/>
              </w:rPr>
            </w:pPr>
          </w:p>
        </w:tc>
        <w:tc>
          <w:tcPr>
            <w:tcW w:w="11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112.9</w:t>
            </w:r>
          </w:p>
        </w:tc>
        <w:tc>
          <w:tcPr>
            <w:tcW w:w="120" w:type="dxa"/>
            <w:vAlign w:val="bottom"/>
            <w:shd w:val="clear" w:color="auto" w:fill="DCE2EF"/>
          </w:tcPr>
          <w:p>
            <w:pPr>
              <w:spacing w:after="0"/>
              <w:rPr>
                <w:sz w:val="21"/>
                <w:szCs w:val="21"/>
                <w:color w:val="auto"/>
              </w:rPr>
            </w:pPr>
          </w:p>
        </w:tc>
        <w:tc>
          <w:tcPr>
            <w:tcW w:w="340" w:type="dxa"/>
            <w:vAlign w:val="bottom"/>
            <w:tcBorders>
              <w:bottom w:val="single" w:sz="8" w:color="auto"/>
            </w:tcBorders>
            <w:shd w:val="clear" w:color="auto" w:fill="DCE2EF"/>
          </w:tcPr>
          <w:p>
            <w:pPr>
              <w:spacing w:after="0"/>
              <w:rPr>
                <w:sz w:val="21"/>
                <w:szCs w:val="21"/>
                <w:color w:val="auto"/>
              </w:rPr>
            </w:pPr>
          </w:p>
        </w:tc>
        <w:tc>
          <w:tcPr>
            <w:tcW w:w="112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97.4</w:t>
            </w:r>
          </w:p>
        </w:tc>
        <w:tc>
          <w:tcPr>
            <w:tcW w:w="0" w:type="dxa"/>
            <w:vAlign w:val="bottom"/>
          </w:tcPr>
          <w:p>
            <w:pPr>
              <w:spacing w:after="0"/>
              <w:rPr>
                <w:sz w:val="1"/>
                <w:szCs w:val="1"/>
                <w:color w:val="auto"/>
              </w:rPr>
            </w:pPr>
          </w:p>
        </w:tc>
      </w:tr>
      <w:tr>
        <w:trPr>
          <w:trHeight w:val="247"/>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280" w:type="dxa"/>
            <w:vAlign w:val="bottom"/>
          </w:tcPr>
          <w:p>
            <w:pPr>
              <w:spacing w:after="0"/>
              <w:rPr>
                <w:sz w:val="21"/>
                <w:szCs w:val="21"/>
                <w:color w:val="auto"/>
              </w:rPr>
            </w:pPr>
          </w:p>
        </w:tc>
        <w:tc>
          <w:tcPr>
            <w:tcW w:w="1240" w:type="dxa"/>
            <w:vAlign w:val="bottom"/>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80"/>
        </w:trPr>
        <w:tc>
          <w:tcPr>
            <w:tcW w:w="51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Interest expense</w:t>
            </w:r>
          </w:p>
        </w:tc>
        <w:tc>
          <w:tcPr>
            <w:tcW w:w="280" w:type="dxa"/>
            <w:vAlign w:val="bottom"/>
            <w:tcBorders>
              <w:bottom w:val="single" w:sz="8" w:color="auto"/>
            </w:tcBorders>
            <w:shd w:val="clear" w:color="auto" w:fill="DCE2EF"/>
          </w:tcPr>
          <w:p>
            <w:pPr>
              <w:spacing w:after="0"/>
              <w:rPr>
                <w:sz w:val="24"/>
                <w:szCs w:val="24"/>
                <w:color w:val="auto"/>
              </w:rPr>
            </w:pPr>
          </w:p>
        </w:tc>
        <w:tc>
          <w:tcPr>
            <w:tcW w:w="124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(2.8)</w:t>
            </w:r>
          </w:p>
        </w:tc>
        <w:tc>
          <w:tcPr>
            <w:tcW w:w="120" w:type="dxa"/>
            <w:vAlign w:val="bottom"/>
            <w:shd w:val="clear" w:color="auto" w:fill="DCE2EF"/>
          </w:tcPr>
          <w:p>
            <w:pPr>
              <w:spacing w:after="0"/>
              <w:rPr>
                <w:sz w:val="24"/>
                <w:szCs w:val="24"/>
                <w:color w:val="auto"/>
              </w:rPr>
            </w:pPr>
          </w:p>
        </w:tc>
        <w:tc>
          <w:tcPr>
            <w:tcW w:w="280" w:type="dxa"/>
            <w:vAlign w:val="bottom"/>
            <w:tcBorders>
              <w:bottom w:val="single" w:sz="8" w:color="auto"/>
            </w:tcBorders>
            <w:shd w:val="clear" w:color="auto" w:fill="DCE2EF"/>
          </w:tcPr>
          <w:p>
            <w:pPr>
              <w:spacing w:after="0"/>
              <w:rPr>
                <w:sz w:val="24"/>
                <w:szCs w:val="24"/>
                <w:color w:val="auto"/>
              </w:rPr>
            </w:pPr>
          </w:p>
        </w:tc>
        <w:tc>
          <w:tcPr>
            <w:tcW w:w="11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(41.0)</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2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30"/>
        </w:trPr>
        <w:tc>
          <w:tcPr>
            <w:tcW w:w="5140" w:type="dxa"/>
            <w:vAlign w:val="bottom"/>
            <w:gridSpan w:val="3"/>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74.4</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accounting policies for our segments are the same as those disclosed within our significant accounting policies in Note 2, “Basis of Presentation and Significant Accounting Policies.” Our management evaluates the performance of each reportable segment based on its respective operating profit results, which include the allocation of certain centrally incurred costs. Corporate expenses not allocated to segments include certain CEO and other finance and human resource departmental expenses, certain information technology costs, share-based compensation, certain legal costs and settlements, restructuring and related costs, certain adjustments resulting from actuarial developments of self-insurance reserves, and direct acquisition costs.</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0046AD"/>
        </w:rPr>
        <w:t>ITEM 2. MANAGEMENT’S DISCUSSION AND ANALYSIS OF FINANCIAL CONDITION AND RESULTS OF OPERATIONS.</w:t>
      </w:r>
    </w:p>
    <w:p>
      <w:pPr>
        <w:spacing w:after="0" w:line="139"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is intended to facilitate an understanding of the results of operations and financial condition of ABM Industries Incorporated and its subsidiaries (collectively referred to as “ABM,” “we,” “us,” “our,” or the “Company”). This MD&amp;A is provided as a supplement to, and should be read in conjunction with, our unaudited consolidated financial statements and the accompanying notes (“Financial Statements”) and our Annual Report on Form 10-K for the year ended October 31, 2017 (“Annual Report”), which has been filed with the Securities and Exchange Commission (“SEC”). This MD&amp;A contains forward-looking statements about our business, operations, and industry that involve risks and uncertainties, such as statements regarding our plans, objectives, expectations, and intentions. Our future results and financial condition may be materially different from those we currently anticipate. See “Forward-Looking Statements” for more information.</w:t>
      </w:r>
    </w:p>
    <w:p>
      <w:pPr>
        <w:spacing w:after="0" w:line="152"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Throughout the MD&amp;A, amounts and percentages may not recalculate due to rounding. Unless otherwise indicated, all information in the MD&amp;A and references to years are based on our fiscal year, which ends on October 31.</w:t>
      </w:r>
    </w:p>
    <w:p>
      <w:pPr>
        <w:spacing w:after="0" w:line="33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Business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8"/>
          <w:szCs w:val="18"/>
          <w:color w:val="auto"/>
        </w:rPr>
        <w:t xml:space="preserve">ABM is a leading provider of integrated facility services, customized by industry, with a mission to </w:t>
      </w:r>
      <w:r>
        <w:rPr>
          <w:rFonts w:ascii="Arial" w:cs="Arial" w:eastAsia="Arial" w:hAnsi="Arial"/>
          <w:sz w:val="18"/>
          <w:szCs w:val="18"/>
          <w:b w:val="1"/>
          <w:bCs w:val="1"/>
          <w:color w:val="006EBF"/>
        </w:rPr>
        <w:t>make a difference, every person,</w:t>
      </w:r>
      <w:r>
        <w:rPr>
          <w:rFonts w:ascii="Arial" w:cs="Arial" w:eastAsia="Arial" w:hAnsi="Arial"/>
          <w:sz w:val="18"/>
          <w:szCs w:val="18"/>
          <w:color w:val="auto"/>
        </w:rPr>
        <w:t xml:space="preserve"> </w:t>
      </w:r>
      <w:r>
        <w:rPr>
          <w:rFonts w:ascii="Arial" w:cs="Arial" w:eastAsia="Arial" w:hAnsi="Arial"/>
          <w:sz w:val="18"/>
          <w:szCs w:val="18"/>
          <w:b w:val="1"/>
          <w:bCs w:val="1"/>
          <w:color w:val="006EBF"/>
        </w:rPr>
        <w:t>every day</w:t>
      </w:r>
      <w:r>
        <w:rPr>
          <w:rFonts w:ascii="Arial" w:cs="Arial" w:eastAsia="Arial" w:hAnsi="Arial"/>
          <w:sz w:val="18"/>
          <w:szCs w:val="18"/>
          <w:color w:val="000000"/>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FF9900"/>
        </w:rPr>
        <w:t xml:space="preserve">2020 </w:t>
      </w:r>
      <w:r>
        <w:rPr>
          <w:rFonts w:ascii="Arial" w:cs="Arial" w:eastAsia="Arial" w:hAnsi="Arial"/>
          <w:sz w:val="18"/>
          <w:szCs w:val="18"/>
          <w:b w:val="1"/>
          <w:bCs w:val="1"/>
          <w:color w:val="0070C0"/>
        </w:rPr>
        <w:t>Vision</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September 2015, we announced a comprehensive transformation initiative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intended to drive long-term profitable growth through an industry-based go-to-market approach.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involves three phases: During Phase 1, completed on November 1, 2016, we realigned our organization; in Phase 2, which is continuing today, we are focused on improvements to our operational framework to promote efficiencies and process enhancements; and in Phase 3, on the foundation of benefits realized from Phases 1 and 2, we anticipate accelerating growth with our industry-based, go-to-market service model.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FF9900"/>
        </w:rPr>
        <w:t xml:space="preserve">2020 </w:t>
      </w:r>
      <w:r>
        <w:rPr>
          <w:rFonts w:ascii="Arial" w:cs="Arial" w:eastAsia="Arial" w:hAnsi="Arial"/>
          <w:sz w:val="18"/>
          <w:szCs w:val="18"/>
          <w:b w:val="1"/>
          <w:bCs w:val="1"/>
          <w:i w:val="1"/>
          <w:iCs w:val="1"/>
          <w:color w:val="0070C0"/>
        </w:rPr>
        <w:t>Vision</w:t>
      </w:r>
      <w:r>
        <w:rPr>
          <w:rFonts w:ascii="Arial" w:cs="Arial" w:eastAsia="Arial" w:hAnsi="Arial"/>
          <w:sz w:val="18"/>
          <w:szCs w:val="18"/>
          <w:b w:val="1"/>
          <w:bCs w:val="1"/>
          <w:i w:val="1"/>
          <w:iCs w:val="1"/>
          <w:color w:val="FF9900"/>
        </w:rPr>
        <w:t xml:space="preserve"> </w:t>
      </w:r>
      <w:r>
        <w:rPr>
          <w:rFonts w:ascii="Arial" w:cs="Arial" w:eastAsia="Arial" w:hAnsi="Arial"/>
          <w:sz w:val="18"/>
          <w:szCs w:val="18"/>
          <w:b w:val="1"/>
          <w:bCs w:val="1"/>
          <w:i w:val="1"/>
          <w:iCs w:val="1"/>
          <w:color w:val="0046AD"/>
        </w:rPr>
        <w:t>Developments in 2018</w:t>
      </w:r>
    </w:p>
    <w:p>
      <w:pPr>
        <w:spacing w:after="0" w:line="247" w:lineRule="exact"/>
        <w:rPr>
          <w:sz w:val="20"/>
          <w:szCs w:val="20"/>
          <w:color w:val="auto"/>
        </w:rPr>
      </w:pPr>
    </w:p>
    <w:p>
      <w:pPr>
        <w:jc w:val="both"/>
        <w:ind w:right="20" w:firstLine="648"/>
        <w:spacing w:after="0" w:line="252" w:lineRule="auto"/>
        <w:rPr>
          <w:sz w:val="20"/>
          <w:szCs w:val="20"/>
          <w:color w:val="auto"/>
        </w:rPr>
      </w:pPr>
      <w:r>
        <w:rPr>
          <w:rFonts w:ascii="Arial" w:cs="Arial" w:eastAsia="Arial" w:hAnsi="Arial"/>
          <w:sz w:val="18"/>
          <w:szCs w:val="18"/>
          <w:color w:val="auto"/>
        </w:rPr>
        <w:t xml:space="preserve">We are continuing to focus on certain aspects of our business practices to further build the foundation upon which we deliver leading industry-based facility services. We continue to roll out our enterprise-wide standard operating procedures and to improve the processes around our account planning, labor management, manager development, and safety initiatives. We are focusing on long term, profitable growth relating to both existing clients and targeted opportunities, and we have launched a “Tag Pricer” tool that will help us capture work orders more efficiently. In addition, we continue consolidating our procurement activities and investing in technology platforms to help drive and sustain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performance.</w:t>
      </w: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0046AD"/>
        </w:rPr>
        <w:t>Developments and Trends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Economic Labor Outlook</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economy continues to demonstrate positive underlying fundamentals, with expanding gross domestic product growth and improving employment conditions, which have led to historically low levels of both unemployment and underemployment across the country. These factors have contributed to the lower availability of qualified labor for our business and higher turnover in certain markets, as our employees have more job opportunities both inside and outside our industry. This in turn has caused, and may continue to cause, higher labor and related personnel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United States Tax Reform</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The Tax Cuts and Jobs Act (the “Tax Act”), which was enacted on December 22, 2017, represents the most significant overhaul of the U.S. tax code in more than 30 years. Among other provisions, the Tax Act provides for a reduction of the federal corporate income tax rate from 35% to 21% and a “transition tax” to be levied on the deemed repatriation of indefinitely reinvested earnings of international subsidiaries. Since we have an October 31 fiscal year-end, the lower corporate income tax rate will be phased in, resulting in a U.S. statutory federal rate of 23.3% for fiscal 2018 and 21% for subsequent fiscal years. Other provisions under the Tax Act will not be effective for us until fiscal 2019, including limitations on deductibility of interest and executive compensation as well as a new minimum tax 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22" w:right="239" w:bottom="1440" w:gutter="0" w:footer="0" w:header="0"/>
        </w:sectPr>
      </w:pPr>
    </w:p>
    <w:bookmarkStart w:id="26" w:name="page27"/>
    <w:bookmarkEnd w:id="26"/>
    <w:p>
      <w:pPr>
        <w:jc w:val="both"/>
        <w:spacing w:after="0" w:line="256" w:lineRule="auto"/>
        <w:rPr>
          <w:sz w:val="20"/>
          <w:szCs w:val="20"/>
          <w:color w:val="auto"/>
        </w:rPr>
      </w:pPr>
      <w:r>
        <w:rPr>
          <w:rFonts w:ascii="Arial" w:cs="Arial" w:eastAsia="Arial" w:hAnsi="Arial"/>
          <w:sz w:val="18"/>
          <w:szCs w:val="18"/>
          <w:color w:val="auto"/>
        </w:rPr>
        <w:t>Global Intangible Low-Taxed Income (“GILTI”). As a result, in 2019 we expect our effective tax rate to increase from the 2018 rate. The estimated impact of the Tax Act, as summarized below for the nine months ended July 31, 2018, is further described in Note 11, “Income Taxes,” in the Financial 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40" w:type="dxa"/>
            <w:vAlign w:val="bottom"/>
          </w:tcPr>
          <w:p>
            <w:pPr>
              <w:jc w:val="right"/>
              <w:ind w:right="31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890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9"/>
                <w:szCs w:val="19"/>
                <w:color w:val="auto"/>
              </w:rPr>
            </w:pPr>
          </w:p>
        </w:tc>
        <w:tc>
          <w:tcPr>
            <w:tcW w:w="2240" w:type="dxa"/>
            <w:vAlign w:val="bottom"/>
          </w:tcPr>
          <w:p>
            <w:pPr>
              <w:jc w:val="right"/>
              <w:ind w:right="610"/>
              <w:spacing w:after="0"/>
              <w:rPr>
                <w:sz w:val="20"/>
                <w:szCs w:val="20"/>
                <w:color w:val="auto"/>
              </w:rPr>
            </w:pPr>
            <w:r>
              <w:rPr>
                <w:rFonts w:ascii="Arial" w:cs="Arial" w:eastAsia="Arial" w:hAnsi="Arial"/>
                <w:sz w:val="18"/>
                <w:szCs w:val="18"/>
                <w:b w:val="1"/>
                <w:bCs w:val="1"/>
                <w:color w:val="auto"/>
              </w:rPr>
              <w:t>July 31, 2018</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816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r>
        <w:trPr>
          <w:trHeight w:val="250"/>
        </w:trPr>
        <w:tc>
          <w:tcPr>
            <w:tcW w:w="89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Remeasurement of U.S. deferred tax assets and liabilities</w:t>
            </w:r>
          </w:p>
        </w:tc>
        <w:tc>
          <w:tcPr>
            <w:tcW w:w="260" w:type="dxa"/>
            <w:vAlign w:val="bottom"/>
            <w:shd w:val="clear" w:color="auto" w:fill="DCE2EF"/>
          </w:tcPr>
          <w:p>
            <w:pPr>
              <w:jc w:val="right"/>
              <w:ind w:right="5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28.5</w:t>
            </w:r>
          </w:p>
        </w:tc>
      </w:tr>
      <w:tr>
        <w:trPr>
          <w:trHeight w:val="250"/>
        </w:trPr>
        <w:tc>
          <w:tcPr>
            <w:tcW w:w="890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Transition tax on non-U.S. subsidiaries’ earnings</w:t>
            </w:r>
          </w:p>
        </w:tc>
        <w:tc>
          <w:tcPr>
            <w:tcW w:w="2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r>
      <w:tr>
        <w:trPr>
          <w:trHeight w:val="257"/>
        </w:trPr>
        <w:tc>
          <w:tcPr>
            <w:tcW w:w="8900" w:type="dxa"/>
            <w:vAlign w:val="bottom"/>
            <w:tcBorders>
              <w:bottom w:val="single" w:sz="8" w:color="DCE2EF"/>
            </w:tcBorders>
            <w:gridSpan w:val="3"/>
            <w:shd w:val="clear" w:color="auto" w:fill="DCE2EF"/>
          </w:tcPr>
          <w:p>
            <w:pPr>
              <w:ind w:left="40"/>
              <w:spacing w:after="0"/>
              <w:rPr>
                <w:sz w:val="20"/>
                <w:szCs w:val="20"/>
                <w:color w:val="auto"/>
              </w:rPr>
            </w:pPr>
            <w:r>
              <w:rPr>
                <w:rFonts w:ascii="Arial" w:cs="Arial" w:eastAsia="Arial" w:hAnsi="Arial"/>
                <w:sz w:val="18"/>
                <w:szCs w:val="18"/>
                <w:b w:val="1"/>
                <w:bCs w:val="1"/>
                <w:color w:val="auto"/>
              </w:rPr>
              <w:t>Total impact of the Tax Act on the benefit for income taxes</w:t>
            </w:r>
          </w:p>
        </w:tc>
        <w:tc>
          <w:tcPr>
            <w:tcW w:w="260" w:type="dxa"/>
            <w:vAlign w:val="bottom"/>
            <w:tcBorders>
              <w:bottom w:val="single" w:sz="8" w:color="auto"/>
            </w:tcBorders>
            <w:shd w:val="clear" w:color="auto" w:fill="DCE2E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22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b w:val="1"/>
                <w:bCs w:val="1"/>
                <w:color w:val="auto"/>
              </w:rPr>
              <w:t>21.5</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Due to the complexities of implementing the provisions of the Tax Act, the staff of the U.S. Securities and Exchange Commission issued Staff Accounting Bulletin 118 (“SAB 118”), which provides guidance on accounting for tax effects of the Tax Act and permits a measurement period not to exceed one year from the enactment date for companies to complete the required analyses and accounting. We continue to analyze certain aspects of the Tax Act and refine our calculation of the impact on our deferred tax balances, which could potentially affect the measurement of these balances. The provisional amount recorded is based on our estimate of the expected reversals of certain tax assets and liabilities, which may be revised in future quarters during the one-year measurement period as additional information becomes available. The final impact related to the one-time transition tax may differ from our current estimate due to the complexity of calculating and supporting U.S. tax attributes involved in foreign tax credit calculations, such as accumulated foreign earnings and profits, foreign tax paid, and other tax components. Changes to our estimates over the one-year measurement period could be material due to, among other things: changes in interpretations of the Tax Act; future legislative action to address questions that arise from the Tax Act; changes in accounting standards for income taxes or related interpretations in response to the Tax Act; or any updates or changes to estimates we have utilized to calculate the provisional amounts. We adjusted our provisional amounts by $0.2 million during the three months ended July 31, 2018.</w:t>
      </w:r>
    </w:p>
    <w:p>
      <w:pPr>
        <w:spacing w:after="0" w:line="15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Beginning in fiscal year 2019, provisions under GILTI could result in incremental U.S. federal tax on our foreign subsidiaries’ income in excess of an allowed return on certain tangible property. The Financial Accounting Standards Board has determined that filers have a policy choice to account for this tax on either a period basis or a deferred tax basis. We are still evaluating the impacts of GILTI on our business model and have not yet made any accounting adjustments or policy decisions regarding this new source of incremental U.S. taxable income.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GCA Services Group</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 2017, we acquired GCA Services Group (“GCA”), a provider of integrated facility services to educational institutions and commercial facilities, for approximately $1.3 billion, consisting of $837.5 million in cash (revised during the second quarter of 2018 to reflect a post-closing purchase price adjustment related to a net working capital settlement) and approximately 9.4 million shares of ABM common stock with a fair value of $421.3 million at closing. Refer to Note 3, “Acquisitions,” in the Financial Statements for more information on this transaction.</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consolidated statements of comprehensive income (loss) and statements of cash flows include GCA’s results of operations in the three and nine months ended July 31, 2018, but exclude GCA’s results of operations in the three and nine months ended July 31, 2017, as that was prior to the acquisition date. During the three and nine months ended July 31, 2018, we recognized total incremental revenues from GCA of $260.0 million and $768.0 million, respectively, as summarized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0"/>
                <w:szCs w:val="20"/>
                <w:color w:val="auto"/>
              </w:rPr>
            </w:pPr>
          </w:p>
        </w:tc>
        <w:tc>
          <w:tcPr>
            <w:tcW w:w="2140" w:type="dxa"/>
            <w:vAlign w:val="bottom"/>
          </w:tcPr>
          <w:p>
            <w:pPr>
              <w:jc w:val="right"/>
              <w:ind w:right="2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396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4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8"/>
              </w:rPr>
              <w:t>July 31, 2018</w:t>
            </w:r>
          </w:p>
        </w:tc>
        <w:tc>
          <w:tcPr>
            <w:tcW w:w="240" w:type="dxa"/>
            <w:vAlign w:val="bottom"/>
          </w:tcPr>
          <w:p>
            <w:pPr>
              <w:spacing w:after="0"/>
              <w:rPr>
                <w:sz w:val="21"/>
                <w:szCs w:val="21"/>
                <w:color w:val="auto"/>
              </w:rPr>
            </w:pPr>
          </w:p>
        </w:tc>
        <w:tc>
          <w:tcPr>
            <w:tcW w:w="2140" w:type="dxa"/>
            <w:vAlign w:val="bottom"/>
          </w:tcPr>
          <w:p>
            <w:pPr>
              <w:jc w:val="right"/>
              <w:ind w:right="530"/>
              <w:spacing w:after="0"/>
              <w:rPr>
                <w:sz w:val="20"/>
                <w:szCs w:val="20"/>
                <w:color w:val="auto"/>
              </w:rPr>
            </w:pPr>
            <w:r>
              <w:rPr>
                <w:rFonts w:ascii="Arial" w:cs="Arial" w:eastAsia="Arial" w:hAnsi="Arial"/>
                <w:sz w:val="18"/>
                <w:szCs w:val="18"/>
                <w:b w:val="1"/>
                <w:bCs w:val="1"/>
                <w:color w:val="auto"/>
              </w:rPr>
              <w:t>July 31, 2018</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220" w:type="dxa"/>
            <w:vAlign w:val="bottom"/>
            <w:tcBorders>
              <w:bottom w:val="single" w:sz="8" w:color="DCE2EF"/>
            </w:tcBorders>
          </w:tcPr>
          <w:p>
            <w:pPr>
              <w:spacing w:after="0" w:line="20" w:lineRule="exact"/>
              <w:rPr>
                <w:sz w:val="1"/>
                <w:szCs w:val="1"/>
                <w:color w:val="auto"/>
              </w:rPr>
            </w:pPr>
          </w:p>
        </w:tc>
        <w:tc>
          <w:tcPr>
            <w:tcW w:w="246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39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Education</w:t>
            </w:r>
          </w:p>
        </w:tc>
        <w:tc>
          <w:tcPr>
            <w:tcW w:w="2680" w:type="dxa"/>
            <w:vAlign w:val="bottom"/>
            <w:gridSpan w:val="2"/>
            <w:shd w:val="clear" w:color="auto" w:fill="DCE2EF"/>
          </w:tcPr>
          <w:p>
            <w:pPr>
              <w:jc w:val="right"/>
              <w:ind w:right="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DCE2EF"/>
          </w:tcPr>
          <w:p>
            <w:pPr>
              <w:spacing w:after="0"/>
              <w:rPr>
                <w:sz w:val="21"/>
                <w:szCs w:val="21"/>
                <w:color w:val="auto"/>
              </w:rPr>
            </w:pPr>
          </w:p>
        </w:tc>
        <w:tc>
          <w:tcPr>
            <w:tcW w:w="2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w:t>
            </w:r>
          </w:p>
        </w:tc>
        <w:tc>
          <w:tcPr>
            <w:tcW w:w="2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425.4</w:t>
            </w:r>
          </w:p>
        </w:tc>
        <w:tc>
          <w:tcPr>
            <w:tcW w:w="0" w:type="dxa"/>
            <w:vAlign w:val="bottom"/>
          </w:tcPr>
          <w:p>
            <w:pPr>
              <w:spacing w:after="0"/>
              <w:rPr>
                <w:sz w:val="1"/>
                <w:szCs w:val="1"/>
                <w:color w:val="auto"/>
              </w:rPr>
            </w:pPr>
          </w:p>
        </w:tc>
      </w:tr>
      <w:tr>
        <w:trPr>
          <w:trHeight w:val="263"/>
        </w:trPr>
        <w:tc>
          <w:tcPr>
            <w:tcW w:w="3960" w:type="dxa"/>
            <w:vAlign w:val="bottom"/>
            <w:gridSpan w:val="3"/>
          </w:tcPr>
          <w:p>
            <w:pPr>
              <w:ind w:left="40"/>
              <w:spacing w:after="0"/>
              <w:rPr>
                <w:sz w:val="20"/>
                <w:szCs w:val="20"/>
                <w:color w:val="auto"/>
              </w:rPr>
            </w:pPr>
            <w:r>
              <w:rPr>
                <w:rFonts w:ascii="Arial" w:cs="Arial" w:eastAsia="Arial" w:hAnsi="Arial"/>
                <w:sz w:val="18"/>
                <w:szCs w:val="18"/>
                <w:color w:val="auto"/>
              </w:rPr>
              <w:t>Technology &amp; Manufacturing</w:t>
            </w:r>
          </w:p>
        </w:tc>
        <w:tc>
          <w:tcPr>
            <w:tcW w:w="2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178.8</w:t>
            </w:r>
          </w:p>
        </w:tc>
        <w:tc>
          <w:tcPr>
            <w:tcW w:w="0" w:type="dxa"/>
            <w:vAlign w:val="bottom"/>
          </w:tcPr>
          <w:p>
            <w:pPr>
              <w:spacing w:after="0"/>
              <w:rPr>
                <w:sz w:val="1"/>
                <w:szCs w:val="1"/>
                <w:color w:val="auto"/>
              </w:rPr>
            </w:pPr>
          </w:p>
        </w:tc>
      </w:tr>
      <w:tr>
        <w:trPr>
          <w:trHeight w:val="277"/>
        </w:trPr>
        <w:tc>
          <w:tcPr>
            <w:tcW w:w="39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Business &amp; Industry</w:t>
            </w:r>
          </w:p>
        </w:tc>
        <w:tc>
          <w:tcPr>
            <w:tcW w:w="2460" w:type="dxa"/>
            <w:vAlign w:val="bottom"/>
            <w:shd w:val="clear" w:color="auto" w:fill="DCE2EF"/>
          </w:tcPr>
          <w:p>
            <w:pPr>
              <w:spacing w:after="0"/>
              <w:rPr>
                <w:sz w:val="24"/>
                <w:szCs w:val="24"/>
                <w:color w:val="auto"/>
              </w:rPr>
            </w:pPr>
          </w:p>
        </w:tc>
        <w:tc>
          <w:tcPr>
            <w:tcW w:w="220" w:type="dxa"/>
            <w:vAlign w:val="bottom"/>
            <w:shd w:val="clear" w:color="auto" w:fill="DCE2EF"/>
          </w:tcPr>
          <w:p>
            <w:pPr>
              <w:spacing w:after="0"/>
              <w:rPr>
                <w:sz w:val="24"/>
                <w:szCs w:val="24"/>
                <w:color w:val="auto"/>
              </w:rPr>
            </w:pPr>
          </w:p>
        </w:tc>
        <w:tc>
          <w:tcPr>
            <w:tcW w:w="216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DCE2EF"/>
          </w:tcPr>
          <w:p>
            <w:pPr>
              <w:spacing w:after="0"/>
              <w:rPr>
                <w:sz w:val="24"/>
                <w:szCs w:val="24"/>
                <w:color w:val="auto"/>
              </w:rPr>
            </w:pPr>
          </w:p>
        </w:tc>
        <w:tc>
          <w:tcPr>
            <w:tcW w:w="240" w:type="dxa"/>
            <w:vAlign w:val="bottom"/>
            <w:shd w:val="clear" w:color="auto" w:fill="DCE2EF"/>
          </w:tcPr>
          <w:p>
            <w:pPr>
              <w:spacing w:after="0"/>
              <w:rPr>
                <w:sz w:val="24"/>
                <w:szCs w:val="24"/>
                <w:color w:val="auto"/>
              </w:rPr>
            </w:pPr>
          </w:p>
        </w:tc>
        <w:tc>
          <w:tcPr>
            <w:tcW w:w="214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263"/>
        </w:trPr>
        <w:tc>
          <w:tcPr>
            <w:tcW w:w="3960" w:type="dxa"/>
            <w:vAlign w:val="bottom"/>
            <w:gridSpan w:val="3"/>
          </w:tcPr>
          <w:p>
            <w:pPr>
              <w:ind w:left="40"/>
              <w:spacing w:after="0"/>
              <w:rPr>
                <w:sz w:val="20"/>
                <w:szCs w:val="20"/>
                <w:color w:val="auto"/>
              </w:rPr>
            </w:pPr>
            <w:r>
              <w:rPr>
                <w:rFonts w:ascii="Arial" w:cs="Arial" w:eastAsia="Arial" w:hAnsi="Arial"/>
                <w:sz w:val="18"/>
                <w:szCs w:val="18"/>
                <w:color w:val="auto"/>
              </w:rPr>
              <w:t>Healthcare</w:t>
            </w:r>
          </w:p>
        </w:tc>
        <w:tc>
          <w:tcPr>
            <w:tcW w:w="2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0"/>
        </w:trPr>
        <w:tc>
          <w:tcPr>
            <w:tcW w:w="396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Aviation</w:t>
            </w:r>
          </w:p>
        </w:tc>
        <w:tc>
          <w:tcPr>
            <w:tcW w:w="2460" w:type="dxa"/>
            <w:vAlign w:val="bottom"/>
            <w:shd w:val="clear" w:color="auto" w:fill="DCE2EF"/>
          </w:tcPr>
          <w:p>
            <w:pPr>
              <w:spacing w:after="0"/>
              <w:rPr>
                <w:sz w:val="23"/>
                <w:szCs w:val="23"/>
                <w:color w:val="auto"/>
              </w:rPr>
            </w:pPr>
          </w:p>
        </w:tc>
        <w:tc>
          <w:tcPr>
            <w:tcW w:w="220" w:type="dxa"/>
            <w:vAlign w:val="bottom"/>
            <w:tcBorders>
              <w:bottom w:val="single" w:sz="8" w:color="auto"/>
            </w:tcBorders>
            <w:shd w:val="clear" w:color="auto" w:fill="DCE2EF"/>
          </w:tcPr>
          <w:p>
            <w:pPr>
              <w:spacing w:after="0"/>
              <w:rPr>
                <w:sz w:val="23"/>
                <w:szCs w:val="23"/>
                <w:color w:val="auto"/>
              </w:rPr>
            </w:pPr>
          </w:p>
        </w:tc>
        <w:tc>
          <w:tcPr>
            <w:tcW w:w="216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DCE2EF"/>
          </w:tcPr>
          <w:p>
            <w:pPr>
              <w:spacing w:after="0"/>
              <w:rPr>
                <w:sz w:val="23"/>
                <w:szCs w:val="23"/>
                <w:color w:val="auto"/>
              </w:rPr>
            </w:pPr>
          </w:p>
        </w:tc>
        <w:tc>
          <w:tcPr>
            <w:tcW w:w="240" w:type="dxa"/>
            <w:vAlign w:val="bottom"/>
            <w:tcBorders>
              <w:bottom w:val="single" w:sz="8" w:color="auto"/>
            </w:tcBorders>
            <w:shd w:val="clear" w:color="auto" w:fill="DCE2EF"/>
          </w:tcPr>
          <w:p>
            <w:pPr>
              <w:spacing w:after="0"/>
              <w:rPr>
                <w:sz w:val="23"/>
                <w:szCs w:val="23"/>
                <w:color w:val="auto"/>
              </w:rPr>
            </w:pPr>
          </w:p>
        </w:tc>
        <w:tc>
          <w:tcPr>
            <w:tcW w:w="2140" w:type="dxa"/>
            <w:vAlign w:val="bottom"/>
            <w:tcBorders>
              <w:bottom w:val="single" w:sz="8" w:color="auto"/>
            </w:tcBorders>
            <w:shd w:val="clear" w:color="auto" w:fill="DCE2E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51"/>
        </w:trPr>
        <w:tc>
          <w:tcPr>
            <w:tcW w:w="3960" w:type="dxa"/>
            <w:vAlign w:val="bottom"/>
            <w:gridSpan w:val="3"/>
          </w:tcPr>
          <w:p>
            <w:pPr>
              <w:ind w:left="40"/>
              <w:spacing w:after="0"/>
              <w:rPr>
                <w:sz w:val="20"/>
                <w:szCs w:val="20"/>
                <w:color w:val="auto"/>
              </w:rPr>
            </w:pPr>
            <w:r>
              <w:rPr>
                <w:rFonts w:ascii="Arial" w:cs="Arial" w:eastAsia="Arial" w:hAnsi="Arial"/>
                <w:sz w:val="16"/>
                <w:szCs w:val="16"/>
                <w:b w:val="1"/>
                <w:bCs w:val="1"/>
                <w:color w:val="auto"/>
              </w:rPr>
              <w:t>Total</w:t>
            </w:r>
          </w:p>
        </w:tc>
        <w:tc>
          <w:tcPr>
            <w:tcW w:w="26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b w:val="1"/>
                <w:bCs w:val="1"/>
                <w:color w:val="auto"/>
              </w:rPr>
              <w:t>260.0</w:t>
            </w:r>
          </w:p>
        </w:tc>
        <w:tc>
          <w:tcPr>
            <w:tcW w:w="100" w:type="dxa"/>
            <w:vAlign w:val="bottom"/>
          </w:tcPr>
          <w:p>
            <w:pPr>
              <w:spacing w:after="0"/>
              <w:rPr>
                <w:sz w:val="21"/>
                <w:szCs w:val="21"/>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140" w:type="dxa"/>
            <w:vAlign w:val="bottom"/>
          </w:tcPr>
          <w:p>
            <w:pPr>
              <w:jc w:val="right"/>
              <w:ind w:right="10"/>
              <w:spacing w:after="0"/>
              <w:rPr>
                <w:sz w:val="20"/>
                <w:szCs w:val="20"/>
                <w:color w:val="auto"/>
              </w:rPr>
            </w:pPr>
            <w:r>
              <w:rPr>
                <w:rFonts w:ascii="Arial" w:cs="Arial" w:eastAsia="Arial" w:hAnsi="Arial"/>
                <w:sz w:val="18"/>
                <w:szCs w:val="18"/>
                <w:b w:val="1"/>
                <w:bCs w:val="1"/>
                <w:color w:val="auto"/>
              </w:rPr>
              <w:t>768.0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60" w:type="dxa"/>
            <w:vAlign w:val="bottom"/>
            <w:vMerge w:val="restart"/>
          </w:tcPr>
          <w:p>
            <w:pPr>
              <w:jc w:val="right"/>
              <w:ind w:right="510"/>
              <w:spacing w:after="0"/>
              <w:rPr>
                <w:sz w:val="20"/>
                <w:szCs w:val="20"/>
                <w:color w:val="auto"/>
              </w:rPr>
            </w:pPr>
            <w:r>
              <w:rPr>
                <w:rFonts w:ascii="Arial" w:cs="Arial" w:eastAsia="Arial" w:hAnsi="Arial"/>
                <w:sz w:val="18"/>
                <w:szCs w:val="18"/>
                <w:color w:val="auto"/>
              </w:rPr>
              <w:t>24</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44" w:right="239" w:bottom="1440" w:gutter="0" w:footer="0" w:header="0"/>
        </w:sectPr>
      </w:pPr>
    </w:p>
    <w:bookmarkStart w:id="27" w:name="page28"/>
    <w:bookmarkEnd w:id="27"/>
    <w:p>
      <w:pPr>
        <w:jc w:val="both"/>
        <w:ind w:firstLine="648"/>
        <w:spacing w:after="0" w:line="262" w:lineRule="auto"/>
        <w:rPr>
          <w:sz w:val="20"/>
          <w:szCs w:val="20"/>
          <w:color w:val="auto"/>
        </w:rPr>
      </w:pPr>
      <w:r>
        <w:rPr>
          <w:rFonts w:ascii="Arial" w:cs="Arial" w:eastAsia="Arial" w:hAnsi="Arial"/>
          <w:sz w:val="18"/>
          <w:szCs w:val="18"/>
          <w:color w:val="auto"/>
        </w:rPr>
        <w:t>Following this acquisition, we initiated a restructuring program to achieve cost synergies from our combined operations. We include these costs within corporate expenses. We do not expect to incur significant severance expenses related to GCA restructuring in the future.</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0"/>
                <w:szCs w:val="20"/>
                <w:color w:val="auto"/>
              </w:rPr>
            </w:pPr>
          </w:p>
        </w:tc>
        <w:tc>
          <w:tcPr>
            <w:tcW w:w="2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Nine Months Ended</w:t>
            </w:r>
          </w:p>
        </w:tc>
        <w:tc>
          <w:tcPr>
            <w:tcW w:w="42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243"/>
        </w:trPr>
        <w:tc>
          <w:tcPr>
            <w:tcW w:w="398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21"/>
                <w:szCs w:val="21"/>
                <w:color w:val="auto"/>
              </w:rPr>
            </w:pPr>
          </w:p>
        </w:tc>
        <w:tc>
          <w:tcPr>
            <w:tcW w:w="2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July 31, 2018</w:t>
            </w:r>
          </w:p>
        </w:tc>
        <w:tc>
          <w:tcPr>
            <w:tcW w:w="240" w:type="dxa"/>
            <w:vAlign w:val="bottom"/>
          </w:tcPr>
          <w:p>
            <w:pPr>
              <w:spacing w:after="0"/>
              <w:rPr>
                <w:sz w:val="21"/>
                <w:szCs w:val="21"/>
                <w:color w:val="auto"/>
              </w:rPr>
            </w:pPr>
          </w:p>
        </w:tc>
        <w:tc>
          <w:tcPr>
            <w:tcW w:w="2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8"/>
              </w:rPr>
              <w:t>July 31, 2018</w:t>
            </w:r>
          </w:p>
        </w:tc>
        <w:tc>
          <w:tcPr>
            <w:tcW w:w="420" w:type="dxa"/>
            <w:vAlign w:val="bottom"/>
          </w:tcPr>
          <w:p>
            <w:pPr>
              <w:spacing w:after="0"/>
              <w:rPr>
                <w:sz w:val="21"/>
                <w:szCs w:val="21"/>
                <w:color w:val="auto"/>
              </w:rPr>
            </w:pPr>
          </w:p>
        </w:tc>
        <w:tc>
          <w:tcPr>
            <w:tcW w:w="1980" w:type="dxa"/>
            <w:vAlign w:val="bottom"/>
          </w:tcPr>
          <w:p>
            <w:pPr>
              <w:jc w:val="right"/>
              <w:ind w:right="630"/>
              <w:spacing w:after="0"/>
              <w:rPr>
                <w:sz w:val="20"/>
                <w:szCs w:val="20"/>
                <w:color w:val="auto"/>
              </w:rPr>
            </w:pPr>
            <w:r>
              <w:rPr>
                <w:rFonts w:ascii="Arial" w:cs="Arial" w:eastAsia="Arial" w:hAnsi="Arial"/>
                <w:sz w:val="18"/>
                <w:szCs w:val="18"/>
                <w:b w:val="1"/>
                <w:bCs w:val="1"/>
                <w:color w:val="auto"/>
              </w:rPr>
              <w:t>Cumulative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3240" w:type="dxa"/>
            <w:vAlign w:val="bottom"/>
            <w:tcBorders>
              <w:bottom w:val="single" w:sz="8" w:color="DCE2E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250"/>
        </w:trPr>
        <w:tc>
          <w:tcPr>
            <w:tcW w:w="39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Employee Severance</w:t>
            </w:r>
          </w:p>
        </w:tc>
        <w:tc>
          <w:tcPr>
            <w:tcW w:w="22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w w:val="99"/>
              </w:rPr>
              <w:t>$</w:t>
            </w:r>
          </w:p>
        </w:tc>
        <w:tc>
          <w:tcPr>
            <w:tcW w:w="21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DCE2EF"/>
          </w:tcPr>
          <w:p>
            <w:pPr>
              <w:spacing w:after="0"/>
              <w:rPr>
                <w:sz w:val="21"/>
                <w:szCs w:val="21"/>
                <w:color w:val="auto"/>
              </w:rPr>
            </w:pPr>
          </w:p>
        </w:tc>
        <w:tc>
          <w:tcPr>
            <w:tcW w:w="2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DCE2EF"/>
          </w:tcPr>
          <w:p>
            <w:pPr>
              <w:spacing w:after="0"/>
              <w:rPr>
                <w:sz w:val="21"/>
                <w:szCs w:val="21"/>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12.8</w:t>
            </w:r>
          </w:p>
        </w:tc>
      </w:tr>
      <w:tr>
        <w:trPr>
          <w:trHeight w:val="263"/>
        </w:trPr>
        <w:tc>
          <w:tcPr>
            <w:tcW w:w="3980" w:type="dxa"/>
            <w:vAlign w:val="bottom"/>
            <w:gridSpan w:val="3"/>
          </w:tcPr>
          <w:p>
            <w:pPr>
              <w:ind w:left="40"/>
              <w:spacing w:after="0"/>
              <w:rPr>
                <w:sz w:val="20"/>
                <w:szCs w:val="20"/>
                <w:color w:val="auto"/>
              </w:rPr>
            </w:pPr>
            <w:r>
              <w:rPr>
                <w:rFonts w:ascii="Arial" w:cs="Arial" w:eastAsia="Arial" w:hAnsi="Arial"/>
                <w:sz w:val="18"/>
                <w:szCs w:val="18"/>
                <w:color w:val="auto"/>
              </w:rPr>
              <w:t>Other Project Fees</w:t>
            </w:r>
          </w:p>
        </w:tc>
        <w:tc>
          <w:tcPr>
            <w:tcW w:w="220" w:type="dxa"/>
            <w:vAlign w:val="bottom"/>
          </w:tcPr>
          <w:p>
            <w:pPr>
              <w:spacing w:after="0"/>
              <w:rPr>
                <w:sz w:val="22"/>
                <w:szCs w:val="22"/>
                <w:color w:val="auto"/>
              </w:rPr>
            </w:pPr>
          </w:p>
        </w:tc>
        <w:tc>
          <w:tcPr>
            <w:tcW w:w="21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6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4.9</w:t>
            </w:r>
          </w:p>
        </w:tc>
      </w:tr>
      <w:tr>
        <w:trPr>
          <w:trHeight w:val="270"/>
        </w:trPr>
        <w:tc>
          <w:tcPr>
            <w:tcW w:w="398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External Support Fees</w:t>
            </w:r>
          </w:p>
        </w:tc>
        <w:tc>
          <w:tcPr>
            <w:tcW w:w="220" w:type="dxa"/>
            <w:vAlign w:val="bottom"/>
            <w:shd w:val="clear" w:color="auto" w:fill="DCE2EF"/>
          </w:tcPr>
          <w:p>
            <w:pPr>
              <w:spacing w:after="0"/>
              <w:rPr>
                <w:sz w:val="23"/>
                <w:szCs w:val="23"/>
                <w:color w:val="auto"/>
              </w:rPr>
            </w:pPr>
          </w:p>
        </w:tc>
        <w:tc>
          <w:tcPr>
            <w:tcW w:w="2300" w:type="dxa"/>
            <w:vAlign w:val="bottom"/>
            <w:gridSpan w:val="2"/>
            <w:shd w:val="clear" w:color="auto" w:fill="DCE2E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CE2EF"/>
          </w:tcPr>
          <w:p>
            <w:pPr>
              <w:spacing w:after="0"/>
              <w:rPr>
                <w:sz w:val="23"/>
                <w:szCs w:val="23"/>
                <w:color w:val="auto"/>
              </w:rPr>
            </w:pPr>
          </w:p>
        </w:tc>
        <w:tc>
          <w:tcPr>
            <w:tcW w:w="21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shd w:val="clear" w:color="auto" w:fill="DCE2EF"/>
          </w:tcPr>
          <w:p>
            <w:pPr>
              <w:spacing w:after="0"/>
              <w:rPr>
                <w:sz w:val="23"/>
                <w:szCs w:val="23"/>
                <w:color w:val="auto"/>
              </w:rPr>
            </w:pPr>
          </w:p>
        </w:tc>
        <w:tc>
          <w:tcPr>
            <w:tcW w:w="420" w:type="dxa"/>
            <w:vAlign w:val="bottom"/>
            <w:shd w:val="clear" w:color="auto" w:fill="DCE2EF"/>
          </w:tcPr>
          <w:p>
            <w:pPr>
              <w:spacing w:after="0"/>
              <w:rPr>
                <w:sz w:val="23"/>
                <w:szCs w:val="23"/>
                <w:color w:val="auto"/>
              </w:rPr>
            </w:pPr>
          </w:p>
        </w:tc>
        <w:tc>
          <w:tcPr>
            <w:tcW w:w="19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2.0</w:t>
            </w:r>
          </w:p>
        </w:tc>
      </w:tr>
      <w:tr>
        <w:trPr>
          <w:trHeight w:val="257"/>
        </w:trPr>
        <w:tc>
          <w:tcPr>
            <w:tcW w:w="39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2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1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18.0</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19.6</w:t>
            </w:r>
          </w:p>
        </w:tc>
      </w:tr>
      <w:tr>
        <w:trPr>
          <w:trHeight w:val="20"/>
        </w:trPr>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Segment Reporting</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Effective November 1, 2017, we reorganized our reportable segments to reflect the integration of GCA into our industry group model. Our reportable segments consist of Business &amp; Industry (“B&amp;I”), Aviation, Technology &amp; Manufacturing (“T&amp;M”), Education, Technical Solutions, and Healthcare, as further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48025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80250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046AD"/>
        </w:rPr>
        <w:t>REPORTABLE SEGMENTS AND DESCRIPTIONS</w:t>
      </w:r>
    </w:p>
    <w:p>
      <w:pPr>
        <w:spacing w:after="0" w:line="355" w:lineRule="exact"/>
        <w:rPr>
          <w:sz w:val="20"/>
          <w:szCs w:val="20"/>
          <w:color w:val="auto"/>
        </w:rPr>
      </w:pPr>
    </w:p>
    <w:p>
      <w:pPr>
        <w:jc w:val="both"/>
        <w:ind w:left="3240" w:right="40"/>
        <w:spacing w:after="0" w:line="239" w:lineRule="auto"/>
        <w:rPr>
          <w:sz w:val="20"/>
          <w:szCs w:val="20"/>
          <w:color w:val="auto"/>
        </w:rPr>
      </w:pPr>
      <w:r>
        <w:rPr>
          <w:rFonts w:ascii="Arial" w:cs="Arial" w:eastAsia="Arial" w:hAnsi="Arial"/>
          <w:sz w:val="18"/>
          <w:szCs w:val="18"/>
          <w:color w:val="auto"/>
        </w:rPr>
        <w:t>B&amp;I, our largest reportable segment, encompasses janitorial, facilities engineering, and parking services for commercial real estate properties and sports and entertainment venues. B&amp;I also provides vehicle maintenance and other services to rental car providers (“Vehicle Services Contracts”).</w:t>
      </w:r>
    </w:p>
    <w:p>
      <w:pPr>
        <w:spacing w:after="0" w:line="200" w:lineRule="exact"/>
        <w:rPr>
          <w:sz w:val="20"/>
          <w:szCs w:val="20"/>
          <w:color w:val="auto"/>
        </w:rPr>
      </w:pPr>
    </w:p>
    <w:p>
      <w:pPr>
        <w:spacing w:after="0" w:line="380"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Aviation supports airlines and airports with services ranging from parking and janitorial to passenger assistance, catering logistics, air cabin maintenance, and transportation.</w:t>
      </w:r>
    </w:p>
    <w:p>
      <w:pPr>
        <w:spacing w:after="0" w:line="200" w:lineRule="exact"/>
        <w:rPr>
          <w:sz w:val="20"/>
          <w:szCs w:val="20"/>
          <w:color w:val="auto"/>
        </w:rPr>
      </w:pPr>
    </w:p>
    <w:p>
      <w:pPr>
        <w:spacing w:after="0" w:line="308" w:lineRule="exact"/>
        <w:rPr>
          <w:sz w:val="20"/>
          <w:szCs w:val="20"/>
          <w:color w:val="auto"/>
        </w:rPr>
      </w:pPr>
    </w:p>
    <w:p>
      <w:pPr>
        <w:jc w:val="both"/>
        <w:ind w:left="3240" w:right="40"/>
        <w:spacing w:after="0" w:line="239" w:lineRule="auto"/>
        <w:rPr>
          <w:sz w:val="20"/>
          <w:szCs w:val="20"/>
          <w:color w:val="auto"/>
        </w:rPr>
      </w:pPr>
      <w:r>
        <w:rPr>
          <w:rFonts w:ascii="Arial" w:cs="Arial" w:eastAsia="Arial" w:hAnsi="Arial"/>
          <w:sz w:val="18"/>
          <w:szCs w:val="18"/>
          <w:color w:val="auto"/>
        </w:rPr>
        <w:t>T&amp;M combines our legacy Industrial &amp; Manufacturing business, which was previously included in our B&amp;I segment, with our legacy High Tech industry group, which was previously reported as part of our legacy Emerging Industries Group. T&amp;M provides janitorial, facilities engineering, and parking services.</w:t>
      </w:r>
    </w:p>
    <w:p>
      <w:pPr>
        <w:spacing w:after="0" w:line="200" w:lineRule="exact"/>
        <w:rPr>
          <w:sz w:val="20"/>
          <w:szCs w:val="20"/>
          <w:color w:val="auto"/>
        </w:rPr>
      </w:pPr>
    </w:p>
    <w:p>
      <w:pPr>
        <w:spacing w:after="0" w:line="231" w:lineRule="exact"/>
        <w:rPr>
          <w:sz w:val="20"/>
          <w:szCs w:val="20"/>
          <w:color w:val="auto"/>
        </w:rPr>
      </w:pPr>
    </w:p>
    <w:p>
      <w:pPr>
        <w:jc w:val="both"/>
        <w:ind w:left="3240" w:right="40"/>
        <w:spacing w:after="0"/>
        <w:rPr>
          <w:sz w:val="20"/>
          <w:szCs w:val="20"/>
          <w:color w:val="auto"/>
        </w:rPr>
      </w:pPr>
      <w:r>
        <w:rPr>
          <w:rFonts w:ascii="Arial" w:cs="Arial" w:eastAsia="Arial" w:hAnsi="Arial"/>
          <w:sz w:val="18"/>
          <w:szCs w:val="18"/>
          <w:color w:val="auto"/>
        </w:rPr>
        <w:t>Education delivers janitorial, custodial, landscaping and grounds, facilities engineering, and parking services for public school districts, private schools, colleges, and universities. This business was previously reported as part of our legacy Emerging Industries Group.</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3240" w:right="40"/>
        <w:spacing w:after="0" w:line="246" w:lineRule="auto"/>
        <w:rPr>
          <w:sz w:val="20"/>
          <w:szCs w:val="20"/>
          <w:color w:val="auto"/>
        </w:rPr>
      </w:pPr>
      <w:r>
        <w:rPr>
          <w:rFonts w:ascii="Arial" w:cs="Arial" w:eastAsia="Arial" w:hAnsi="Arial"/>
          <w:sz w:val="18"/>
          <w:szCs w:val="18"/>
          <w:color w:val="auto"/>
        </w:rPr>
        <w:t>Technical Solutions specializes in mechanical and electrical services. These services can also be leveraged for cross-selling across all of our industry groups, both domestically and internationally.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left="3240" w:right="40"/>
        <w:spacing w:after="0" w:line="239" w:lineRule="auto"/>
        <w:rPr>
          <w:sz w:val="20"/>
          <w:szCs w:val="20"/>
          <w:color w:val="auto"/>
        </w:rPr>
      </w:pPr>
      <w:r>
        <w:rPr>
          <w:rFonts w:ascii="Arial" w:cs="Arial" w:eastAsia="Arial" w:hAnsi="Arial"/>
          <w:sz w:val="18"/>
          <w:szCs w:val="18"/>
          <w:color w:val="auto"/>
        </w:rPr>
        <w:t>Healthcare offers janitorial, facilities management, clinical engineering, food and nutrition, laundry and linen, parking and guest services, and patient transportation services at traditional hospitals and non-acute facilities. This business was previously reported as part of our legacy Emerging Industries Group.</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4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0046AD"/>
        </w:rPr>
        <w:t>Prior Year Reclassifications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Effective with the reorganization of our reportable segments, we have revised our prior period segment information to conform with our fiscal 2018 presentation. These changes had no impact on our previously reported consolidated balance sheets, statements of comprehensive income (loss), or statements of cash flows.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Insurance</w:t>
      </w:r>
    </w:p>
    <w:p>
      <w:pPr>
        <w:spacing w:after="0" w:line="19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adequacy of our reserves for workers’ compensation, general liability, automobile liability, and property damage insurance claims is based upon known trends and events and the actuarial estimates of required reserves considering the most recently completed actuarial reports. We use all available information to develop our best estimate of insurance claims reserves as information is obtained. The results of actuarial studies are used to estimate our insurance rates and insurance reserves for future periods and to adjust reserves, if appropriate, for prior years. This year, the actuarial studies performed indicate the changes we have made to our risk management program have reduced the frequency of claims and have had a positive impact on claim costs. Changes include the implementation of programs to identify claims that have the potential to develop adversely earlier in the claims cycle and to facilitate the establishment of reserves consistent with known fact patterns. However, with respect to claims related to certain prior fiscal years, the actuarial studies completed to date show unfavorable developments in our estimate of ultimate losses related to general liability, property damage, workers’ compensation, and automobile liability claims. Additionally, we increased our estimate of ultimate losses for workers’ compensation claims, primarily related to claims in California, due to increases in projected costs and severity of claims in certain prior fiscal years, as well as statutory, regulatory, and legal developments.</w:t>
      </w:r>
    </w:p>
    <w:p>
      <w:pPr>
        <w:spacing w:after="0" w:line="158"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Based on the results of the actuarial studies performed during 2018, which included analyzing recent loss development patterns, comparing the loss development against benchmarks, and applying actuarial projection methods to estimate ultimate losses, we increased our total reserves for known claims as well as our estimate of the loss amounts associated with incurred but not reported claims for prior periods by $4.0 million during the first half of 2018 and by an additional $6.0 million during the third quarter of 2018, for a total adjustment related to prior year claims of approximately $10.0 million during the nine months ended July 31, 2018. This adjustment was $12.3 million lower than the total adjustment related to prior year claims of $22.3 million in the nine months ended July 31,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Government Services Business</w:t>
      </w:r>
    </w:p>
    <w:p>
      <w:pPr>
        <w:spacing w:after="0" w:line="24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sold our Government Services business on May 31, 2017. The reported results for this business are through the date of sale and future results could include run-off costs. As this business has been sold and is no longer part of our ongoing operations, we have excluded a discussion of its results for the periods in this report.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360"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0046AD"/>
        </w:rPr>
        <w:t>Key Financial Highlights</w:t>
      </w:r>
    </w:p>
    <w:p>
      <w:pPr>
        <w:spacing w:after="0" w:line="139" w:lineRule="exact"/>
        <w:rPr>
          <w:sz w:val="20"/>
          <w:szCs w:val="20"/>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Revenues increased by $305.9 million, or 23.2%, including $260.0 million of incremental revenues from the GCA acquisition, during the three months ended July 31, 2018, as compared to the three months ended July 31, 2017.</w:t>
      </w:r>
    </w:p>
    <w:p>
      <w:pPr>
        <w:spacing w:after="0" w:line="88" w:lineRule="exact"/>
        <w:rPr>
          <w:rFonts w:ascii="Arial" w:cs="Arial" w:eastAsia="Arial" w:hAnsi="Arial"/>
          <w:sz w:val="18"/>
          <w:szCs w:val="18"/>
          <w:color w:val="auto"/>
        </w:rPr>
      </w:pPr>
    </w:p>
    <w:p>
      <w:pPr>
        <w:jc w:val="both"/>
        <w:ind w:left="660" w:hanging="328"/>
        <w:spacing w:after="0" w:line="25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Operating profit increased by $25.5 million, during the three months ended July 31, 2018, as compared to the three months ended July 31, 2017. The increase in operating profit is primarily attributable to $9.8 million of incremental operating profit from the GCA acquisition, higher gross margin, and lower restructuring and related expenses, partially offset by higher amortization expense and incremental selling, general and administrative expenses associated with the GCA acquisition.</w:t>
      </w:r>
    </w:p>
    <w:p>
      <w:pPr>
        <w:spacing w:after="0" w:line="96"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Interest expense increased by $10.1 million during the three months ended July 31, 2018, as compared to the three months ended July 31, 2017, primarily related to increased indebtedness incurred to fund the GCA acquisition and higher relative interest rates under our credit facility, partially offset by amortization of $1.2 million related to the interest rate swap gain.</w:t>
      </w:r>
    </w:p>
    <w:p>
      <w:pPr>
        <w:spacing w:after="0" w:line="93"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income taxes from continuing operations for the nine months ended July 31, 2018 were favorably impacted by a net discrete tax benefit of $21.5 million related to the Tax Act.</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Net cash provided by operating activities was $207.4 million during the nine months ended July 31, 2018.</w:t>
      </w:r>
    </w:p>
    <w:p>
      <w:pPr>
        <w:spacing w:after="0" w:line="117"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Dividends of $34.5 million were paid to shareholders, and dividends totaling $0.525 per common share were declared during the nine months ended July 31, 2018.</w:t>
      </w:r>
    </w:p>
    <w:p>
      <w:pPr>
        <w:spacing w:after="0" w:line="88"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July 31, 2018, total outstanding borrowings under our credit facility were $1.0 billion, and we had up to $477.3 million of borrowing capacity under our credit facility; however, covenant restrictions limited our actual borrowing capacity to $196.0 million.</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22" w:right="239" w:bottom="1440" w:gutter="0" w:footer="0" w:header="0"/>
        </w:sectPr>
      </w:pPr>
    </w:p>
    <w:bookmarkStart w:id="30" w:name="page31"/>
    <w:bookmarkEnd w:id="30"/>
    <w:p>
      <w:pPr>
        <w:ind w:left="40"/>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2" w:lineRule="exact"/>
        <w:rPr>
          <w:sz w:val="20"/>
          <w:szCs w:val="20"/>
          <w:color w:val="auto"/>
        </w:rPr>
      </w:pPr>
    </w:p>
    <w:p>
      <w:pPr>
        <w:ind w:right="3820"/>
        <w:spacing w:after="0" w:line="456" w:lineRule="auto"/>
        <w:rPr>
          <w:sz w:val="20"/>
          <w:szCs w:val="20"/>
          <w:color w:val="auto"/>
        </w:rPr>
      </w:pPr>
      <w:r>
        <w:rPr>
          <w:rFonts w:ascii="Arial" w:cs="Arial" w:eastAsia="Arial" w:hAnsi="Arial"/>
          <w:sz w:val="18"/>
          <w:szCs w:val="18"/>
          <w:b w:val="1"/>
          <w:bCs w:val="1"/>
          <w:i w:val="1"/>
          <w:iCs w:val="1"/>
          <w:color w:val="0046AD"/>
        </w:rPr>
        <w:t>Three Months Ended July 31, 2018 Compared with the Three Months Ended July 31, 2017 Consolidated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160" w:type="dxa"/>
            <w:vAlign w:val="bottom"/>
            <w:gridSpan w:val="5"/>
          </w:tcPr>
          <w:p>
            <w:pPr>
              <w:ind w:left="240"/>
              <w:spacing w:after="0"/>
              <w:rPr>
                <w:sz w:val="20"/>
                <w:szCs w:val="20"/>
                <w:color w:val="auto"/>
              </w:rPr>
            </w:pPr>
            <w:r>
              <w:rPr>
                <w:rFonts w:ascii="Arial" w:cs="Arial" w:eastAsia="Arial" w:hAnsi="Arial"/>
                <w:sz w:val="16"/>
                <w:szCs w:val="16"/>
                <w:b w:val="1"/>
                <w:bCs w:val="1"/>
                <w:color w:val="auto"/>
              </w:rPr>
              <w:t>Three Months Ended July 31,</w:t>
            </w: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0"/>
        </w:trPr>
        <w:tc>
          <w:tcPr>
            <w:tcW w:w="53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6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80" w:type="dxa"/>
            <w:vAlign w:val="bottom"/>
            <w:gridSpan w:val="2"/>
          </w:tcPr>
          <w:p>
            <w:pPr>
              <w:ind w:left="20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440" w:type="dxa"/>
            <w:vAlign w:val="bottom"/>
            <w:tcBorders>
              <w:bottom w:val="single" w:sz="8" w:color="DCE2E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60" w:type="dxa"/>
            <w:vAlign w:val="bottom"/>
            <w:shd w:val="clear" w:color="auto" w:fill="DCE2E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1,624.3</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1,318.4</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305.9</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23.2%</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1,446.7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1,184.5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262.2</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22.1%</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Gross margin</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10.9%</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10.2%</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77 bps</w:t>
            </w:r>
          </w:p>
        </w:tc>
        <w:tc>
          <w:tcPr>
            <w:tcW w:w="1340" w:type="dxa"/>
            <w:vAlign w:val="bottom"/>
            <w:shd w:val="clear" w:color="auto" w:fill="DCE2EF"/>
          </w:tcPr>
          <w:p>
            <w:pPr>
              <w:spacing w:after="0"/>
              <w:rPr>
                <w:sz w:val="24"/>
                <w:szCs w:val="24"/>
                <w:color w:val="auto"/>
              </w:rPr>
            </w:pP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110.0</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101.3</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8.7</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8.6%</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Restructuring and related expenses</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5.2</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(2.3)</w:t>
            </w:r>
          </w:p>
        </w:tc>
        <w:tc>
          <w:tcPr>
            <w:tcW w:w="13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(43.4)%</w:t>
            </w:r>
          </w:p>
        </w:tc>
      </w:tr>
      <w:tr>
        <w:trPr>
          <w:trHeight w:val="260"/>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ind w:right="39"/>
              <w:spacing w:after="0"/>
              <w:rPr>
                <w:sz w:val="20"/>
                <w:szCs w:val="20"/>
                <w:color w:val="auto"/>
              </w:rPr>
            </w:pPr>
            <w:r>
              <w:rPr>
                <w:rFonts w:ascii="Arial" w:cs="Arial" w:eastAsia="Arial" w:hAnsi="Arial"/>
                <w:sz w:val="16"/>
                <w:szCs w:val="16"/>
                <w:color w:val="auto"/>
              </w:rPr>
              <w:t>10.5</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Impairment recovery and gain on sale</w:t>
            </w:r>
          </w:p>
        </w:tc>
        <w:tc>
          <w:tcPr>
            <w:tcW w:w="360" w:type="dxa"/>
            <w:vAlign w:val="bottom"/>
            <w:shd w:val="clear" w:color="auto" w:fill="DCE2EF"/>
          </w:tcPr>
          <w:p>
            <w:pPr>
              <w:spacing w:after="0"/>
              <w:rPr>
                <w:sz w:val="24"/>
                <w:szCs w:val="24"/>
                <w:color w:val="auto"/>
              </w:rPr>
            </w:pPr>
          </w:p>
        </w:tc>
        <w:tc>
          <w:tcPr>
            <w:tcW w:w="1400" w:type="dxa"/>
            <w:vAlign w:val="bottom"/>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1.1</w:t>
            </w:r>
          </w:p>
        </w:tc>
        <w:tc>
          <w:tcPr>
            <w:tcW w:w="1340" w:type="dxa"/>
            <w:vAlign w:val="bottom"/>
            <w:shd w:val="clear" w:color="auto" w:fill="DCE2EF"/>
          </w:tcPr>
          <w:p>
            <w:pPr>
              <w:ind w:left="560"/>
              <w:spacing w:after="0"/>
              <w:rPr>
                <w:sz w:val="20"/>
                <w:szCs w:val="20"/>
                <w:color w:val="auto"/>
              </w:rPr>
            </w:pPr>
            <w:r>
              <w:rPr>
                <w:rFonts w:ascii="Arial" w:cs="Arial" w:eastAsia="Arial" w:hAnsi="Arial"/>
                <w:sz w:val="16"/>
                <w:szCs w:val="16"/>
                <w:color w:val="auto"/>
              </w:rPr>
              <w:t>NM*</w:t>
            </w:r>
          </w:p>
        </w:tc>
      </w:tr>
      <w:tr>
        <w:trPr>
          <w:trHeight w:val="240"/>
        </w:trPr>
        <w:tc>
          <w:tcPr>
            <w:tcW w:w="530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profit</w:t>
            </w:r>
          </w:p>
        </w:tc>
        <w:tc>
          <w:tcPr>
            <w:tcW w:w="36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25.5</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80"/>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(0.2)</w:t>
            </w:r>
          </w:p>
        </w:tc>
        <w:tc>
          <w:tcPr>
            <w:tcW w:w="13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w w:val="99"/>
              </w:rPr>
              <w:t>(22.2)%</w:t>
            </w:r>
          </w:p>
        </w:tc>
      </w:tr>
      <w:tr>
        <w:trPr>
          <w:trHeight w:val="264"/>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Interest expense</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340" w:type="dxa"/>
            <w:vAlign w:val="bottom"/>
            <w:tcBorders>
              <w:bottom w:val="single" w:sz="8" w:color="DCE2EF"/>
            </w:tcBorders>
          </w:tcPr>
          <w:p>
            <w:pPr>
              <w:ind w:left="56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60" w:type="dxa"/>
            <w:vAlign w:val="bottom"/>
            <w:shd w:val="clear" w:color="auto" w:fill="DCE2EF"/>
          </w:tcPr>
          <w:p>
            <w:pPr>
              <w:spacing w:after="0"/>
              <w:rPr>
                <w:sz w:val="22"/>
                <w:szCs w:val="22"/>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36.1</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21.0</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15.1</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72.1%</w:t>
            </w:r>
          </w:p>
        </w:tc>
      </w:tr>
      <w:tr>
        <w:trPr>
          <w:trHeight w:val="264"/>
        </w:trPr>
        <w:tc>
          <w:tcPr>
            <w:tcW w:w="53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Income tax (provision) benefit</w:t>
            </w:r>
          </w:p>
        </w:tc>
        <w:tc>
          <w:tcPr>
            <w:tcW w:w="3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w:t>
            </w:r>
          </w:p>
        </w:tc>
        <w:tc>
          <w:tcPr>
            <w:tcW w:w="120" w:type="dxa"/>
            <w:vAlign w:val="bottom"/>
            <w:tcBorders>
              <w:bottom w:val="single" w:sz="8" w:color="DCE2E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11.9</w:t>
            </w:r>
          </w:p>
        </w:tc>
        <w:tc>
          <w:tcPr>
            <w:tcW w:w="120" w:type="dxa"/>
            <w:vAlign w:val="bottom"/>
            <w:tcBorders>
              <w:bottom w:val="single" w:sz="8" w:color="DCE2E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w:t>
            </w:r>
          </w:p>
        </w:tc>
        <w:tc>
          <w:tcPr>
            <w:tcW w:w="1340" w:type="dxa"/>
            <w:vAlign w:val="bottom"/>
            <w:tcBorders>
              <w:bottom w:val="single" w:sz="8" w:color="DCE2EF"/>
            </w:tcBorders>
          </w:tcPr>
          <w:p>
            <w:pPr>
              <w:ind w:left="56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w:t>
            </w:r>
          </w:p>
        </w:tc>
        <w:tc>
          <w:tcPr>
            <w:tcW w:w="360" w:type="dxa"/>
            <w:vAlign w:val="bottom"/>
            <w:shd w:val="clear" w:color="auto" w:fill="DCE2EF"/>
          </w:tcPr>
          <w:p>
            <w:pPr>
              <w:spacing w:after="0"/>
              <w:rPr>
                <w:sz w:val="22"/>
                <w:szCs w:val="22"/>
                <w:color w:val="auto"/>
              </w:rPr>
            </w:pPr>
          </w:p>
        </w:tc>
        <w:tc>
          <w:tcPr>
            <w:tcW w:w="12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33.7</w:t>
            </w:r>
          </w:p>
        </w:tc>
        <w:tc>
          <w:tcPr>
            <w:tcW w:w="120" w:type="dxa"/>
            <w:vAlign w:val="bottom"/>
            <w:shd w:val="clear" w:color="auto" w:fill="DCE2EF"/>
          </w:tcPr>
          <w:p>
            <w:pPr>
              <w:spacing w:after="0"/>
              <w:rPr>
                <w:sz w:val="22"/>
                <w:szCs w:val="22"/>
                <w:color w:val="auto"/>
              </w:rPr>
            </w:pPr>
          </w:p>
        </w:tc>
        <w:tc>
          <w:tcPr>
            <w:tcW w:w="380" w:type="dxa"/>
            <w:vAlign w:val="bottom"/>
            <w:shd w:val="clear" w:color="auto" w:fill="DCE2EF"/>
          </w:tcPr>
          <w:p>
            <w:pPr>
              <w:spacing w:after="0"/>
              <w:rPr>
                <w:sz w:val="22"/>
                <w:szCs w:val="22"/>
                <w:color w:val="auto"/>
              </w:rPr>
            </w:pPr>
          </w:p>
        </w:tc>
        <w:tc>
          <w:tcPr>
            <w:tcW w:w="126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32.9</w:t>
            </w:r>
          </w:p>
        </w:tc>
        <w:tc>
          <w:tcPr>
            <w:tcW w:w="120" w:type="dxa"/>
            <w:vAlign w:val="bottom"/>
            <w:shd w:val="clear" w:color="auto" w:fill="DCE2EF"/>
          </w:tcPr>
          <w:p>
            <w:pPr>
              <w:spacing w:after="0"/>
              <w:rPr>
                <w:sz w:val="22"/>
                <w:szCs w:val="22"/>
                <w:color w:val="auto"/>
              </w:rPr>
            </w:pPr>
          </w:p>
        </w:tc>
        <w:tc>
          <w:tcPr>
            <w:tcW w:w="300" w:type="dxa"/>
            <w:vAlign w:val="bottom"/>
            <w:shd w:val="clear" w:color="auto" w:fill="DCE2EF"/>
          </w:tcPr>
          <w:p>
            <w:pPr>
              <w:spacing w:after="0"/>
              <w:rPr>
                <w:sz w:val="22"/>
                <w:szCs w:val="22"/>
                <w:color w:val="auto"/>
              </w:rPr>
            </w:pPr>
          </w:p>
        </w:tc>
        <w:tc>
          <w:tcPr>
            <w:tcW w:w="940" w:type="dxa"/>
            <w:vAlign w:val="bottom"/>
            <w:shd w:val="clear" w:color="auto" w:fill="DCE2EF"/>
          </w:tcPr>
          <w:p>
            <w:pPr>
              <w:jc w:val="right"/>
              <w:ind w:right="39"/>
              <w:spacing w:after="0"/>
              <w:rPr>
                <w:sz w:val="20"/>
                <w:szCs w:val="20"/>
                <w:color w:val="auto"/>
              </w:rPr>
            </w:pPr>
            <w:r>
              <w:rPr>
                <w:rFonts w:ascii="Arial" w:cs="Arial" w:eastAsia="Arial" w:hAnsi="Arial"/>
                <w:sz w:val="16"/>
                <w:szCs w:val="16"/>
                <w:color w:val="auto"/>
              </w:rPr>
              <w:t>0.8</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2.5%</w:t>
            </w:r>
          </w:p>
        </w:tc>
      </w:tr>
      <w:tr>
        <w:trPr>
          <w:trHeight w:val="264"/>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Loss from discontinued operations, net of taxes</w:t>
            </w:r>
          </w:p>
        </w:tc>
        <w:tc>
          <w:tcPr>
            <w:tcW w:w="36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(0.1)</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57"/>
        </w:trPr>
        <w:tc>
          <w:tcPr>
            <w:tcW w:w="5300" w:type="dxa"/>
            <w:vAlign w:val="bottom"/>
            <w:tcBorders>
              <w:top w:val="single" w:sz="8" w:color="DCE2EF"/>
            </w:tcBorders>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Net income</w:t>
            </w:r>
          </w:p>
        </w:tc>
        <w:tc>
          <w:tcPr>
            <w:tcW w:w="360" w:type="dxa"/>
            <w:vAlign w:val="bottom"/>
            <w:tcBorders>
              <w:top w:val="single" w:sz="8" w:color="auto"/>
              <w:bottom w:val="single" w:sz="8" w:color="auto"/>
            </w:tcBorders>
            <w:shd w:val="clear" w:color="auto" w:fill="DCE2EF"/>
          </w:tcPr>
          <w:p>
            <w:pPr>
              <w:spacing w:after="0"/>
              <w:rPr>
                <w:sz w:val="22"/>
                <w:szCs w:val="22"/>
                <w:color w:val="auto"/>
              </w:rPr>
            </w:pPr>
          </w:p>
        </w:tc>
        <w:tc>
          <w:tcPr>
            <w:tcW w:w="1280" w:type="dxa"/>
            <w:vAlign w:val="bottom"/>
            <w:tcBorders>
              <w:top w:val="single" w:sz="8" w:color="auto"/>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33.6</w:t>
            </w:r>
          </w:p>
        </w:tc>
        <w:tc>
          <w:tcPr>
            <w:tcW w:w="120" w:type="dxa"/>
            <w:vAlign w:val="bottom"/>
            <w:tcBorders>
              <w:top w:val="single" w:sz="8" w:color="DCE2EF"/>
            </w:tcBorders>
            <w:shd w:val="clear" w:color="auto" w:fill="DCE2EF"/>
          </w:tcPr>
          <w:p>
            <w:pPr>
              <w:spacing w:after="0"/>
              <w:rPr>
                <w:sz w:val="22"/>
                <w:szCs w:val="22"/>
                <w:color w:val="auto"/>
              </w:rPr>
            </w:pPr>
          </w:p>
        </w:tc>
        <w:tc>
          <w:tcPr>
            <w:tcW w:w="380" w:type="dxa"/>
            <w:vAlign w:val="bottom"/>
            <w:tcBorders>
              <w:top w:val="single" w:sz="8" w:color="auto"/>
              <w:bottom w:val="single" w:sz="8" w:color="auto"/>
            </w:tcBorders>
            <w:shd w:val="clear" w:color="auto" w:fill="DCE2EF"/>
          </w:tcPr>
          <w:p>
            <w:pPr>
              <w:spacing w:after="0"/>
              <w:rPr>
                <w:sz w:val="22"/>
                <w:szCs w:val="22"/>
                <w:color w:val="auto"/>
              </w:rPr>
            </w:pPr>
          </w:p>
        </w:tc>
        <w:tc>
          <w:tcPr>
            <w:tcW w:w="1260" w:type="dxa"/>
            <w:vAlign w:val="bottom"/>
            <w:tcBorders>
              <w:top w:val="single" w:sz="8" w:color="auto"/>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32.9</w:t>
            </w:r>
          </w:p>
        </w:tc>
        <w:tc>
          <w:tcPr>
            <w:tcW w:w="120" w:type="dxa"/>
            <w:vAlign w:val="bottom"/>
            <w:tcBorders>
              <w:top w:val="single" w:sz="8" w:color="DCE2EF"/>
            </w:tcBorders>
            <w:shd w:val="clear" w:color="auto" w:fill="DCE2EF"/>
          </w:tcPr>
          <w:p>
            <w:pPr>
              <w:spacing w:after="0"/>
              <w:rPr>
                <w:sz w:val="22"/>
                <w:szCs w:val="22"/>
                <w:color w:val="auto"/>
              </w:rPr>
            </w:pPr>
          </w:p>
        </w:tc>
        <w:tc>
          <w:tcPr>
            <w:tcW w:w="300" w:type="dxa"/>
            <w:vAlign w:val="bottom"/>
            <w:tcBorders>
              <w:top w:val="single" w:sz="8" w:color="auto"/>
              <w:bottom w:val="single" w:sz="8" w:color="auto"/>
            </w:tcBorders>
            <w:shd w:val="clear" w:color="auto" w:fill="DCE2EF"/>
          </w:tcPr>
          <w:p>
            <w:pPr>
              <w:spacing w:after="0"/>
              <w:rPr>
                <w:sz w:val="22"/>
                <w:szCs w:val="22"/>
                <w:color w:val="auto"/>
              </w:rPr>
            </w:pPr>
          </w:p>
        </w:tc>
        <w:tc>
          <w:tcPr>
            <w:tcW w:w="940" w:type="dxa"/>
            <w:vAlign w:val="bottom"/>
            <w:tcBorders>
              <w:top w:val="single" w:sz="8" w:color="auto"/>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0.7</w:t>
            </w:r>
          </w:p>
        </w:tc>
        <w:tc>
          <w:tcPr>
            <w:tcW w:w="1340" w:type="dxa"/>
            <w:vAlign w:val="bottom"/>
            <w:tcBorders>
              <w:top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2.2%</w:t>
            </w:r>
          </w:p>
        </w:tc>
      </w:tr>
      <w:tr>
        <w:trPr>
          <w:trHeight w:val="254"/>
        </w:trPr>
        <w:tc>
          <w:tcPr>
            <w:tcW w:w="530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340" w:type="dxa"/>
            <w:vAlign w:val="bottom"/>
          </w:tcPr>
          <w:p>
            <w:pPr>
              <w:spacing w:after="0"/>
              <w:rPr>
                <w:sz w:val="22"/>
                <w:szCs w:val="22"/>
                <w:color w:val="auto"/>
              </w:rPr>
            </w:pP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Interest rate swaps</w:t>
            </w:r>
          </w:p>
        </w:tc>
        <w:tc>
          <w:tcPr>
            <w:tcW w:w="360" w:type="dxa"/>
            <w:vAlign w:val="bottom"/>
            <w:shd w:val="clear" w:color="auto" w:fill="DCE2EF"/>
          </w:tcPr>
          <w:p>
            <w:pPr>
              <w:spacing w:after="0"/>
              <w:rPr>
                <w:sz w:val="24"/>
                <w:szCs w:val="24"/>
                <w:color w:val="auto"/>
              </w:rPr>
            </w:pPr>
          </w:p>
        </w:tc>
        <w:tc>
          <w:tcPr>
            <w:tcW w:w="12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(1.2)</w:t>
            </w:r>
          </w:p>
        </w:tc>
        <w:tc>
          <w:tcPr>
            <w:tcW w:w="120" w:type="dxa"/>
            <w:vAlign w:val="bottom"/>
            <w:shd w:val="clear" w:color="auto" w:fill="DCE2EF"/>
          </w:tcPr>
          <w:p>
            <w:pPr>
              <w:spacing w:after="0"/>
              <w:rPr>
                <w:sz w:val="24"/>
                <w:szCs w:val="24"/>
                <w:color w:val="auto"/>
              </w:rPr>
            </w:pPr>
          </w:p>
        </w:tc>
        <w:tc>
          <w:tcPr>
            <w:tcW w:w="380" w:type="dxa"/>
            <w:vAlign w:val="bottom"/>
            <w:shd w:val="clear" w:color="auto" w:fill="DCE2EF"/>
          </w:tcPr>
          <w:p>
            <w:pPr>
              <w:spacing w:after="0"/>
              <w:rPr>
                <w:sz w:val="24"/>
                <w:szCs w:val="24"/>
                <w:color w:val="auto"/>
              </w:rPr>
            </w:pPr>
          </w:p>
        </w:tc>
        <w:tc>
          <w:tcPr>
            <w:tcW w:w="126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DCE2EF"/>
          </w:tcPr>
          <w:p>
            <w:pPr>
              <w:spacing w:after="0"/>
              <w:rPr>
                <w:sz w:val="24"/>
                <w:szCs w:val="24"/>
                <w:color w:val="auto"/>
              </w:rPr>
            </w:pPr>
          </w:p>
        </w:tc>
        <w:tc>
          <w:tcPr>
            <w:tcW w:w="300" w:type="dxa"/>
            <w:vAlign w:val="bottom"/>
            <w:shd w:val="clear" w:color="auto" w:fill="DCE2EF"/>
          </w:tcPr>
          <w:p>
            <w:pPr>
              <w:spacing w:after="0"/>
              <w:rPr>
                <w:sz w:val="24"/>
                <w:szCs w:val="24"/>
                <w:color w:val="auto"/>
              </w:rPr>
            </w:pPr>
          </w:p>
        </w:tc>
        <w:tc>
          <w:tcPr>
            <w:tcW w:w="94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(0.9)</w:t>
            </w:r>
          </w:p>
        </w:tc>
        <w:tc>
          <w:tcPr>
            <w:tcW w:w="1340" w:type="dxa"/>
            <w:vAlign w:val="bottom"/>
            <w:shd w:val="clear" w:color="auto" w:fill="DCE2EF"/>
          </w:tcPr>
          <w:p>
            <w:pPr>
              <w:ind w:left="560"/>
              <w:spacing w:after="0"/>
              <w:rPr>
                <w:sz w:val="20"/>
                <w:szCs w:val="20"/>
                <w:color w:val="auto"/>
              </w:rPr>
            </w:pPr>
            <w:r>
              <w:rPr>
                <w:rFonts w:ascii="Arial" w:cs="Arial" w:eastAsia="Arial" w:hAnsi="Arial"/>
                <w:sz w:val="16"/>
                <w:szCs w:val="16"/>
                <w:color w:val="auto"/>
              </w:rPr>
              <w:t>NM*</w:t>
            </w:r>
          </w:p>
        </w:tc>
      </w:tr>
      <w:tr>
        <w:trPr>
          <w:trHeight w:val="260"/>
        </w:trPr>
        <w:tc>
          <w:tcPr>
            <w:tcW w:w="40" w:type="dxa"/>
            <w:vAlign w:val="bottom"/>
          </w:tcPr>
          <w:p>
            <w:pPr>
              <w:spacing w:after="0"/>
              <w:rPr>
                <w:sz w:val="22"/>
                <w:szCs w:val="22"/>
                <w:color w:val="auto"/>
              </w:rPr>
            </w:pPr>
          </w:p>
        </w:tc>
        <w:tc>
          <w:tcPr>
            <w:tcW w:w="5260" w:type="dxa"/>
            <w:vAlign w:val="bottom"/>
            <w:gridSpan w:val="2"/>
          </w:tcPr>
          <w:p>
            <w:pPr>
              <w:ind w:left="320"/>
              <w:spacing w:after="0"/>
              <w:rPr>
                <w:sz w:val="20"/>
                <w:szCs w:val="20"/>
                <w:color w:val="auto"/>
              </w:rPr>
            </w:pPr>
            <w:r>
              <w:rPr>
                <w:rFonts w:ascii="Arial" w:cs="Arial" w:eastAsia="Arial" w:hAnsi="Arial"/>
                <w:sz w:val="16"/>
                <w:szCs w:val="16"/>
                <w:color w:val="auto"/>
              </w:rPr>
              <w:t>Foreign currency translation</w:t>
            </w:r>
          </w:p>
        </w:tc>
        <w:tc>
          <w:tcPr>
            <w:tcW w:w="36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(10.1)</w:t>
            </w:r>
          </w:p>
        </w:tc>
        <w:tc>
          <w:tcPr>
            <w:tcW w:w="1340" w:type="dxa"/>
            <w:vAlign w:val="bottom"/>
          </w:tcPr>
          <w:p>
            <w:pPr>
              <w:ind w:left="56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shd w:val="clear" w:color="auto" w:fill="DCE2EF"/>
          </w:tcPr>
          <w:p>
            <w:pPr>
              <w:spacing w:after="0"/>
              <w:rPr>
                <w:sz w:val="24"/>
                <w:szCs w:val="24"/>
                <w:color w:val="auto"/>
              </w:rPr>
            </w:pPr>
          </w:p>
        </w:tc>
        <w:tc>
          <w:tcPr>
            <w:tcW w:w="526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Income tax benefit</w:t>
            </w:r>
          </w:p>
        </w:tc>
        <w:tc>
          <w:tcPr>
            <w:tcW w:w="360" w:type="dxa"/>
            <w:vAlign w:val="bottom"/>
            <w:tcBorders>
              <w:bottom w:val="single" w:sz="8" w:color="auto"/>
            </w:tcBorders>
            <w:shd w:val="clear" w:color="auto" w:fill="DCE2EF"/>
          </w:tcPr>
          <w:p>
            <w:pPr>
              <w:spacing w:after="0"/>
              <w:rPr>
                <w:sz w:val="24"/>
                <w:szCs w:val="24"/>
                <w:color w:val="auto"/>
              </w:rPr>
            </w:pPr>
          </w:p>
        </w:tc>
        <w:tc>
          <w:tcPr>
            <w:tcW w:w="12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shd w:val="clear" w:color="auto" w:fill="DCE2EF"/>
          </w:tcPr>
          <w:p>
            <w:pPr>
              <w:spacing w:after="0"/>
              <w:rPr>
                <w:sz w:val="24"/>
                <w:szCs w:val="24"/>
                <w:color w:val="auto"/>
              </w:rPr>
            </w:pPr>
          </w:p>
        </w:tc>
        <w:tc>
          <w:tcPr>
            <w:tcW w:w="380" w:type="dxa"/>
            <w:vAlign w:val="bottom"/>
            <w:tcBorders>
              <w:bottom w:val="single" w:sz="8" w:color="auto"/>
            </w:tcBorders>
            <w:shd w:val="clear" w:color="auto" w:fill="DCE2EF"/>
          </w:tcPr>
          <w:p>
            <w:pPr>
              <w:spacing w:after="0"/>
              <w:rPr>
                <w:sz w:val="24"/>
                <w:szCs w:val="24"/>
                <w:color w:val="auto"/>
              </w:rPr>
            </w:pPr>
          </w:p>
        </w:tc>
        <w:tc>
          <w:tcPr>
            <w:tcW w:w="126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0.1</w:t>
            </w:r>
          </w:p>
        </w:tc>
        <w:tc>
          <w:tcPr>
            <w:tcW w:w="120" w:type="dxa"/>
            <w:vAlign w:val="bottom"/>
            <w:shd w:val="clear" w:color="auto" w:fill="DCE2EF"/>
          </w:tcPr>
          <w:p>
            <w:pPr>
              <w:spacing w:after="0"/>
              <w:rPr>
                <w:sz w:val="24"/>
                <w:szCs w:val="24"/>
                <w:color w:val="auto"/>
              </w:rPr>
            </w:pPr>
          </w:p>
        </w:tc>
        <w:tc>
          <w:tcPr>
            <w:tcW w:w="300" w:type="dxa"/>
            <w:vAlign w:val="bottom"/>
            <w:tcBorders>
              <w:bottom w:val="single" w:sz="8" w:color="auto"/>
            </w:tcBorders>
            <w:shd w:val="clear" w:color="auto" w:fill="DCE2EF"/>
          </w:tcPr>
          <w:p>
            <w:pPr>
              <w:spacing w:after="0"/>
              <w:rPr>
                <w:sz w:val="24"/>
                <w:szCs w:val="24"/>
                <w:color w:val="auto"/>
              </w:rPr>
            </w:pPr>
          </w:p>
        </w:tc>
        <w:tc>
          <w:tcPr>
            <w:tcW w:w="940" w:type="dxa"/>
            <w:vAlign w:val="bottom"/>
            <w:tcBorders>
              <w:bottom w:val="single" w:sz="8" w:color="auto"/>
            </w:tcBorders>
            <w:shd w:val="clear" w:color="auto" w:fill="DCE2EF"/>
          </w:tcPr>
          <w:p>
            <w:pPr>
              <w:jc w:val="right"/>
              <w:ind w:right="39"/>
              <w:spacing w:after="0"/>
              <w:rPr>
                <w:sz w:val="20"/>
                <w:szCs w:val="20"/>
                <w:color w:val="auto"/>
              </w:rPr>
            </w:pPr>
            <w:r>
              <w:rPr>
                <w:rFonts w:ascii="Arial" w:cs="Arial" w:eastAsia="Arial" w:hAnsi="Arial"/>
                <w:sz w:val="16"/>
                <w:szCs w:val="16"/>
                <w:color w:val="auto"/>
              </w:rPr>
              <w:t>0.2</w:t>
            </w:r>
          </w:p>
        </w:tc>
        <w:tc>
          <w:tcPr>
            <w:tcW w:w="1340" w:type="dxa"/>
            <w:vAlign w:val="bottom"/>
            <w:shd w:val="clear" w:color="auto" w:fill="DCE2EF"/>
          </w:tcPr>
          <w:p>
            <w:pPr>
              <w:ind w:left="560"/>
              <w:spacing w:after="0"/>
              <w:rPr>
                <w:sz w:val="20"/>
                <w:szCs w:val="20"/>
                <w:color w:val="auto"/>
              </w:rPr>
            </w:pPr>
            <w:r>
              <w:rPr>
                <w:rFonts w:ascii="Arial" w:cs="Arial" w:eastAsia="Arial" w:hAnsi="Arial"/>
                <w:sz w:val="16"/>
                <w:szCs w:val="16"/>
                <w:color w:val="auto"/>
              </w:rPr>
              <w:t>NM*</w:t>
            </w:r>
          </w:p>
        </w:tc>
      </w:tr>
      <w:tr>
        <w:trPr>
          <w:trHeight w:val="234"/>
        </w:trPr>
        <w:tc>
          <w:tcPr>
            <w:tcW w:w="530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20"/>
                <w:szCs w:val="20"/>
                <w:color w:val="auto"/>
              </w:rPr>
            </w:pP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36.3</w:t>
            </w:r>
          </w:p>
        </w:tc>
        <w:tc>
          <w:tcPr>
            <w:tcW w:w="120" w:type="dxa"/>
            <w:vAlign w:val="bottom"/>
          </w:tcPr>
          <w:p>
            <w:pPr>
              <w:spacing w:after="0"/>
              <w:rPr>
                <w:sz w:val="20"/>
                <w:szCs w:val="20"/>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w:t>
            </w:r>
          </w:p>
        </w:tc>
        <w:tc>
          <w:tcPr>
            <w:tcW w:w="1340" w:type="dxa"/>
            <w:vAlign w:val="bottom"/>
          </w:tcPr>
          <w:p>
            <w:pPr>
              <w:jc w:val="center"/>
              <w:ind w:left="19"/>
              <w:spacing w:after="0"/>
              <w:rPr>
                <w:sz w:val="20"/>
                <w:szCs w:val="20"/>
                <w:color w:val="auto"/>
              </w:rPr>
            </w:pPr>
            <w:r>
              <w:rPr>
                <w:rFonts w:ascii="Arial" w:cs="Arial" w:eastAsia="Arial" w:hAnsi="Arial"/>
                <w:sz w:val="16"/>
                <w:szCs w:val="16"/>
                <w:color w:val="auto"/>
                <w:w w:val="99"/>
              </w:rPr>
              <w:t>(27.7)%</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Revenues increased by $305.9 million, or 23.2%, during the three months ended July 31, 2018, as compared to the three months ended July 31, 2017. The increase in revenues was primarily attributable to $260.0 million of incremental revenues from the GCA acquisition as well as organic growth in B&amp;I, Technical Solutions, and T&amp;M. This increase was partially offset by the sale of our Government Services business on May 31, 2017 and the loss of certain Aviation accounts.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$262.2 million, or 22.1%, during the three months ended July 31, 2018, as compared to the three months ended July 31, 2017. The increase was primarily attributable to $229.4 million of incremental operating expenses from the GCA acquisition and an increase in wages and related personnel costs due to a tight labor market. Gross margin increased by 77 bps to 10.9% in the three months ended July 31, 2018 from 10.2% in the three months ended July 31, 2017. The increase in gross margin was primarily associated with a lower self-insurance adjustment related to prior year claims as a result of an actuarial evaluation completed in the three months ended July 31, 2018, the termination of an unprofitable Aviation contract in the third quarter of 2017, and favorable margins in our Technical Solutions business, all partially offset by lower profit margins on certain B&amp;I accounts.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6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$8.7 million, or 8.6%, during the three months ended July 31, 2018, as compared to the three months ended July 31, 2017.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$9.4 million of incremental expenses related to the GCA acquisition; and</w:t>
      </w:r>
    </w:p>
    <w:p>
      <w:pPr>
        <w:spacing w:after="0" w:line="171" w:lineRule="exact"/>
        <w:rPr>
          <w:rFonts w:ascii="Arial" w:cs="Arial" w:eastAsia="Arial" w:hAnsi="Arial"/>
          <w:sz w:val="18"/>
          <w:szCs w:val="18"/>
          <w:color w:val="auto"/>
        </w:rPr>
      </w:pPr>
    </w:p>
    <w:p>
      <w:pPr>
        <w:ind w:right="3060" w:firstLine="332"/>
        <w:spacing w:after="0" w:line="438"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$1.8 million increase in expenses related to certain incentive plans due to the timing of awards. This increase was partially offset by:</w:t>
      </w: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absence of $2.2 million of transaction expenses related to the GCA acquisition;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$1.0 million decrease in rental expense due to office consolidations in the prior year.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Restructuring and related expenses decreased by $2.3 million, or 43.4%, during the three months ended July 31, 2018, as compared to the three months ended July 31, 2017, as a result of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organizational realignment, partially offset by restructuring related to the GCA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Amortization of intangible assets increased by $10.5 million during the three months ended July 31, 2018, as compared to the three months ended July 31, 2017, as a result of the amortization of acquired intangible assets associated with the GCA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Impairment Recovery and Gain on Sale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31, 2017, we sold our Government Services business for $ 35.5 million. Based on the initial offer of $35.0 million received during the second quarter of 2017, we recorded a $17.4 million impairment recovery to adjust the fair value of certain previously impaired assets. In connection with the sale, during the third quarter of 2017 we recorded a pre-tax gain of approximately $1.1 million that was subsequently adjusted to $1.2 million due to a working capital settlement.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Interest expense increased by $10.1 million during the three months ended July 31, 2018, as compared to the three months ended July 31, 2017, primarily related to increased indebtedness incurred to fund the GCA acquisition and higher relative interest rates under our credit facility, partially offset by amortization of $1.2 million related to the interest rate swap gain.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three months ended July 31, 2018, we had an income tax provision of $ 2.4 million, compared with an income tax benefit of $11.9 million during the three months ended July 31, 2017. The 2018 period was favorably impacted by the reduction of the federal corporate income tax rate resulting from the Tax Act. Discrete tax benefits of $ 4.2 million, including interest of $0.7 million, related to expiring statute of limitations for an uncertain tax position and $1.6 million of excess tax benefits related to the vesting of share-based compensation awards were also recorded during the quarter. Comparatively, the 2017 period was favorably impacted by a tax benefit of $15.8 million, including interest of $1.2 million, related to expiring statute of limitations for an uncertain tax position.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22"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April 2018, we elected to terminate all of our interest rate swaps for cash proceeds of $25.9 million. The resulting gain is being amortized from accumulated other comprehensive income (loss) (“AOCI”) to interest expense over the term of our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During the three months ended July 31, 2018 we recognized as a component of our comprehensive income a foreign currency translation loss of $6.5 million compared with a gain of $3.6 million during the three months ended July 31, 2017. This change was related to the strengthening of the U.S. Dollar (“USD”) against the Great Britain Pound (“GBP”) during the three months ended July 31, 2018. Future gains and losses on foreign currency translation will be dependent upon changes in the relative value of foreign currencies to the USD and the extent of our foreign assets and liabilities.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22"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5"/>
          </w:tcPr>
          <w:p>
            <w:pPr>
              <w:ind w:left="300"/>
              <w:spacing w:after="0"/>
              <w:rPr>
                <w:sz w:val="20"/>
                <w:szCs w:val="20"/>
                <w:color w:val="auto"/>
              </w:rPr>
            </w:pPr>
            <w:r>
              <w:rPr>
                <w:rFonts w:ascii="Arial" w:cs="Arial" w:eastAsia="Arial" w:hAnsi="Arial"/>
                <w:sz w:val="16"/>
                <w:szCs w:val="16"/>
                <w:b w:val="1"/>
                <w:bCs w:val="1"/>
                <w:color w:val="auto"/>
              </w:rPr>
              <w:t>Three Months Ended July 31,</w:t>
            </w:r>
          </w:p>
        </w:tc>
        <w:tc>
          <w:tcPr>
            <w:tcW w:w="3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ind w:left="300"/>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62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60" w:type="dxa"/>
            <w:vAlign w:val="bottom"/>
            <w:gridSpan w:val="2"/>
          </w:tcPr>
          <w:p>
            <w:pPr>
              <w:ind w:left="18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1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40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40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32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34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735.2</w:t>
            </w:r>
          </w:p>
        </w:tc>
        <w:tc>
          <w:tcPr>
            <w:tcW w:w="120" w:type="dxa"/>
            <w:vAlign w:val="bottom"/>
          </w:tcPr>
          <w:p>
            <w:pPr>
              <w:spacing w:after="0"/>
              <w:rPr>
                <w:sz w:val="22"/>
                <w:szCs w:val="22"/>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652.6</w:t>
            </w:r>
          </w:p>
        </w:tc>
        <w:tc>
          <w:tcPr>
            <w:tcW w:w="100" w:type="dxa"/>
            <w:vAlign w:val="bottom"/>
          </w:tcPr>
          <w:p>
            <w:pPr>
              <w:spacing w:after="0"/>
              <w:rPr>
                <w:sz w:val="22"/>
                <w:szCs w:val="22"/>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82.6</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12.7%</w:t>
            </w: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256.8</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258.9</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(2.1)</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7"/>
              </w:rPr>
              <w:t>(0.8)%</w:t>
            </w:r>
          </w:p>
        </w:tc>
        <w:tc>
          <w:tcPr>
            <w:tcW w:w="0" w:type="dxa"/>
            <w:vAlign w:val="bottom"/>
          </w:tcPr>
          <w:p>
            <w:pPr>
              <w:spacing w:after="0"/>
              <w:rPr>
                <w:sz w:val="1"/>
                <w:szCs w:val="1"/>
                <w:color w:val="auto"/>
              </w:rPr>
            </w:pPr>
          </w:p>
        </w:tc>
      </w:tr>
      <w:tr>
        <w:trPr>
          <w:trHeight w:val="260"/>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230.8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69.3</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210.9</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67.3</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143.6</w:t>
            </w:r>
          </w:p>
        </w:tc>
        <w:tc>
          <w:tcPr>
            <w:tcW w:w="134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0"/>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121.6</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14.9</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14.0%</w:t>
            </w: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9.8</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64"/>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Government Services</w:t>
            </w:r>
          </w:p>
        </w:tc>
        <w:tc>
          <w:tcPr>
            <w:tcW w:w="400" w:type="dxa"/>
            <w:vAlign w:val="bottom"/>
          </w:tcPr>
          <w:p>
            <w:pPr>
              <w:spacing w:after="0"/>
              <w:rPr>
                <w:sz w:val="22"/>
                <w:szCs w:val="22"/>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2"/>
                <w:szCs w:val="22"/>
                <w:color w:val="auto"/>
              </w:rPr>
            </w:pPr>
          </w:p>
        </w:tc>
        <w:tc>
          <w:tcPr>
            <w:tcW w:w="1340" w:type="dxa"/>
            <w:vAlign w:val="bottom"/>
          </w:tcPr>
          <w:p>
            <w:pPr>
              <w:jc w:val="right"/>
              <w:ind w:right="81"/>
              <w:spacing w:after="0"/>
              <w:rPr>
                <w:sz w:val="20"/>
                <w:szCs w:val="20"/>
                <w:color w:val="auto"/>
              </w:rPr>
            </w:pPr>
            <w:r>
              <w:rPr>
                <w:rFonts w:ascii="Arial" w:cs="Arial" w:eastAsia="Arial" w:hAnsi="Arial"/>
                <w:sz w:val="16"/>
                <w:szCs w:val="16"/>
                <w:color w:val="auto"/>
              </w:rPr>
              <w:t>12.3</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(12.3)</w:t>
            </w:r>
          </w:p>
        </w:tc>
        <w:tc>
          <w:tcPr>
            <w:tcW w:w="1340" w:type="dxa"/>
            <w:vAlign w:val="bottom"/>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0"/>
        </w:trPr>
        <w:tc>
          <w:tcPr>
            <w:tcW w:w="40" w:type="dxa"/>
            <w:vAlign w:val="bottom"/>
            <w:tcBorders>
              <w:top w:val="single" w:sz="8" w:color="DCE2EF"/>
              <w:bottom w:val="single" w:sz="8" w:color="DCE2EF"/>
            </w:tcBorders>
            <w:shd w:val="clear" w:color="auto" w:fill="DCE2EF"/>
          </w:tcPr>
          <w:p>
            <w:pPr>
              <w:spacing w:after="0"/>
              <w:rPr>
                <w:sz w:val="20"/>
                <w:szCs w:val="20"/>
                <w:color w:val="auto"/>
              </w:rPr>
            </w:pPr>
          </w:p>
        </w:tc>
        <w:tc>
          <w:tcPr>
            <w:tcW w:w="820" w:type="dxa"/>
            <w:vAlign w:val="bottom"/>
            <w:tcBorders>
              <w:top w:val="single" w:sz="8" w:color="DCE2EF"/>
              <w:bottom w:val="single" w:sz="8" w:color="DCE2EF"/>
            </w:tcBorders>
            <w:shd w:val="clear" w:color="auto" w:fill="DCE2EF"/>
          </w:tcPr>
          <w:p>
            <w:pPr>
              <w:spacing w:after="0"/>
              <w:rPr>
                <w:sz w:val="20"/>
                <w:szCs w:val="20"/>
                <w:color w:val="auto"/>
              </w:rPr>
            </w:pPr>
          </w:p>
        </w:tc>
        <w:tc>
          <w:tcPr>
            <w:tcW w:w="4140" w:type="dxa"/>
            <w:vAlign w:val="bottom"/>
            <w:tcBorders>
              <w:top w:val="single" w:sz="8" w:color="DCE2EF"/>
              <w:bottom w:val="single" w:sz="8" w:color="DCE2EF"/>
            </w:tcBorders>
            <w:shd w:val="clear" w:color="auto" w:fill="DCE2EF"/>
          </w:tcPr>
          <w:p>
            <w:pPr>
              <w:spacing w:after="0"/>
              <w:rPr>
                <w:sz w:val="20"/>
                <w:szCs w:val="20"/>
                <w:color w:val="auto"/>
              </w:rPr>
            </w:pPr>
          </w:p>
        </w:tc>
        <w:tc>
          <w:tcPr>
            <w:tcW w:w="400" w:type="dxa"/>
            <w:vAlign w:val="bottom"/>
            <w:tcBorders>
              <w:top w:val="single" w:sz="8" w:color="auto"/>
              <w:bottom w:val="single" w:sz="8" w:color="auto"/>
            </w:tcBorders>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1,624.3</w:t>
            </w:r>
          </w:p>
        </w:tc>
        <w:tc>
          <w:tcPr>
            <w:tcW w:w="120" w:type="dxa"/>
            <w:vAlign w:val="bottom"/>
            <w:tcBorders>
              <w:top w:val="single" w:sz="8" w:color="DCE2EF"/>
              <w:bottom w:val="single" w:sz="8" w:color="DCE2EF"/>
            </w:tcBorders>
            <w:shd w:val="clear" w:color="auto" w:fill="DCE2EF"/>
          </w:tcPr>
          <w:p>
            <w:pPr>
              <w:spacing w:after="0"/>
              <w:rPr>
                <w:sz w:val="20"/>
                <w:szCs w:val="20"/>
                <w:color w:val="auto"/>
              </w:rPr>
            </w:pPr>
          </w:p>
        </w:tc>
        <w:tc>
          <w:tcPr>
            <w:tcW w:w="400" w:type="dxa"/>
            <w:vAlign w:val="bottom"/>
            <w:tcBorders>
              <w:top w:val="single" w:sz="8" w:color="auto"/>
              <w:bottom w:val="single" w:sz="8" w:color="auto"/>
            </w:tcBorders>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shd w:val="clear" w:color="auto" w:fill="DCE2EF"/>
          </w:tcPr>
          <w:p>
            <w:pPr>
              <w:jc w:val="right"/>
              <w:ind w:right="81"/>
              <w:spacing w:after="0"/>
              <w:rPr>
                <w:sz w:val="20"/>
                <w:szCs w:val="20"/>
                <w:color w:val="auto"/>
              </w:rPr>
            </w:pPr>
            <w:r>
              <w:rPr>
                <w:rFonts w:ascii="Arial" w:cs="Arial" w:eastAsia="Arial" w:hAnsi="Arial"/>
                <w:sz w:val="16"/>
                <w:szCs w:val="16"/>
                <w:color w:val="auto"/>
              </w:rPr>
              <w:t>1,318.4</w:t>
            </w:r>
          </w:p>
        </w:tc>
        <w:tc>
          <w:tcPr>
            <w:tcW w:w="100" w:type="dxa"/>
            <w:vAlign w:val="bottom"/>
            <w:tcBorders>
              <w:top w:val="single" w:sz="8" w:color="DCE2EF"/>
              <w:bottom w:val="single" w:sz="8" w:color="DCE2EF"/>
            </w:tcBorders>
            <w:shd w:val="clear" w:color="auto" w:fill="DCE2EF"/>
          </w:tcPr>
          <w:p>
            <w:pPr>
              <w:spacing w:after="0"/>
              <w:rPr>
                <w:sz w:val="20"/>
                <w:szCs w:val="20"/>
                <w:color w:val="auto"/>
              </w:rPr>
            </w:pPr>
          </w:p>
        </w:tc>
        <w:tc>
          <w:tcPr>
            <w:tcW w:w="320" w:type="dxa"/>
            <w:vAlign w:val="bottom"/>
            <w:tcBorders>
              <w:top w:val="single" w:sz="8" w:color="auto"/>
              <w:bottom w:val="single" w:sz="8" w:color="auto"/>
            </w:tcBorders>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shd w:val="clear" w:color="auto" w:fill="DCE2EF"/>
          </w:tcPr>
          <w:p>
            <w:pPr>
              <w:jc w:val="right"/>
              <w:ind w:right="21"/>
              <w:spacing w:after="0"/>
              <w:rPr>
                <w:sz w:val="20"/>
                <w:szCs w:val="20"/>
                <w:color w:val="auto"/>
              </w:rPr>
            </w:pPr>
            <w:r>
              <w:rPr>
                <w:rFonts w:ascii="Arial" w:cs="Arial" w:eastAsia="Arial" w:hAnsi="Arial"/>
                <w:sz w:val="16"/>
                <w:szCs w:val="16"/>
                <w:color w:val="auto"/>
              </w:rPr>
              <w:t>305.9</w:t>
            </w:r>
          </w:p>
        </w:tc>
        <w:tc>
          <w:tcPr>
            <w:tcW w:w="1340" w:type="dxa"/>
            <w:vAlign w:val="bottom"/>
            <w:tcBorders>
              <w:top w:val="single" w:sz="8" w:color="DCE2EF"/>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23.2%</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5000" w:type="dxa"/>
            <w:vAlign w:val="bottom"/>
            <w:gridSpan w:val="3"/>
            <w:vMerge w:val="continue"/>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40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38.9</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1.6</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(42)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9.7</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5.4</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4.3</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80.3%</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2.1%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170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Technology &amp; Manufacturing</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16.9</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11.0</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5.9</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53.6%</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7.3%</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6.8%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51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12.0</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3.9</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8.1</w:t>
            </w:r>
          </w:p>
        </w:tc>
        <w:tc>
          <w:tcPr>
            <w:tcW w:w="134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5.8%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(7)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Technical Solutions</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11.9</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9.4</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2.5</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9.8%</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8.8%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94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2.5</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2.8</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(0.3)</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7"/>
              </w:rPr>
              <w:t>(8.9)%</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3.7%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(103) bps</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Government Services</w:t>
            </w:r>
          </w:p>
        </w:tc>
        <w:tc>
          <w:tcPr>
            <w:tcW w:w="400" w:type="dxa"/>
            <w:vAlign w:val="bottom"/>
            <w:shd w:val="clear" w:color="auto" w:fill="DCE2EF"/>
          </w:tcPr>
          <w:p>
            <w:pPr>
              <w:spacing w:after="0"/>
              <w:rPr>
                <w:sz w:val="24"/>
                <w:szCs w:val="24"/>
                <w:color w:val="auto"/>
              </w:rPr>
            </w:pPr>
          </w:p>
        </w:tc>
        <w:tc>
          <w:tcPr>
            <w:tcW w:w="1460" w:type="dxa"/>
            <w:vAlign w:val="bottom"/>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81"/>
              <w:spacing w:after="0"/>
              <w:rPr>
                <w:sz w:val="20"/>
                <w:szCs w:val="20"/>
                <w:color w:val="auto"/>
              </w:rPr>
            </w:pPr>
            <w:r>
              <w:rPr>
                <w:rFonts w:ascii="Arial" w:cs="Arial" w:eastAsia="Arial" w:hAnsi="Arial"/>
                <w:sz w:val="16"/>
                <w:szCs w:val="16"/>
                <w:color w:val="auto"/>
              </w:rPr>
              <w:t>1.7</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w:t>
            </w:r>
          </w:p>
        </w:tc>
        <w:tc>
          <w:tcPr>
            <w:tcW w:w="1340" w:type="dxa"/>
            <w:vAlign w:val="bottom"/>
            <w:shd w:val="clear" w:color="auto" w:fill="DCE2EF"/>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49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tcPr>
          <w:p>
            <w:pPr>
              <w:spacing w:after="0"/>
              <w:rPr>
                <w:sz w:val="22"/>
                <w:szCs w:val="22"/>
                <w:color w:val="auto"/>
              </w:rPr>
            </w:pPr>
          </w:p>
        </w:tc>
        <w:tc>
          <w:tcPr>
            <w:tcW w:w="1460" w:type="dxa"/>
            <w:vAlign w:val="bottom"/>
            <w:gridSpan w:val="2"/>
          </w:tcPr>
          <w:p>
            <w:pPr>
              <w:ind w:left="900"/>
              <w:spacing w:after="0"/>
              <w:rPr>
                <w:sz w:val="20"/>
                <w:szCs w:val="20"/>
                <w:color w:val="auto"/>
              </w:rPr>
            </w:pPr>
            <w:r>
              <w:rPr>
                <w:rFonts w:ascii="Arial" w:cs="Arial" w:eastAsia="Arial" w:hAnsi="Arial"/>
                <w:sz w:val="14"/>
                <w:szCs w:val="14"/>
                <w:i w:val="1"/>
                <w:iCs w:val="1"/>
                <w:color w:val="auto"/>
              </w:rPr>
              <w:t>NM*</w:t>
            </w:r>
          </w:p>
        </w:tc>
        <w:tc>
          <w:tcPr>
            <w:tcW w:w="40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4"/>
                <w:szCs w:val="14"/>
                <w:i w:val="1"/>
                <w:iCs w:val="1"/>
                <w:color w:val="auto"/>
              </w:rPr>
              <w:t>14.1%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20" w:type="dxa"/>
            <w:vAlign w:val="bottom"/>
          </w:tcPr>
          <w:p>
            <w:pPr>
              <w:jc w:val="right"/>
              <w:ind w:right="21"/>
              <w:spacing w:after="0"/>
              <w:rPr>
                <w:sz w:val="20"/>
                <w:szCs w:val="20"/>
                <w:color w:val="auto"/>
              </w:rPr>
            </w:pPr>
            <w:r>
              <w:rPr>
                <w:rFonts w:ascii="Arial" w:cs="Arial" w:eastAsia="Arial" w:hAnsi="Arial"/>
                <w:sz w:val="14"/>
                <w:szCs w:val="14"/>
                <w:i w:val="1"/>
                <w:iCs w:val="1"/>
                <w:color w:val="auto"/>
              </w:rPr>
              <w:t>NM*</w:t>
            </w: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50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Corporate</w:t>
            </w: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(42.7)</w:t>
            </w:r>
          </w:p>
        </w:tc>
        <w:tc>
          <w:tcPr>
            <w:tcW w:w="120" w:type="dxa"/>
            <w:vAlign w:val="bottom"/>
            <w:shd w:val="clear" w:color="auto" w:fill="DCE2EF"/>
          </w:tcPr>
          <w:p>
            <w:pPr>
              <w:spacing w:after="0"/>
              <w:rPr>
                <w:sz w:val="24"/>
                <w:szCs w:val="24"/>
                <w:color w:val="auto"/>
              </w:rPr>
            </w:pPr>
          </w:p>
        </w:tc>
        <w:tc>
          <w:tcPr>
            <w:tcW w:w="400" w:type="dxa"/>
            <w:vAlign w:val="bottom"/>
            <w:shd w:val="clear" w:color="auto" w:fill="DCE2EF"/>
          </w:tcPr>
          <w:p>
            <w:pPr>
              <w:spacing w:after="0"/>
              <w:rPr>
                <w:sz w:val="24"/>
                <w:szCs w:val="24"/>
                <w:color w:val="auto"/>
              </w:rPr>
            </w:pPr>
          </w:p>
        </w:tc>
        <w:tc>
          <w:tcPr>
            <w:tcW w:w="134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(47.5)</w:t>
            </w:r>
          </w:p>
        </w:tc>
        <w:tc>
          <w:tcPr>
            <w:tcW w:w="100" w:type="dxa"/>
            <w:vAlign w:val="bottom"/>
            <w:shd w:val="clear" w:color="auto" w:fill="DCE2EF"/>
          </w:tcPr>
          <w:p>
            <w:pPr>
              <w:spacing w:after="0"/>
              <w:rPr>
                <w:sz w:val="24"/>
                <w:szCs w:val="24"/>
                <w:color w:val="auto"/>
              </w:rPr>
            </w:pPr>
          </w:p>
        </w:tc>
        <w:tc>
          <w:tcPr>
            <w:tcW w:w="320" w:type="dxa"/>
            <w:vAlign w:val="bottom"/>
            <w:shd w:val="clear" w:color="auto" w:fill="DCE2EF"/>
          </w:tcPr>
          <w:p>
            <w:pPr>
              <w:spacing w:after="0"/>
              <w:rPr>
                <w:sz w:val="24"/>
                <w:szCs w:val="24"/>
                <w:color w:val="auto"/>
              </w:rPr>
            </w:pPr>
          </w:p>
        </w:tc>
        <w:tc>
          <w:tcPr>
            <w:tcW w:w="920" w:type="dxa"/>
            <w:vAlign w:val="bottom"/>
            <w:shd w:val="clear" w:color="auto" w:fill="DCE2EF"/>
          </w:tcPr>
          <w:p>
            <w:pPr>
              <w:jc w:val="right"/>
              <w:ind w:right="21"/>
              <w:spacing w:after="0"/>
              <w:rPr>
                <w:sz w:val="20"/>
                <w:szCs w:val="20"/>
                <w:color w:val="auto"/>
              </w:rPr>
            </w:pPr>
            <w:r>
              <w:rPr>
                <w:rFonts w:ascii="Arial" w:cs="Arial" w:eastAsia="Arial" w:hAnsi="Arial"/>
                <w:sz w:val="16"/>
                <w:szCs w:val="16"/>
                <w:color w:val="auto"/>
              </w:rPr>
              <w:t>4.8</w:t>
            </w:r>
          </w:p>
        </w:tc>
        <w:tc>
          <w:tcPr>
            <w:tcW w:w="13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218"/>
        </w:trPr>
        <w:tc>
          <w:tcPr>
            <w:tcW w:w="5000" w:type="dxa"/>
            <w:vAlign w:val="bottom"/>
            <w:gridSpan w:val="3"/>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4960" w:type="dxa"/>
            <w:vAlign w:val="bottom"/>
            <w:gridSpan w:val="2"/>
          </w:tcPr>
          <w:p>
            <w:pPr>
              <w:ind w:left="160"/>
              <w:spacing w:after="0"/>
              <w:rPr>
                <w:sz w:val="20"/>
                <w:szCs w:val="20"/>
                <w:color w:val="auto"/>
              </w:rPr>
            </w:pPr>
            <w:r>
              <w:rPr>
                <w:rFonts w:ascii="Arial" w:cs="Arial" w:eastAsia="Arial" w:hAnsi="Arial"/>
                <w:sz w:val="16"/>
                <w:szCs w:val="16"/>
                <w:color w:val="auto"/>
              </w:rPr>
              <w:t>Aviation and Government Services</w:t>
            </w:r>
          </w:p>
        </w:tc>
        <w:tc>
          <w:tcPr>
            <w:tcW w:w="400" w:type="dxa"/>
            <w:vAlign w:val="bottom"/>
          </w:tcPr>
          <w:p>
            <w:pPr>
              <w:spacing w:after="0"/>
              <w:rPr>
                <w:sz w:val="17"/>
                <w:szCs w:val="17"/>
                <w:color w:val="auto"/>
              </w:rPr>
            </w:pPr>
          </w:p>
        </w:tc>
        <w:tc>
          <w:tcPr>
            <w:tcW w:w="1340" w:type="dxa"/>
            <w:vAlign w:val="bottom"/>
          </w:tcPr>
          <w:p>
            <w:pPr>
              <w:jc w:val="right"/>
              <w:ind w:right="21"/>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40" w:type="dxa"/>
            <w:vAlign w:val="bottom"/>
          </w:tcPr>
          <w:p>
            <w:pPr>
              <w:jc w:val="right"/>
              <w:ind w:right="41"/>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ind w:right="21"/>
              <w:spacing w:after="0"/>
              <w:rPr>
                <w:sz w:val="20"/>
                <w:szCs w:val="20"/>
                <w:color w:val="auto"/>
              </w:rPr>
            </w:pPr>
            <w:r>
              <w:rPr>
                <w:rFonts w:ascii="Arial" w:cs="Arial" w:eastAsia="Arial" w:hAnsi="Arial"/>
                <w:sz w:val="16"/>
                <w:szCs w:val="16"/>
                <w:color w:val="auto"/>
              </w:rPr>
              <w:t>0.1</w:t>
            </w:r>
          </w:p>
        </w:tc>
        <w:tc>
          <w:tcPr>
            <w:tcW w:w="1340" w:type="dxa"/>
            <w:vAlign w:val="bottom"/>
          </w:tcPr>
          <w:p>
            <w:pPr>
              <w:jc w:val="center"/>
              <w:ind w:left="39"/>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26"/>
        </w:trPr>
        <w:tc>
          <w:tcPr>
            <w:tcW w:w="40" w:type="dxa"/>
            <w:vAlign w:val="bottom"/>
            <w:shd w:val="clear" w:color="auto" w:fill="DCE2EF"/>
          </w:tcPr>
          <w:p>
            <w:pPr>
              <w:spacing w:after="0"/>
              <w:rPr>
                <w:sz w:val="19"/>
                <w:szCs w:val="19"/>
                <w:color w:val="auto"/>
              </w:rPr>
            </w:pPr>
          </w:p>
        </w:tc>
        <w:tc>
          <w:tcPr>
            <w:tcW w:w="4960" w:type="dxa"/>
            <w:vAlign w:val="bottom"/>
            <w:gridSpan w:val="2"/>
            <w:shd w:val="clear" w:color="auto" w:fill="DCE2EF"/>
          </w:tcPr>
          <w:p>
            <w:pPr>
              <w:spacing w:after="0"/>
              <w:rPr>
                <w:sz w:val="20"/>
                <w:szCs w:val="20"/>
                <w:color w:val="auto"/>
              </w:rPr>
            </w:pPr>
            <w:r>
              <w:rPr>
                <w:rFonts w:ascii="Arial" w:cs="Arial" w:eastAsia="Arial" w:hAnsi="Arial"/>
                <w:sz w:val="16"/>
                <w:szCs w:val="16"/>
                <w:color w:val="auto"/>
                <w:shd w:val="clear" w:color="auto" w:fill="DCE2EF"/>
              </w:rPr>
              <w:t>Adjustment for tax deductions for energy efficient government</w:t>
            </w:r>
          </w:p>
        </w:tc>
        <w:tc>
          <w:tcPr>
            <w:tcW w:w="40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40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320" w:type="dxa"/>
            <w:vAlign w:val="bottom"/>
            <w:shd w:val="clear" w:color="auto" w:fill="DCE2EF"/>
          </w:tcPr>
          <w:p>
            <w:pPr>
              <w:spacing w:after="0"/>
              <w:rPr>
                <w:sz w:val="19"/>
                <w:szCs w:val="19"/>
                <w:color w:val="auto"/>
              </w:rPr>
            </w:pPr>
          </w:p>
        </w:tc>
        <w:tc>
          <w:tcPr>
            <w:tcW w:w="920" w:type="dxa"/>
            <w:vAlign w:val="bottom"/>
            <w:shd w:val="clear" w:color="auto" w:fill="DCE2EF"/>
          </w:tcPr>
          <w:p>
            <w:pPr>
              <w:spacing w:after="0"/>
              <w:rPr>
                <w:sz w:val="19"/>
                <w:szCs w:val="19"/>
                <w:color w:val="auto"/>
              </w:rPr>
            </w:pPr>
          </w:p>
        </w:tc>
        <w:tc>
          <w:tcPr>
            <w:tcW w:w="134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DCE2EF"/>
            </w:tcBorders>
            <w:shd w:val="clear" w:color="auto" w:fill="DCE2EF"/>
          </w:tcPr>
          <w:p>
            <w:pPr>
              <w:spacing w:after="0"/>
              <w:rPr>
                <w:sz w:val="18"/>
                <w:szCs w:val="18"/>
                <w:color w:val="auto"/>
              </w:rPr>
            </w:pPr>
          </w:p>
        </w:tc>
        <w:tc>
          <w:tcPr>
            <w:tcW w:w="4960" w:type="dxa"/>
            <w:vAlign w:val="bottom"/>
            <w:tcBorders>
              <w:bottom w:val="single" w:sz="8" w:color="DCE2EF"/>
            </w:tcBorders>
            <w:gridSpan w:val="2"/>
            <w:shd w:val="clear" w:color="auto" w:fill="DCE2EF"/>
          </w:tcPr>
          <w:p>
            <w:pPr>
              <w:ind w:left="160"/>
              <w:spacing w:after="0"/>
              <w:rPr>
                <w:sz w:val="20"/>
                <w:szCs w:val="20"/>
                <w:color w:val="auto"/>
              </w:rPr>
            </w:pPr>
            <w:r>
              <w:rPr>
                <w:rFonts w:ascii="Arial" w:cs="Arial" w:eastAsia="Arial" w:hAnsi="Arial"/>
                <w:sz w:val="16"/>
                <w:szCs w:val="16"/>
                <w:color w:val="auto"/>
                <w:shd w:val="clear" w:color="auto" w:fill="DCE2EF"/>
              </w:rPr>
              <w:t>buildings, included in Technical Solutions</w:t>
            </w:r>
          </w:p>
        </w:tc>
        <w:tc>
          <w:tcPr>
            <w:tcW w:w="400" w:type="dxa"/>
            <w:vAlign w:val="bottom"/>
            <w:tcBorders>
              <w:bottom w:val="single" w:sz="8" w:color="DCE2EF"/>
            </w:tcBorders>
            <w:shd w:val="clear" w:color="auto" w:fill="DCE2EF"/>
          </w:tcPr>
          <w:p>
            <w:pPr>
              <w:spacing w:after="0"/>
              <w:rPr>
                <w:sz w:val="18"/>
                <w:szCs w:val="18"/>
                <w:color w:val="auto"/>
              </w:rPr>
            </w:pPr>
          </w:p>
        </w:tc>
        <w:tc>
          <w:tcPr>
            <w:tcW w:w="134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DCE2EF"/>
            </w:tcBorders>
            <w:shd w:val="clear" w:color="auto" w:fill="DCE2EF"/>
          </w:tcPr>
          <w:p>
            <w:pPr>
              <w:spacing w:after="0"/>
              <w:rPr>
                <w:sz w:val="18"/>
                <w:szCs w:val="18"/>
                <w:color w:val="auto"/>
              </w:rPr>
            </w:pPr>
          </w:p>
        </w:tc>
        <w:tc>
          <w:tcPr>
            <w:tcW w:w="400" w:type="dxa"/>
            <w:vAlign w:val="bottom"/>
            <w:tcBorders>
              <w:bottom w:val="single" w:sz="8" w:color="DCE2EF"/>
            </w:tcBorders>
            <w:shd w:val="clear" w:color="auto" w:fill="DCE2EF"/>
          </w:tcPr>
          <w:p>
            <w:pPr>
              <w:spacing w:after="0"/>
              <w:rPr>
                <w:sz w:val="18"/>
                <w:szCs w:val="18"/>
                <w:color w:val="auto"/>
              </w:rPr>
            </w:pPr>
          </w:p>
        </w:tc>
        <w:tc>
          <w:tcPr>
            <w:tcW w:w="1340" w:type="dxa"/>
            <w:vAlign w:val="bottom"/>
            <w:tcBorders>
              <w:bottom w:val="single" w:sz="8" w:color="DCE2EF"/>
            </w:tcBorders>
            <w:shd w:val="clear" w:color="auto" w:fill="DCE2EF"/>
          </w:tcPr>
          <w:p>
            <w:pPr>
              <w:jc w:val="right"/>
              <w:ind w:right="41"/>
              <w:spacing w:after="0"/>
              <w:rPr>
                <w:sz w:val="20"/>
                <w:szCs w:val="20"/>
                <w:color w:val="auto"/>
              </w:rPr>
            </w:pPr>
            <w:r>
              <w:rPr>
                <w:rFonts w:ascii="Arial" w:cs="Arial" w:eastAsia="Arial" w:hAnsi="Arial"/>
                <w:sz w:val="16"/>
                <w:szCs w:val="16"/>
                <w:color w:val="auto"/>
              </w:rPr>
              <w:t>(0.4)</w:t>
            </w:r>
          </w:p>
        </w:tc>
        <w:tc>
          <w:tcPr>
            <w:tcW w:w="100" w:type="dxa"/>
            <w:vAlign w:val="bottom"/>
            <w:tcBorders>
              <w:bottom w:val="single" w:sz="8" w:color="DCE2EF"/>
            </w:tcBorders>
            <w:shd w:val="clear" w:color="auto" w:fill="DCE2EF"/>
          </w:tcPr>
          <w:p>
            <w:pPr>
              <w:spacing w:after="0"/>
              <w:rPr>
                <w:sz w:val="18"/>
                <w:szCs w:val="18"/>
                <w:color w:val="auto"/>
              </w:rPr>
            </w:pPr>
          </w:p>
        </w:tc>
        <w:tc>
          <w:tcPr>
            <w:tcW w:w="320" w:type="dxa"/>
            <w:vAlign w:val="bottom"/>
            <w:tcBorders>
              <w:bottom w:val="single" w:sz="8" w:color="DCE2EF"/>
            </w:tcBorders>
            <w:shd w:val="clear" w:color="auto" w:fill="DCE2EF"/>
          </w:tcPr>
          <w:p>
            <w:pPr>
              <w:spacing w:after="0"/>
              <w:rPr>
                <w:sz w:val="18"/>
                <w:szCs w:val="18"/>
                <w:color w:val="auto"/>
              </w:rPr>
            </w:pPr>
          </w:p>
        </w:tc>
        <w:tc>
          <w:tcPr>
            <w:tcW w:w="920" w:type="dxa"/>
            <w:vAlign w:val="bottom"/>
            <w:tcBorders>
              <w:bottom w:val="single" w:sz="8" w:color="DCE2EF"/>
            </w:tcBorders>
            <w:shd w:val="clear" w:color="auto" w:fill="DCE2EF"/>
          </w:tcPr>
          <w:p>
            <w:pPr>
              <w:jc w:val="right"/>
              <w:ind w:right="21"/>
              <w:spacing w:after="0"/>
              <w:rPr>
                <w:sz w:val="20"/>
                <w:szCs w:val="20"/>
                <w:color w:val="auto"/>
              </w:rPr>
            </w:pPr>
            <w:r>
              <w:rPr>
                <w:rFonts w:ascii="Arial" w:cs="Arial" w:eastAsia="Arial" w:hAnsi="Arial"/>
                <w:sz w:val="16"/>
                <w:szCs w:val="16"/>
                <w:color w:val="auto"/>
              </w:rPr>
              <w:t>0.1</w:t>
            </w:r>
          </w:p>
        </w:tc>
        <w:tc>
          <w:tcPr>
            <w:tcW w:w="1340" w:type="dxa"/>
            <w:vAlign w:val="bottom"/>
            <w:tcBorders>
              <w:bottom w:val="single" w:sz="8" w:color="DCE2EF"/>
            </w:tcBorders>
            <w:shd w:val="clear" w:color="auto" w:fill="DCE2EF"/>
          </w:tcPr>
          <w:p>
            <w:pPr>
              <w:jc w:val="center"/>
              <w:ind w:left="39"/>
              <w:spacing w:after="0"/>
              <w:rPr>
                <w:sz w:val="20"/>
                <w:szCs w:val="20"/>
                <w:color w:val="auto"/>
              </w:rPr>
            </w:pPr>
            <w:r>
              <w:rPr>
                <w:rFonts w:ascii="Arial" w:cs="Arial" w:eastAsia="Arial" w:hAnsi="Arial"/>
                <w:sz w:val="16"/>
                <w:szCs w:val="16"/>
                <w:color w:val="auto"/>
              </w:rPr>
              <w:t>21.1%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48.1</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16"/>
                <w:szCs w:val="16"/>
                <w:color w:val="auto"/>
              </w:rPr>
              <w:t>22.6</w:t>
            </w:r>
          </w:p>
        </w:tc>
        <w:tc>
          <w:tcPr>
            <w:tcW w:w="100" w:type="dxa"/>
            <w:vAlign w:val="bottom"/>
          </w:tcPr>
          <w:p>
            <w:pPr>
              <w:spacing w:after="0"/>
              <w:rPr>
                <w:sz w:val="20"/>
                <w:szCs w:val="20"/>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25.5</w:t>
            </w:r>
          </w:p>
        </w:tc>
        <w:tc>
          <w:tcPr>
            <w:tcW w:w="1340" w:type="dxa"/>
            <w:vAlign w:val="bottom"/>
          </w:tcPr>
          <w:p>
            <w:pPr>
              <w:ind w:left="58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*Not meaningful</w:t>
            </w:r>
          </w:p>
        </w:tc>
        <w:tc>
          <w:tcPr>
            <w:tcW w:w="4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41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735.2</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652.6</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8"/>
                <w:szCs w:val="18"/>
                <w:color w:val="auto"/>
              </w:rPr>
              <w:t>82.6</w:t>
            </w:r>
          </w:p>
        </w:tc>
        <w:tc>
          <w:tcPr>
            <w:tcW w:w="158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12.7%</w:t>
            </w:r>
          </w:p>
        </w:tc>
      </w:tr>
      <w:tr>
        <w:trPr>
          <w:trHeight w:val="270"/>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00" w:type="dxa"/>
            <w:vAlign w:val="bottom"/>
          </w:tcPr>
          <w:p>
            <w:pPr>
              <w:spacing w:after="0"/>
              <w:rPr>
                <w:sz w:val="23"/>
                <w:szCs w:val="23"/>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38.9</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0" w:type="dxa"/>
            <w:vAlign w:val="bottom"/>
          </w:tcPr>
          <w:p>
            <w:pPr>
              <w:jc w:val="right"/>
              <w:ind w:right="354"/>
              <w:spacing w:after="0"/>
              <w:rPr>
                <w:sz w:val="20"/>
                <w:szCs w:val="20"/>
                <w:color w:val="auto"/>
              </w:rPr>
            </w:pPr>
            <w:r>
              <w:rPr>
                <w:rFonts w:ascii="Arial" w:cs="Arial" w:eastAsia="Arial" w:hAnsi="Arial"/>
                <w:sz w:val="18"/>
                <w:szCs w:val="18"/>
                <w:color w:val="auto"/>
              </w:rPr>
              <w:t>1.6</w:t>
            </w: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4.3%</w:t>
            </w:r>
          </w:p>
        </w:tc>
      </w:tr>
      <w:tr>
        <w:trPr>
          <w:trHeight w:val="270"/>
        </w:trPr>
        <w:tc>
          <w:tcPr>
            <w:tcW w:w="40" w:type="dxa"/>
            <w:vAlign w:val="bottom"/>
            <w:shd w:val="clear" w:color="auto" w:fill="DCE2EF"/>
          </w:tcPr>
          <w:p>
            <w:pPr>
              <w:spacing w:after="0"/>
              <w:rPr>
                <w:sz w:val="23"/>
                <w:szCs w:val="23"/>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3"/>
                <w:szCs w:val="23"/>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5.3%</w:t>
            </w:r>
          </w:p>
        </w:tc>
        <w:tc>
          <w:tcPr>
            <w:tcW w:w="100" w:type="dxa"/>
            <w:vAlign w:val="bottom"/>
            <w:shd w:val="clear" w:color="auto" w:fill="DCE2EF"/>
          </w:tcPr>
          <w:p>
            <w:pPr>
              <w:spacing w:after="0"/>
              <w:rPr>
                <w:sz w:val="23"/>
                <w:szCs w:val="23"/>
                <w:color w:val="auto"/>
              </w:rPr>
            </w:pPr>
          </w:p>
        </w:tc>
        <w:tc>
          <w:tcPr>
            <w:tcW w:w="440" w:type="dxa"/>
            <w:vAlign w:val="bottom"/>
            <w:shd w:val="clear" w:color="auto" w:fill="DCE2EF"/>
          </w:tcPr>
          <w:p>
            <w:pPr>
              <w:spacing w:after="0"/>
              <w:rPr>
                <w:sz w:val="23"/>
                <w:szCs w:val="23"/>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5.7%</w:t>
            </w:r>
          </w:p>
        </w:tc>
        <w:tc>
          <w:tcPr>
            <w:tcW w:w="100" w:type="dxa"/>
            <w:vAlign w:val="bottom"/>
            <w:shd w:val="clear" w:color="auto" w:fill="DCE2EF"/>
          </w:tcPr>
          <w:p>
            <w:pPr>
              <w:spacing w:after="0"/>
              <w:rPr>
                <w:sz w:val="23"/>
                <w:szCs w:val="23"/>
                <w:color w:val="auto"/>
              </w:rPr>
            </w:pPr>
          </w:p>
        </w:tc>
        <w:tc>
          <w:tcPr>
            <w:tcW w:w="560" w:type="dxa"/>
            <w:vAlign w:val="bottom"/>
            <w:shd w:val="clear" w:color="auto" w:fill="DCE2EF"/>
          </w:tcPr>
          <w:p>
            <w:pPr>
              <w:spacing w:after="0"/>
              <w:rPr>
                <w:sz w:val="23"/>
                <w:szCs w:val="23"/>
                <w:color w:val="auto"/>
              </w:rPr>
            </w:pP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(42) bps</w:t>
            </w:r>
          </w:p>
        </w:tc>
        <w:tc>
          <w:tcPr>
            <w:tcW w:w="1580" w:type="dxa"/>
            <w:vAlign w:val="bottom"/>
            <w:shd w:val="clear" w:color="auto" w:fill="DCE2EF"/>
          </w:tcPr>
          <w:p>
            <w:pPr>
              <w:spacing w:after="0"/>
              <w:rPr>
                <w:sz w:val="23"/>
                <w:szCs w:val="23"/>
                <w:color w:val="auto"/>
              </w:rPr>
            </w:pPr>
          </w:p>
        </w:tc>
      </w:tr>
    </w:tbl>
    <w:p>
      <w:pPr>
        <w:spacing w:after="0" w:line="23"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The three months ended July 31, 2018 includes $1.9 million of amortization expense related to the GCA acquisition.</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B&amp;I revenues increased by $82.6 million, or 12.7%, during the three months ended July 31, 2018, as compared to the three months ended July 31, 2017. The increase was primarily attributable to incremental revenues from the GCA acquisition of $45.3 million, new contract wins in the U.K., expansion of certain existing accounts, and organic growth. Management reimbursement revenues for this segment totaled $65.0 million and $59.3 million for the three months ended July 31, 2018 and 2017, respectively.</w:t>
      </w:r>
    </w:p>
    <w:p>
      <w:pPr>
        <w:sectPr>
          <w:pgSz w:w="11900" w:h="16838" w:orient="portrait"/>
          <w:cols w:equalWidth="0" w:num="1">
            <w:col w:w="11420"/>
          </w:cols>
          <w:pgMar w:left="240" w:top="360" w:right="239" w:bottom="1440" w:gutter="0" w:footer="0" w:header="0"/>
        </w:sect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20"/>
          </w:cols>
          <w:pgMar w:left="240" w:top="360" w:right="239" w:bottom="1440" w:gutter="0" w:footer="0" w:header="0"/>
          <w:type w:val="continuous"/>
        </w:sectPr>
      </w:pPr>
    </w:p>
    <w:bookmarkStart w:id="34" w:name="page35"/>
    <w:bookmarkEnd w:id="34"/>
    <w:p>
      <w:pPr>
        <w:jc w:val="both"/>
        <w:ind w:firstLine="648"/>
        <w:spacing w:after="0" w:line="252" w:lineRule="auto"/>
        <w:rPr>
          <w:sz w:val="20"/>
          <w:szCs w:val="20"/>
          <w:color w:val="auto"/>
        </w:rPr>
      </w:pPr>
      <w:r>
        <w:rPr>
          <w:rFonts w:ascii="Arial" w:cs="Arial" w:eastAsia="Arial" w:hAnsi="Arial"/>
          <w:sz w:val="18"/>
          <w:szCs w:val="18"/>
          <w:color w:val="auto"/>
        </w:rPr>
        <w:t>Operating profit increased by $1.6 million, or 4.3%, during the three months ended July 31, 2018, as compared to the three months ended July 31, 2017. Operating profit margin decreased by 42 bps to 5.3% in the three months ended July 31, 2018 from 5.7% in the three months ended July 31, 2017. The decrease in operating profit margin was primarily associated with lower margins on certain janitorial accounts, an increase in amortization expense related to the GCA acquisition, and a provision for the settlement of a union health and welfare benefits audit. This decrease was partially offset by the management of selling, general and administrative expenses. While labor challenges are present in certain areas of our B&amp;I business, it is our most mature business and has the highest proportion of unionized labor.</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258.9</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DCE2EF"/>
          </w:tcPr>
          <w:p>
            <w:pPr>
              <w:jc w:val="right"/>
              <w:ind w:right="314"/>
              <w:spacing w:after="0"/>
              <w:rPr>
                <w:sz w:val="20"/>
                <w:szCs w:val="20"/>
                <w:color w:val="auto"/>
              </w:rPr>
            </w:pPr>
            <w:r>
              <w:rPr>
                <w:rFonts w:ascii="Arial" w:cs="Arial" w:eastAsia="Arial" w:hAnsi="Arial"/>
                <w:sz w:val="18"/>
                <w:szCs w:val="18"/>
                <w:color w:val="auto"/>
              </w:rPr>
              <w:t>(2.1)</w:t>
            </w:r>
          </w:p>
        </w:tc>
        <w:tc>
          <w:tcPr>
            <w:tcW w:w="15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(0.8)%</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20" w:type="dxa"/>
            <w:vAlign w:val="bottom"/>
          </w:tcPr>
          <w:p>
            <w:pPr>
              <w:jc w:val="right"/>
              <w:ind w:right="374"/>
              <w:spacing w:after="0"/>
              <w:rPr>
                <w:sz w:val="20"/>
                <w:szCs w:val="20"/>
                <w:color w:val="auto"/>
              </w:rPr>
            </w:pPr>
            <w:r>
              <w:rPr>
                <w:rFonts w:ascii="Arial" w:cs="Arial" w:eastAsia="Arial" w:hAnsi="Arial"/>
                <w:sz w:val="18"/>
                <w:szCs w:val="18"/>
                <w:color w:val="auto"/>
              </w:rPr>
              <w:t>4.3</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80.3%</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2.1%</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170 bps</w:t>
            </w:r>
          </w:p>
        </w:tc>
        <w:tc>
          <w:tcPr>
            <w:tcW w:w="156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Aviation revenues decreased by $2.1 million, or 0.8%, during the three months ended July 31, 2018, as compared to the three months ended July 31, 2017. The decrease was primarily attributable to the loss of certain passenger services, facility services, and cabin cleaning accounts. This decrease was partially offset by incremental revenues of $4.4 million from the GCA acquisition and new parking accounts. Management reimbursement revenues for this segment totaled $23.8 million and $21.9 million for the three months ended July 31, 2018 and 2017, respectively.</w:t>
      </w:r>
    </w:p>
    <w:p>
      <w:pPr>
        <w:spacing w:after="0" w:line="1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$4.3 million, or 80.3%, during the three months ended July 31, 2018, as compared to the three months ended July 31, 2017. Operating profit margin increased by 170 bps to 3.8% in the three months ended July 31, 2018 from 2.1% in the three months ended July 31, 2017. The increase in operating profit margin was primarily attributable to the termination of an unprofitable contract in the third quarter of 2017, partially offset by lower margins and operational issues on certain accounts.</w:t>
      </w: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7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4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230.8</w:t>
            </w:r>
          </w:p>
        </w:tc>
        <w:tc>
          <w:tcPr>
            <w:tcW w:w="120" w:type="dxa"/>
            <w:vAlign w:val="bottom"/>
            <w:shd w:val="clear" w:color="auto" w:fill="DCE2EF"/>
          </w:tcPr>
          <w:p>
            <w:pPr>
              <w:spacing w:after="0"/>
              <w:rPr>
                <w:sz w:val="22"/>
                <w:szCs w:val="22"/>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94"/>
              <w:spacing w:after="0"/>
              <w:rPr>
                <w:sz w:val="20"/>
                <w:szCs w:val="20"/>
                <w:color w:val="auto"/>
              </w:rPr>
            </w:pPr>
            <w:r>
              <w:rPr>
                <w:rFonts w:ascii="Arial" w:cs="Arial" w:eastAsia="Arial" w:hAnsi="Arial"/>
                <w:sz w:val="18"/>
                <w:szCs w:val="18"/>
                <w:color w:val="auto"/>
              </w:rPr>
              <w:t>161.5</w:t>
            </w:r>
          </w:p>
        </w:tc>
        <w:tc>
          <w:tcPr>
            <w:tcW w:w="100" w:type="dxa"/>
            <w:vAlign w:val="bottom"/>
            <w:shd w:val="clear" w:color="auto" w:fill="DCE2EF"/>
          </w:tcPr>
          <w:p>
            <w:pPr>
              <w:spacing w:after="0"/>
              <w:rPr>
                <w:sz w:val="22"/>
                <w:szCs w:val="22"/>
                <w:color w:val="auto"/>
              </w:rPr>
            </w:pPr>
          </w:p>
        </w:tc>
        <w:tc>
          <w:tcPr>
            <w:tcW w:w="700" w:type="dxa"/>
            <w:vAlign w:val="bottom"/>
            <w:shd w:val="clear" w:color="auto" w:fill="DCE2EF"/>
          </w:tcPr>
          <w:p>
            <w:pPr>
              <w:jc w:val="right"/>
              <w:ind w:right="49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8"/>
                <w:szCs w:val="18"/>
                <w:color w:val="auto"/>
              </w:rPr>
              <w:t>69.3</w:t>
            </w:r>
          </w:p>
        </w:tc>
        <w:tc>
          <w:tcPr>
            <w:tcW w:w="134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rPr>
              <w:t>42.9%</w:t>
            </w:r>
          </w:p>
        </w:tc>
      </w:tr>
      <w:tr>
        <w:trPr>
          <w:trHeight w:val="270"/>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5.9</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53.6%</w:t>
            </w:r>
          </w:p>
        </w:tc>
      </w:tr>
      <w:tr>
        <w:trPr>
          <w:trHeight w:val="270"/>
        </w:trPr>
        <w:tc>
          <w:tcPr>
            <w:tcW w:w="20" w:type="dxa"/>
            <w:vAlign w:val="bottom"/>
            <w:shd w:val="clear" w:color="auto" w:fill="DCE2EF"/>
          </w:tcPr>
          <w:p>
            <w:pPr>
              <w:spacing w:after="0"/>
              <w:rPr>
                <w:sz w:val="23"/>
                <w:szCs w:val="23"/>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7.3%</w:t>
            </w:r>
          </w:p>
        </w:tc>
        <w:tc>
          <w:tcPr>
            <w:tcW w:w="120" w:type="dxa"/>
            <w:vAlign w:val="bottom"/>
            <w:shd w:val="clear" w:color="auto" w:fill="DCE2EF"/>
          </w:tcPr>
          <w:p>
            <w:pPr>
              <w:spacing w:after="0"/>
              <w:rPr>
                <w:sz w:val="23"/>
                <w:szCs w:val="23"/>
                <w:color w:val="auto"/>
              </w:rPr>
            </w:pPr>
          </w:p>
        </w:tc>
        <w:tc>
          <w:tcPr>
            <w:tcW w:w="42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6.8%</w:t>
            </w:r>
          </w:p>
        </w:tc>
        <w:tc>
          <w:tcPr>
            <w:tcW w:w="100" w:type="dxa"/>
            <w:vAlign w:val="bottom"/>
            <w:shd w:val="clear" w:color="auto" w:fill="DCE2EF"/>
          </w:tcPr>
          <w:p>
            <w:pPr>
              <w:spacing w:after="0"/>
              <w:rPr>
                <w:sz w:val="23"/>
                <w:szCs w:val="23"/>
                <w:color w:val="auto"/>
              </w:rPr>
            </w:pPr>
          </w:p>
        </w:tc>
        <w:tc>
          <w:tcPr>
            <w:tcW w:w="700" w:type="dxa"/>
            <w:vAlign w:val="bottom"/>
            <w:shd w:val="clear" w:color="auto" w:fill="DCE2EF"/>
          </w:tcPr>
          <w:p>
            <w:pPr>
              <w:spacing w:after="0"/>
              <w:rPr>
                <w:sz w:val="23"/>
                <w:szCs w:val="23"/>
                <w:color w:val="auto"/>
              </w:rPr>
            </w:pP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51 bps</w:t>
            </w:r>
          </w:p>
        </w:tc>
        <w:tc>
          <w:tcPr>
            <w:tcW w:w="1340" w:type="dxa"/>
            <w:vAlign w:val="bottom"/>
            <w:shd w:val="clear" w:color="auto" w:fill="DCE2EF"/>
          </w:tcPr>
          <w:p>
            <w:pPr>
              <w:spacing w:after="0"/>
              <w:rPr>
                <w:sz w:val="23"/>
                <w:szCs w:val="23"/>
                <w:color w:val="auto"/>
              </w:rPr>
            </w:pPr>
          </w:p>
        </w:tc>
      </w:tr>
    </w:tbl>
    <w:p>
      <w:pPr>
        <w:spacing w:after="0" w:line="9"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The three months ended July 31, 2018 includes $2.7 million of amortization expense related to the GCA acquisition.</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T&amp;M revenues increased by $69.3 million, or 42.9%, during the three months ended July 31, 2018, as compared to the three months ended July 31, 2017. The increase was primarily related to incremental revenues from the GCA acquisition of $59.6 million, net new business, and expansion of existing accounts.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$5.9 million, or 53.6%, during the three months ended July 31, 2018, as compared to the three months ended July 31, 2017. Operating profit margin increased by 51 bps to 7.3% in the three months ended July 31, 2018 from 6.8% in the three months ended July 31, 2017. The increase in operating profit margin was primarily attributable to certain higher margin acquired contracts. This increase was partially offset by higher amortization expense related to the GCA acquisition and an increase in wages and related personnel costs due to a tight labor market.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44" w:right="239" w:bottom="1440" w:gutter="0" w:footer="0" w:header="0"/>
        </w:sectPr>
      </w:pPr>
    </w:p>
    <w:bookmarkStart w:id="35" w:name="page36"/>
    <w:bookmarkEnd w:id="35"/>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Education</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6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 July 31,</w:t>
            </w: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210.9</w:t>
            </w:r>
          </w:p>
        </w:tc>
        <w:tc>
          <w:tcPr>
            <w:tcW w:w="120" w:type="dxa"/>
            <w:vAlign w:val="bottom"/>
            <w:shd w:val="clear" w:color="auto" w:fill="DCE2EF"/>
          </w:tcPr>
          <w:p>
            <w:pPr>
              <w:spacing w:after="0"/>
              <w:rPr>
                <w:sz w:val="22"/>
                <w:szCs w:val="22"/>
                <w:color w:val="auto"/>
              </w:rPr>
            </w:pP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94"/>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DCE2EF"/>
          </w:tcPr>
          <w:p>
            <w:pPr>
              <w:spacing w:after="0"/>
              <w:rPr>
                <w:sz w:val="22"/>
                <w:szCs w:val="22"/>
                <w:color w:val="auto"/>
              </w:rPr>
            </w:pPr>
          </w:p>
        </w:tc>
        <w:tc>
          <w:tcPr>
            <w:tcW w:w="54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CE2EF"/>
          </w:tcPr>
          <w:p>
            <w:pPr>
              <w:jc w:val="right"/>
              <w:ind w:right="394"/>
              <w:spacing w:after="0"/>
              <w:rPr>
                <w:sz w:val="20"/>
                <w:szCs w:val="20"/>
                <w:color w:val="auto"/>
              </w:rPr>
            </w:pPr>
            <w:r>
              <w:rPr>
                <w:rFonts w:ascii="Arial" w:cs="Arial" w:eastAsia="Arial" w:hAnsi="Arial"/>
                <w:sz w:val="18"/>
                <w:szCs w:val="18"/>
                <w:color w:val="auto"/>
              </w:rPr>
              <w:t>143.6</w:t>
            </w:r>
          </w:p>
        </w:tc>
        <w:tc>
          <w:tcPr>
            <w:tcW w:w="1560" w:type="dxa"/>
            <w:vAlign w:val="bottom"/>
            <w:shd w:val="clear" w:color="auto" w:fill="DCE2EF"/>
          </w:tcPr>
          <w:p>
            <w:pPr>
              <w:ind w:left="480"/>
              <w:spacing w:after="0"/>
              <w:rPr>
                <w:sz w:val="20"/>
                <w:szCs w:val="20"/>
                <w:color w:val="auto"/>
              </w:rPr>
            </w:pPr>
            <w:r>
              <w:rPr>
                <w:rFonts w:ascii="Arial" w:cs="Arial" w:eastAsia="Arial" w:hAnsi="Arial"/>
                <w:sz w:val="18"/>
                <w:szCs w:val="18"/>
                <w:color w:val="auto"/>
              </w:rPr>
              <w:t>NM*</w:t>
            </w:r>
          </w:p>
        </w:tc>
      </w:tr>
      <w:tr>
        <w:trPr>
          <w:trHeight w:val="270"/>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jc w:val="right"/>
              <w:ind w:right="394"/>
              <w:spacing w:after="0"/>
              <w:rPr>
                <w:sz w:val="20"/>
                <w:szCs w:val="20"/>
                <w:color w:val="auto"/>
              </w:rPr>
            </w:pPr>
            <w:r>
              <w:rPr>
                <w:rFonts w:ascii="Arial" w:cs="Arial" w:eastAsia="Arial" w:hAnsi="Arial"/>
                <w:sz w:val="18"/>
                <w:szCs w:val="18"/>
                <w:color w:val="auto"/>
              </w:rPr>
              <w:t>8.1</w:t>
            </w:r>
          </w:p>
        </w:tc>
        <w:tc>
          <w:tcPr>
            <w:tcW w:w="1560" w:type="dxa"/>
            <w:vAlign w:val="bottom"/>
          </w:tcPr>
          <w:p>
            <w:pPr>
              <w:ind w:left="480"/>
              <w:spacing w:after="0"/>
              <w:rPr>
                <w:sz w:val="20"/>
                <w:szCs w:val="20"/>
                <w:color w:val="auto"/>
              </w:rPr>
            </w:pPr>
            <w:r>
              <w:rPr>
                <w:rFonts w:ascii="Arial" w:cs="Arial" w:eastAsia="Arial" w:hAnsi="Arial"/>
                <w:sz w:val="18"/>
                <w:szCs w:val="18"/>
                <w:color w:val="auto"/>
              </w:rPr>
              <w:t>NM*</w:t>
            </w:r>
          </w:p>
        </w:tc>
      </w:tr>
      <w:tr>
        <w:trPr>
          <w:trHeight w:val="270"/>
        </w:trPr>
        <w:tc>
          <w:tcPr>
            <w:tcW w:w="20" w:type="dxa"/>
            <w:vAlign w:val="bottom"/>
            <w:shd w:val="clear" w:color="auto" w:fill="DCE2EF"/>
          </w:tcPr>
          <w:p>
            <w:pPr>
              <w:spacing w:after="0"/>
              <w:rPr>
                <w:sz w:val="23"/>
                <w:szCs w:val="23"/>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5.7%</w:t>
            </w:r>
          </w:p>
        </w:tc>
        <w:tc>
          <w:tcPr>
            <w:tcW w:w="120" w:type="dxa"/>
            <w:vAlign w:val="bottom"/>
            <w:shd w:val="clear" w:color="auto" w:fill="DCE2EF"/>
          </w:tcPr>
          <w:p>
            <w:pPr>
              <w:spacing w:after="0"/>
              <w:rPr>
                <w:sz w:val="23"/>
                <w:szCs w:val="23"/>
                <w:color w:val="auto"/>
              </w:rPr>
            </w:pPr>
          </w:p>
        </w:tc>
        <w:tc>
          <w:tcPr>
            <w:tcW w:w="420" w:type="dxa"/>
            <w:vAlign w:val="bottom"/>
            <w:shd w:val="clear" w:color="auto" w:fill="DCE2EF"/>
          </w:tcPr>
          <w:p>
            <w:pPr>
              <w:spacing w:after="0"/>
              <w:rPr>
                <w:sz w:val="23"/>
                <w:szCs w:val="23"/>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5.8%</w:t>
            </w:r>
          </w:p>
        </w:tc>
        <w:tc>
          <w:tcPr>
            <w:tcW w:w="100" w:type="dxa"/>
            <w:vAlign w:val="bottom"/>
            <w:shd w:val="clear" w:color="auto" w:fill="DCE2EF"/>
          </w:tcPr>
          <w:p>
            <w:pPr>
              <w:spacing w:after="0"/>
              <w:rPr>
                <w:sz w:val="23"/>
                <w:szCs w:val="23"/>
                <w:color w:val="auto"/>
              </w:rPr>
            </w:pPr>
          </w:p>
        </w:tc>
        <w:tc>
          <w:tcPr>
            <w:tcW w:w="540" w:type="dxa"/>
            <w:vAlign w:val="bottom"/>
            <w:shd w:val="clear" w:color="auto" w:fill="DCE2EF"/>
          </w:tcPr>
          <w:p>
            <w:pPr>
              <w:spacing w:after="0"/>
              <w:rPr>
                <w:sz w:val="23"/>
                <w:szCs w:val="23"/>
                <w:color w:val="auto"/>
              </w:rPr>
            </w:pPr>
          </w:p>
        </w:tc>
        <w:tc>
          <w:tcPr>
            <w:tcW w:w="1640" w:type="dxa"/>
            <w:vAlign w:val="bottom"/>
            <w:shd w:val="clear" w:color="auto" w:fill="DCE2EF"/>
          </w:tcPr>
          <w:p>
            <w:pPr>
              <w:jc w:val="right"/>
              <w:ind w:right="394"/>
              <w:spacing w:after="0"/>
              <w:rPr>
                <w:sz w:val="20"/>
                <w:szCs w:val="20"/>
                <w:color w:val="auto"/>
              </w:rPr>
            </w:pPr>
            <w:r>
              <w:rPr>
                <w:rFonts w:ascii="Arial" w:cs="Arial" w:eastAsia="Arial" w:hAnsi="Arial"/>
                <w:sz w:val="14"/>
                <w:szCs w:val="14"/>
                <w:i w:val="1"/>
                <w:iCs w:val="1"/>
                <w:color w:val="auto"/>
              </w:rPr>
              <w:t>(7) bps</w:t>
            </w:r>
          </w:p>
        </w:tc>
        <w:tc>
          <w:tcPr>
            <w:tcW w:w="1560" w:type="dxa"/>
            <w:vAlign w:val="bottom"/>
            <w:shd w:val="clear" w:color="auto" w:fill="DCE2EF"/>
          </w:tcPr>
          <w:p>
            <w:pPr>
              <w:spacing w:after="0"/>
              <w:rPr>
                <w:sz w:val="23"/>
                <w:szCs w:val="23"/>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39"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The three months ended July 31, 2018 includes $6.5 million of amortization expense related to the GCA acquisition.</w:t>
      </w:r>
    </w:p>
    <w:p>
      <w:pPr>
        <w:spacing w:after="0" w:line="15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Education revenues increased by $143.6 million during the three months ended July 31, 2018, as compared to the three months ended July 31, 2017. The increase was attributable to incremental revenues from the GCA acquisition of $143.5 million.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$8.1 million during the three months ended July 31, 2018, as compared to the three months ended July 31, 2017. Operating profit margin decreased by 7 bps to 5.7% in the three months ended July 31, 2018 from 5.8% in the three months ended July 31, 2017. The decrease in operating profit margin was primarily attributable to amortization expense related to the GCA acquisition and an increase in wages and related personnel costs due to a tight labor market. This decrease was partially offset by certain higher margin contracts.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Technical Solutions</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121.6</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106.7</w:t>
            </w:r>
          </w:p>
        </w:tc>
        <w:tc>
          <w:tcPr>
            <w:tcW w:w="100" w:type="dxa"/>
            <w:vAlign w:val="bottom"/>
            <w:shd w:val="clear" w:color="auto" w:fill="DCE2EF"/>
          </w:tcPr>
          <w:p>
            <w:pPr>
              <w:spacing w:after="0"/>
              <w:rPr>
                <w:sz w:val="22"/>
                <w:szCs w:val="22"/>
                <w:color w:val="auto"/>
              </w:rPr>
            </w:pPr>
          </w:p>
        </w:tc>
        <w:tc>
          <w:tcPr>
            <w:tcW w:w="720" w:type="dxa"/>
            <w:vAlign w:val="bottom"/>
            <w:shd w:val="clear" w:color="auto" w:fill="DCE2EF"/>
          </w:tcPr>
          <w:p>
            <w:pPr>
              <w:jc w:val="right"/>
              <w:ind w:right="4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8"/>
                <w:szCs w:val="18"/>
                <w:color w:val="auto"/>
              </w:rPr>
              <w:t>14.9</w:t>
            </w:r>
          </w:p>
        </w:tc>
        <w:tc>
          <w:tcPr>
            <w:tcW w:w="132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14.0%</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2.5</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26.1%</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9.8%</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8.8%</w:t>
            </w:r>
          </w:p>
        </w:tc>
        <w:tc>
          <w:tcPr>
            <w:tcW w:w="100" w:type="dxa"/>
            <w:vAlign w:val="bottom"/>
            <w:shd w:val="clear" w:color="auto" w:fill="DCE2EF"/>
          </w:tcPr>
          <w:p>
            <w:pPr>
              <w:spacing w:after="0"/>
              <w:rPr>
                <w:sz w:val="24"/>
                <w:szCs w:val="24"/>
                <w:color w:val="auto"/>
              </w:rPr>
            </w:pPr>
          </w:p>
        </w:tc>
        <w:tc>
          <w:tcPr>
            <w:tcW w:w="720" w:type="dxa"/>
            <w:vAlign w:val="bottom"/>
            <w:shd w:val="clear" w:color="auto" w:fill="DCE2EF"/>
          </w:tcPr>
          <w:p>
            <w:pPr>
              <w:spacing w:after="0"/>
              <w:rPr>
                <w:sz w:val="24"/>
                <w:szCs w:val="24"/>
                <w:color w:val="auto"/>
              </w:rPr>
            </w:pP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94 bps</w:t>
            </w:r>
          </w:p>
        </w:tc>
        <w:tc>
          <w:tcPr>
            <w:tcW w:w="132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Technical Solutions revenues increased by $14.9 million, or 14.0%, during the three months ended July 31, 2018, as compared to the three months ended July 31, 2017. This increase was primarily attributable to higher bundled energy solutions (“BES”) project revenues due to the timing of new bookings.</w:t>
      </w:r>
    </w:p>
    <w:p>
      <w:pPr>
        <w:spacing w:after="0" w:line="14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$2.5 million, or 26.1%, during the three months ended July 31, 2018, as compared to the three months ended July 31, 2017. Operating profit margin increased by 94 bps to 9.8% in the three months ended July 31, 2018 from 8.8% in the three months ended July 31, 2017. The increase in operating profit margin was primarily attributable to the contribution of higher margin BES project revenues. This increase was partially offset by certain lower margin energy savings performance contract projects in our U.S. business that started during the three months ended July 31, 2018 and the loss of certain higher margin contracts in our U.K. business.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Healthcare</w:t>
            </w: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560" w:type="dxa"/>
            <w:vAlign w:val="bottom"/>
            <w:gridSpan w:val="5"/>
          </w:tcPr>
          <w:p>
            <w:pPr>
              <w:ind w:left="300"/>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00" w:type="dxa"/>
            <w:vAlign w:val="bottom"/>
            <w:tcBorders>
              <w:top w:val="single" w:sz="8" w:color="auto"/>
            </w:tcBorders>
          </w:tcPr>
          <w:p>
            <w:pPr>
              <w:spacing w:after="0"/>
              <w:rPr>
                <w:sz w:val="19"/>
                <w:szCs w:val="19"/>
                <w:color w:val="auto"/>
              </w:rPr>
            </w:pPr>
          </w:p>
        </w:tc>
        <w:tc>
          <w:tcPr>
            <w:tcW w:w="148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DCE2EF"/>
          </w:tcPr>
          <w:p>
            <w:pPr>
              <w:jc w:val="right"/>
              <w:ind w:right="19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59.3</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8"/>
                <w:szCs w:val="18"/>
                <w:color w:val="auto"/>
              </w:rPr>
              <w:t>9.8</w:t>
            </w:r>
          </w:p>
        </w:tc>
        <w:tc>
          <w:tcPr>
            <w:tcW w:w="156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16.5%</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00" w:type="dxa"/>
            <w:vAlign w:val="bottom"/>
          </w:tcPr>
          <w:p>
            <w:pPr>
              <w:spacing w:after="0"/>
              <w:rPr>
                <w:sz w:val="22"/>
                <w:szCs w:val="22"/>
                <w:color w:val="auto"/>
              </w:rPr>
            </w:pPr>
          </w:p>
        </w:tc>
        <w:tc>
          <w:tcPr>
            <w:tcW w:w="1480" w:type="dxa"/>
            <w:vAlign w:val="bottom"/>
          </w:tcPr>
          <w:p>
            <w:pPr>
              <w:jc w:val="right"/>
              <w:ind w:right="74"/>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20" w:type="dxa"/>
            <w:vAlign w:val="bottom"/>
          </w:tcPr>
          <w:p>
            <w:pPr>
              <w:jc w:val="right"/>
              <w:ind w:right="314"/>
              <w:spacing w:after="0"/>
              <w:rPr>
                <w:sz w:val="20"/>
                <w:szCs w:val="20"/>
                <w:color w:val="auto"/>
              </w:rPr>
            </w:pPr>
            <w:r>
              <w:rPr>
                <w:rFonts w:ascii="Arial" w:cs="Arial" w:eastAsia="Arial" w:hAnsi="Arial"/>
                <w:sz w:val="18"/>
                <w:szCs w:val="18"/>
                <w:color w:val="auto"/>
              </w:rPr>
              <w:t>(0.3)</w:t>
            </w:r>
          </w:p>
        </w:tc>
        <w:tc>
          <w:tcPr>
            <w:tcW w:w="1560" w:type="dxa"/>
            <w:vAlign w:val="bottom"/>
          </w:tcPr>
          <w:p>
            <w:pPr>
              <w:jc w:val="right"/>
              <w:ind w:right="550"/>
              <w:spacing w:after="0"/>
              <w:rPr>
                <w:sz w:val="20"/>
                <w:szCs w:val="20"/>
                <w:color w:val="auto"/>
              </w:rPr>
            </w:pPr>
            <w:r>
              <w:rPr>
                <w:rFonts w:ascii="Arial" w:cs="Arial" w:eastAsia="Arial" w:hAnsi="Arial"/>
                <w:sz w:val="18"/>
                <w:szCs w:val="18"/>
                <w:color w:val="auto"/>
              </w:rPr>
              <w:t>(8.9)%</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00" w:type="dxa"/>
            <w:vAlign w:val="bottom"/>
            <w:shd w:val="clear" w:color="auto" w:fill="DCE2EF"/>
          </w:tcPr>
          <w:p>
            <w:pPr>
              <w:spacing w:after="0"/>
              <w:rPr>
                <w:sz w:val="24"/>
                <w:szCs w:val="24"/>
                <w:color w:val="auto"/>
              </w:rPr>
            </w:pPr>
          </w:p>
        </w:tc>
        <w:tc>
          <w:tcPr>
            <w:tcW w:w="14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3.7%</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4.7%</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(103) bps</w:t>
            </w:r>
          </w:p>
        </w:tc>
        <w:tc>
          <w:tcPr>
            <w:tcW w:w="156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Healthcare revenues increased by $9.8 million, or 16.5%, during the three months ended July 31, 2018, as compared to the three months ended July 31, 2017. This increase was primarily attributable to incremental revenues from the GCA acquisition of $7.1 million and net new business.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decreased by $0.3 million, or 8.9%, during the three months ended July 31, 2018, as compared to the three months ended July 31, 2017. Operating profit margin decreased by 103 bps to 3.7% in the three months ended July 31, 2018 from 4.7% in the three months ended July 31, 2017. This decrease was primarily attributable to lower margin new business, partially offset by the management of selling, general and administrative expenses.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9" w:right="2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239"/>
        </w:trPr>
        <w:tc>
          <w:tcPr>
            <w:tcW w:w="374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Corporate</w:t>
            </w:r>
          </w:p>
        </w:tc>
        <w:tc>
          <w:tcPr>
            <w:tcW w:w="1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July 31,</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0"/>
        </w:trPr>
        <w:tc>
          <w:tcPr>
            <w:tcW w:w="37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40" w:type="dxa"/>
            <w:vAlign w:val="bottom"/>
          </w:tcPr>
          <w:p>
            <w:pPr>
              <w:jc w:val="right"/>
              <w:ind w:right="30"/>
              <w:spacing w:after="0"/>
              <w:rPr>
                <w:sz w:val="20"/>
                <w:szCs w:val="20"/>
                <w:color w:val="auto"/>
              </w:rPr>
            </w:pPr>
            <w:r>
              <w:rPr>
                <w:rFonts w:ascii="Arial" w:cs="Arial" w:eastAsia="Arial" w:hAnsi="Arial"/>
                <w:sz w:val="18"/>
                <w:szCs w:val="18"/>
                <w:b w:val="1"/>
                <w:bCs w:val="1"/>
                <w:color w:val="auto"/>
              </w:rPr>
              <w:t>Decrease</w:t>
            </w:r>
          </w:p>
        </w:tc>
        <w:tc>
          <w:tcPr>
            <w:tcW w:w="134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80" w:type="dxa"/>
            <w:vAlign w:val="bottom"/>
            <w:tcBorders>
              <w:bottom w:val="single" w:sz="8" w:color="DCE2E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Corporate expenses</w:t>
            </w:r>
          </w:p>
        </w:tc>
        <w:tc>
          <w:tcPr>
            <w:tcW w:w="1260" w:type="dxa"/>
            <w:vAlign w:val="bottom"/>
            <w:shd w:val="clear" w:color="auto" w:fill="DCE2EF"/>
          </w:tcPr>
          <w:p>
            <w:pPr>
              <w:jc w:val="right"/>
              <w:ind w:right="1030"/>
              <w:spacing w:after="0"/>
              <w:rPr>
                <w:sz w:val="20"/>
                <w:szCs w:val="20"/>
                <w:color w:val="auto"/>
              </w:rPr>
            </w:pPr>
            <w:r>
              <w:rPr>
                <w:rFonts w:ascii="Arial" w:cs="Arial" w:eastAsia="Arial" w:hAnsi="Arial"/>
                <w:sz w:val="18"/>
                <w:szCs w:val="18"/>
                <w:color w:val="auto"/>
              </w:rPr>
              <w:t>$</w:t>
            </w:r>
          </w:p>
        </w:tc>
        <w:tc>
          <w:tcPr>
            <w:tcW w:w="580" w:type="dxa"/>
            <w:vAlign w:val="bottom"/>
            <w:shd w:val="clear" w:color="auto" w:fill="DCE2EF"/>
          </w:tcPr>
          <w:p>
            <w:pPr>
              <w:jc w:val="right"/>
              <w:ind w:right="10"/>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DCE2EF"/>
          </w:tcPr>
          <w:p>
            <w:pPr>
              <w:spacing w:after="0"/>
              <w:rPr>
                <w:sz w:val="22"/>
                <w:szCs w:val="22"/>
                <w:color w:val="auto"/>
              </w:rPr>
            </w:pPr>
          </w:p>
        </w:tc>
        <w:tc>
          <w:tcPr>
            <w:tcW w:w="1280" w:type="dxa"/>
            <w:vAlign w:val="bottom"/>
            <w:shd w:val="clear" w:color="auto" w:fill="DCE2EF"/>
          </w:tcPr>
          <w:p>
            <w:pPr>
              <w:jc w:val="right"/>
              <w:ind w:right="107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DCE2EF"/>
          </w:tcPr>
          <w:p>
            <w:pPr>
              <w:spacing w:after="0"/>
              <w:rPr>
                <w:sz w:val="22"/>
                <w:szCs w:val="22"/>
                <w:color w:val="auto"/>
              </w:rPr>
            </w:pPr>
          </w:p>
        </w:tc>
        <w:tc>
          <w:tcPr>
            <w:tcW w:w="78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(4.8)</w:t>
            </w:r>
          </w:p>
        </w:tc>
        <w:tc>
          <w:tcPr>
            <w:tcW w:w="1340" w:type="dxa"/>
            <w:vAlign w:val="bottom"/>
            <w:shd w:val="clear" w:color="auto" w:fill="DCE2EF"/>
          </w:tcPr>
          <w:p>
            <w:pPr>
              <w:jc w:val="right"/>
              <w:ind w:right="490"/>
              <w:spacing w:after="0"/>
              <w:rPr>
                <w:sz w:val="20"/>
                <w:szCs w:val="20"/>
                <w:color w:val="auto"/>
              </w:rPr>
            </w:pPr>
            <w:r>
              <w:rPr>
                <w:rFonts w:ascii="Arial" w:cs="Arial" w:eastAsia="Arial" w:hAnsi="Arial"/>
                <w:sz w:val="18"/>
                <w:szCs w:val="18"/>
                <w:color w:val="auto"/>
              </w:rPr>
              <w:t>(10.1)%</w:t>
            </w: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Corporate expenses decreased by $4.8 million, or 10.1%, during the three months ended July 31, 2018, as compared to the three months ended July 31, 2017. The decrease in corporate expenses was primarily related to:</w:t>
      </w:r>
    </w:p>
    <w:p>
      <w:pPr>
        <w:spacing w:after="0" w:line="142" w:lineRule="exact"/>
        <w:rPr>
          <w:sz w:val="20"/>
          <w:szCs w:val="20"/>
          <w:color w:val="auto"/>
        </w:rPr>
      </w:pPr>
    </w:p>
    <w:p>
      <w:pPr>
        <w:ind w:left="660" w:hanging="328"/>
        <w:spacing w:after="0" w:line="26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$6.3 million lower adjustment to self-insurance reserves related to prior year claims as a result of an actuarial evaluation completed in the three months ended July 31, 2018;</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$2.7 million reimbursement of previously expensed legal settlement costs;</w:t>
      </w:r>
    </w:p>
    <w:p>
      <w:pPr>
        <w:spacing w:after="0" w:line="149"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a $2.3 million decrease in restructuring and related expenses due to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restructuring, partially offset by GCA restructuring; and</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absence of $2.2 million of transaction expenses related to the GCA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decrease was partially offset by:</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$3.6 million increase in legal settlement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$1.8 million increase in expenses related to certain incentive plans due to the timing of awards; and</w:t>
      </w:r>
    </w:p>
    <w:p>
      <w:pPr>
        <w:spacing w:after="0" w:line="149" w:lineRule="exact"/>
        <w:rPr>
          <w:rFonts w:ascii="Arial" w:cs="Arial" w:eastAsia="Arial" w:hAnsi="Arial"/>
          <w:sz w:val="18"/>
          <w:szCs w:val="18"/>
          <w:color w:val="auto"/>
        </w:rPr>
      </w:pPr>
    </w:p>
    <w:p>
      <w:pPr>
        <w:ind w:left="660" w:right="20" w:hanging="328"/>
        <w:spacing w:after="0" w:line="28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$1.1 million of higher compensation and related expenses primarily related to hiring additional personnel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as well as incremental expenses related to the GCA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697" w:right="239" w:bottom="1440" w:gutter="0" w:footer="0" w:header="0"/>
        </w:sectPr>
      </w:pPr>
    </w:p>
    <w:bookmarkStart w:id="37" w:name="page38"/>
    <w:bookmarkEnd w:id="37"/>
    <w:p>
      <w:pPr>
        <w:ind w:left="40"/>
        <w:spacing w:after="0"/>
        <w:rPr>
          <w:sz w:val="20"/>
          <w:szCs w:val="20"/>
          <w:color w:val="auto"/>
        </w:rPr>
      </w:pPr>
      <w:r>
        <w:rPr>
          <w:rFonts w:ascii="Arial" w:cs="Arial" w:eastAsia="Arial" w:hAnsi="Arial"/>
          <w:sz w:val="18"/>
          <w:szCs w:val="18"/>
          <w:b w:val="1"/>
          <w:bCs w:val="1"/>
          <w:color w:val="0046AD"/>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Nine Months Ended July 31, 2018 Compared with the Nine Months Ended July 31,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Consolidated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40" w:type="dxa"/>
            <w:vAlign w:val="bottom"/>
            <w:gridSpan w:val="5"/>
          </w:tcPr>
          <w:p>
            <w:pPr>
              <w:ind w:left="240"/>
              <w:spacing w:after="0"/>
              <w:rPr>
                <w:sz w:val="20"/>
                <w:szCs w:val="20"/>
                <w:color w:val="auto"/>
              </w:rPr>
            </w:pPr>
            <w:r>
              <w:rPr>
                <w:rFonts w:ascii="Arial" w:cs="Arial" w:eastAsia="Arial" w:hAnsi="Arial"/>
                <w:sz w:val="16"/>
                <w:szCs w:val="16"/>
                <w:b w:val="1"/>
                <w:bCs w:val="1"/>
                <w:color w:val="auto"/>
              </w:rPr>
              <w:t>Nine Months Ended July 31,</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64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3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20" w:type="dxa"/>
            <w:vAlign w:val="bottom"/>
            <w:gridSpan w:val="2"/>
          </w:tcPr>
          <w:p>
            <w:pPr>
              <w:ind w:left="140"/>
              <w:spacing w:after="0"/>
              <w:rPr>
                <w:sz w:val="20"/>
                <w:szCs w:val="20"/>
                <w:color w:val="auto"/>
              </w:rPr>
            </w:pPr>
            <w:r>
              <w:rPr>
                <w:rFonts w:ascii="Arial" w:cs="Arial" w:eastAsia="Arial" w:hAnsi="Arial"/>
                <w:sz w:val="16"/>
                <w:szCs w:val="16"/>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478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64"/>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4,793.5</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3,955.6</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837.9</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21.2%</w:t>
            </w:r>
          </w:p>
        </w:tc>
      </w:tr>
      <w:tr>
        <w:trPr>
          <w:trHeight w:val="260"/>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4,281.8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3,544.1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737.7</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20.8%</w:t>
            </w:r>
          </w:p>
        </w:tc>
      </w:tr>
      <w:tr>
        <w:trPr>
          <w:trHeight w:val="280"/>
        </w:trPr>
        <w:tc>
          <w:tcPr>
            <w:tcW w:w="40" w:type="dxa"/>
            <w:vAlign w:val="bottom"/>
            <w:shd w:val="clear" w:color="auto" w:fill="DCE2EF"/>
          </w:tcPr>
          <w:p>
            <w:pPr>
              <w:spacing w:after="0"/>
              <w:rPr>
                <w:sz w:val="24"/>
                <w:szCs w:val="24"/>
                <w:color w:val="auto"/>
              </w:rPr>
            </w:pPr>
          </w:p>
        </w:tc>
        <w:tc>
          <w:tcPr>
            <w:tcW w:w="560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Gross margin</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10.7%</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10.4%</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27 bps</w:t>
            </w:r>
          </w:p>
        </w:tc>
        <w:tc>
          <w:tcPr>
            <w:tcW w:w="1240" w:type="dxa"/>
            <w:vAlign w:val="bottom"/>
            <w:shd w:val="clear" w:color="auto" w:fill="DCE2EF"/>
          </w:tcPr>
          <w:p>
            <w:pPr>
              <w:spacing w:after="0"/>
              <w:rPr>
                <w:sz w:val="24"/>
                <w:szCs w:val="24"/>
                <w:color w:val="auto"/>
              </w:rPr>
            </w:pPr>
          </w:p>
        </w:tc>
      </w:tr>
      <w:tr>
        <w:trPr>
          <w:trHeight w:val="260"/>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326.8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299.2</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27.6</w:t>
            </w:r>
          </w:p>
        </w:tc>
        <w:tc>
          <w:tcPr>
            <w:tcW w:w="1240" w:type="dxa"/>
            <w:vAlign w:val="bottom"/>
          </w:tcPr>
          <w:p>
            <w:pPr>
              <w:jc w:val="center"/>
              <w:ind w:left="39"/>
              <w:spacing w:after="0"/>
              <w:rPr>
                <w:sz w:val="20"/>
                <w:szCs w:val="20"/>
                <w:color w:val="auto"/>
              </w:rPr>
            </w:pPr>
            <w:r>
              <w:rPr>
                <w:rFonts w:ascii="Arial" w:cs="Arial" w:eastAsia="Arial" w:hAnsi="Arial"/>
                <w:sz w:val="16"/>
                <w:szCs w:val="16"/>
                <w:color w:val="auto"/>
                <w:w w:val="98"/>
              </w:rPr>
              <w:t>9.2%</w:t>
            </w:r>
          </w:p>
        </w:tc>
      </w:tr>
      <w:tr>
        <w:trPr>
          <w:trHeight w:val="280"/>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Restructuring and related expenses</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22.5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16.0</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6.5</w:t>
            </w:r>
          </w:p>
        </w:tc>
        <w:tc>
          <w:tcPr>
            <w:tcW w:w="1240" w:type="dxa"/>
            <w:vAlign w:val="bottom"/>
            <w:shd w:val="clear" w:color="auto" w:fill="DCE2EF"/>
          </w:tcPr>
          <w:p>
            <w:pPr>
              <w:jc w:val="center"/>
              <w:ind w:left="19"/>
              <w:spacing w:after="0"/>
              <w:rPr>
                <w:sz w:val="20"/>
                <w:szCs w:val="20"/>
                <w:color w:val="auto"/>
              </w:rPr>
            </w:pPr>
            <w:r>
              <w:rPr>
                <w:rFonts w:ascii="Arial" w:cs="Arial" w:eastAsia="Arial" w:hAnsi="Arial"/>
                <w:sz w:val="16"/>
                <w:szCs w:val="16"/>
                <w:color w:val="auto"/>
              </w:rPr>
              <w:t>41.1%</w:t>
            </w:r>
          </w:p>
        </w:tc>
      </w:tr>
      <w:tr>
        <w:trPr>
          <w:trHeight w:val="260"/>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Pr>
          <w:p>
            <w:pPr>
              <w:spacing w:after="0"/>
              <w:rPr>
                <w:sz w:val="22"/>
                <w:szCs w:val="22"/>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49.5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17.4</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1240" w:type="dxa"/>
            <w:vAlign w:val="bottom"/>
          </w:tcPr>
          <w:p>
            <w:pPr>
              <w:ind w:left="520"/>
              <w:spacing w:after="0"/>
              <w:rPr>
                <w:sz w:val="20"/>
                <w:szCs w:val="20"/>
                <w:color w:val="auto"/>
              </w:rPr>
            </w:pPr>
            <w:r>
              <w:rPr>
                <w:rFonts w:ascii="Arial" w:cs="Arial" w:eastAsia="Arial" w:hAnsi="Arial"/>
                <w:sz w:val="16"/>
                <w:szCs w:val="16"/>
                <w:color w:val="auto"/>
              </w:rPr>
              <w:t>NM*</w:t>
            </w:r>
          </w:p>
        </w:tc>
      </w:tr>
      <w:tr>
        <w:trPr>
          <w:trHeight w:val="280"/>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Impairment recovery and gain on sale</w:t>
            </w:r>
          </w:p>
        </w:tc>
        <w:tc>
          <w:tcPr>
            <w:tcW w:w="340" w:type="dxa"/>
            <w:vAlign w:val="bottom"/>
            <w:shd w:val="clear" w:color="auto" w:fill="DCE2EF"/>
          </w:tcPr>
          <w:p>
            <w:pPr>
              <w:spacing w:after="0"/>
              <w:rPr>
                <w:sz w:val="24"/>
                <w:szCs w:val="24"/>
                <w:color w:val="auto"/>
              </w:rPr>
            </w:pPr>
          </w:p>
        </w:tc>
        <w:tc>
          <w:tcPr>
            <w:tcW w:w="1420" w:type="dxa"/>
            <w:vAlign w:val="bottom"/>
            <w:gridSpan w:val="2"/>
            <w:shd w:val="clear" w:color="auto" w:fill="DCE2EF"/>
          </w:tcPr>
          <w:p>
            <w:pPr>
              <w:jc w:val="right"/>
              <w:ind w:right="280"/>
              <w:spacing w:after="0"/>
              <w:rPr>
                <w:sz w:val="20"/>
                <w:szCs w:val="20"/>
                <w:color w:val="auto"/>
              </w:rPr>
            </w:pPr>
            <w:r>
              <w:rPr>
                <w:rFonts w:ascii="Arial" w:cs="Arial" w:eastAsia="Arial" w:hAnsi="Arial"/>
                <w:sz w:val="16"/>
                <w:szCs w:val="16"/>
                <w:color w:val="auto"/>
              </w:rPr>
              <w:t>—</w:t>
            </w:r>
          </w:p>
        </w:tc>
        <w:tc>
          <w:tcPr>
            <w:tcW w:w="34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(18.5)</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18.5</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40"/>
        </w:trPr>
        <w:tc>
          <w:tcPr>
            <w:tcW w:w="5640" w:type="dxa"/>
            <w:vAlign w:val="bottom"/>
            <w:gridSpan w:val="3"/>
          </w:tcPr>
          <w:p>
            <w:pPr>
              <w:ind w:left="40"/>
              <w:spacing w:after="0"/>
              <w:rPr>
                <w:sz w:val="20"/>
                <w:szCs w:val="20"/>
                <w:color w:val="auto"/>
              </w:rPr>
            </w:pPr>
            <w:r>
              <w:rPr>
                <w:rFonts w:ascii="Arial" w:cs="Arial" w:eastAsia="Arial" w:hAnsi="Arial"/>
                <w:sz w:val="16"/>
                <w:szCs w:val="16"/>
                <w:b w:val="1"/>
                <w:bCs w:val="1"/>
                <w:color w:val="auto"/>
              </w:rPr>
              <w:t>Operating profit</w:t>
            </w:r>
          </w:p>
        </w:tc>
        <w:tc>
          <w:tcPr>
            <w:tcW w:w="3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112.9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15.5</w:t>
            </w:r>
          </w:p>
        </w:tc>
        <w:tc>
          <w:tcPr>
            <w:tcW w:w="1240" w:type="dxa"/>
            <w:vAlign w:val="bottom"/>
          </w:tcPr>
          <w:p>
            <w:pPr>
              <w:jc w:val="center"/>
              <w:ind w:left="19"/>
              <w:spacing w:after="0"/>
              <w:rPr>
                <w:sz w:val="20"/>
                <w:szCs w:val="20"/>
                <w:color w:val="auto"/>
              </w:rPr>
            </w:pPr>
            <w:r>
              <w:rPr>
                <w:rFonts w:ascii="Arial" w:cs="Arial" w:eastAsia="Arial" w:hAnsi="Arial"/>
                <w:sz w:val="16"/>
                <w:szCs w:val="16"/>
                <w:color w:val="auto"/>
              </w:rPr>
              <w:t>15.9%</w:t>
            </w:r>
          </w:p>
        </w:tc>
      </w:tr>
      <w:tr>
        <w:trPr>
          <w:trHeight w:val="280"/>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unconsolidated affiliates, net</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2.5</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3.6</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(1.1)</w:t>
            </w:r>
          </w:p>
        </w:tc>
        <w:tc>
          <w:tcPr>
            <w:tcW w:w="12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(29.3)%</w:t>
            </w:r>
          </w:p>
        </w:tc>
      </w:tr>
      <w:tr>
        <w:trPr>
          <w:trHeight w:val="264"/>
        </w:trPr>
        <w:tc>
          <w:tcPr>
            <w:tcW w:w="564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(41.0)</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w:t>
            </w:r>
          </w:p>
        </w:tc>
        <w:tc>
          <w:tcPr>
            <w:tcW w:w="1240" w:type="dxa"/>
            <w:vAlign w:val="bottom"/>
            <w:tcBorders>
              <w:bottom w:val="single" w:sz="8" w:color="DCE2EF"/>
            </w:tcBorders>
          </w:tcPr>
          <w:p>
            <w:pPr>
              <w:ind w:left="520"/>
              <w:spacing w:after="0"/>
              <w:rPr>
                <w:sz w:val="20"/>
                <w:szCs w:val="20"/>
                <w:color w:val="auto"/>
              </w:rPr>
            </w:pPr>
            <w:r>
              <w:rPr>
                <w:rFonts w:ascii="Arial" w:cs="Arial" w:eastAsia="Arial" w:hAnsi="Arial"/>
                <w:sz w:val="16"/>
                <w:szCs w:val="16"/>
                <w:color w:val="auto"/>
              </w:rPr>
              <w:t>NM*</w:t>
            </w:r>
          </w:p>
        </w:tc>
      </w:tr>
      <w:tr>
        <w:trPr>
          <w:trHeight w:val="257"/>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 before income taxes</w:t>
            </w:r>
          </w:p>
        </w:tc>
        <w:tc>
          <w:tcPr>
            <w:tcW w:w="340" w:type="dxa"/>
            <w:vAlign w:val="bottom"/>
            <w:shd w:val="clear" w:color="auto" w:fill="DCE2EF"/>
          </w:tcPr>
          <w:p>
            <w:pPr>
              <w:spacing w:after="0"/>
              <w:rPr>
                <w:sz w:val="22"/>
                <w:szCs w:val="22"/>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74.4</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(17.5)</w:t>
            </w:r>
          </w:p>
        </w:tc>
        <w:tc>
          <w:tcPr>
            <w:tcW w:w="12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9"/>
              </w:rPr>
              <w:t>(19.1)%</w:t>
            </w:r>
          </w:p>
        </w:tc>
      </w:tr>
      <w:tr>
        <w:trPr>
          <w:trHeight w:val="264"/>
        </w:trPr>
        <w:tc>
          <w:tcPr>
            <w:tcW w:w="564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Income tax benefit (provision)</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w:t>
            </w:r>
          </w:p>
        </w:tc>
        <w:tc>
          <w:tcPr>
            <w:tcW w:w="1240" w:type="dxa"/>
            <w:vAlign w:val="bottom"/>
            <w:tcBorders>
              <w:bottom w:val="single" w:sz="8" w:color="DCE2EF"/>
            </w:tcBorders>
          </w:tcPr>
          <w:p>
            <w:pPr>
              <w:ind w:left="520"/>
              <w:spacing w:after="0"/>
              <w:rPr>
                <w:sz w:val="20"/>
                <w:szCs w:val="20"/>
                <w:color w:val="auto"/>
              </w:rPr>
            </w:pPr>
            <w:r>
              <w:rPr>
                <w:rFonts w:ascii="Arial" w:cs="Arial" w:eastAsia="Arial" w:hAnsi="Arial"/>
                <w:sz w:val="16"/>
                <w:szCs w:val="16"/>
                <w:color w:val="auto"/>
              </w:rPr>
              <w:t>NM*</w:t>
            </w:r>
          </w:p>
        </w:tc>
      </w:tr>
      <w:tr>
        <w:trPr>
          <w:trHeight w:val="257"/>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Income from continuing operations</w:t>
            </w:r>
          </w:p>
        </w:tc>
        <w:tc>
          <w:tcPr>
            <w:tcW w:w="340" w:type="dxa"/>
            <w:vAlign w:val="bottom"/>
            <w:shd w:val="clear" w:color="auto" w:fill="DCE2EF"/>
          </w:tcPr>
          <w:p>
            <w:pPr>
              <w:spacing w:after="0"/>
              <w:rPr>
                <w:sz w:val="22"/>
                <w:szCs w:val="22"/>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87.1</w:t>
            </w:r>
          </w:p>
        </w:tc>
        <w:tc>
          <w:tcPr>
            <w:tcW w:w="120" w:type="dxa"/>
            <w:vAlign w:val="bottom"/>
            <w:shd w:val="clear" w:color="auto" w:fill="DCE2EF"/>
          </w:tcPr>
          <w:p>
            <w:pPr>
              <w:spacing w:after="0"/>
              <w:rPr>
                <w:sz w:val="22"/>
                <w:szCs w:val="22"/>
                <w:color w:val="auto"/>
              </w:rPr>
            </w:pPr>
          </w:p>
        </w:tc>
        <w:tc>
          <w:tcPr>
            <w:tcW w:w="340" w:type="dxa"/>
            <w:vAlign w:val="bottom"/>
            <w:shd w:val="clear" w:color="auto" w:fill="DCE2EF"/>
          </w:tcPr>
          <w:p>
            <w:pPr>
              <w:spacing w:after="0"/>
              <w:rPr>
                <w:sz w:val="22"/>
                <w:szCs w:val="22"/>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DCE2EF"/>
          </w:tcPr>
          <w:p>
            <w:pPr>
              <w:spacing w:after="0"/>
              <w:rPr>
                <w:sz w:val="22"/>
                <w:szCs w:val="22"/>
                <w:color w:val="auto"/>
              </w:rPr>
            </w:pPr>
          </w:p>
        </w:tc>
        <w:tc>
          <w:tcPr>
            <w:tcW w:w="260" w:type="dxa"/>
            <w:vAlign w:val="bottom"/>
            <w:shd w:val="clear" w:color="auto" w:fill="DCE2EF"/>
          </w:tcPr>
          <w:p>
            <w:pPr>
              <w:spacing w:after="0"/>
              <w:rPr>
                <w:sz w:val="22"/>
                <w:szCs w:val="22"/>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6.5</w:t>
            </w:r>
          </w:p>
        </w:tc>
        <w:tc>
          <w:tcPr>
            <w:tcW w:w="1240" w:type="dxa"/>
            <w:vAlign w:val="bottom"/>
            <w:shd w:val="clear" w:color="auto" w:fill="DCE2EF"/>
          </w:tcPr>
          <w:p>
            <w:pPr>
              <w:jc w:val="center"/>
              <w:ind w:left="39"/>
              <w:spacing w:after="0"/>
              <w:rPr>
                <w:sz w:val="20"/>
                <w:szCs w:val="20"/>
                <w:color w:val="auto"/>
              </w:rPr>
            </w:pPr>
            <w:r>
              <w:rPr>
                <w:rFonts w:ascii="Arial" w:cs="Arial" w:eastAsia="Arial" w:hAnsi="Arial"/>
                <w:sz w:val="16"/>
                <w:szCs w:val="16"/>
                <w:color w:val="auto"/>
                <w:w w:val="98"/>
              </w:rPr>
              <w:t>8.0%</w:t>
            </w:r>
          </w:p>
        </w:tc>
      </w:tr>
      <w:tr>
        <w:trPr>
          <w:trHeight w:val="264"/>
        </w:trPr>
        <w:tc>
          <w:tcPr>
            <w:tcW w:w="564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Income (loss) from discontinued operations, net of taxes</w:t>
            </w:r>
          </w:p>
        </w:tc>
        <w:tc>
          <w:tcPr>
            <w:tcW w:w="3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DCE2E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(73.2)</w:t>
            </w:r>
          </w:p>
        </w:tc>
        <w:tc>
          <w:tcPr>
            <w:tcW w:w="100" w:type="dxa"/>
            <w:vAlign w:val="bottom"/>
            <w:tcBorders>
              <w:bottom w:val="single" w:sz="8" w:color="DCE2E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74.2</w:t>
            </w:r>
          </w:p>
        </w:tc>
        <w:tc>
          <w:tcPr>
            <w:tcW w:w="1240" w:type="dxa"/>
            <w:vAlign w:val="bottom"/>
            <w:tcBorders>
              <w:bottom w:val="single" w:sz="8" w:color="DCE2EF"/>
            </w:tcBorders>
          </w:tcPr>
          <w:p>
            <w:pPr>
              <w:ind w:left="520"/>
              <w:spacing w:after="0"/>
              <w:rPr>
                <w:sz w:val="20"/>
                <w:szCs w:val="20"/>
                <w:color w:val="auto"/>
              </w:rPr>
            </w:pPr>
            <w:r>
              <w:rPr>
                <w:rFonts w:ascii="Arial" w:cs="Arial" w:eastAsia="Arial" w:hAnsi="Arial"/>
                <w:sz w:val="16"/>
                <w:szCs w:val="16"/>
                <w:color w:val="auto"/>
              </w:rPr>
              <w:t>NM*</w:t>
            </w:r>
          </w:p>
        </w:tc>
      </w:tr>
      <w:tr>
        <w:trPr>
          <w:trHeight w:val="257"/>
        </w:trPr>
        <w:tc>
          <w:tcPr>
            <w:tcW w:w="564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Net income</w:t>
            </w:r>
          </w:p>
        </w:tc>
        <w:tc>
          <w:tcPr>
            <w:tcW w:w="340" w:type="dxa"/>
            <w:vAlign w:val="bottom"/>
            <w:tcBorders>
              <w:bottom w:val="single" w:sz="8" w:color="auto"/>
            </w:tcBorders>
            <w:shd w:val="clear" w:color="auto" w:fill="DCE2EF"/>
          </w:tcPr>
          <w:p>
            <w:pPr>
              <w:spacing w:after="0"/>
              <w:rPr>
                <w:sz w:val="22"/>
                <w:szCs w:val="22"/>
                <w:color w:val="auto"/>
              </w:rPr>
            </w:pPr>
          </w:p>
        </w:tc>
        <w:tc>
          <w:tcPr>
            <w:tcW w:w="130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88.1</w:t>
            </w:r>
          </w:p>
        </w:tc>
        <w:tc>
          <w:tcPr>
            <w:tcW w:w="120" w:type="dxa"/>
            <w:vAlign w:val="bottom"/>
            <w:shd w:val="clear" w:color="auto" w:fill="DCE2EF"/>
          </w:tcPr>
          <w:p>
            <w:pPr>
              <w:spacing w:after="0"/>
              <w:rPr>
                <w:sz w:val="22"/>
                <w:szCs w:val="22"/>
                <w:color w:val="auto"/>
              </w:rPr>
            </w:pPr>
          </w:p>
        </w:tc>
        <w:tc>
          <w:tcPr>
            <w:tcW w:w="340" w:type="dxa"/>
            <w:vAlign w:val="bottom"/>
            <w:tcBorders>
              <w:bottom w:val="single" w:sz="8" w:color="auto"/>
            </w:tcBorders>
            <w:shd w:val="clear" w:color="auto" w:fill="DCE2EF"/>
          </w:tcPr>
          <w:p>
            <w:pPr>
              <w:spacing w:after="0"/>
              <w:rPr>
                <w:sz w:val="22"/>
                <w:szCs w:val="22"/>
                <w:color w:val="auto"/>
              </w:rPr>
            </w:pPr>
          </w:p>
        </w:tc>
        <w:tc>
          <w:tcPr>
            <w:tcW w:w="1180" w:type="dxa"/>
            <w:vAlign w:val="bottom"/>
            <w:tcBorders>
              <w:bottom w:val="single" w:sz="8" w:color="auto"/>
            </w:tcBorders>
            <w:shd w:val="clear" w:color="auto" w:fill="DCE2EF"/>
          </w:tcPr>
          <w:p>
            <w:pPr>
              <w:jc w:val="right"/>
              <w:ind w:right="79"/>
              <w:spacing w:after="0"/>
              <w:rPr>
                <w:sz w:val="20"/>
                <w:szCs w:val="20"/>
                <w:color w:val="auto"/>
              </w:rPr>
            </w:pPr>
            <w:r>
              <w:rPr>
                <w:rFonts w:ascii="Arial" w:cs="Arial" w:eastAsia="Arial" w:hAnsi="Arial"/>
                <w:sz w:val="16"/>
                <w:szCs w:val="16"/>
                <w:color w:val="auto"/>
              </w:rPr>
              <w:t>7.4</w:t>
            </w:r>
          </w:p>
        </w:tc>
        <w:tc>
          <w:tcPr>
            <w:tcW w:w="100" w:type="dxa"/>
            <w:vAlign w:val="bottom"/>
            <w:shd w:val="clear" w:color="auto" w:fill="DCE2EF"/>
          </w:tcPr>
          <w:p>
            <w:pPr>
              <w:spacing w:after="0"/>
              <w:rPr>
                <w:sz w:val="22"/>
                <w:szCs w:val="22"/>
                <w:color w:val="auto"/>
              </w:rPr>
            </w:pPr>
          </w:p>
        </w:tc>
        <w:tc>
          <w:tcPr>
            <w:tcW w:w="260" w:type="dxa"/>
            <w:vAlign w:val="bottom"/>
            <w:tcBorders>
              <w:bottom w:val="single" w:sz="8" w:color="auto"/>
            </w:tcBorders>
            <w:shd w:val="clear" w:color="auto" w:fill="DCE2EF"/>
          </w:tcPr>
          <w:p>
            <w:pPr>
              <w:spacing w:after="0"/>
              <w:rPr>
                <w:sz w:val="22"/>
                <w:szCs w:val="22"/>
                <w:color w:val="auto"/>
              </w:rPr>
            </w:pPr>
          </w:p>
        </w:tc>
        <w:tc>
          <w:tcPr>
            <w:tcW w:w="8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80.7</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54"/>
        </w:trPr>
        <w:tc>
          <w:tcPr>
            <w:tcW w:w="5640" w:type="dxa"/>
            <w:vAlign w:val="bottom"/>
            <w:gridSpan w:val="3"/>
          </w:tcPr>
          <w:p>
            <w:pPr>
              <w:ind w:left="40"/>
              <w:spacing w:after="0"/>
              <w:rPr>
                <w:sz w:val="20"/>
                <w:szCs w:val="20"/>
                <w:color w:val="auto"/>
              </w:rPr>
            </w:pPr>
            <w:r>
              <w:rPr>
                <w:rFonts w:ascii="Arial" w:cs="Arial" w:eastAsia="Arial" w:hAnsi="Arial"/>
                <w:sz w:val="16"/>
                <w:szCs w:val="16"/>
                <w:color w:val="auto"/>
              </w:rPr>
              <w:t>Other comprehensive income (loss)</w:t>
            </w:r>
          </w:p>
        </w:tc>
        <w:tc>
          <w:tcPr>
            <w:tcW w:w="3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80"/>
        </w:trPr>
        <w:tc>
          <w:tcPr>
            <w:tcW w:w="40" w:type="dxa"/>
            <w:vAlign w:val="bottom"/>
            <w:shd w:val="clear" w:color="auto" w:fill="DCE2EF"/>
          </w:tcPr>
          <w:p>
            <w:pPr>
              <w:spacing w:after="0"/>
              <w:rPr>
                <w:sz w:val="24"/>
                <w:szCs w:val="24"/>
                <w:color w:val="auto"/>
              </w:rPr>
            </w:pPr>
          </w:p>
        </w:tc>
        <w:tc>
          <w:tcPr>
            <w:tcW w:w="5600" w:type="dxa"/>
            <w:vAlign w:val="bottom"/>
            <w:gridSpan w:val="2"/>
            <w:shd w:val="clear" w:color="auto" w:fill="DCE2EF"/>
          </w:tcPr>
          <w:p>
            <w:pPr>
              <w:ind w:left="320"/>
              <w:spacing w:after="0"/>
              <w:rPr>
                <w:sz w:val="20"/>
                <w:szCs w:val="20"/>
                <w:color w:val="auto"/>
              </w:rPr>
            </w:pPr>
            <w:r>
              <w:rPr>
                <w:rFonts w:ascii="Arial" w:cs="Arial" w:eastAsia="Arial" w:hAnsi="Arial"/>
                <w:sz w:val="16"/>
                <w:szCs w:val="16"/>
                <w:color w:val="auto"/>
              </w:rPr>
              <w:t>Interest rate swaps</w:t>
            </w:r>
          </w:p>
        </w:tc>
        <w:tc>
          <w:tcPr>
            <w:tcW w:w="340" w:type="dxa"/>
            <w:vAlign w:val="bottom"/>
            <w:shd w:val="clear" w:color="auto" w:fill="DCE2EF"/>
          </w:tcPr>
          <w:p>
            <w:pPr>
              <w:spacing w:after="0"/>
              <w:rPr>
                <w:sz w:val="24"/>
                <w:szCs w:val="24"/>
                <w:color w:val="auto"/>
              </w:rPr>
            </w:pPr>
          </w:p>
        </w:tc>
        <w:tc>
          <w:tcPr>
            <w:tcW w:w="130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DCE2EF"/>
          </w:tcPr>
          <w:p>
            <w:pPr>
              <w:spacing w:after="0"/>
              <w:rPr>
                <w:sz w:val="24"/>
                <w:szCs w:val="24"/>
                <w:color w:val="auto"/>
              </w:rPr>
            </w:pPr>
          </w:p>
        </w:tc>
        <w:tc>
          <w:tcPr>
            <w:tcW w:w="340" w:type="dxa"/>
            <w:vAlign w:val="bottom"/>
            <w:shd w:val="clear" w:color="auto" w:fill="DCE2EF"/>
          </w:tcPr>
          <w:p>
            <w:pPr>
              <w:spacing w:after="0"/>
              <w:rPr>
                <w:sz w:val="24"/>
                <w:szCs w:val="24"/>
                <w:color w:val="auto"/>
              </w:rPr>
            </w:pPr>
          </w:p>
        </w:tc>
        <w:tc>
          <w:tcPr>
            <w:tcW w:w="1180" w:type="dxa"/>
            <w:vAlign w:val="bottom"/>
            <w:shd w:val="clear" w:color="auto" w:fill="DCE2EF"/>
          </w:tcPr>
          <w:p>
            <w:pPr>
              <w:jc w:val="right"/>
              <w:ind w:right="79"/>
              <w:spacing w:after="0"/>
              <w:rPr>
                <w:sz w:val="20"/>
                <w:szCs w:val="20"/>
                <w:color w:val="auto"/>
              </w:rPr>
            </w:pPr>
            <w:r>
              <w:rPr>
                <w:rFonts w:ascii="Arial" w:cs="Arial" w:eastAsia="Arial" w:hAnsi="Arial"/>
                <w:sz w:val="16"/>
                <w:szCs w:val="16"/>
                <w:color w:val="auto"/>
              </w:rPr>
              <w:t>2.3</w:t>
            </w:r>
          </w:p>
        </w:tc>
        <w:tc>
          <w:tcPr>
            <w:tcW w:w="100" w:type="dxa"/>
            <w:vAlign w:val="bottom"/>
            <w:shd w:val="clear" w:color="auto" w:fill="DCE2EF"/>
          </w:tcPr>
          <w:p>
            <w:pPr>
              <w:spacing w:after="0"/>
              <w:rPr>
                <w:sz w:val="24"/>
                <w:szCs w:val="24"/>
                <w:color w:val="auto"/>
              </w:rPr>
            </w:pPr>
          </w:p>
        </w:tc>
        <w:tc>
          <w:tcPr>
            <w:tcW w:w="260" w:type="dxa"/>
            <w:vAlign w:val="bottom"/>
            <w:shd w:val="clear" w:color="auto" w:fill="DCE2EF"/>
          </w:tcPr>
          <w:p>
            <w:pPr>
              <w:spacing w:after="0"/>
              <w:rPr>
                <w:sz w:val="24"/>
                <w:szCs w:val="24"/>
                <w:color w:val="auto"/>
              </w:rPr>
            </w:pPr>
          </w:p>
        </w:tc>
        <w:tc>
          <w:tcPr>
            <w:tcW w:w="880" w:type="dxa"/>
            <w:vAlign w:val="bottom"/>
            <w:shd w:val="clear" w:color="auto" w:fill="DCE2EF"/>
          </w:tcPr>
          <w:p>
            <w:pPr>
              <w:jc w:val="right"/>
              <w:ind w:right="19"/>
              <w:spacing w:after="0"/>
              <w:rPr>
                <w:sz w:val="20"/>
                <w:szCs w:val="20"/>
                <w:color w:val="auto"/>
              </w:rPr>
            </w:pPr>
            <w:r>
              <w:rPr>
                <w:rFonts w:ascii="Arial" w:cs="Arial" w:eastAsia="Arial" w:hAnsi="Arial"/>
                <w:sz w:val="16"/>
                <w:szCs w:val="16"/>
                <w:color w:val="auto"/>
              </w:rPr>
              <w:t>19.7</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60"/>
        </w:trPr>
        <w:tc>
          <w:tcPr>
            <w:tcW w:w="40" w:type="dxa"/>
            <w:vAlign w:val="bottom"/>
          </w:tcPr>
          <w:p>
            <w:pPr>
              <w:spacing w:after="0"/>
              <w:rPr>
                <w:sz w:val="22"/>
                <w:szCs w:val="22"/>
                <w:color w:val="auto"/>
              </w:rPr>
            </w:pPr>
          </w:p>
        </w:tc>
        <w:tc>
          <w:tcPr>
            <w:tcW w:w="5600" w:type="dxa"/>
            <w:vAlign w:val="bottom"/>
            <w:gridSpan w:val="2"/>
          </w:tcPr>
          <w:p>
            <w:pPr>
              <w:ind w:left="340"/>
              <w:spacing w:after="0"/>
              <w:rPr>
                <w:sz w:val="20"/>
                <w:szCs w:val="20"/>
                <w:color w:val="auto"/>
              </w:rPr>
            </w:pPr>
            <w:r>
              <w:rPr>
                <w:rFonts w:ascii="Arial" w:cs="Arial" w:eastAsia="Arial" w:hAnsi="Arial"/>
                <w:sz w:val="16"/>
                <w:szCs w:val="16"/>
                <w:color w:val="auto"/>
              </w:rPr>
              <w:t>Foreign currency translation</w:t>
            </w:r>
          </w:p>
        </w:tc>
        <w:tc>
          <w:tcPr>
            <w:tcW w:w="34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(11.3)</w:t>
            </w:r>
          </w:p>
        </w:tc>
        <w:tc>
          <w:tcPr>
            <w:tcW w:w="1240" w:type="dxa"/>
            <w:vAlign w:val="bottom"/>
          </w:tcPr>
          <w:p>
            <w:pPr>
              <w:ind w:left="520"/>
              <w:spacing w:after="0"/>
              <w:rPr>
                <w:sz w:val="20"/>
                <w:szCs w:val="20"/>
                <w:color w:val="auto"/>
              </w:rPr>
            </w:pPr>
            <w:r>
              <w:rPr>
                <w:rFonts w:ascii="Arial" w:cs="Arial" w:eastAsia="Arial" w:hAnsi="Arial"/>
                <w:sz w:val="16"/>
                <w:szCs w:val="16"/>
                <w:color w:val="auto"/>
              </w:rPr>
              <w:t>NM*</w:t>
            </w:r>
          </w:p>
        </w:tc>
      </w:tr>
      <w:tr>
        <w:trPr>
          <w:trHeight w:val="280"/>
        </w:trPr>
        <w:tc>
          <w:tcPr>
            <w:tcW w:w="40" w:type="dxa"/>
            <w:vAlign w:val="bottom"/>
            <w:shd w:val="clear" w:color="auto" w:fill="DCE2EF"/>
          </w:tcPr>
          <w:p>
            <w:pPr>
              <w:spacing w:after="0"/>
              <w:rPr>
                <w:sz w:val="24"/>
                <w:szCs w:val="24"/>
                <w:color w:val="auto"/>
              </w:rPr>
            </w:pPr>
          </w:p>
        </w:tc>
        <w:tc>
          <w:tcPr>
            <w:tcW w:w="5600" w:type="dxa"/>
            <w:vAlign w:val="bottom"/>
            <w:gridSpan w:val="2"/>
            <w:shd w:val="clear" w:color="auto" w:fill="DCE2EF"/>
          </w:tcPr>
          <w:p>
            <w:pPr>
              <w:ind w:left="340"/>
              <w:spacing w:after="0"/>
              <w:rPr>
                <w:sz w:val="20"/>
                <w:szCs w:val="20"/>
                <w:color w:val="auto"/>
              </w:rPr>
            </w:pPr>
            <w:r>
              <w:rPr>
                <w:rFonts w:ascii="Arial" w:cs="Arial" w:eastAsia="Arial" w:hAnsi="Arial"/>
                <w:sz w:val="16"/>
                <w:szCs w:val="16"/>
                <w:color w:val="auto"/>
              </w:rPr>
              <w:t>Income tax provision</w:t>
            </w:r>
          </w:p>
        </w:tc>
        <w:tc>
          <w:tcPr>
            <w:tcW w:w="340" w:type="dxa"/>
            <w:vAlign w:val="bottom"/>
            <w:tcBorders>
              <w:bottom w:val="single" w:sz="8" w:color="auto"/>
            </w:tcBorders>
            <w:shd w:val="clear" w:color="auto" w:fill="DCE2EF"/>
          </w:tcPr>
          <w:p>
            <w:pPr>
              <w:spacing w:after="0"/>
              <w:rPr>
                <w:sz w:val="24"/>
                <w:szCs w:val="24"/>
                <w:color w:val="auto"/>
              </w:rPr>
            </w:pPr>
          </w:p>
        </w:tc>
        <w:tc>
          <w:tcPr>
            <w:tcW w:w="130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DCE2EF"/>
          </w:tcPr>
          <w:p>
            <w:pPr>
              <w:spacing w:after="0"/>
              <w:rPr>
                <w:sz w:val="24"/>
                <w:szCs w:val="24"/>
                <w:color w:val="auto"/>
              </w:rPr>
            </w:pPr>
          </w:p>
        </w:tc>
        <w:tc>
          <w:tcPr>
            <w:tcW w:w="340" w:type="dxa"/>
            <w:vAlign w:val="bottom"/>
            <w:tcBorders>
              <w:bottom w:val="single" w:sz="8" w:color="auto"/>
            </w:tcBorders>
            <w:shd w:val="clear" w:color="auto" w:fill="DCE2EF"/>
          </w:tcPr>
          <w:p>
            <w:pPr>
              <w:spacing w:after="0"/>
              <w:rPr>
                <w:sz w:val="24"/>
                <w:szCs w:val="24"/>
                <w:color w:val="auto"/>
              </w:rPr>
            </w:pPr>
          </w:p>
        </w:tc>
        <w:tc>
          <w:tcPr>
            <w:tcW w:w="1180" w:type="dxa"/>
            <w:vAlign w:val="bottom"/>
            <w:tcBorders>
              <w:bottom w:val="single" w:sz="8" w:color="auto"/>
            </w:tcBorders>
            <w:shd w:val="clear" w:color="auto" w:fill="DCE2EF"/>
          </w:tcPr>
          <w:p>
            <w:pPr>
              <w:jc w:val="right"/>
              <w:ind w:right="1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DCE2EF"/>
          </w:tcPr>
          <w:p>
            <w:pPr>
              <w:spacing w:after="0"/>
              <w:rPr>
                <w:sz w:val="24"/>
                <w:szCs w:val="24"/>
                <w:color w:val="auto"/>
              </w:rPr>
            </w:pPr>
          </w:p>
        </w:tc>
        <w:tc>
          <w:tcPr>
            <w:tcW w:w="260" w:type="dxa"/>
            <w:vAlign w:val="bottom"/>
            <w:tcBorders>
              <w:bottom w:val="single" w:sz="8" w:color="auto"/>
            </w:tcBorders>
            <w:shd w:val="clear" w:color="auto" w:fill="DCE2EF"/>
          </w:tcPr>
          <w:p>
            <w:pPr>
              <w:spacing w:after="0"/>
              <w:rPr>
                <w:sz w:val="24"/>
                <w:szCs w:val="24"/>
                <w:color w:val="auto"/>
              </w:rPr>
            </w:pPr>
          </w:p>
        </w:tc>
        <w:tc>
          <w:tcPr>
            <w:tcW w:w="8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(5.0)</w:t>
            </w:r>
          </w:p>
        </w:tc>
        <w:tc>
          <w:tcPr>
            <w:tcW w:w="1240" w:type="dxa"/>
            <w:vAlign w:val="bottom"/>
            <w:shd w:val="clear" w:color="auto" w:fill="DCE2EF"/>
          </w:tcPr>
          <w:p>
            <w:pPr>
              <w:ind w:left="520"/>
              <w:spacing w:after="0"/>
              <w:rPr>
                <w:sz w:val="20"/>
                <w:szCs w:val="20"/>
                <w:color w:val="auto"/>
              </w:rPr>
            </w:pPr>
            <w:r>
              <w:rPr>
                <w:rFonts w:ascii="Arial" w:cs="Arial" w:eastAsia="Arial" w:hAnsi="Arial"/>
                <w:sz w:val="16"/>
                <w:szCs w:val="16"/>
                <w:color w:val="auto"/>
              </w:rPr>
              <w:t>NM*</w:t>
            </w:r>
          </w:p>
        </w:tc>
      </w:tr>
      <w:tr>
        <w:trPr>
          <w:trHeight w:val="234"/>
        </w:trPr>
        <w:tc>
          <w:tcPr>
            <w:tcW w:w="56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Comprehensive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20"/>
                <w:szCs w:val="20"/>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84.0</w:t>
            </w:r>
          </w:p>
        </w:tc>
        <w:tc>
          <w:tcPr>
            <w:tcW w:w="1240" w:type="dxa"/>
            <w:vAlign w:val="bottom"/>
          </w:tcPr>
          <w:p>
            <w:pPr>
              <w:ind w:left="520"/>
              <w:spacing w:after="0"/>
              <w:rPr>
                <w:sz w:val="20"/>
                <w:szCs w:val="20"/>
                <w:color w:val="auto"/>
              </w:rPr>
            </w:pPr>
            <w:r>
              <w:rPr>
                <w:rFonts w:ascii="Arial" w:cs="Arial" w:eastAsia="Arial" w:hAnsi="Arial"/>
                <w:sz w:val="16"/>
                <w:szCs w:val="16"/>
                <w:color w:val="auto"/>
              </w:rPr>
              <w:t>NM*</w:t>
            </w: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Revenues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Revenues increased by $837.9 million, or 21.2%, during the nine months ended July 31, 2018, as compared to the nine months ended July 31, 2017. The increase in revenues was primarily attributable to $770.3 million of incremental revenues from acquisitions, mainly GCA, as well as organic growth in B&amp;I. This increase was partially offset by the sale of our Government Services business on May 31, 2017.</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Operating Expenses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Operating expenses increased by $737.7 million, or 20.8%, during the nine months ended July 31, 2018, as compared to the nine months ended July 31, 2017. The increase was primarily attributable to $682.0 million of incremental operating expenses from the GCA acquisition and an increase in wages and related personnel costs due to a tight labor market. Gross margin increased by 27 bps to 10.7% in the nine months ended July 31, 2018 from 10.4% in the nine months ended July 31, 2017. The increase in gross margin was primarily associated with a lower self-insurance adjustment related to prior year claims as a result of actuarial studies performed in the nine months ended July 31, 2018, the termination of an unprofitable Aviation contract in the third quarter of 2017, and favorable margins in our U.S. Technical Solutions business, all partially offset by lower profit margins on certain B&amp;I accounts.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68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0046AD"/>
        </w:rPr>
        <w:t>Selling, General and Administrative Expenses</w:t>
      </w:r>
    </w:p>
    <w:p>
      <w:pPr>
        <w:spacing w:after="0" w:line="193"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Selling, general and administrative expenses increased by $27.6 million, or 9.2%, during the nine months ended July 31, 2018, as compared to the nine months ended July 31, 2017. The increase in selling, general and administrative expenses was primarily related to:</w:t>
      </w:r>
    </w:p>
    <w:p>
      <w:pPr>
        <w:spacing w:after="0" w:line="14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$29.7 million of incremental expenses related to the GCA acquisition;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$6.8 million increase in technology investments and related support;</w:t>
      </w:r>
    </w:p>
    <w:p>
      <w:pPr>
        <w:spacing w:after="0" w:line="17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absence of a $3.2 million reimbursement of previously expensed fees associated with a concluded internal investigation into a foreign entity formerly affiliated with a joint venture during the prior year;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$2.4 million increase in expenses related to certain incentive plans due to the timing of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This increase was partially offset by:</w:t>
      </w:r>
    </w:p>
    <w:p>
      <w:pPr>
        <w:spacing w:after="0" w:line="171" w:lineRule="exact"/>
        <w:rPr>
          <w:sz w:val="20"/>
          <w:szCs w:val="20"/>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$3.4 million adjustment to decrease our medical and dental insurance reserves as a result of actuarial evaluations performed in the nine months ended July 31, 2018;</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$2.5 million decrease in rental expense due to office consolidations in the prior year;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$2.0 million decrease in travel and entertainment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$1.6 million lower legal settlement costs, net of a $6.8 million reimbursement of previously expensed legal settlement costs; and</w:t>
      </w:r>
    </w:p>
    <w:p>
      <w:pPr>
        <w:spacing w:after="0" w:line="17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$0.6 million decrease in acquisition costs due to the absence of $2.2 million of transaction expenses related to the GCA acquisition incurred in the prior year, partially offset by $1.6 million of acquisition related costs incurred in the current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Restructuring and Related Expenses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Restructuring and related expenses increased by $6.5 million, or 41.1%, during the nine months ended July 31, 2018, as compared to the nine months ended July 31, 2017, as a result of restructuring related to the GCA acquisition, partially offset by the completion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 xml:space="preserve">Vision </w:t>
      </w:r>
      <w:r>
        <w:rPr>
          <w:rFonts w:ascii="Arial" w:cs="Arial" w:eastAsia="Arial" w:hAnsi="Arial"/>
          <w:sz w:val="18"/>
          <w:szCs w:val="18"/>
          <w:color w:val="000000"/>
        </w:rPr>
        <w:t>organizational realignment.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Amortization of Intangible Assets</w:t>
      </w:r>
    </w:p>
    <w:p>
      <w:pPr>
        <w:spacing w:after="0" w:line="193"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Amortization of intangible assets increased by $32.1 million during the nine months ended July 31, 2018, as compared to the nine months ended July 31, 2017, as a result of the amortization of acquired intangible assets associated with the GCA acquisition.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Impairment Recovery and Gain on Sale</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May 31, 2017, we sold our Government Services business for $ 35.5 million. Based on the initial offer of $35.0 million received during the second quarter of 2017, we recorded a $17.4 million impairment recovery to adjust the fair value of certain previously impaired assets. In connection with the sale, during the third quarter of 2017 we recorded a pre-tax gain of approximately $1.1 million that was subsequently adjusted to $1.2 million due to a working capital settlement.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Expense</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Interest expense increased by $31.9 million during the nine months ended July 31, 2018, as compared to the nine months ended July 31, 2017, primarily related to increased indebtedness incurred to fund the GCA acquisition and higher relative interest rates under our credit facility, partially offset by amortization of $1.2 million related to the interest rate swap gain.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22"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0046AD"/>
        </w:rPr>
        <w:t>Income Taxes from Continuing Operations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During the nine months ended July 31, 2018 we had an income tax benefit of $12.7 million, compared with an income tax provision of $11.3 million during the nine months ended July 31, 2017. The 2018 period benefited from a net discrete tax benefit of $21.5 million related to the enactment of the Tax Act, $4.1 million, including taxes of $0.6 million, related to expiring statute of limitations for an uncertain tax position, $3.1 million of excess tax benefits related to the vesting of share-based compensation awards, and $2.6 million related to tax deductions on energy efficient government buildings. These benefits were partially offset by a $1.5 million reduction in certain tax credits, including the prior year WOTC for new hires. The 2017 period was favorably impacted by a benefit of $15.8 million, including interest of $1.2 million, related to expiring statute of limitations for an uncertain tax position, $2.7 million of excess tax benefits related to the vesting of share-based compensation awards, $1.8 million of tax deductions for energy efficient government buildings, and the 2017 WOTC for new hires.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Discontinued Operations, Net of Taxes</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nine months ended July 31, 2018 we had income from discontinued operations, net of taxes, of $1.0 million, compared with a loss from discontinued operations, net of taxes, of $ 73.2 million during the nine months ended July 31, 2017, a change of $ 74.2 million. This change was due to an insurance reimbursement on a legal settlement received during the nine months ended July 31, 2018, compared with a legal reserve established in the prior year.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Interest Rate Swaps</w:t>
      </w:r>
    </w:p>
    <w:p>
      <w:pPr>
        <w:spacing w:after="0" w:line="193"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During April 2018, we elected to terminate all of our interest rate swaps for cash proceeds of $25.9 million. The resulting gain is being amortized from AOCI to interest expense over the term of our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Foreign Currency Translation</w:t>
      </w:r>
    </w:p>
    <w:p>
      <w:pPr>
        <w:spacing w:after="0" w:line="193"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During the nine months ended July 31, 2018 we recognized as a component of our comprehensive income a foreign currency translation loss of $1.5 million compared with a gain of $9.8 million during the nine months ended July 31, 2017. This change was related to the strengthening of the USD against the GBP during the nine months ended July 31, 2018. Future gains and losses on foreign currency translation will be dependent upon changes in the relative value of foreign currencies to the USD and the extent of our foreign assets and liabilities.</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22"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0046AD"/>
        </w:rPr>
        <w:t>Segment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Financial Information for Each Reportable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7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6"/>
                <w:szCs w:val="16"/>
                <w:b w:val="1"/>
                <w:bCs w:val="1"/>
                <w:color w:val="auto"/>
              </w:rPr>
              <w:t>Nine Months Ended July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500"/>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gridSpan w:val="2"/>
          </w:tcPr>
          <w:p>
            <w:pPr>
              <w:ind w:left="400"/>
              <w:spacing w:after="0"/>
              <w:rPr>
                <w:sz w:val="20"/>
                <w:szCs w:val="20"/>
                <w:color w:val="auto"/>
              </w:rPr>
            </w:pPr>
            <w:r>
              <w:rPr>
                <w:rFonts w:ascii="Arial" w:cs="Arial" w:eastAsia="Arial" w:hAnsi="Arial"/>
                <w:sz w:val="16"/>
                <w:szCs w:val="16"/>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DCE2EF"/>
            </w:tcBorders>
          </w:tcPr>
          <w:p>
            <w:pPr>
              <w:spacing w:after="0" w:line="20" w:lineRule="exact"/>
              <w:rPr>
                <w:sz w:val="1"/>
                <w:szCs w:val="1"/>
                <w:color w:val="auto"/>
              </w:rPr>
            </w:pPr>
          </w:p>
        </w:tc>
        <w:tc>
          <w:tcPr>
            <w:tcW w:w="130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b w:val="1"/>
                <w:bCs w:val="1"/>
                <w:color w:val="auto"/>
              </w:rPr>
              <w:t>Revenues</w:t>
            </w:r>
          </w:p>
        </w:tc>
        <w:tc>
          <w:tcPr>
            <w:tcW w:w="420" w:type="dxa"/>
            <w:vAlign w:val="bottom"/>
            <w:shd w:val="clear" w:color="auto" w:fill="DCE2EF"/>
          </w:tcPr>
          <w:p>
            <w:pPr>
              <w:spacing w:after="0"/>
              <w:rPr>
                <w:sz w:val="22"/>
                <w:szCs w:val="22"/>
                <w:color w:val="auto"/>
              </w:rPr>
            </w:pPr>
          </w:p>
        </w:tc>
        <w:tc>
          <w:tcPr>
            <w:tcW w:w="130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00" w:type="dxa"/>
            <w:vAlign w:val="bottom"/>
            <w:shd w:val="clear" w:color="auto" w:fill="DCE2EF"/>
          </w:tcPr>
          <w:p>
            <w:pPr>
              <w:spacing w:after="0"/>
              <w:rPr>
                <w:sz w:val="22"/>
                <w:szCs w:val="22"/>
                <w:color w:val="auto"/>
              </w:rPr>
            </w:pPr>
          </w:p>
        </w:tc>
        <w:tc>
          <w:tcPr>
            <w:tcW w:w="106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50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920" w:type="dxa"/>
            <w:vAlign w:val="bottom"/>
            <w:shd w:val="clear" w:color="auto" w:fill="DCE2EF"/>
          </w:tcPr>
          <w:p>
            <w:pPr>
              <w:spacing w:after="0"/>
              <w:rPr>
                <w:sz w:val="22"/>
                <w:szCs w:val="22"/>
                <w:color w:val="auto"/>
              </w:rPr>
            </w:pPr>
          </w:p>
        </w:tc>
        <w:tc>
          <w:tcPr>
            <w:tcW w:w="12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1080" w:type="dxa"/>
            <w:vAlign w:val="bottom"/>
            <w:shd w:val="clear" w:color="auto" w:fill="DCE2EF"/>
          </w:tcPr>
          <w:p>
            <w:pPr>
              <w:spacing w:after="0"/>
              <w:rPr>
                <w:sz w:val="22"/>
                <w:szCs w:val="22"/>
                <w:color w:val="auto"/>
              </w:rPr>
            </w:pPr>
          </w:p>
        </w:tc>
        <w:tc>
          <w:tcPr>
            <w:tcW w:w="1460" w:type="dxa"/>
            <w:vAlign w:val="bottom"/>
            <w:shd w:val="clear" w:color="auto" w:fill="DCE2E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tcPr>
          <w:p>
            <w:pPr>
              <w:spacing w:after="0"/>
              <w:rPr>
                <w:sz w:val="22"/>
                <w:szCs w:val="22"/>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2,180.5</w:t>
            </w:r>
          </w:p>
        </w:tc>
        <w:tc>
          <w:tcPr>
            <w:tcW w:w="6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1,945.6</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234.9</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758.3</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722.9</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35.4</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w w:val="98"/>
              </w:rPr>
              <w:t>4.9%</w:t>
            </w: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Technology &amp; Manufacturing</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690.3</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494.4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195.9</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623.5</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199.5</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424.0</w:t>
            </w:r>
          </w:p>
        </w:tc>
        <w:tc>
          <w:tcPr>
            <w:tcW w:w="1460" w:type="dxa"/>
            <w:vAlign w:val="bottom"/>
            <w:shd w:val="clear" w:color="auto" w:fill="DCE2E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0"/>
        </w:trPr>
        <w:tc>
          <w:tcPr>
            <w:tcW w:w="3700" w:type="dxa"/>
            <w:vAlign w:val="bottom"/>
            <w:gridSpan w:val="3"/>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334.1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325.2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8.9</w:t>
            </w:r>
          </w:p>
        </w:tc>
        <w:tc>
          <w:tcPr>
            <w:tcW w:w="1460" w:type="dxa"/>
            <w:vAlign w:val="bottom"/>
          </w:tcPr>
          <w:p>
            <w:pPr>
              <w:jc w:val="center"/>
              <w:ind w:left="18"/>
              <w:spacing w:after="0"/>
              <w:rPr>
                <w:sz w:val="20"/>
                <w:szCs w:val="20"/>
                <w:color w:val="auto"/>
              </w:rPr>
            </w:pPr>
            <w:r>
              <w:rPr>
                <w:rFonts w:ascii="Arial" w:cs="Arial" w:eastAsia="Arial" w:hAnsi="Arial"/>
                <w:sz w:val="16"/>
                <w:szCs w:val="16"/>
                <w:color w:val="auto"/>
                <w:w w:val="98"/>
              </w:rPr>
              <w:t>2.8%</w:t>
            </w: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206.7</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181.6</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25.1</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264"/>
        </w:trPr>
        <w:tc>
          <w:tcPr>
            <w:tcW w:w="3700" w:type="dxa"/>
            <w:vAlign w:val="bottom"/>
            <w:tcBorders>
              <w:bottom w:val="single" w:sz="8" w:color="DCE2EF"/>
            </w:tcBorders>
            <w:gridSpan w:val="3"/>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tcBorders>
              <w:bottom w:val="single" w:sz="8" w:color="DCE2EF"/>
            </w:tcBorders>
          </w:tcPr>
          <w:p>
            <w:pPr>
              <w:spacing w:after="0"/>
              <w:rPr>
                <w:sz w:val="22"/>
                <w:szCs w:val="22"/>
                <w:color w:val="auto"/>
              </w:rPr>
            </w:pPr>
          </w:p>
        </w:tc>
        <w:tc>
          <w:tcPr>
            <w:tcW w:w="1300" w:type="dxa"/>
            <w:vAlign w:val="bottom"/>
            <w:tcBorders>
              <w:bottom w:val="single" w:sz="8" w:color="DCE2E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DCE2E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6"/>
                <w:szCs w:val="16"/>
                <w:color w:val="auto"/>
              </w:rPr>
              <w:t>86.5</w:t>
            </w:r>
          </w:p>
        </w:tc>
        <w:tc>
          <w:tcPr>
            <w:tcW w:w="120" w:type="dxa"/>
            <w:vAlign w:val="bottom"/>
            <w:tcBorders>
              <w:bottom w:val="single" w:sz="8" w:color="DCE2E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c>
          <w:tcPr>
            <w:tcW w:w="1460" w:type="dxa"/>
            <w:vAlign w:val="bottom"/>
            <w:tcBorders>
              <w:bottom w:val="single" w:sz="8" w:color="DCE2EF"/>
            </w:tcBorders>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0"/>
        </w:trPr>
        <w:tc>
          <w:tcPr>
            <w:tcW w:w="40" w:type="dxa"/>
            <w:vAlign w:val="bottom"/>
            <w:shd w:val="clear" w:color="auto" w:fill="DCE2EF"/>
          </w:tcPr>
          <w:p>
            <w:pPr>
              <w:spacing w:after="0"/>
              <w:rPr>
                <w:sz w:val="20"/>
                <w:szCs w:val="20"/>
                <w:color w:val="auto"/>
              </w:rPr>
            </w:pPr>
          </w:p>
        </w:tc>
        <w:tc>
          <w:tcPr>
            <w:tcW w:w="820" w:type="dxa"/>
            <w:vAlign w:val="bottom"/>
            <w:shd w:val="clear" w:color="auto" w:fill="DCE2EF"/>
          </w:tcPr>
          <w:p>
            <w:pPr>
              <w:spacing w:after="0"/>
              <w:rPr>
                <w:sz w:val="20"/>
                <w:szCs w:val="20"/>
                <w:color w:val="auto"/>
              </w:rPr>
            </w:pPr>
          </w:p>
        </w:tc>
        <w:tc>
          <w:tcPr>
            <w:tcW w:w="2840" w:type="dxa"/>
            <w:vAlign w:val="bottom"/>
            <w:shd w:val="clear" w:color="auto" w:fill="DCE2EF"/>
          </w:tcPr>
          <w:p>
            <w:pPr>
              <w:spacing w:after="0"/>
              <w:rPr>
                <w:sz w:val="20"/>
                <w:szCs w:val="20"/>
                <w:color w:val="auto"/>
              </w:rPr>
            </w:pPr>
          </w:p>
        </w:tc>
        <w:tc>
          <w:tcPr>
            <w:tcW w:w="420" w:type="dxa"/>
            <w:vAlign w:val="bottom"/>
            <w:shd w:val="clear" w:color="auto" w:fill="DCE2EF"/>
          </w:tcPr>
          <w:p>
            <w:pPr>
              <w:spacing w:after="0"/>
              <w:rPr>
                <w:sz w:val="20"/>
                <w:szCs w:val="20"/>
                <w:color w:val="auto"/>
              </w:rPr>
            </w:pPr>
          </w:p>
        </w:tc>
        <w:tc>
          <w:tcPr>
            <w:tcW w:w="146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20"/>
                <w:szCs w:val="20"/>
                <w:color w:val="auto"/>
              </w:rPr>
            </w:pPr>
          </w:p>
        </w:tc>
        <w:tc>
          <w:tcPr>
            <w:tcW w:w="200" w:type="dxa"/>
            <w:vAlign w:val="bottom"/>
            <w:shd w:val="clear" w:color="auto" w:fill="DCE2EF"/>
          </w:tcPr>
          <w:p>
            <w:pPr>
              <w:spacing w:after="0"/>
              <w:rPr>
                <w:sz w:val="20"/>
                <w:szCs w:val="20"/>
                <w:color w:val="auto"/>
              </w:rPr>
            </w:pPr>
          </w:p>
        </w:tc>
        <w:tc>
          <w:tcPr>
            <w:tcW w:w="106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4,793.5</w:t>
            </w:r>
          </w:p>
        </w:tc>
        <w:tc>
          <w:tcPr>
            <w:tcW w:w="620" w:type="dxa"/>
            <w:vAlign w:val="bottom"/>
            <w:gridSpan w:val="2"/>
            <w:shd w:val="clear" w:color="auto" w:fill="DCE2EF"/>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3,955.6</w:t>
            </w:r>
          </w:p>
        </w:tc>
        <w:tc>
          <w:tcPr>
            <w:tcW w:w="280" w:type="dxa"/>
            <w:vAlign w:val="bottom"/>
            <w:gridSpan w:val="2"/>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837.9</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21.2%</w:t>
            </w:r>
          </w:p>
        </w:tc>
        <w:tc>
          <w:tcPr>
            <w:tcW w:w="0" w:type="dxa"/>
            <w:vAlign w:val="bottom"/>
          </w:tcPr>
          <w:p>
            <w:pPr>
              <w:spacing w:after="0"/>
              <w:rPr>
                <w:sz w:val="1"/>
                <w:szCs w:val="1"/>
                <w:color w:val="auto"/>
              </w:rPr>
            </w:pPr>
          </w:p>
        </w:tc>
      </w:tr>
      <w:tr>
        <w:trPr>
          <w:trHeight w:val="20"/>
        </w:trPr>
        <w:tc>
          <w:tcPr>
            <w:tcW w:w="3700" w:type="dxa"/>
            <w:vAlign w:val="bottom"/>
            <w:tcBorders>
              <w:top w:val="single" w:sz="8" w:color="DCE2EF"/>
              <w:bottom w:val="single" w:sz="8" w:color="DCE2EF"/>
            </w:tcBorders>
            <w:gridSpan w:val="3"/>
            <w:vMerge w:val="restart"/>
          </w:tcPr>
          <w:p>
            <w:pPr>
              <w:ind w:left="40"/>
              <w:spacing w:after="0"/>
              <w:rPr>
                <w:sz w:val="20"/>
                <w:szCs w:val="20"/>
                <w:color w:val="auto"/>
              </w:rPr>
            </w:pPr>
            <w:r>
              <w:rPr>
                <w:rFonts w:ascii="Arial" w:cs="Arial" w:eastAsia="Arial" w:hAnsi="Arial"/>
                <w:sz w:val="16"/>
                <w:szCs w:val="16"/>
                <w:b w:val="1"/>
                <w:bCs w:val="1"/>
                <w:color w:val="auto"/>
              </w:rPr>
              <w:t>Operating profit (loss)</w:t>
            </w:r>
          </w:p>
        </w:tc>
        <w:tc>
          <w:tcPr>
            <w:tcW w:w="420" w:type="dxa"/>
            <w:vAlign w:val="bottom"/>
            <w:tcBorders>
              <w:top w:val="single" w:sz="8" w:color="DCE2EF"/>
            </w:tcBorders>
          </w:tcPr>
          <w:p>
            <w:pPr>
              <w:spacing w:after="0" w:line="20" w:lineRule="exact"/>
              <w:rPr>
                <w:sz w:val="1"/>
                <w:szCs w:val="1"/>
                <w:color w:val="auto"/>
              </w:rPr>
            </w:pPr>
          </w:p>
        </w:tc>
        <w:tc>
          <w:tcPr>
            <w:tcW w:w="130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CE2E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DCE2E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3700" w:type="dxa"/>
            <w:vAlign w:val="bottom"/>
            <w:gridSpan w:val="3"/>
            <w:vMerge w:val="continue"/>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Business &amp; Industry</w:t>
            </w:r>
          </w:p>
        </w:tc>
        <w:tc>
          <w:tcPr>
            <w:tcW w:w="420" w:type="dxa"/>
            <w:vAlign w:val="bottom"/>
            <w:shd w:val="clear" w:color="auto" w:fill="DCE2EF"/>
          </w:tcPr>
          <w:p>
            <w:pPr>
              <w:spacing w:after="0"/>
              <w:rPr>
                <w:sz w:val="24"/>
                <w:szCs w:val="24"/>
                <w:color w:val="auto"/>
              </w:rPr>
            </w:pPr>
          </w:p>
        </w:tc>
        <w:tc>
          <w:tcPr>
            <w:tcW w:w="1460" w:type="dxa"/>
            <w:vAlign w:val="bottom"/>
            <w:gridSpan w:val="2"/>
            <w:shd w:val="clear" w:color="auto" w:fill="DCE2EF"/>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111.0</w:t>
            </w:r>
          </w:p>
        </w:tc>
        <w:tc>
          <w:tcPr>
            <w:tcW w:w="620" w:type="dxa"/>
            <w:vAlign w:val="bottom"/>
            <w:gridSpan w:val="2"/>
            <w:shd w:val="clear" w:color="auto" w:fill="DCE2EF"/>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100.4</w:t>
            </w:r>
          </w:p>
        </w:tc>
        <w:tc>
          <w:tcPr>
            <w:tcW w:w="280" w:type="dxa"/>
            <w:vAlign w:val="bottom"/>
            <w:gridSpan w:val="2"/>
            <w:shd w:val="clear" w:color="auto" w:fill="DCE2EF"/>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10.6</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4"/>
                <w:szCs w:val="14"/>
                <w:i w:val="1"/>
                <w:iCs w:val="1"/>
                <w:color w:val="auto"/>
              </w:rPr>
              <w:t>(7)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Aviation</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20.6</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16.8</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3.8</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23.0%</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2.7%</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2.3%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4"/>
                <w:szCs w:val="14"/>
                <w:i w:val="1"/>
                <w:iCs w:val="1"/>
                <w:color w:val="auto"/>
              </w:rPr>
              <w:t>40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Technology &amp; Manufacturing</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35.8</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14.0</w:t>
            </w:r>
          </w:p>
        </w:tc>
        <w:tc>
          <w:tcPr>
            <w:tcW w:w="1460" w:type="dxa"/>
            <w:vAlign w:val="bottom"/>
            <w:shd w:val="clear" w:color="auto" w:fill="DCE2EF"/>
          </w:tcPr>
          <w:p>
            <w:pPr>
              <w:jc w:val="center"/>
              <w:ind w:left="38"/>
              <w:spacing w:after="0"/>
              <w:rPr>
                <w:sz w:val="20"/>
                <w:szCs w:val="20"/>
                <w:color w:val="auto"/>
              </w:rPr>
            </w:pPr>
            <w:r>
              <w:rPr>
                <w:rFonts w:ascii="Arial" w:cs="Arial" w:eastAsia="Arial" w:hAnsi="Arial"/>
                <w:sz w:val="16"/>
                <w:szCs w:val="16"/>
                <w:color w:val="auto"/>
              </w:rPr>
              <w:t>39.2%</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7.2%</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7.2%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4"/>
                <w:szCs w:val="14"/>
                <w:i w:val="1"/>
                <w:iCs w:val="1"/>
                <w:color w:val="auto"/>
              </w:rPr>
              <w:t>(2)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Education</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11.1</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20.7</w:t>
            </w:r>
          </w:p>
        </w:tc>
        <w:tc>
          <w:tcPr>
            <w:tcW w:w="1460" w:type="dxa"/>
            <w:vAlign w:val="bottom"/>
            <w:shd w:val="clear" w:color="auto" w:fill="DCE2E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4"/>
                <w:szCs w:val="14"/>
                <w:i w:val="1"/>
                <w:iCs w:val="1"/>
                <w:color w:val="auto"/>
              </w:rPr>
              <w:t>(48)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Technical Solutions</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24.9</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27.5</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(2.6)</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7.5%</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8.5%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4"/>
                <w:szCs w:val="14"/>
                <w:i w:val="1"/>
                <w:iCs w:val="1"/>
                <w:color w:val="auto"/>
              </w:rPr>
              <w:t>(101)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Healthcare</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80"/>
              <w:spacing w:after="0"/>
              <w:rPr>
                <w:sz w:val="20"/>
                <w:szCs w:val="20"/>
                <w:color w:val="auto"/>
              </w:rPr>
            </w:pPr>
            <w:r>
              <w:rPr>
                <w:rFonts w:ascii="Arial" w:cs="Arial" w:eastAsia="Arial" w:hAnsi="Arial"/>
                <w:sz w:val="16"/>
                <w:szCs w:val="16"/>
                <w:color w:val="auto"/>
              </w:rPr>
              <w:t>7.9</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7.7</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ind w:right="41"/>
              <w:spacing w:after="0"/>
              <w:rPr>
                <w:sz w:val="20"/>
                <w:szCs w:val="20"/>
                <w:color w:val="auto"/>
              </w:rPr>
            </w:pPr>
            <w:r>
              <w:rPr>
                <w:rFonts w:ascii="Arial" w:cs="Arial" w:eastAsia="Arial" w:hAnsi="Arial"/>
                <w:sz w:val="16"/>
                <w:szCs w:val="16"/>
                <w:color w:val="auto"/>
              </w:rPr>
              <w:t>0.2</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w w:val="98"/>
              </w:rPr>
              <w:t>2.8%</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i w:val="1"/>
                <w:iCs w:val="1"/>
                <w:color w:val="auto"/>
              </w:rPr>
              <w:t>3.8%</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4.2%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4"/>
                <w:szCs w:val="14"/>
                <w:i w:val="1"/>
                <w:iCs w:val="1"/>
                <w:color w:val="auto"/>
              </w:rPr>
              <w:t>(41) bps</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Government Services</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(0.8)</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60"/>
              <w:spacing w:after="0"/>
              <w:rPr>
                <w:sz w:val="20"/>
                <w:szCs w:val="20"/>
                <w:color w:val="auto"/>
              </w:rPr>
            </w:pPr>
            <w:r>
              <w:rPr>
                <w:rFonts w:ascii="Arial" w:cs="Arial" w:eastAsia="Arial" w:hAnsi="Arial"/>
                <w:sz w:val="16"/>
                <w:szCs w:val="16"/>
                <w:color w:val="auto"/>
              </w:rPr>
              <w:t>21.8</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(22.6)</w:t>
            </w:r>
          </w:p>
        </w:tc>
        <w:tc>
          <w:tcPr>
            <w:tcW w:w="1460" w:type="dxa"/>
            <w:vAlign w:val="bottom"/>
            <w:shd w:val="clear" w:color="auto" w:fill="DCE2EF"/>
          </w:tcPr>
          <w:p>
            <w:pPr>
              <w:ind w:left="620"/>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64"/>
        </w:trPr>
        <w:tc>
          <w:tcPr>
            <w:tcW w:w="40" w:type="dxa"/>
            <w:vAlign w:val="bottom"/>
          </w:tcPr>
          <w:p>
            <w:pPr>
              <w:spacing w:after="0"/>
              <w:rPr>
                <w:sz w:val="22"/>
                <w:szCs w:val="22"/>
                <w:color w:val="auto"/>
              </w:rPr>
            </w:pPr>
          </w:p>
        </w:tc>
        <w:tc>
          <w:tcPr>
            <w:tcW w:w="3660" w:type="dxa"/>
            <w:vAlign w:val="bottom"/>
            <w:gridSpan w:val="2"/>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ind w:right="80"/>
              <w:spacing w:after="0"/>
              <w:rPr>
                <w:sz w:val="20"/>
                <w:szCs w:val="20"/>
                <w:color w:val="auto"/>
              </w:rPr>
            </w:pPr>
            <w:r>
              <w:rPr>
                <w:rFonts w:ascii="Arial" w:cs="Arial" w:eastAsia="Arial" w:hAnsi="Arial"/>
                <w:sz w:val="14"/>
                <w:szCs w:val="14"/>
                <w:i w:val="1"/>
                <w:iCs w:val="1"/>
                <w:color w:val="auto"/>
              </w:rPr>
              <w:t>NM*</w:t>
            </w: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4"/>
                <w:szCs w:val="14"/>
                <w:i w:val="1"/>
                <w:iCs w:val="1"/>
                <w:color w:val="auto"/>
              </w:rPr>
              <w:t>25.2%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41"/>
              <w:spacing w:after="0"/>
              <w:rPr>
                <w:sz w:val="20"/>
                <w:szCs w:val="20"/>
                <w:color w:val="auto"/>
              </w:rPr>
            </w:pPr>
            <w:r>
              <w:rPr>
                <w:rFonts w:ascii="Arial" w:cs="Arial" w:eastAsia="Arial" w:hAnsi="Arial"/>
                <w:sz w:val="14"/>
                <w:szCs w:val="14"/>
                <w:i w:val="1"/>
                <w:iCs w:val="1"/>
                <w:color w:val="auto"/>
              </w:rPr>
              <w:t>NM*</w:t>
            </w: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6"/>
                <w:szCs w:val="16"/>
                <w:color w:val="auto"/>
              </w:rPr>
              <w:t>Corporate</w:t>
            </w:r>
          </w:p>
        </w:tc>
        <w:tc>
          <w:tcPr>
            <w:tcW w:w="420" w:type="dxa"/>
            <w:vAlign w:val="bottom"/>
            <w:shd w:val="clear" w:color="auto" w:fill="DCE2EF"/>
          </w:tcPr>
          <w:p>
            <w:pPr>
              <w:spacing w:after="0"/>
              <w:rPr>
                <w:sz w:val="24"/>
                <w:szCs w:val="24"/>
                <w:color w:val="auto"/>
              </w:rPr>
            </w:pPr>
          </w:p>
        </w:tc>
        <w:tc>
          <w:tcPr>
            <w:tcW w:w="130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0" w:type="dxa"/>
            <w:vAlign w:val="bottom"/>
            <w:shd w:val="clear" w:color="auto" w:fill="DCE2EF"/>
          </w:tcPr>
          <w:p>
            <w:pPr>
              <w:spacing w:after="0"/>
              <w:rPr>
                <w:sz w:val="24"/>
                <w:szCs w:val="24"/>
                <w:color w:val="auto"/>
              </w:rPr>
            </w:pPr>
          </w:p>
        </w:tc>
        <w:tc>
          <w:tcPr>
            <w:tcW w:w="200" w:type="dxa"/>
            <w:vAlign w:val="bottom"/>
            <w:shd w:val="clear" w:color="auto" w:fill="DCE2EF"/>
          </w:tcPr>
          <w:p>
            <w:pPr>
              <w:spacing w:after="0"/>
              <w:rPr>
                <w:sz w:val="24"/>
                <w:szCs w:val="24"/>
                <w:color w:val="auto"/>
              </w:rPr>
            </w:pPr>
          </w:p>
        </w:tc>
        <w:tc>
          <w:tcPr>
            <w:tcW w:w="1060" w:type="dxa"/>
            <w:vAlign w:val="bottom"/>
            <w:shd w:val="clear" w:color="auto" w:fill="DCE2EF"/>
          </w:tcPr>
          <w:p>
            <w:pPr>
              <w:jc w:val="right"/>
              <w:ind w:right="20"/>
              <w:spacing w:after="0"/>
              <w:rPr>
                <w:sz w:val="20"/>
                <w:szCs w:val="20"/>
                <w:color w:val="auto"/>
              </w:rPr>
            </w:pPr>
            <w:r>
              <w:rPr>
                <w:rFonts w:ascii="Arial" w:cs="Arial" w:eastAsia="Arial" w:hAnsi="Arial"/>
                <w:sz w:val="16"/>
                <w:szCs w:val="16"/>
                <w:color w:val="auto"/>
              </w:rPr>
              <w:t>(127.3)</w:t>
            </w:r>
          </w:p>
        </w:tc>
        <w:tc>
          <w:tcPr>
            <w:tcW w:w="120" w:type="dxa"/>
            <w:vAlign w:val="bottom"/>
            <w:shd w:val="clear" w:color="auto" w:fill="DCE2EF"/>
          </w:tcPr>
          <w:p>
            <w:pPr>
              <w:spacing w:after="0"/>
              <w:rPr>
                <w:sz w:val="24"/>
                <w:szCs w:val="24"/>
                <w:color w:val="auto"/>
              </w:rPr>
            </w:pPr>
          </w:p>
        </w:tc>
        <w:tc>
          <w:tcPr>
            <w:tcW w:w="500" w:type="dxa"/>
            <w:vAlign w:val="bottom"/>
            <w:shd w:val="clear" w:color="auto" w:fill="DCE2EF"/>
          </w:tcPr>
          <w:p>
            <w:pPr>
              <w:spacing w:after="0"/>
              <w:rPr>
                <w:sz w:val="24"/>
                <w:szCs w:val="24"/>
                <w:color w:val="auto"/>
              </w:rPr>
            </w:pPr>
          </w:p>
        </w:tc>
        <w:tc>
          <w:tcPr>
            <w:tcW w:w="1020" w:type="dxa"/>
            <w:vAlign w:val="bottom"/>
            <w:gridSpan w:val="2"/>
            <w:shd w:val="clear" w:color="auto" w:fill="DCE2EF"/>
          </w:tcPr>
          <w:p>
            <w:pPr>
              <w:jc w:val="right"/>
              <w:ind w:right="100"/>
              <w:spacing w:after="0"/>
              <w:rPr>
                <w:sz w:val="20"/>
                <w:szCs w:val="20"/>
                <w:color w:val="auto"/>
              </w:rPr>
            </w:pPr>
            <w:r>
              <w:rPr>
                <w:rFonts w:ascii="Arial" w:cs="Arial" w:eastAsia="Arial" w:hAnsi="Arial"/>
                <w:sz w:val="16"/>
                <w:szCs w:val="16"/>
                <w:color w:val="auto"/>
              </w:rPr>
              <w:t>(118.5)</w:t>
            </w:r>
          </w:p>
        </w:tc>
        <w:tc>
          <w:tcPr>
            <w:tcW w:w="120" w:type="dxa"/>
            <w:vAlign w:val="bottom"/>
            <w:shd w:val="clear" w:color="auto" w:fill="DCE2EF"/>
          </w:tcPr>
          <w:p>
            <w:pPr>
              <w:spacing w:after="0"/>
              <w:rPr>
                <w:sz w:val="24"/>
                <w:szCs w:val="24"/>
                <w:color w:val="auto"/>
              </w:rPr>
            </w:pPr>
          </w:p>
        </w:tc>
        <w:tc>
          <w:tcPr>
            <w:tcW w:w="160" w:type="dxa"/>
            <w:vAlign w:val="bottom"/>
            <w:shd w:val="clear" w:color="auto" w:fill="DCE2EF"/>
          </w:tcPr>
          <w:p>
            <w:pPr>
              <w:spacing w:after="0"/>
              <w:rPr>
                <w:sz w:val="24"/>
                <w:szCs w:val="24"/>
                <w:color w:val="auto"/>
              </w:rPr>
            </w:pPr>
          </w:p>
        </w:tc>
        <w:tc>
          <w:tcPr>
            <w:tcW w:w="1080" w:type="dxa"/>
            <w:vAlign w:val="bottom"/>
            <w:shd w:val="clear" w:color="auto" w:fill="DCE2EF"/>
          </w:tcPr>
          <w:p>
            <w:pPr>
              <w:jc w:val="right"/>
              <w:spacing w:after="0"/>
              <w:rPr>
                <w:sz w:val="20"/>
                <w:szCs w:val="20"/>
                <w:color w:val="auto"/>
              </w:rPr>
            </w:pPr>
            <w:r>
              <w:rPr>
                <w:rFonts w:ascii="Arial" w:cs="Arial" w:eastAsia="Arial" w:hAnsi="Arial"/>
                <w:sz w:val="16"/>
                <w:szCs w:val="16"/>
                <w:color w:val="auto"/>
              </w:rPr>
              <w:t>(8.8)</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8"/>
        </w:trPr>
        <w:tc>
          <w:tcPr>
            <w:tcW w:w="5680" w:type="dxa"/>
            <w:vAlign w:val="bottom"/>
            <w:gridSpan w:val="7"/>
          </w:tcPr>
          <w:p>
            <w:pPr>
              <w:ind w:left="40"/>
              <w:spacing w:after="0"/>
              <w:rPr>
                <w:sz w:val="20"/>
                <w:szCs w:val="20"/>
                <w:color w:val="auto"/>
              </w:rPr>
            </w:pPr>
            <w:r>
              <w:rPr>
                <w:rFonts w:ascii="Arial" w:cs="Arial" w:eastAsia="Arial" w:hAnsi="Arial"/>
                <w:sz w:val="16"/>
                <w:szCs w:val="16"/>
                <w:color w:val="auto"/>
              </w:rPr>
              <w:t>Adjustment for income from unconsolidated affiliates, net, included in</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3660" w:type="dxa"/>
            <w:vAlign w:val="bottom"/>
            <w:gridSpan w:val="2"/>
          </w:tcPr>
          <w:p>
            <w:pPr>
              <w:ind w:left="160"/>
              <w:spacing w:after="0"/>
              <w:rPr>
                <w:sz w:val="20"/>
                <w:szCs w:val="20"/>
                <w:color w:val="auto"/>
              </w:rPr>
            </w:pPr>
            <w:r>
              <w:rPr>
                <w:rFonts w:ascii="Arial" w:cs="Arial" w:eastAsia="Arial" w:hAnsi="Arial"/>
                <w:sz w:val="16"/>
                <w:szCs w:val="16"/>
                <w:color w:val="auto"/>
              </w:rPr>
              <w:t>Aviation and Government Services</w:t>
            </w: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2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0.9</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27.4%</w:t>
            </w:r>
          </w:p>
        </w:tc>
        <w:tc>
          <w:tcPr>
            <w:tcW w:w="0" w:type="dxa"/>
            <w:vAlign w:val="bottom"/>
          </w:tcPr>
          <w:p>
            <w:pPr>
              <w:spacing w:after="0"/>
              <w:rPr>
                <w:sz w:val="1"/>
                <w:szCs w:val="1"/>
                <w:color w:val="auto"/>
              </w:rPr>
            </w:pPr>
          </w:p>
        </w:tc>
      </w:tr>
      <w:tr>
        <w:trPr>
          <w:trHeight w:val="228"/>
        </w:trPr>
        <w:tc>
          <w:tcPr>
            <w:tcW w:w="5680" w:type="dxa"/>
            <w:vAlign w:val="bottom"/>
            <w:gridSpan w:val="7"/>
            <w:shd w:val="clear" w:color="auto" w:fill="DCE2EF"/>
          </w:tcPr>
          <w:p>
            <w:pPr>
              <w:ind w:left="40"/>
              <w:spacing w:after="0"/>
              <w:rPr>
                <w:sz w:val="20"/>
                <w:szCs w:val="20"/>
                <w:color w:val="auto"/>
              </w:rPr>
            </w:pPr>
            <w:r>
              <w:rPr>
                <w:rFonts w:ascii="Arial" w:cs="Arial" w:eastAsia="Arial" w:hAnsi="Arial"/>
                <w:sz w:val="16"/>
                <w:szCs w:val="16"/>
                <w:color w:val="auto"/>
              </w:rPr>
              <w:t>Adjustment for tax deductions for energy efficient government buildings,</w:t>
            </w:r>
          </w:p>
        </w:tc>
        <w:tc>
          <w:tcPr>
            <w:tcW w:w="200" w:type="dxa"/>
            <w:vAlign w:val="bottom"/>
            <w:shd w:val="clear" w:color="auto" w:fill="DCE2EF"/>
          </w:tcPr>
          <w:p>
            <w:pPr>
              <w:spacing w:after="0"/>
              <w:rPr>
                <w:sz w:val="19"/>
                <w:szCs w:val="19"/>
                <w:color w:val="auto"/>
              </w:rPr>
            </w:pPr>
          </w:p>
        </w:tc>
        <w:tc>
          <w:tcPr>
            <w:tcW w:w="106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500" w:type="dxa"/>
            <w:vAlign w:val="bottom"/>
            <w:shd w:val="clear" w:color="auto" w:fill="DCE2EF"/>
          </w:tcPr>
          <w:p>
            <w:pPr>
              <w:spacing w:after="0"/>
              <w:rPr>
                <w:sz w:val="19"/>
                <w:szCs w:val="19"/>
                <w:color w:val="auto"/>
              </w:rPr>
            </w:pPr>
          </w:p>
        </w:tc>
        <w:tc>
          <w:tcPr>
            <w:tcW w:w="100" w:type="dxa"/>
            <w:vAlign w:val="bottom"/>
            <w:shd w:val="clear" w:color="auto" w:fill="DCE2EF"/>
          </w:tcPr>
          <w:p>
            <w:pPr>
              <w:spacing w:after="0"/>
              <w:rPr>
                <w:sz w:val="19"/>
                <w:szCs w:val="19"/>
                <w:color w:val="auto"/>
              </w:rPr>
            </w:pPr>
          </w:p>
        </w:tc>
        <w:tc>
          <w:tcPr>
            <w:tcW w:w="920" w:type="dxa"/>
            <w:vAlign w:val="bottom"/>
            <w:shd w:val="clear" w:color="auto" w:fill="DCE2EF"/>
          </w:tcPr>
          <w:p>
            <w:pPr>
              <w:spacing w:after="0"/>
              <w:rPr>
                <w:sz w:val="19"/>
                <w:szCs w:val="19"/>
                <w:color w:val="auto"/>
              </w:rPr>
            </w:pPr>
          </w:p>
        </w:tc>
        <w:tc>
          <w:tcPr>
            <w:tcW w:w="120" w:type="dxa"/>
            <w:vAlign w:val="bottom"/>
            <w:shd w:val="clear" w:color="auto" w:fill="DCE2EF"/>
          </w:tcPr>
          <w:p>
            <w:pPr>
              <w:spacing w:after="0"/>
              <w:rPr>
                <w:sz w:val="19"/>
                <w:szCs w:val="19"/>
                <w:color w:val="auto"/>
              </w:rPr>
            </w:pPr>
          </w:p>
        </w:tc>
        <w:tc>
          <w:tcPr>
            <w:tcW w:w="160" w:type="dxa"/>
            <w:vAlign w:val="bottom"/>
            <w:shd w:val="clear" w:color="auto" w:fill="DCE2EF"/>
          </w:tcPr>
          <w:p>
            <w:pPr>
              <w:spacing w:after="0"/>
              <w:rPr>
                <w:sz w:val="19"/>
                <w:szCs w:val="19"/>
                <w:color w:val="auto"/>
              </w:rPr>
            </w:pPr>
          </w:p>
        </w:tc>
        <w:tc>
          <w:tcPr>
            <w:tcW w:w="1080" w:type="dxa"/>
            <w:vAlign w:val="bottom"/>
            <w:shd w:val="clear" w:color="auto" w:fill="DCE2EF"/>
          </w:tcPr>
          <w:p>
            <w:pPr>
              <w:spacing w:after="0"/>
              <w:rPr>
                <w:sz w:val="19"/>
                <w:szCs w:val="19"/>
                <w:color w:val="auto"/>
              </w:rPr>
            </w:pPr>
          </w:p>
        </w:tc>
        <w:tc>
          <w:tcPr>
            <w:tcW w:w="1460" w:type="dxa"/>
            <w:vAlign w:val="bottom"/>
            <w:shd w:val="clear" w:color="auto" w:fill="DCE2E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 w:type="dxa"/>
            <w:vAlign w:val="bottom"/>
            <w:shd w:val="clear" w:color="auto" w:fill="DCE2EF"/>
          </w:tcPr>
          <w:p>
            <w:pPr>
              <w:spacing w:after="0"/>
              <w:rPr>
                <w:sz w:val="18"/>
                <w:szCs w:val="18"/>
                <w:color w:val="auto"/>
              </w:rPr>
            </w:pPr>
          </w:p>
        </w:tc>
        <w:tc>
          <w:tcPr>
            <w:tcW w:w="3660" w:type="dxa"/>
            <w:vAlign w:val="bottom"/>
            <w:gridSpan w:val="2"/>
            <w:shd w:val="clear" w:color="auto" w:fill="DCE2EF"/>
          </w:tcPr>
          <w:p>
            <w:pPr>
              <w:ind w:left="160"/>
              <w:spacing w:after="0"/>
              <w:rPr>
                <w:sz w:val="20"/>
                <w:szCs w:val="20"/>
                <w:color w:val="auto"/>
              </w:rPr>
            </w:pPr>
            <w:r>
              <w:rPr>
                <w:rFonts w:ascii="Arial" w:cs="Arial" w:eastAsia="Arial" w:hAnsi="Arial"/>
                <w:sz w:val="16"/>
                <w:szCs w:val="16"/>
                <w:color w:val="auto"/>
              </w:rPr>
              <w:t>included in Technical Solutions</w:t>
            </w:r>
          </w:p>
        </w:tc>
        <w:tc>
          <w:tcPr>
            <w:tcW w:w="420" w:type="dxa"/>
            <w:vAlign w:val="bottom"/>
            <w:shd w:val="clear" w:color="auto" w:fill="DCE2EF"/>
          </w:tcPr>
          <w:p>
            <w:pPr>
              <w:spacing w:after="0"/>
              <w:rPr>
                <w:sz w:val="18"/>
                <w:szCs w:val="18"/>
                <w:color w:val="auto"/>
              </w:rPr>
            </w:pPr>
          </w:p>
        </w:tc>
        <w:tc>
          <w:tcPr>
            <w:tcW w:w="130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00" w:type="dxa"/>
            <w:vAlign w:val="bottom"/>
            <w:tcBorders>
              <w:bottom w:val="single" w:sz="8" w:color="auto"/>
            </w:tcBorders>
            <w:shd w:val="clear" w:color="auto" w:fill="DCE2EF"/>
          </w:tcPr>
          <w:p>
            <w:pPr>
              <w:spacing w:after="0"/>
              <w:rPr>
                <w:sz w:val="18"/>
                <w:szCs w:val="18"/>
                <w:color w:val="auto"/>
              </w:rPr>
            </w:pPr>
          </w:p>
        </w:tc>
        <w:tc>
          <w:tcPr>
            <w:tcW w:w="200" w:type="dxa"/>
            <w:vAlign w:val="bottom"/>
            <w:tcBorders>
              <w:bottom w:val="single" w:sz="8" w:color="auto"/>
            </w:tcBorders>
            <w:shd w:val="clear" w:color="auto" w:fill="DCE2EF"/>
          </w:tcPr>
          <w:p>
            <w:pPr>
              <w:spacing w:after="0"/>
              <w:rPr>
                <w:sz w:val="18"/>
                <w:szCs w:val="18"/>
                <w:color w:val="auto"/>
              </w:rPr>
            </w:pPr>
          </w:p>
        </w:tc>
        <w:tc>
          <w:tcPr>
            <w:tcW w:w="1060" w:type="dxa"/>
            <w:vAlign w:val="bottom"/>
            <w:tcBorders>
              <w:bottom w:val="single" w:sz="8" w:color="auto"/>
            </w:tcBorders>
            <w:shd w:val="clear" w:color="auto" w:fill="DCE2EF"/>
          </w:tcPr>
          <w:p>
            <w:pPr>
              <w:jc w:val="right"/>
              <w:ind w:right="20"/>
              <w:spacing w:after="0"/>
              <w:rPr>
                <w:sz w:val="20"/>
                <w:szCs w:val="20"/>
                <w:color w:val="auto"/>
              </w:rPr>
            </w:pPr>
            <w:r>
              <w:rPr>
                <w:rFonts w:ascii="Arial" w:cs="Arial" w:eastAsia="Arial" w:hAnsi="Arial"/>
                <w:sz w:val="16"/>
                <w:szCs w:val="16"/>
                <w:color w:val="auto"/>
              </w:rPr>
              <w:t>(2.6)</w:t>
            </w:r>
          </w:p>
        </w:tc>
        <w:tc>
          <w:tcPr>
            <w:tcW w:w="120" w:type="dxa"/>
            <w:vAlign w:val="bottom"/>
            <w:shd w:val="clear" w:color="auto" w:fill="DCE2EF"/>
          </w:tcPr>
          <w:p>
            <w:pPr>
              <w:spacing w:after="0"/>
              <w:rPr>
                <w:sz w:val="18"/>
                <w:szCs w:val="18"/>
                <w:color w:val="auto"/>
              </w:rPr>
            </w:pPr>
          </w:p>
        </w:tc>
        <w:tc>
          <w:tcPr>
            <w:tcW w:w="500" w:type="dxa"/>
            <w:vAlign w:val="bottom"/>
            <w:tcBorders>
              <w:bottom w:val="single" w:sz="8" w:color="auto"/>
            </w:tcBorders>
            <w:shd w:val="clear" w:color="auto" w:fill="DCE2EF"/>
          </w:tcPr>
          <w:p>
            <w:pPr>
              <w:spacing w:after="0"/>
              <w:rPr>
                <w:sz w:val="18"/>
                <w:szCs w:val="18"/>
                <w:color w:val="auto"/>
              </w:rPr>
            </w:pPr>
          </w:p>
        </w:tc>
        <w:tc>
          <w:tcPr>
            <w:tcW w:w="1020" w:type="dxa"/>
            <w:vAlign w:val="bottom"/>
            <w:tcBorders>
              <w:bottom w:val="single" w:sz="8" w:color="auto"/>
            </w:tcBorders>
            <w:gridSpan w:val="2"/>
            <w:shd w:val="clear" w:color="auto" w:fill="DCE2EF"/>
          </w:tcPr>
          <w:p>
            <w:pPr>
              <w:jc w:val="right"/>
              <w:ind w:right="100"/>
              <w:spacing w:after="0"/>
              <w:rPr>
                <w:sz w:val="20"/>
                <w:szCs w:val="20"/>
                <w:color w:val="auto"/>
              </w:rPr>
            </w:pPr>
            <w:r>
              <w:rPr>
                <w:rFonts w:ascii="Arial" w:cs="Arial" w:eastAsia="Arial" w:hAnsi="Arial"/>
                <w:sz w:val="16"/>
                <w:szCs w:val="16"/>
                <w:color w:val="auto"/>
              </w:rPr>
              <w:t>(1.8)</w:t>
            </w:r>
          </w:p>
        </w:tc>
        <w:tc>
          <w:tcPr>
            <w:tcW w:w="120" w:type="dxa"/>
            <w:vAlign w:val="bottom"/>
            <w:shd w:val="clear" w:color="auto" w:fill="DCE2EF"/>
          </w:tcPr>
          <w:p>
            <w:pPr>
              <w:spacing w:after="0"/>
              <w:rPr>
                <w:sz w:val="18"/>
                <w:szCs w:val="18"/>
                <w:color w:val="auto"/>
              </w:rPr>
            </w:pPr>
          </w:p>
        </w:tc>
        <w:tc>
          <w:tcPr>
            <w:tcW w:w="160" w:type="dxa"/>
            <w:vAlign w:val="bottom"/>
            <w:tcBorders>
              <w:bottom w:val="single" w:sz="8" w:color="auto"/>
            </w:tcBorders>
            <w:shd w:val="clear" w:color="auto" w:fill="DCE2EF"/>
          </w:tcPr>
          <w:p>
            <w:pPr>
              <w:spacing w:after="0"/>
              <w:rPr>
                <w:sz w:val="18"/>
                <w:szCs w:val="18"/>
                <w:color w:val="auto"/>
              </w:rPr>
            </w:pPr>
          </w:p>
        </w:tc>
        <w:tc>
          <w:tcPr>
            <w:tcW w:w="1080" w:type="dxa"/>
            <w:vAlign w:val="bottom"/>
            <w:tcBorders>
              <w:bottom w:val="single" w:sz="8" w:color="auto"/>
            </w:tcBorders>
            <w:shd w:val="clear" w:color="auto" w:fill="DCE2EF"/>
          </w:tcPr>
          <w:p>
            <w:pPr>
              <w:jc w:val="right"/>
              <w:spacing w:after="0"/>
              <w:rPr>
                <w:sz w:val="20"/>
                <w:szCs w:val="20"/>
                <w:color w:val="auto"/>
              </w:rPr>
            </w:pPr>
            <w:r>
              <w:rPr>
                <w:rFonts w:ascii="Arial" w:cs="Arial" w:eastAsia="Arial" w:hAnsi="Arial"/>
                <w:sz w:val="16"/>
                <w:szCs w:val="16"/>
                <w:color w:val="auto"/>
              </w:rPr>
              <w:t>(0.8)</w:t>
            </w:r>
          </w:p>
        </w:tc>
        <w:tc>
          <w:tcPr>
            <w:tcW w:w="1460" w:type="dxa"/>
            <w:vAlign w:val="bottom"/>
            <w:shd w:val="clear" w:color="auto" w:fill="DCE2EF"/>
          </w:tcPr>
          <w:p>
            <w:pPr>
              <w:jc w:val="center"/>
              <w:ind w:left="18"/>
              <w:spacing w:after="0"/>
              <w:rPr>
                <w:sz w:val="20"/>
                <w:szCs w:val="20"/>
                <w:color w:val="auto"/>
              </w:rPr>
            </w:pPr>
            <w:r>
              <w:rPr>
                <w:rFonts w:ascii="Arial" w:cs="Arial" w:eastAsia="Arial" w:hAnsi="Arial"/>
                <w:sz w:val="16"/>
                <w:szCs w:val="16"/>
                <w:color w:val="auto"/>
                <w:w w:val="99"/>
              </w:rPr>
              <w:t>(48.8)%</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ind w:right="80"/>
              <w:spacing w:after="0"/>
              <w:rPr>
                <w:sz w:val="20"/>
                <w:szCs w:val="20"/>
                <w:color w:val="auto"/>
              </w:rPr>
            </w:pPr>
            <w:r>
              <w:rPr>
                <w:rFonts w:ascii="Arial" w:cs="Arial" w:eastAsia="Arial" w:hAnsi="Arial"/>
                <w:sz w:val="16"/>
                <w:szCs w:val="16"/>
                <w:color w:val="auto"/>
              </w:rPr>
              <w:t>112.9</w:t>
            </w:r>
          </w:p>
        </w:tc>
        <w:tc>
          <w:tcPr>
            <w:tcW w:w="62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97.4</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1"/>
              <w:spacing w:after="0"/>
              <w:rPr>
                <w:sz w:val="20"/>
                <w:szCs w:val="20"/>
                <w:color w:val="auto"/>
              </w:rPr>
            </w:pPr>
            <w:r>
              <w:rPr>
                <w:rFonts w:ascii="Arial" w:cs="Arial" w:eastAsia="Arial" w:hAnsi="Arial"/>
                <w:sz w:val="16"/>
                <w:szCs w:val="16"/>
                <w:color w:val="auto"/>
              </w:rPr>
              <w:t>15.5</w:t>
            </w:r>
          </w:p>
        </w:tc>
        <w:tc>
          <w:tcPr>
            <w:tcW w:w="1460" w:type="dxa"/>
            <w:vAlign w:val="bottom"/>
          </w:tcPr>
          <w:p>
            <w:pPr>
              <w:jc w:val="center"/>
              <w:ind w:left="38"/>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20"/>
        </w:trPr>
        <w:tc>
          <w:tcPr>
            <w:tcW w:w="3700" w:type="dxa"/>
            <w:vAlign w:val="bottom"/>
            <w:gridSpan w:val="3"/>
            <w:vMerge w:val="restart"/>
          </w:tcPr>
          <w:p>
            <w:pPr>
              <w:ind w:left="40"/>
              <w:spacing w:after="0"/>
              <w:rPr>
                <w:sz w:val="20"/>
                <w:szCs w:val="20"/>
                <w:color w:val="auto"/>
              </w:rPr>
            </w:pPr>
            <w:r>
              <w:rPr>
                <w:rFonts w:ascii="Arial" w:cs="Arial" w:eastAsia="Arial" w:hAnsi="Arial"/>
                <w:sz w:val="16"/>
                <w:szCs w:val="16"/>
                <w:color w:val="auto"/>
              </w:rPr>
              <w:t>*Not meaningful</w:t>
            </w: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700" w:type="dxa"/>
            <w:vAlign w:val="bottom"/>
            <w:gridSpan w:val="3"/>
            <w:vMerge w:val="continue"/>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Business &amp; Industry</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Nine Months Ended July 31,</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Pr>
          <w:p>
            <w:pPr>
              <w:spacing w:after="0"/>
              <w:rPr>
                <w:sz w:val="19"/>
                <w:szCs w:val="19"/>
                <w:color w:val="auto"/>
              </w:rPr>
            </w:pPr>
          </w:p>
        </w:tc>
        <w:tc>
          <w:tcPr>
            <w:tcW w:w="1300" w:type="dxa"/>
            <w:vAlign w:val="bottom"/>
          </w:tcPr>
          <w:p>
            <w:pPr>
              <w:jc w:val="right"/>
              <w:ind w:right="496"/>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20" w:type="dxa"/>
            <w:vAlign w:val="bottom"/>
            <w:gridSpan w:val="4"/>
          </w:tcPr>
          <w:p>
            <w:pPr>
              <w:ind w:left="60"/>
              <w:spacing w:after="0"/>
              <w:rPr>
                <w:sz w:val="20"/>
                <w:szCs w:val="20"/>
                <w:color w:val="auto"/>
              </w:rPr>
            </w:pPr>
            <w:r>
              <w:rPr>
                <w:rFonts w:ascii="Arial" w:cs="Arial" w:eastAsia="Arial" w:hAnsi="Arial"/>
                <w:sz w:val="18"/>
                <w:szCs w:val="18"/>
                <w:b w:val="1"/>
                <w:bCs w:val="1"/>
                <w:color w:val="auto"/>
              </w:rPr>
              <w:t>Increase / (Decrease)</w:t>
            </w:r>
          </w:p>
        </w:tc>
        <w:tc>
          <w:tcPr>
            <w:tcW w:w="0" w:type="dxa"/>
            <w:vAlign w:val="bottom"/>
          </w:tcPr>
          <w:p>
            <w:pPr>
              <w:spacing w:after="0"/>
              <w:rPr>
                <w:sz w:val="1"/>
                <w:szCs w:val="1"/>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2,180.5</w:t>
            </w:r>
          </w:p>
        </w:tc>
        <w:tc>
          <w:tcPr>
            <w:tcW w:w="160" w:type="dxa"/>
            <w:vAlign w:val="bottom"/>
            <w:shd w:val="clear" w:color="auto" w:fill="DCE2EF"/>
          </w:tcPr>
          <w:p>
            <w:pPr>
              <w:spacing w:after="0"/>
              <w:rPr>
                <w:sz w:val="22"/>
                <w:szCs w:val="22"/>
                <w:color w:val="auto"/>
              </w:rPr>
            </w:pPr>
          </w:p>
        </w:tc>
        <w:tc>
          <w:tcPr>
            <w:tcW w:w="100" w:type="dxa"/>
            <w:vAlign w:val="bottom"/>
            <w:shd w:val="clear" w:color="auto" w:fill="DCE2EF"/>
          </w:tcPr>
          <w:p>
            <w:pPr>
              <w:spacing w:after="0"/>
              <w:rPr>
                <w:sz w:val="22"/>
                <w:szCs w:val="22"/>
                <w:color w:val="auto"/>
              </w:rPr>
            </w:pPr>
          </w:p>
        </w:tc>
        <w:tc>
          <w:tcPr>
            <w:tcW w:w="200" w:type="dxa"/>
            <w:vAlign w:val="bottom"/>
            <w:shd w:val="clear" w:color="auto" w:fill="DCE2E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3"/>
            <w:shd w:val="clear" w:color="auto" w:fill="DCE2EF"/>
          </w:tcPr>
          <w:p>
            <w:pPr>
              <w:jc w:val="right"/>
              <w:ind w:right="160"/>
              <w:spacing w:after="0"/>
              <w:rPr>
                <w:sz w:val="20"/>
                <w:szCs w:val="20"/>
                <w:color w:val="auto"/>
              </w:rPr>
            </w:pPr>
            <w:r>
              <w:rPr>
                <w:rFonts w:ascii="Arial" w:cs="Arial" w:eastAsia="Arial" w:hAnsi="Arial"/>
                <w:sz w:val="18"/>
                <w:szCs w:val="18"/>
                <w:color w:val="auto"/>
              </w:rPr>
              <w:t>1,945.6</w:t>
            </w:r>
          </w:p>
        </w:tc>
        <w:tc>
          <w:tcPr>
            <w:tcW w:w="1020" w:type="dxa"/>
            <w:vAlign w:val="bottom"/>
            <w:gridSpan w:val="2"/>
            <w:shd w:val="clear" w:color="auto" w:fill="DCE2EF"/>
          </w:tcPr>
          <w:p>
            <w:pPr>
              <w:jc w:val="right"/>
              <w:ind w:right="780"/>
              <w:spacing w:after="0"/>
              <w:rPr>
                <w:sz w:val="20"/>
                <w:szCs w:val="20"/>
                <w:color w:val="auto"/>
              </w:rPr>
            </w:pPr>
            <w:r>
              <w:rPr>
                <w:rFonts w:ascii="Arial" w:cs="Arial" w:eastAsia="Arial" w:hAnsi="Arial"/>
                <w:sz w:val="18"/>
                <w:szCs w:val="18"/>
                <w:color w:val="auto"/>
              </w:rPr>
              <w:t>$</w:t>
            </w:r>
          </w:p>
        </w:tc>
        <w:tc>
          <w:tcPr>
            <w:tcW w:w="120" w:type="dxa"/>
            <w:vAlign w:val="bottom"/>
            <w:shd w:val="clear" w:color="auto" w:fill="DCE2EF"/>
          </w:tcPr>
          <w:p>
            <w:pPr>
              <w:spacing w:after="0"/>
              <w:rPr>
                <w:sz w:val="22"/>
                <w:szCs w:val="22"/>
                <w:color w:val="auto"/>
              </w:rPr>
            </w:pPr>
          </w:p>
        </w:tc>
        <w:tc>
          <w:tcPr>
            <w:tcW w:w="160" w:type="dxa"/>
            <w:vAlign w:val="bottom"/>
            <w:shd w:val="clear" w:color="auto" w:fill="DCE2EF"/>
          </w:tcPr>
          <w:p>
            <w:pPr>
              <w:spacing w:after="0"/>
              <w:rPr>
                <w:sz w:val="22"/>
                <w:szCs w:val="22"/>
                <w:color w:val="auto"/>
              </w:rPr>
            </w:pPr>
          </w:p>
        </w:tc>
        <w:tc>
          <w:tcPr>
            <w:tcW w:w="1080" w:type="dxa"/>
            <w:vAlign w:val="bottom"/>
            <w:shd w:val="clear" w:color="auto" w:fill="DCE2EF"/>
          </w:tcPr>
          <w:p>
            <w:pPr>
              <w:jc w:val="right"/>
              <w:ind w:right="481"/>
              <w:spacing w:after="0"/>
              <w:rPr>
                <w:sz w:val="20"/>
                <w:szCs w:val="20"/>
                <w:color w:val="auto"/>
              </w:rPr>
            </w:pPr>
            <w:r>
              <w:rPr>
                <w:rFonts w:ascii="Arial" w:cs="Arial" w:eastAsia="Arial" w:hAnsi="Arial"/>
                <w:sz w:val="18"/>
                <w:szCs w:val="18"/>
                <w:color w:val="auto"/>
              </w:rPr>
              <w:t>234.9</w:t>
            </w:r>
          </w:p>
        </w:tc>
        <w:tc>
          <w:tcPr>
            <w:tcW w:w="1460" w:type="dxa"/>
            <w:vAlign w:val="bottom"/>
            <w:shd w:val="clear" w:color="auto" w:fill="DCE2EF"/>
          </w:tcPr>
          <w:p>
            <w:pPr>
              <w:ind w:left="3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0"/>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111.0</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100.4</w:t>
            </w: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ind w:right="481"/>
              <w:spacing w:after="0"/>
              <w:rPr>
                <w:sz w:val="20"/>
                <w:szCs w:val="20"/>
                <w:color w:val="auto"/>
              </w:rPr>
            </w:pPr>
            <w:r>
              <w:rPr>
                <w:rFonts w:ascii="Arial" w:cs="Arial" w:eastAsia="Arial" w:hAnsi="Arial"/>
                <w:sz w:val="18"/>
                <w:szCs w:val="18"/>
                <w:color w:val="auto"/>
              </w:rPr>
              <w:t>10.6</w:t>
            </w:r>
          </w:p>
        </w:tc>
        <w:tc>
          <w:tcPr>
            <w:tcW w:w="1460" w:type="dxa"/>
            <w:vAlign w:val="bottom"/>
          </w:tcPr>
          <w:p>
            <w:pPr>
              <w:ind w:left="3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0"/>
        </w:trPr>
        <w:tc>
          <w:tcPr>
            <w:tcW w:w="40" w:type="dxa"/>
            <w:vAlign w:val="bottom"/>
            <w:shd w:val="clear" w:color="auto" w:fill="DCE2EF"/>
          </w:tcPr>
          <w:p>
            <w:pPr>
              <w:spacing w:after="0"/>
              <w:rPr>
                <w:sz w:val="23"/>
                <w:szCs w:val="23"/>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3"/>
                <w:szCs w:val="23"/>
                <w:color w:val="auto"/>
              </w:rPr>
            </w:pPr>
          </w:p>
        </w:tc>
        <w:tc>
          <w:tcPr>
            <w:tcW w:w="1460" w:type="dxa"/>
            <w:vAlign w:val="bottom"/>
            <w:gridSpan w:val="2"/>
            <w:shd w:val="clear" w:color="auto" w:fill="DCE2EF"/>
          </w:tcPr>
          <w:p>
            <w:pPr>
              <w:jc w:val="right"/>
              <w:ind w:right="40"/>
              <w:spacing w:after="0"/>
              <w:rPr>
                <w:sz w:val="20"/>
                <w:szCs w:val="20"/>
                <w:color w:val="auto"/>
              </w:rPr>
            </w:pPr>
            <w:r>
              <w:rPr>
                <w:rFonts w:ascii="Arial" w:cs="Arial" w:eastAsia="Arial" w:hAnsi="Arial"/>
                <w:sz w:val="14"/>
                <w:szCs w:val="14"/>
                <w:i w:val="1"/>
                <w:iCs w:val="1"/>
                <w:color w:val="auto"/>
              </w:rPr>
              <w:t>5.1%</w:t>
            </w:r>
          </w:p>
        </w:tc>
        <w:tc>
          <w:tcPr>
            <w:tcW w:w="100" w:type="dxa"/>
            <w:vAlign w:val="bottom"/>
            <w:shd w:val="clear" w:color="auto" w:fill="DCE2EF"/>
          </w:tcPr>
          <w:p>
            <w:pPr>
              <w:spacing w:after="0"/>
              <w:rPr>
                <w:sz w:val="23"/>
                <w:szCs w:val="23"/>
                <w:color w:val="auto"/>
              </w:rPr>
            </w:pPr>
          </w:p>
        </w:tc>
        <w:tc>
          <w:tcPr>
            <w:tcW w:w="200" w:type="dxa"/>
            <w:vAlign w:val="bottom"/>
            <w:shd w:val="clear" w:color="auto" w:fill="DCE2EF"/>
          </w:tcPr>
          <w:p>
            <w:pPr>
              <w:spacing w:after="0"/>
              <w:rPr>
                <w:sz w:val="23"/>
                <w:szCs w:val="23"/>
                <w:color w:val="auto"/>
              </w:rPr>
            </w:pPr>
          </w:p>
        </w:tc>
        <w:tc>
          <w:tcPr>
            <w:tcW w:w="1060" w:type="dxa"/>
            <w:vAlign w:val="bottom"/>
            <w:shd w:val="clear" w:color="auto" w:fill="DCE2EF"/>
          </w:tcPr>
          <w:p>
            <w:pPr>
              <w:spacing w:after="0"/>
              <w:rPr>
                <w:sz w:val="23"/>
                <w:szCs w:val="23"/>
                <w:color w:val="auto"/>
              </w:rPr>
            </w:pPr>
          </w:p>
        </w:tc>
        <w:tc>
          <w:tcPr>
            <w:tcW w:w="620" w:type="dxa"/>
            <w:vAlign w:val="bottom"/>
            <w:gridSpan w:val="2"/>
            <w:shd w:val="clear" w:color="auto" w:fill="DCE2EF"/>
          </w:tcPr>
          <w:p>
            <w:pPr>
              <w:jc w:val="right"/>
              <w:ind w:right="40"/>
              <w:spacing w:after="0"/>
              <w:rPr>
                <w:sz w:val="20"/>
                <w:szCs w:val="20"/>
                <w:color w:val="auto"/>
              </w:rPr>
            </w:pPr>
            <w:r>
              <w:rPr>
                <w:rFonts w:ascii="Arial" w:cs="Arial" w:eastAsia="Arial" w:hAnsi="Arial"/>
                <w:sz w:val="14"/>
                <w:szCs w:val="14"/>
                <w:i w:val="1"/>
                <w:iCs w:val="1"/>
                <w:color w:val="auto"/>
              </w:rPr>
              <w:t>5.2%</w:t>
            </w:r>
          </w:p>
        </w:tc>
        <w:tc>
          <w:tcPr>
            <w:tcW w:w="100" w:type="dxa"/>
            <w:vAlign w:val="bottom"/>
            <w:shd w:val="clear" w:color="auto" w:fill="DCE2EF"/>
          </w:tcPr>
          <w:p>
            <w:pPr>
              <w:spacing w:after="0"/>
              <w:rPr>
                <w:sz w:val="23"/>
                <w:szCs w:val="23"/>
                <w:color w:val="auto"/>
              </w:rPr>
            </w:pPr>
          </w:p>
        </w:tc>
        <w:tc>
          <w:tcPr>
            <w:tcW w:w="920" w:type="dxa"/>
            <w:vAlign w:val="bottom"/>
            <w:shd w:val="clear" w:color="auto" w:fill="DCE2EF"/>
          </w:tcPr>
          <w:p>
            <w:pPr>
              <w:spacing w:after="0"/>
              <w:rPr>
                <w:sz w:val="23"/>
                <w:szCs w:val="23"/>
                <w:color w:val="auto"/>
              </w:rPr>
            </w:pPr>
          </w:p>
        </w:tc>
        <w:tc>
          <w:tcPr>
            <w:tcW w:w="120" w:type="dxa"/>
            <w:vAlign w:val="bottom"/>
            <w:shd w:val="clear" w:color="auto" w:fill="DCE2EF"/>
          </w:tcPr>
          <w:p>
            <w:pPr>
              <w:spacing w:after="0"/>
              <w:rPr>
                <w:sz w:val="23"/>
                <w:szCs w:val="23"/>
                <w:color w:val="auto"/>
              </w:rPr>
            </w:pPr>
          </w:p>
        </w:tc>
        <w:tc>
          <w:tcPr>
            <w:tcW w:w="160" w:type="dxa"/>
            <w:vAlign w:val="bottom"/>
            <w:shd w:val="clear" w:color="auto" w:fill="DCE2EF"/>
          </w:tcPr>
          <w:p>
            <w:pPr>
              <w:spacing w:after="0"/>
              <w:rPr>
                <w:sz w:val="23"/>
                <w:szCs w:val="23"/>
                <w:color w:val="auto"/>
              </w:rPr>
            </w:pPr>
          </w:p>
        </w:tc>
        <w:tc>
          <w:tcPr>
            <w:tcW w:w="1080" w:type="dxa"/>
            <w:vAlign w:val="bottom"/>
            <w:shd w:val="clear" w:color="auto" w:fill="DCE2EF"/>
          </w:tcPr>
          <w:p>
            <w:pPr>
              <w:jc w:val="right"/>
              <w:ind w:right="481"/>
              <w:spacing w:after="0"/>
              <w:rPr>
                <w:sz w:val="20"/>
                <w:szCs w:val="20"/>
                <w:color w:val="auto"/>
              </w:rPr>
            </w:pPr>
            <w:r>
              <w:rPr>
                <w:rFonts w:ascii="Arial" w:cs="Arial" w:eastAsia="Arial" w:hAnsi="Arial"/>
                <w:sz w:val="14"/>
                <w:szCs w:val="14"/>
                <w:i w:val="1"/>
                <w:iCs w:val="1"/>
                <w:color w:val="auto"/>
              </w:rPr>
              <w:t>(7) bps</w:t>
            </w:r>
          </w:p>
        </w:tc>
        <w:tc>
          <w:tcPr>
            <w:tcW w:w="1460" w:type="dxa"/>
            <w:vAlign w:val="bottom"/>
            <w:shd w:val="clear" w:color="auto" w:fill="DCE2EF"/>
          </w:tcPr>
          <w:p>
            <w:pPr>
              <w:spacing w:after="0"/>
              <w:rPr>
                <w:sz w:val="23"/>
                <w:szCs w:val="23"/>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180" w:hanging="172"/>
        <w:spacing w:after="0"/>
        <w:tabs>
          <w:tab w:leader="none" w:pos="180"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color w:val="auto"/>
        </w:rPr>
        <w:t>The nine months ended July 31, 2018 includes $5.6 million of amortization expense related to the GCA acquisition.</w:t>
      </w:r>
    </w:p>
    <w:p>
      <w:pPr>
        <w:spacing w:after="0" w:line="16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B&amp;I revenues increased by $234.9 million, or 12.1%, during the nine months ended July 31, 2018, as compared to the nine months ended July 31, 2017. The increase was primarily attributable to incremental revenues from the GCA acquisition of $128.5 million and to net new business, including new contract wins in the U.K., expansion of certain existing accounts, and organic growth. Management reimbursement revenues for this segment totaled $191.4 million and $175.2 million for the nine months ended July 31, 2018 and 2017, respectively.</w:t>
      </w:r>
    </w:p>
    <w:p>
      <w:pPr>
        <w:sectPr>
          <w:pgSz w:w="11900" w:h="16838" w:orient="portrait"/>
          <w:cols w:equalWidth="0" w:num="1">
            <w:col w:w="11420"/>
          </w:cols>
          <w:pgMar w:left="240" w:top="36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420"/>
          </w:cols>
          <w:pgMar w:left="240" w:top="360" w:right="239" w:bottom="1440" w:gutter="0" w:footer="0" w:header="0"/>
          <w:type w:val="continuous"/>
        </w:sectPr>
      </w:pPr>
    </w:p>
    <w:bookmarkStart w:id="41" w:name="page42"/>
    <w:bookmarkEnd w:id="41"/>
    <w:p>
      <w:pPr>
        <w:jc w:val="both"/>
        <w:ind w:firstLine="648"/>
        <w:spacing w:after="0" w:line="252" w:lineRule="auto"/>
        <w:rPr>
          <w:sz w:val="20"/>
          <w:szCs w:val="20"/>
          <w:color w:val="auto"/>
        </w:rPr>
      </w:pPr>
      <w:r>
        <w:rPr>
          <w:rFonts w:ascii="Arial" w:cs="Arial" w:eastAsia="Arial" w:hAnsi="Arial"/>
          <w:sz w:val="18"/>
          <w:szCs w:val="18"/>
          <w:color w:val="auto"/>
        </w:rPr>
        <w:t>Operating profit increased by $10.6 million, or 10.5%, during the nine months ended July 31, 2018, as compared to the nine months ended July 31, 2017. Operating profit margin decreased slightly by 7 bps to 5.1% in the nine months ended July 31, 2018 from 5.2% in the nine months ended July 31, 2017. Operating profit margin was impacted by lower margins on certain janitorial accounts and Vehicle Services Contracts, as well as an increase in amortization expense related to the GCA acquisition, partially offset by the management of selling, general and administrative expenses. While labor challenges are present in certain areas of our B&amp;I business, it is our most mature business and has the highest proportion of unionized labor.</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Aviation</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jc w:val="right"/>
              <w:ind w:right="74"/>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4"/>
        </w:trPr>
        <w:tc>
          <w:tcPr>
            <w:tcW w:w="4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758.3</w:t>
            </w:r>
          </w:p>
        </w:tc>
        <w:tc>
          <w:tcPr>
            <w:tcW w:w="10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722.9</w:t>
            </w:r>
          </w:p>
        </w:tc>
        <w:tc>
          <w:tcPr>
            <w:tcW w:w="100" w:type="dxa"/>
            <w:vAlign w:val="bottom"/>
            <w:tcBorders>
              <w:bottom w:val="single" w:sz="8" w:color="DCE2EF"/>
            </w:tcBorders>
            <w:shd w:val="clear" w:color="auto" w:fill="DCE2EF"/>
          </w:tcPr>
          <w:p>
            <w:pPr>
              <w:spacing w:after="0"/>
              <w:rPr>
                <w:sz w:val="21"/>
                <w:szCs w:val="21"/>
                <w:color w:val="auto"/>
              </w:rPr>
            </w:pPr>
          </w:p>
        </w:tc>
        <w:tc>
          <w:tcPr>
            <w:tcW w:w="720" w:type="dxa"/>
            <w:vAlign w:val="bottom"/>
            <w:tcBorders>
              <w:bottom w:val="single" w:sz="8" w:color="DCE2EF"/>
            </w:tcBorders>
            <w:shd w:val="clear" w:color="auto" w:fill="DCE2EF"/>
          </w:tcPr>
          <w:p>
            <w:pPr>
              <w:jc w:val="right"/>
              <w:ind w:right="4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DCE2EF"/>
            </w:tcBorders>
            <w:shd w:val="clear" w:color="auto" w:fill="DCE2EF"/>
          </w:tcPr>
          <w:p>
            <w:pPr>
              <w:jc w:val="right"/>
              <w:ind w:right="614"/>
              <w:spacing w:after="0"/>
              <w:rPr>
                <w:sz w:val="20"/>
                <w:szCs w:val="20"/>
                <w:color w:val="auto"/>
              </w:rPr>
            </w:pPr>
            <w:r>
              <w:rPr>
                <w:rFonts w:ascii="Arial" w:cs="Arial" w:eastAsia="Arial" w:hAnsi="Arial"/>
                <w:sz w:val="18"/>
                <w:szCs w:val="18"/>
                <w:color w:val="auto"/>
              </w:rPr>
              <w:t>35.4</w:t>
            </w:r>
          </w:p>
        </w:tc>
        <w:tc>
          <w:tcPr>
            <w:tcW w:w="1320" w:type="dxa"/>
            <w:vAlign w:val="bottom"/>
            <w:tcBorders>
              <w:bottom w:val="single" w:sz="8" w:color="DCE2EF"/>
            </w:tcBorders>
            <w:shd w:val="clear" w:color="auto" w:fill="DCE2EF"/>
          </w:tcPr>
          <w:p>
            <w:pPr>
              <w:jc w:val="right"/>
              <w:ind w:right="610"/>
              <w:spacing w:after="0"/>
              <w:rPr>
                <w:sz w:val="20"/>
                <w:szCs w:val="20"/>
                <w:color w:val="auto"/>
              </w:rPr>
            </w:pPr>
            <w:r>
              <w:rPr>
                <w:rFonts w:ascii="Arial" w:cs="Arial" w:eastAsia="Arial" w:hAnsi="Arial"/>
                <w:sz w:val="18"/>
                <w:szCs w:val="18"/>
                <w:color w:val="auto"/>
              </w:rPr>
              <w:t>4.9%</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700" w:type="dxa"/>
            <w:vAlign w:val="bottom"/>
          </w:tcPr>
          <w:p>
            <w:pPr>
              <w:jc w:val="right"/>
              <w:ind w:right="614"/>
              <w:spacing w:after="0"/>
              <w:rPr>
                <w:sz w:val="20"/>
                <w:szCs w:val="20"/>
                <w:color w:val="auto"/>
              </w:rPr>
            </w:pPr>
            <w:r>
              <w:rPr>
                <w:rFonts w:ascii="Arial" w:cs="Arial" w:eastAsia="Arial" w:hAnsi="Arial"/>
                <w:sz w:val="18"/>
                <w:szCs w:val="18"/>
                <w:color w:val="auto"/>
              </w:rPr>
              <w:t>3.8</w:t>
            </w:r>
          </w:p>
        </w:tc>
        <w:tc>
          <w:tcPr>
            <w:tcW w:w="1320" w:type="dxa"/>
            <w:vAlign w:val="bottom"/>
          </w:tcPr>
          <w:p>
            <w:pPr>
              <w:jc w:val="right"/>
              <w:ind w:right="550"/>
              <w:spacing w:after="0"/>
              <w:rPr>
                <w:sz w:val="20"/>
                <w:szCs w:val="20"/>
                <w:color w:val="auto"/>
              </w:rPr>
            </w:pPr>
            <w:r>
              <w:rPr>
                <w:rFonts w:ascii="Arial" w:cs="Arial" w:eastAsia="Arial" w:hAnsi="Arial"/>
                <w:sz w:val="18"/>
                <w:szCs w:val="18"/>
                <w:color w:val="auto"/>
              </w:rPr>
              <w:t>23.0%</w:t>
            </w:r>
          </w:p>
        </w:tc>
      </w:tr>
      <w:tr>
        <w:trPr>
          <w:trHeight w:val="250"/>
        </w:trPr>
        <w:tc>
          <w:tcPr>
            <w:tcW w:w="4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2.7%</w:t>
            </w:r>
          </w:p>
        </w:tc>
        <w:tc>
          <w:tcPr>
            <w:tcW w:w="100" w:type="dxa"/>
            <w:vAlign w:val="bottom"/>
            <w:shd w:val="clear" w:color="auto" w:fill="DCE2EF"/>
          </w:tcPr>
          <w:p>
            <w:pPr>
              <w:spacing w:after="0"/>
              <w:rPr>
                <w:sz w:val="21"/>
                <w:szCs w:val="21"/>
                <w:color w:val="auto"/>
              </w:rPr>
            </w:pP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2.3%</w:t>
            </w:r>
          </w:p>
        </w:tc>
        <w:tc>
          <w:tcPr>
            <w:tcW w:w="100" w:type="dxa"/>
            <w:vAlign w:val="bottom"/>
            <w:shd w:val="clear" w:color="auto" w:fill="DCE2EF"/>
          </w:tcPr>
          <w:p>
            <w:pPr>
              <w:spacing w:after="0"/>
              <w:rPr>
                <w:sz w:val="21"/>
                <w:szCs w:val="21"/>
                <w:color w:val="auto"/>
              </w:rPr>
            </w:pPr>
          </w:p>
        </w:tc>
        <w:tc>
          <w:tcPr>
            <w:tcW w:w="720" w:type="dxa"/>
            <w:vAlign w:val="bottom"/>
            <w:shd w:val="clear" w:color="auto" w:fill="DCE2EF"/>
          </w:tcPr>
          <w:p>
            <w:pPr>
              <w:spacing w:after="0"/>
              <w:rPr>
                <w:sz w:val="21"/>
                <w:szCs w:val="21"/>
                <w:color w:val="auto"/>
              </w:rPr>
            </w:pPr>
          </w:p>
        </w:tc>
        <w:tc>
          <w:tcPr>
            <w:tcW w:w="1700" w:type="dxa"/>
            <w:vAlign w:val="bottom"/>
            <w:shd w:val="clear" w:color="auto" w:fill="DCE2EF"/>
          </w:tcPr>
          <w:p>
            <w:pPr>
              <w:jc w:val="right"/>
              <w:ind w:right="614"/>
              <w:spacing w:after="0"/>
              <w:rPr>
                <w:sz w:val="20"/>
                <w:szCs w:val="20"/>
                <w:color w:val="auto"/>
              </w:rPr>
            </w:pPr>
            <w:r>
              <w:rPr>
                <w:rFonts w:ascii="Arial" w:cs="Arial" w:eastAsia="Arial" w:hAnsi="Arial"/>
                <w:sz w:val="14"/>
                <w:szCs w:val="14"/>
                <w:i w:val="1"/>
                <w:iCs w:val="1"/>
                <w:color w:val="auto"/>
              </w:rPr>
              <w:t>40 bps</w:t>
            </w:r>
          </w:p>
        </w:tc>
        <w:tc>
          <w:tcPr>
            <w:tcW w:w="1320" w:type="dxa"/>
            <w:vAlign w:val="bottom"/>
            <w:shd w:val="clear" w:color="auto" w:fill="DCE2EF"/>
          </w:tcPr>
          <w:p>
            <w:pPr>
              <w:spacing w:after="0"/>
              <w:rPr>
                <w:sz w:val="21"/>
                <w:szCs w:val="21"/>
                <w:color w:val="auto"/>
              </w:rPr>
            </w:pPr>
          </w:p>
        </w:tc>
      </w:tr>
      <w:tr>
        <w:trPr>
          <w:trHeight w:val="27"/>
        </w:trPr>
        <w:tc>
          <w:tcPr>
            <w:tcW w:w="4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720" w:type="dxa"/>
            <w:vAlign w:val="bottom"/>
            <w:shd w:val="clear" w:color="auto" w:fill="DCE2EF"/>
          </w:tcPr>
          <w:p>
            <w:pPr>
              <w:spacing w:after="0"/>
              <w:rPr>
                <w:sz w:val="2"/>
                <w:szCs w:val="2"/>
                <w:color w:val="auto"/>
              </w:rPr>
            </w:pPr>
          </w:p>
        </w:tc>
        <w:tc>
          <w:tcPr>
            <w:tcW w:w="1700" w:type="dxa"/>
            <w:vAlign w:val="bottom"/>
            <w:shd w:val="clear" w:color="auto" w:fill="DCE2EF"/>
          </w:tcPr>
          <w:p>
            <w:pPr>
              <w:spacing w:after="0"/>
              <w:rPr>
                <w:sz w:val="2"/>
                <w:szCs w:val="2"/>
                <w:color w:val="auto"/>
              </w:rPr>
            </w:pPr>
          </w:p>
        </w:tc>
        <w:tc>
          <w:tcPr>
            <w:tcW w:w="132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Aviation revenues increased by $35.4 million, or 4.9%, during the nine months ended July 31, 2018, as compared to the nine months ended July 31, 2017. The increase was primarily attributable to organic growth in parking and transportation and to incremental revenues of $13.0 million from the GCA acquisition. This increase was partially offset by the loss of certain janitorial, facility services, and passenger services accounts. Management reimbursement revenues for this segment totaled $76.9 million and $54.7 million for the nine months ended July 31, 2018 and 2017, respectively.</w:t>
      </w:r>
    </w:p>
    <w:p>
      <w:pPr>
        <w:spacing w:after="0" w:line="15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$3.8 million, or 23.0%, during the nine months ended July 31, 2018, as compared to the nine months ended July 31, 2017. Operating profit margin increased by 40 bps to 2.7% in the nine months ended July 31, 2018 from 2.3% in the nine months ended July 31, 2017. The increase in operating profit margin was primarily attributable to the termination of an unprofitable contract in the third quarter of 2017 and the management of selling, general and administrative expenses. This increase was partially offset by lower margins and operational issues on certain accounts.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Technology &amp; Manufacturing</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690.3</w:t>
            </w:r>
          </w:p>
        </w:tc>
        <w:tc>
          <w:tcPr>
            <w:tcW w:w="12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94"/>
              <w:spacing w:after="0"/>
              <w:rPr>
                <w:sz w:val="20"/>
                <w:szCs w:val="20"/>
                <w:color w:val="auto"/>
              </w:rPr>
            </w:pPr>
            <w:r>
              <w:rPr>
                <w:rFonts w:ascii="Arial" w:cs="Arial" w:eastAsia="Arial" w:hAnsi="Arial"/>
                <w:sz w:val="18"/>
                <w:szCs w:val="18"/>
                <w:color w:val="auto"/>
              </w:rPr>
              <w:t>494.4</w:t>
            </w:r>
          </w:p>
        </w:tc>
        <w:tc>
          <w:tcPr>
            <w:tcW w:w="100" w:type="dxa"/>
            <w:vAlign w:val="bottom"/>
            <w:tcBorders>
              <w:bottom w:val="single" w:sz="8" w:color="DCE2EF"/>
            </w:tcBorders>
            <w:shd w:val="clear" w:color="auto" w:fill="DCE2EF"/>
          </w:tcPr>
          <w:p>
            <w:pPr>
              <w:spacing w:after="0"/>
              <w:rPr>
                <w:sz w:val="21"/>
                <w:szCs w:val="21"/>
                <w:color w:val="auto"/>
              </w:rPr>
            </w:pPr>
          </w:p>
        </w:tc>
        <w:tc>
          <w:tcPr>
            <w:tcW w:w="540" w:type="dxa"/>
            <w:vAlign w:val="bottom"/>
            <w:tcBorders>
              <w:bottom w:val="single" w:sz="8" w:color="DCE2EF"/>
            </w:tcBorders>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DCE2EF"/>
            </w:tcBorders>
            <w:shd w:val="clear" w:color="auto" w:fill="DCE2EF"/>
          </w:tcPr>
          <w:p>
            <w:pPr>
              <w:jc w:val="right"/>
              <w:ind w:right="354"/>
              <w:spacing w:after="0"/>
              <w:rPr>
                <w:sz w:val="20"/>
                <w:szCs w:val="20"/>
                <w:color w:val="auto"/>
              </w:rPr>
            </w:pPr>
            <w:r>
              <w:rPr>
                <w:rFonts w:ascii="Arial" w:cs="Arial" w:eastAsia="Arial" w:hAnsi="Arial"/>
                <w:sz w:val="18"/>
                <w:szCs w:val="18"/>
                <w:color w:val="auto"/>
              </w:rPr>
              <w:t>195.9</w:t>
            </w:r>
          </w:p>
        </w:tc>
        <w:tc>
          <w:tcPr>
            <w:tcW w:w="1600" w:type="dxa"/>
            <w:vAlign w:val="bottom"/>
            <w:tcBorders>
              <w:bottom w:val="single" w:sz="8" w:color="DCE2EF"/>
            </w:tcBorders>
            <w:shd w:val="clear" w:color="auto" w:fill="DCE2EF"/>
          </w:tcPr>
          <w:p>
            <w:pPr>
              <w:jc w:val="right"/>
              <w:ind w:right="570"/>
              <w:spacing w:after="0"/>
              <w:rPr>
                <w:sz w:val="20"/>
                <w:szCs w:val="20"/>
                <w:color w:val="auto"/>
              </w:rPr>
            </w:pPr>
            <w:r>
              <w:rPr>
                <w:rFonts w:ascii="Arial" w:cs="Arial" w:eastAsia="Arial" w:hAnsi="Arial"/>
                <w:sz w:val="18"/>
                <w:szCs w:val="18"/>
                <w:color w:val="auto"/>
              </w:rPr>
              <w:t>39.6%</w:t>
            </w:r>
          </w:p>
        </w:tc>
      </w:tr>
      <w:tr>
        <w:trPr>
          <w:trHeight w:val="270"/>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35.8</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jc w:val="right"/>
              <w:ind w:right="354"/>
              <w:spacing w:after="0"/>
              <w:rPr>
                <w:sz w:val="20"/>
                <w:szCs w:val="20"/>
                <w:color w:val="auto"/>
              </w:rPr>
            </w:pPr>
            <w:r>
              <w:rPr>
                <w:rFonts w:ascii="Arial" w:cs="Arial" w:eastAsia="Arial" w:hAnsi="Arial"/>
                <w:sz w:val="18"/>
                <w:szCs w:val="18"/>
                <w:color w:val="auto"/>
              </w:rPr>
              <w:t>14.0</w:t>
            </w:r>
          </w:p>
        </w:tc>
        <w:tc>
          <w:tcPr>
            <w:tcW w:w="1600" w:type="dxa"/>
            <w:vAlign w:val="bottom"/>
          </w:tcPr>
          <w:p>
            <w:pPr>
              <w:jc w:val="right"/>
              <w:ind w:right="570"/>
              <w:spacing w:after="0"/>
              <w:rPr>
                <w:sz w:val="20"/>
                <w:szCs w:val="20"/>
                <w:color w:val="auto"/>
              </w:rPr>
            </w:pPr>
            <w:r>
              <w:rPr>
                <w:rFonts w:ascii="Arial" w:cs="Arial" w:eastAsia="Arial" w:hAnsi="Arial"/>
                <w:sz w:val="18"/>
                <w:szCs w:val="18"/>
                <w:color w:val="auto"/>
              </w:rPr>
              <w:t>39.2%</w:t>
            </w:r>
          </w:p>
        </w:tc>
      </w:tr>
      <w:tr>
        <w:trPr>
          <w:trHeight w:val="243"/>
        </w:trPr>
        <w:tc>
          <w:tcPr>
            <w:tcW w:w="2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7.2%</w:t>
            </w:r>
          </w:p>
        </w:tc>
        <w:tc>
          <w:tcPr>
            <w:tcW w:w="120" w:type="dxa"/>
            <w:vAlign w:val="bottom"/>
            <w:shd w:val="clear" w:color="auto" w:fill="DCE2EF"/>
          </w:tcPr>
          <w:p>
            <w:pPr>
              <w:spacing w:after="0"/>
              <w:rPr>
                <w:sz w:val="21"/>
                <w:szCs w:val="21"/>
                <w:color w:val="auto"/>
              </w:rPr>
            </w:pP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7.2%</w:t>
            </w:r>
          </w:p>
        </w:tc>
        <w:tc>
          <w:tcPr>
            <w:tcW w:w="100" w:type="dxa"/>
            <w:vAlign w:val="bottom"/>
            <w:shd w:val="clear" w:color="auto" w:fill="DCE2EF"/>
          </w:tcPr>
          <w:p>
            <w:pPr>
              <w:spacing w:after="0"/>
              <w:rPr>
                <w:sz w:val="21"/>
                <w:szCs w:val="21"/>
                <w:color w:val="auto"/>
              </w:rPr>
            </w:pPr>
          </w:p>
        </w:tc>
        <w:tc>
          <w:tcPr>
            <w:tcW w:w="540" w:type="dxa"/>
            <w:vAlign w:val="bottom"/>
            <w:shd w:val="clear" w:color="auto" w:fill="DCE2EF"/>
          </w:tcPr>
          <w:p>
            <w:pPr>
              <w:spacing w:after="0"/>
              <w:rPr>
                <w:sz w:val="21"/>
                <w:szCs w:val="21"/>
                <w:color w:val="auto"/>
              </w:rPr>
            </w:pP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(2) bps</w:t>
            </w:r>
          </w:p>
        </w:tc>
        <w:tc>
          <w:tcPr>
            <w:tcW w:w="160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40" w:type="dxa"/>
            <w:vAlign w:val="bottom"/>
            <w:shd w:val="clear" w:color="auto" w:fill="DCE2EF"/>
          </w:tcPr>
          <w:p>
            <w:pPr>
              <w:spacing w:after="0"/>
              <w:rPr>
                <w:sz w:val="2"/>
                <w:szCs w:val="2"/>
                <w:color w:val="auto"/>
              </w:rPr>
            </w:pPr>
          </w:p>
        </w:tc>
        <w:tc>
          <w:tcPr>
            <w:tcW w:w="1600" w:type="dxa"/>
            <w:vAlign w:val="bottom"/>
            <w:shd w:val="clear" w:color="auto" w:fill="DCE2EF"/>
          </w:tcPr>
          <w:p>
            <w:pPr>
              <w:spacing w:after="0"/>
              <w:rPr>
                <w:sz w:val="2"/>
                <w:szCs w:val="2"/>
                <w:color w:val="auto"/>
              </w:rPr>
            </w:pPr>
          </w:p>
        </w:tc>
        <w:tc>
          <w:tcPr>
            <w:tcW w:w="1600" w:type="dxa"/>
            <w:vAlign w:val="bottom"/>
            <w:shd w:val="clear" w:color="auto" w:fill="DCE2EF"/>
          </w:tcPr>
          <w:p>
            <w:pPr>
              <w:spacing w:after="0"/>
              <w:rPr>
                <w:sz w:val="2"/>
                <w:szCs w:val="2"/>
                <w:color w:val="auto"/>
              </w:rPr>
            </w:pPr>
          </w:p>
        </w:tc>
      </w:tr>
    </w:tbl>
    <w:p>
      <w:pPr>
        <w:spacing w:after="0" w:line="9" w:lineRule="exact"/>
        <w:rPr>
          <w:sz w:val="20"/>
          <w:szCs w:val="20"/>
          <w:color w:val="auto"/>
        </w:rPr>
      </w:pPr>
    </w:p>
    <w:p>
      <w:pPr>
        <w:ind w:left="180" w:hanging="172"/>
        <w:spacing w:after="0"/>
        <w:tabs>
          <w:tab w:leader="none" w:pos="180" w:val="left"/>
        </w:tabs>
        <w:numPr>
          <w:ilvl w:val="0"/>
          <w:numId w:val="20"/>
        </w:numPr>
        <w:rPr>
          <w:rFonts w:ascii="Arial" w:cs="Arial" w:eastAsia="Arial" w:hAnsi="Arial"/>
          <w:sz w:val="21"/>
          <w:szCs w:val="21"/>
          <w:color w:val="auto"/>
          <w:vertAlign w:val="superscript"/>
        </w:rPr>
      </w:pPr>
      <w:r>
        <w:rPr>
          <w:rFonts w:ascii="Arial" w:cs="Arial" w:eastAsia="Arial" w:hAnsi="Arial"/>
          <w:sz w:val="15"/>
          <w:szCs w:val="15"/>
          <w:color w:val="auto"/>
        </w:rPr>
        <w:t>The nine months ended July 31, 2018 includes $7.9 million of amortization expense related to the GCA acquisition.</w:t>
      </w:r>
    </w:p>
    <w:p>
      <w:pPr>
        <w:spacing w:after="0" w:line="154"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T&amp;M revenues increased by $195.9 million, or 39.6%, during the nine months ended July 31, 2018, as compared to the nine months ended July 31, 2017. The increase was primarily related to incremental revenues from the GCA acquisition of $178.8 million.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$14.0 million, or 39.2%, during the nine months ended July 31, 2018, as compared to the nine months ended July 31, 2017. Operating profit margin remained relatively flat at 7.2% in the nine months ended July 31, 2018 and 2017. Operating profit margin was impacted by higher amortization expense related to the GCA acquisition and an increase in wages and related personnel costs due to a tight labor market, partially offset by certain higher margin acquired contracts.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44" w:right="239" w:bottom="1440" w:gutter="0" w:footer="0" w:header="0"/>
        </w:sectPr>
      </w:pPr>
    </w:p>
    <w:bookmarkStart w:id="42" w:name="page43"/>
    <w:bookmarkEnd w:id="42"/>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Education</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5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3EF"/>
            </w:tcBorders>
          </w:tcPr>
          <w:p>
            <w:pPr>
              <w:spacing w:after="0" w:line="20" w:lineRule="exact"/>
              <w:rPr>
                <w:sz w:val="1"/>
                <w:szCs w:val="1"/>
                <w:color w:val="auto"/>
              </w:rPr>
            </w:pPr>
          </w:p>
        </w:tc>
        <w:tc>
          <w:tcPr>
            <w:tcW w:w="820" w:type="dxa"/>
            <w:vAlign w:val="bottom"/>
            <w:tcBorders>
              <w:top w:val="single" w:sz="8" w:color="auto"/>
              <w:bottom w:val="single" w:sz="8" w:color="DCE3EF"/>
            </w:tcBorders>
          </w:tcPr>
          <w:p>
            <w:pPr>
              <w:spacing w:after="0" w:line="20" w:lineRule="exact"/>
              <w:rPr>
                <w:sz w:val="1"/>
                <w:szCs w:val="1"/>
                <w:color w:val="auto"/>
              </w:rPr>
            </w:pPr>
          </w:p>
        </w:tc>
        <w:tc>
          <w:tcPr>
            <w:tcW w:w="2840" w:type="dxa"/>
            <w:vAlign w:val="bottom"/>
            <w:tcBorders>
              <w:bottom w:val="single" w:sz="8" w:color="DCE3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3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3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64"/>
        </w:trPr>
        <w:tc>
          <w:tcPr>
            <w:tcW w:w="3680" w:type="dxa"/>
            <w:vAlign w:val="bottom"/>
            <w:gridSpan w:val="3"/>
            <w:shd w:val="clear" w:color="auto" w:fill="DCE3E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DCE3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3EF"/>
          </w:tcPr>
          <w:p>
            <w:pPr>
              <w:jc w:val="right"/>
              <w:ind w:right="74"/>
              <w:spacing w:after="0"/>
              <w:rPr>
                <w:sz w:val="20"/>
                <w:szCs w:val="20"/>
                <w:color w:val="auto"/>
              </w:rPr>
            </w:pPr>
            <w:r>
              <w:rPr>
                <w:rFonts w:ascii="Arial" w:cs="Arial" w:eastAsia="Arial" w:hAnsi="Arial"/>
                <w:sz w:val="18"/>
                <w:szCs w:val="18"/>
                <w:color w:val="auto"/>
              </w:rPr>
              <w:t>623.5</w:t>
            </w:r>
          </w:p>
        </w:tc>
        <w:tc>
          <w:tcPr>
            <w:tcW w:w="120" w:type="dxa"/>
            <w:vAlign w:val="bottom"/>
            <w:shd w:val="clear" w:color="auto" w:fill="DCE3EF"/>
          </w:tcPr>
          <w:p>
            <w:pPr>
              <w:spacing w:after="0"/>
              <w:rPr>
                <w:sz w:val="22"/>
                <w:szCs w:val="22"/>
                <w:color w:val="auto"/>
              </w:rPr>
            </w:pPr>
          </w:p>
        </w:tc>
        <w:tc>
          <w:tcPr>
            <w:tcW w:w="420" w:type="dxa"/>
            <w:vAlign w:val="bottom"/>
            <w:shd w:val="clear" w:color="auto" w:fill="DCE3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3EF"/>
          </w:tcPr>
          <w:p>
            <w:pPr>
              <w:jc w:val="right"/>
              <w:ind w:right="94"/>
              <w:spacing w:after="0"/>
              <w:rPr>
                <w:sz w:val="20"/>
                <w:szCs w:val="20"/>
                <w:color w:val="auto"/>
              </w:rPr>
            </w:pPr>
            <w:r>
              <w:rPr>
                <w:rFonts w:ascii="Arial" w:cs="Arial" w:eastAsia="Arial" w:hAnsi="Arial"/>
                <w:sz w:val="18"/>
                <w:szCs w:val="18"/>
                <w:color w:val="auto"/>
              </w:rPr>
              <w:t>199.5</w:t>
            </w:r>
          </w:p>
        </w:tc>
        <w:tc>
          <w:tcPr>
            <w:tcW w:w="100" w:type="dxa"/>
            <w:vAlign w:val="bottom"/>
            <w:shd w:val="clear" w:color="auto" w:fill="DCE3EF"/>
          </w:tcPr>
          <w:p>
            <w:pPr>
              <w:spacing w:after="0"/>
              <w:rPr>
                <w:sz w:val="22"/>
                <w:szCs w:val="22"/>
                <w:color w:val="auto"/>
              </w:rPr>
            </w:pPr>
          </w:p>
        </w:tc>
        <w:tc>
          <w:tcPr>
            <w:tcW w:w="540" w:type="dxa"/>
            <w:vAlign w:val="bottom"/>
            <w:shd w:val="clear" w:color="auto" w:fill="DCE3EF"/>
          </w:tcPr>
          <w:p>
            <w:pPr>
              <w:jc w:val="right"/>
              <w:ind w:right="3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DCE3EF"/>
          </w:tcPr>
          <w:p>
            <w:pPr>
              <w:jc w:val="right"/>
              <w:ind w:right="394"/>
              <w:spacing w:after="0"/>
              <w:rPr>
                <w:sz w:val="20"/>
                <w:szCs w:val="20"/>
                <w:color w:val="auto"/>
              </w:rPr>
            </w:pPr>
            <w:r>
              <w:rPr>
                <w:rFonts w:ascii="Arial" w:cs="Arial" w:eastAsia="Arial" w:hAnsi="Arial"/>
                <w:sz w:val="18"/>
                <w:szCs w:val="18"/>
                <w:color w:val="auto"/>
              </w:rPr>
              <w:t>424.0</w:t>
            </w:r>
          </w:p>
        </w:tc>
        <w:tc>
          <w:tcPr>
            <w:tcW w:w="1560" w:type="dxa"/>
            <w:vAlign w:val="bottom"/>
            <w:shd w:val="clear" w:color="auto" w:fill="DCE3EF"/>
          </w:tcPr>
          <w:p>
            <w:pPr>
              <w:ind w:left="480"/>
              <w:spacing w:after="0"/>
              <w:rPr>
                <w:sz w:val="20"/>
                <w:szCs w:val="20"/>
                <w:color w:val="auto"/>
              </w:rPr>
            </w:pPr>
            <w:r>
              <w:rPr>
                <w:rFonts w:ascii="Arial" w:cs="Arial" w:eastAsia="Arial" w:hAnsi="Arial"/>
                <w:sz w:val="18"/>
                <w:szCs w:val="18"/>
                <w:color w:val="auto"/>
              </w:rPr>
              <w:t>NM*</w:t>
            </w:r>
          </w:p>
        </w:tc>
      </w:tr>
      <w:tr>
        <w:trPr>
          <w:trHeight w:val="270"/>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r>
              <w:rPr>
                <w:rFonts w:ascii="Arial" w:cs="Arial" w:eastAsia="Arial" w:hAnsi="Arial"/>
                <w:sz w:val="21"/>
                <w:szCs w:val="21"/>
                <w:color w:val="auto"/>
                <w:vertAlign w:val="superscript"/>
              </w:rPr>
              <w:t>(1)</w:t>
            </w:r>
          </w:p>
        </w:tc>
        <w:tc>
          <w:tcPr>
            <w:tcW w:w="440" w:type="dxa"/>
            <w:vAlign w:val="bottom"/>
          </w:tcPr>
          <w:p>
            <w:pPr>
              <w:spacing w:after="0"/>
              <w:rPr>
                <w:sz w:val="23"/>
                <w:szCs w:val="23"/>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40" w:type="dxa"/>
            <w:vAlign w:val="bottom"/>
          </w:tcPr>
          <w:p>
            <w:pPr>
              <w:jc w:val="right"/>
              <w:ind w:right="394"/>
              <w:spacing w:after="0"/>
              <w:rPr>
                <w:sz w:val="20"/>
                <w:szCs w:val="20"/>
                <w:color w:val="auto"/>
              </w:rPr>
            </w:pPr>
            <w:r>
              <w:rPr>
                <w:rFonts w:ascii="Arial" w:cs="Arial" w:eastAsia="Arial" w:hAnsi="Arial"/>
                <w:sz w:val="18"/>
                <w:szCs w:val="18"/>
                <w:color w:val="auto"/>
              </w:rPr>
              <w:t>20.7</w:t>
            </w:r>
          </w:p>
        </w:tc>
        <w:tc>
          <w:tcPr>
            <w:tcW w:w="1560" w:type="dxa"/>
            <w:vAlign w:val="bottom"/>
          </w:tcPr>
          <w:p>
            <w:pPr>
              <w:ind w:left="480"/>
              <w:spacing w:after="0"/>
              <w:rPr>
                <w:sz w:val="20"/>
                <w:szCs w:val="20"/>
                <w:color w:val="auto"/>
              </w:rPr>
            </w:pPr>
            <w:r>
              <w:rPr>
                <w:rFonts w:ascii="Arial" w:cs="Arial" w:eastAsia="Arial" w:hAnsi="Arial"/>
                <w:sz w:val="18"/>
                <w:szCs w:val="18"/>
                <w:color w:val="auto"/>
              </w:rPr>
              <w:t>NM*</w:t>
            </w:r>
          </w:p>
        </w:tc>
      </w:tr>
      <w:tr>
        <w:trPr>
          <w:trHeight w:val="243"/>
        </w:trPr>
        <w:tc>
          <w:tcPr>
            <w:tcW w:w="2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5.1%</w:t>
            </w:r>
          </w:p>
        </w:tc>
        <w:tc>
          <w:tcPr>
            <w:tcW w:w="120" w:type="dxa"/>
            <w:vAlign w:val="bottom"/>
            <w:shd w:val="clear" w:color="auto" w:fill="DCE2EF"/>
          </w:tcPr>
          <w:p>
            <w:pPr>
              <w:spacing w:after="0"/>
              <w:rPr>
                <w:sz w:val="21"/>
                <w:szCs w:val="21"/>
                <w:color w:val="auto"/>
              </w:rPr>
            </w:pP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5.6%</w:t>
            </w:r>
          </w:p>
        </w:tc>
        <w:tc>
          <w:tcPr>
            <w:tcW w:w="100" w:type="dxa"/>
            <w:vAlign w:val="bottom"/>
            <w:shd w:val="clear" w:color="auto" w:fill="DCE2EF"/>
          </w:tcPr>
          <w:p>
            <w:pPr>
              <w:spacing w:after="0"/>
              <w:rPr>
                <w:sz w:val="21"/>
                <w:szCs w:val="21"/>
                <w:color w:val="auto"/>
              </w:rPr>
            </w:pPr>
          </w:p>
        </w:tc>
        <w:tc>
          <w:tcPr>
            <w:tcW w:w="540" w:type="dxa"/>
            <w:vAlign w:val="bottom"/>
            <w:shd w:val="clear" w:color="auto" w:fill="DCE2EF"/>
          </w:tcPr>
          <w:p>
            <w:pPr>
              <w:spacing w:after="0"/>
              <w:rPr>
                <w:sz w:val="21"/>
                <w:szCs w:val="21"/>
                <w:color w:val="auto"/>
              </w:rPr>
            </w:pPr>
          </w:p>
        </w:tc>
        <w:tc>
          <w:tcPr>
            <w:tcW w:w="1640" w:type="dxa"/>
            <w:vAlign w:val="bottom"/>
            <w:shd w:val="clear" w:color="auto" w:fill="DCE2EF"/>
          </w:tcPr>
          <w:p>
            <w:pPr>
              <w:jc w:val="right"/>
              <w:ind w:right="394"/>
              <w:spacing w:after="0"/>
              <w:rPr>
                <w:sz w:val="20"/>
                <w:szCs w:val="20"/>
                <w:color w:val="auto"/>
              </w:rPr>
            </w:pPr>
            <w:r>
              <w:rPr>
                <w:rFonts w:ascii="Arial" w:cs="Arial" w:eastAsia="Arial" w:hAnsi="Arial"/>
                <w:sz w:val="14"/>
                <w:szCs w:val="14"/>
                <w:i w:val="1"/>
                <w:iCs w:val="1"/>
                <w:color w:val="auto"/>
              </w:rPr>
              <w:t>(48) bps</w:t>
            </w:r>
          </w:p>
        </w:tc>
        <w:tc>
          <w:tcPr>
            <w:tcW w:w="156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40" w:type="dxa"/>
            <w:vAlign w:val="bottom"/>
            <w:shd w:val="clear" w:color="auto" w:fill="DCE2EF"/>
          </w:tcPr>
          <w:p>
            <w:pPr>
              <w:spacing w:after="0"/>
              <w:rPr>
                <w:sz w:val="2"/>
                <w:szCs w:val="2"/>
                <w:color w:val="auto"/>
              </w:rPr>
            </w:pPr>
          </w:p>
        </w:tc>
        <w:tc>
          <w:tcPr>
            <w:tcW w:w="1640" w:type="dxa"/>
            <w:vAlign w:val="bottom"/>
            <w:shd w:val="clear" w:color="auto" w:fill="DCE2EF"/>
          </w:tcPr>
          <w:p>
            <w:pPr>
              <w:spacing w:after="0"/>
              <w:rPr>
                <w:sz w:val="2"/>
                <w:szCs w:val="2"/>
                <w:color w:val="auto"/>
              </w:rPr>
            </w:pPr>
          </w:p>
        </w:tc>
        <w:tc>
          <w:tcPr>
            <w:tcW w:w="1560" w:type="dxa"/>
            <w:vAlign w:val="bottom"/>
            <w:shd w:val="clear" w:color="auto" w:fill="DCE2EF"/>
          </w:tcPr>
          <w:p>
            <w:pPr>
              <w:spacing w:after="0"/>
              <w:rPr>
                <w:sz w:val="2"/>
                <w:szCs w:val="2"/>
                <w:color w:val="auto"/>
              </w:rPr>
            </w:pPr>
          </w:p>
        </w:tc>
      </w:tr>
    </w:tbl>
    <w:p>
      <w:pPr>
        <w:spacing w:after="0" w:line="245" w:lineRule="exact"/>
        <w:rPr>
          <w:sz w:val="20"/>
          <w:szCs w:val="20"/>
          <w:color w:val="auto"/>
        </w:rPr>
      </w:pPr>
    </w:p>
    <w:p>
      <w:pPr>
        <w:ind w:left="40"/>
        <w:spacing w:after="0"/>
        <w:rPr>
          <w:sz w:val="20"/>
          <w:szCs w:val="20"/>
          <w:color w:val="auto"/>
        </w:rPr>
      </w:pPr>
      <w:r>
        <w:rPr>
          <w:rFonts w:ascii="Arial" w:cs="Arial" w:eastAsia="Arial" w:hAnsi="Arial"/>
          <w:sz w:val="16"/>
          <w:szCs w:val="16"/>
          <w:color w:val="auto"/>
        </w:rPr>
        <w:t>*Not meaningful</w:t>
      </w:r>
    </w:p>
    <w:p>
      <w:pPr>
        <w:spacing w:after="0" w:line="39"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The nine months ended July 31, 2018 includes $19.3 million of amortization expense related to the GCA acquisition.</w:t>
      </w:r>
    </w:p>
    <w:p>
      <w:pPr>
        <w:spacing w:after="0" w:line="154"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Education revenues increased by $424.0 million during the nine months ended July 31, 2018, as compared to the nine months ended July 31, 2017. The increase was attributable to incremental revenues from the GCA acquisition of $425.4 million.</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increased by $20.7 million during the nine months ended July 31, 2018, as compared to the nine months ended July 31, 2017. Operating profit margin decreased by 48 bps to 5.1% in the nine months ended July 31, 2018 from 5.6% in the nine months ended July 31, 2017. The decrease in operating profit margin was primarily associated with higher amortization expense related to the GCA acquisition and an increase in wages and related personnel costs due to a tight labor market. This decrease was partially offset by certain higher margin acquired contracts and the management of selling, general and administrative expenses.</w:t>
      </w:r>
    </w:p>
    <w:p>
      <w:pPr>
        <w:spacing w:after="0" w:line="305"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368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Technical Solutions</w:t>
            </w: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5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68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7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0" w:type="dxa"/>
            <w:vAlign w:val="bottom"/>
            <w:gridSpan w:val="2"/>
          </w:tcPr>
          <w:p>
            <w:pPr>
              <w:jc w:val="right"/>
              <w:ind w:right="87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20" w:type="dxa"/>
            <w:vAlign w:val="bottom"/>
            <w:tcBorders>
              <w:bottom w:val="single" w:sz="8" w:color="DCE2EF"/>
            </w:tcBorders>
            <w:shd w:val="clear" w:color="auto" w:fill="DCE2EF"/>
          </w:tcPr>
          <w:p>
            <w:pPr>
              <w:spacing w:after="0"/>
              <w:rPr>
                <w:sz w:val="21"/>
                <w:szCs w:val="21"/>
                <w:color w:val="auto"/>
              </w:rPr>
            </w:pPr>
          </w:p>
        </w:tc>
        <w:tc>
          <w:tcPr>
            <w:tcW w:w="820" w:type="dxa"/>
            <w:vAlign w:val="bottom"/>
            <w:tcBorders>
              <w:bottom w:val="single" w:sz="8" w:color="DCE2EF"/>
            </w:tcBorders>
            <w:shd w:val="clear" w:color="auto" w:fill="DCE2EF"/>
          </w:tcPr>
          <w:p>
            <w:pPr>
              <w:spacing w:after="0"/>
              <w:rPr>
                <w:sz w:val="20"/>
                <w:szCs w:val="20"/>
                <w:color w:val="auto"/>
              </w:rPr>
            </w:pPr>
            <w:r>
              <w:rPr>
                <w:rFonts w:ascii="Arial" w:cs="Arial" w:eastAsia="Arial" w:hAnsi="Arial"/>
                <w:sz w:val="18"/>
                <w:szCs w:val="18"/>
                <w:color w:val="auto"/>
                <w:w w:val="98"/>
                <w:shd w:val="clear" w:color="auto" w:fill="DCE2EF"/>
              </w:rPr>
              <w:t>Revenues</w:t>
            </w:r>
          </w:p>
        </w:tc>
        <w:tc>
          <w:tcPr>
            <w:tcW w:w="2840" w:type="dxa"/>
            <w:vAlign w:val="bottom"/>
            <w:tcBorders>
              <w:bottom w:val="single" w:sz="8" w:color="DCE2EF"/>
            </w:tcBorders>
            <w:shd w:val="clear" w:color="auto" w:fill="DCE2EF"/>
          </w:tcPr>
          <w:p>
            <w:pPr>
              <w:spacing w:after="0"/>
              <w:rPr>
                <w:sz w:val="21"/>
                <w:szCs w:val="21"/>
                <w:color w:val="auto"/>
              </w:rPr>
            </w:pPr>
          </w:p>
        </w:tc>
        <w:tc>
          <w:tcPr>
            <w:tcW w:w="440" w:type="dxa"/>
            <w:vAlign w:val="bottom"/>
            <w:tcBorders>
              <w:bottom w:val="single" w:sz="8" w:color="DCE2EF"/>
            </w:tcBorders>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DCE2EF"/>
            </w:tcBorders>
            <w:shd w:val="clear" w:color="auto" w:fill="DCE2EF"/>
          </w:tcPr>
          <w:p>
            <w:pPr>
              <w:jc w:val="right"/>
              <w:ind w:right="74"/>
              <w:spacing w:after="0"/>
              <w:rPr>
                <w:sz w:val="20"/>
                <w:szCs w:val="20"/>
                <w:color w:val="auto"/>
              </w:rPr>
            </w:pPr>
            <w:r>
              <w:rPr>
                <w:rFonts w:ascii="Arial" w:cs="Arial" w:eastAsia="Arial" w:hAnsi="Arial"/>
                <w:sz w:val="18"/>
                <w:szCs w:val="18"/>
                <w:color w:val="auto"/>
              </w:rPr>
              <w:t>334.1</w:t>
            </w:r>
          </w:p>
        </w:tc>
        <w:tc>
          <w:tcPr>
            <w:tcW w:w="120" w:type="dxa"/>
            <w:vAlign w:val="bottom"/>
            <w:tcBorders>
              <w:bottom w:val="single" w:sz="8" w:color="DCE2EF"/>
            </w:tcBorders>
            <w:shd w:val="clear" w:color="auto" w:fill="DCE2EF"/>
          </w:tcPr>
          <w:p>
            <w:pPr>
              <w:spacing w:after="0"/>
              <w:rPr>
                <w:sz w:val="21"/>
                <w:szCs w:val="21"/>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DCE2EF"/>
            </w:tcBorders>
            <w:shd w:val="clear" w:color="auto" w:fill="DCE2EF"/>
          </w:tcPr>
          <w:p>
            <w:pPr>
              <w:jc w:val="right"/>
              <w:ind w:right="94"/>
              <w:spacing w:after="0"/>
              <w:rPr>
                <w:sz w:val="20"/>
                <w:szCs w:val="20"/>
                <w:color w:val="auto"/>
              </w:rPr>
            </w:pPr>
            <w:r>
              <w:rPr>
                <w:rFonts w:ascii="Arial" w:cs="Arial" w:eastAsia="Arial" w:hAnsi="Arial"/>
                <w:sz w:val="18"/>
                <w:szCs w:val="18"/>
                <w:color w:val="auto"/>
              </w:rPr>
              <w:t>325.2</w:t>
            </w:r>
          </w:p>
        </w:tc>
        <w:tc>
          <w:tcPr>
            <w:tcW w:w="100" w:type="dxa"/>
            <w:vAlign w:val="bottom"/>
            <w:tcBorders>
              <w:bottom w:val="single" w:sz="8" w:color="DCE2EF"/>
            </w:tcBorders>
            <w:shd w:val="clear" w:color="auto" w:fill="DCE2EF"/>
          </w:tcPr>
          <w:p>
            <w:pPr>
              <w:spacing w:after="0"/>
              <w:rPr>
                <w:sz w:val="21"/>
                <w:szCs w:val="21"/>
                <w:color w:val="auto"/>
              </w:rPr>
            </w:pPr>
          </w:p>
        </w:tc>
        <w:tc>
          <w:tcPr>
            <w:tcW w:w="540" w:type="dxa"/>
            <w:vAlign w:val="bottom"/>
            <w:tcBorders>
              <w:bottom w:val="single" w:sz="8" w:color="DCE2EF"/>
            </w:tcBorders>
            <w:shd w:val="clear" w:color="auto" w:fill="DCE2EF"/>
          </w:tcPr>
          <w:p>
            <w:pPr>
              <w:jc w:val="right"/>
              <w:ind w:right="33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DCE2EF"/>
            </w:tcBorders>
            <w:shd w:val="clear" w:color="auto" w:fill="DCE2EF"/>
          </w:tcPr>
          <w:p>
            <w:pPr>
              <w:jc w:val="right"/>
              <w:ind w:right="374"/>
              <w:spacing w:after="0"/>
              <w:rPr>
                <w:sz w:val="20"/>
                <w:szCs w:val="20"/>
                <w:color w:val="auto"/>
              </w:rPr>
            </w:pPr>
            <w:r>
              <w:rPr>
                <w:rFonts w:ascii="Arial" w:cs="Arial" w:eastAsia="Arial" w:hAnsi="Arial"/>
                <w:sz w:val="18"/>
                <w:szCs w:val="18"/>
                <w:color w:val="auto"/>
              </w:rPr>
              <w:t>8.9</w:t>
            </w:r>
          </w:p>
        </w:tc>
        <w:tc>
          <w:tcPr>
            <w:tcW w:w="1580" w:type="dxa"/>
            <w:vAlign w:val="bottom"/>
            <w:tcBorders>
              <w:bottom w:val="single" w:sz="8" w:color="DCE2EF"/>
            </w:tcBorders>
            <w:shd w:val="clear" w:color="auto" w:fill="DCE2EF"/>
          </w:tcPr>
          <w:p>
            <w:pPr>
              <w:jc w:val="right"/>
              <w:ind w:right="610"/>
              <w:spacing w:after="0"/>
              <w:rPr>
                <w:sz w:val="20"/>
                <w:szCs w:val="20"/>
                <w:color w:val="auto"/>
              </w:rPr>
            </w:pPr>
            <w:r>
              <w:rPr>
                <w:rFonts w:ascii="Arial" w:cs="Arial" w:eastAsia="Arial" w:hAnsi="Arial"/>
                <w:sz w:val="18"/>
                <w:szCs w:val="18"/>
                <w:color w:val="auto"/>
              </w:rPr>
              <w:t>2.8%</w:t>
            </w:r>
          </w:p>
        </w:tc>
      </w:tr>
      <w:tr>
        <w:trPr>
          <w:trHeight w:val="263"/>
        </w:trPr>
        <w:tc>
          <w:tcPr>
            <w:tcW w:w="3680" w:type="dxa"/>
            <w:vAlign w:val="bottom"/>
            <w:gridSpan w:val="3"/>
          </w:tcPr>
          <w:p>
            <w:pPr>
              <w:ind w:left="20"/>
              <w:spacing w:after="0"/>
              <w:rPr>
                <w:sz w:val="20"/>
                <w:szCs w:val="20"/>
                <w:color w:val="auto"/>
              </w:rPr>
            </w:pPr>
            <w:r>
              <w:rPr>
                <w:rFonts w:ascii="Arial" w:cs="Arial" w:eastAsia="Arial" w:hAnsi="Arial"/>
                <w:sz w:val="18"/>
                <w:szCs w:val="18"/>
                <w:color w:val="auto"/>
              </w:rPr>
              <w:t>Operating profit</w:t>
            </w: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620" w:type="dxa"/>
            <w:vAlign w:val="bottom"/>
          </w:tcPr>
          <w:p>
            <w:pPr>
              <w:jc w:val="right"/>
              <w:ind w:right="314"/>
              <w:spacing w:after="0"/>
              <w:rPr>
                <w:sz w:val="20"/>
                <w:szCs w:val="20"/>
                <w:color w:val="auto"/>
              </w:rPr>
            </w:pPr>
            <w:r>
              <w:rPr>
                <w:rFonts w:ascii="Arial" w:cs="Arial" w:eastAsia="Arial" w:hAnsi="Arial"/>
                <w:sz w:val="18"/>
                <w:szCs w:val="18"/>
                <w:color w:val="auto"/>
              </w:rPr>
              <w:t>(2.6)</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(9.4)%</w:t>
            </w:r>
          </w:p>
        </w:tc>
      </w:tr>
      <w:tr>
        <w:trPr>
          <w:trHeight w:val="250"/>
        </w:trPr>
        <w:tc>
          <w:tcPr>
            <w:tcW w:w="20" w:type="dxa"/>
            <w:vAlign w:val="bottom"/>
            <w:shd w:val="clear" w:color="auto" w:fill="DCE2EF"/>
          </w:tcPr>
          <w:p>
            <w:pPr>
              <w:spacing w:after="0"/>
              <w:rPr>
                <w:sz w:val="21"/>
                <w:szCs w:val="21"/>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shd w:val="clear" w:color="auto" w:fill="DCE2EF"/>
              </w:rPr>
              <w:t>Operating profit margin</w:t>
            </w:r>
          </w:p>
        </w:tc>
        <w:tc>
          <w:tcPr>
            <w:tcW w:w="440" w:type="dxa"/>
            <w:vAlign w:val="bottom"/>
            <w:shd w:val="clear" w:color="auto" w:fill="DCE2EF"/>
          </w:tcPr>
          <w:p>
            <w:pPr>
              <w:spacing w:after="0"/>
              <w:rPr>
                <w:sz w:val="21"/>
                <w:szCs w:val="21"/>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7.5%</w:t>
            </w:r>
          </w:p>
        </w:tc>
        <w:tc>
          <w:tcPr>
            <w:tcW w:w="120" w:type="dxa"/>
            <w:vAlign w:val="bottom"/>
            <w:shd w:val="clear" w:color="auto" w:fill="DCE2EF"/>
          </w:tcPr>
          <w:p>
            <w:pPr>
              <w:spacing w:after="0"/>
              <w:rPr>
                <w:sz w:val="21"/>
                <w:szCs w:val="21"/>
                <w:color w:val="auto"/>
              </w:rPr>
            </w:pPr>
          </w:p>
        </w:tc>
        <w:tc>
          <w:tcPr>
            <w:tcW w:w="420" w:type="dxa"/>
            <w:vAlign w:val="bottom"/>
            <w:shd w:val="clear" w:color="auto" w:fill="DCE2EF"/>
          </w:tcPr>
          <w:p>
            <w:pPr>
              <w:spacing w:after="0"/>
              <w:rPr>
                <w:sz w:val="21"/>
                <w:szCs w:val="21"/>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8.5%</w:t>
            </w:r>
          </w:p>
        </w:tc>
        <w:tc>
          <w:tcPr>
            <w:tcW w:w="100" w:type="dxa"/>
            <w:vAlign w:val="bottom"/>
            <w:shd w:val="clear" w:color="auto" w:fill="DCE2EF"/>
          </w:tcPr>
          <w:p>
            <w:pPr>
              <w:spacing w:after="0"/>
              <w:rPr>
                <w:sz w:val="21"/>
                <w:szCs w:val="21"/>
                <w:color w:val="auto"/>
              </w:rPr>
            </w:pPr>
          </w:p>
        </w:tc>
        <w:tc>
          <w:tcPr>
            <w:tcW w:w="540" w:type="dxa"/>
            <w:vAlign w:val="bottom"/>
            <w:shd w:val="clear" w:color="auto" w:fill="DCE2EF"/>
          </w:tcPr>
          <w:p>
            <w:pPr>
              <w:spacing w:after="0"/>
              <w:rPr>
                <w:sz w:val="21"/>
                <w:szCs w:val="21"/>
                <w:color w:val="auto"/>
              </w:rPr>
            </w:pPr>
          </w:p>
        </w:tc>
        <w:tc>
          <w:tcPr>
            <w:tcW w:w="1620" w:type="dxa"/>
            <w:vAlign w:val="bottom"/>
            <w:shd w:val="clear" w:color="auto" w:fill="DCE2EF"/>
          </w:tcPr>
          <w:p>
            <w:pPr>
              <w:jc w:val="right"/>
              <w:ind w:right="374"/>
              <w:spacing w:after="0"/>
              <w:rPr>
                <w:sz w:val="20"/>
                <w:szCs w:val="20"/>
                <w:color w:val="auto"/>
              </w:rPr>
            </w:pPr>
            <w:r>
              <w:rPr>
                <w:rFonts w:ascii="Arial" w:cs="Arial" w:eastAsia="Arial" w:hAnsi="Arial"/>
                <w:sz w:val="14"/>
                <w:szCs w:val="14"/>
                <w:i w:val="1"/>
                <w:iCs w:val="1"/>
                <w:color w:val="auto"/>
              </w:rPr>
              <w:t>(101) bps</w:t>
            </w:r>
          </w:p>
        </w:tc>
        <w:tc>
          <w:tcPr>
            <w:tcW w:w="1580" w:type="dxa"/>
            <w:vAlign w:val="bottom"/>
            <w:shd w:val="clear" w:color="auto" w:fill="DCE2EF"/>
          </w:tcPr>
          <w:p>
            <w:pPr>
              <w:spacing w:after="0"/>
              <w:rPr>
                <w:sz w:val="21"/>
                <w:szCs w:val="21"/>
                <w:color w:val="auto"/>
              </w:rPr>
            </w:pPr>
          </w:p>
        </w:tc>
      </w:tr>
      <w:tr>
        <w:trPr>
          <w:trHeight w:val="27"/>
        </w:trPr>
        <w:tc>
          <w:tcPr>
            <w:tcW w:w="20" w:type="dxa"/>
            <w:vAlign w:val="bottom"/>
            <w:shd w:val="clear" w:color="auto" w:fill="DCE2EF"/>
          </w:tcPr>
          <w:p>
            <w:pPr>
              <w:spacing w:after="0"/>
              <w:rPr>
                <w:sz w:val="2"/>
                <w:szCs w:val="2"/>
                <w:color w:val="auto"/>
              </w:rPr>
            </w:pPr>
          </w:p>
        </w:tc>
        <w:tc>
          <w:tcPr>
            <w:tcW w:w="820" w:type="dxa"/>
            <w:vAlign w:val="bottom"/>
            <w:shd w:val="clear" w:color="auto" w:fill="DCE2EF"/>
          </w:tcPr>
          <w:p>
            <w:pPr>
              <w:spacing w:after="0"/>
              <w:rPr>
                <w:sz w:val="2"/>
                <w:szCs w:val="2"/>
                <w:color w:val="auto"/>
              </w:rPr>
            </w:pPr>
          </w:p>
        </w:tc>
        <w:tc>
          <w:tcPr>
            <w:tcW w:w="2840" w:type="dxa"/>
            <w:vAlign w:val="bottom"/>
            <w:shd w:val="clear" w:color="auto" w:fill="DCE2EF"/>
          </w:tcPr>
          <w:p>
            <w:pPr>
              <w:spacing w:after="0"/>
              <w:rPr>
                <w:sz w:val="2"/>
                <w:szCs w:val="2"/>
                <w:color w:val="auto"/>
              </w:rPr>
            </w:pPr>
          </w:p>
        </w:tc>
        <w:tc>
          <w:tcPr>
            <w:tcW w:w="440" w:type="dxa"/>
            <w:vAlign w:val="bottom"/>
            <w:shd w:val="clear" w:color="auto" w:fill="DCE2EF"/>
          </w:tcPr>
          <w:p>
            <w:pPr>
              <w:spacing w:after="0"/>
              <w:rPr>
                <w:sz w:val="2"/>
                <w:szCs w:val="2"/>
                <w:color w:val="auto"/>
              </w:rPr>
            </w:pPr>
          </w:p>
        </w:tc>
        <w:tc>
          <w:tcPr>
            <w:tcW w:w="144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420" w:type="dxa"/>
            <w:vAlign w:val="bottom"/>
            <w:shd w:val="clear" w:color="auto" w:fill="DCE2EF"/>
          </w:tcPr>
          <w:p>
            <w:pPr>
              <w:spacing w:after="0"/>
              <w:rPr>
                <w:sz w:val="2"/>
                <w:szCs w:val="2"/>
                <w:color w:val="auto"/>
              </w:rPr>
            </w:pPr>
          </w:p>
        </w:tc>
        <w:tc>
          <w:tcPr>
            <w:tcW w:w="1460" w:type="dxa"/>
            <w:vAlign w:val="bottom"/>
            <w:shd w:val="clear" w:color="auto" w:fill="DCE2EF"/>
          </w:tcPr>
          <w:p>
            <w:pPr>
              <w:spacing w:after="0"/>
              <w:rPr>
                <w:sz w:val="2"/>
                <w:szCs w:val="2"/>
                <w:color w:val="auto"/>
              </w:rPr>
            </w:pPr>
          </w:p>
        </w:tc>
        <w:tc>
          <w:tcPr>
            <w:tcW w:w="100" w:type="dxa"/>
            <w:vAlign w:val="bottom"/>
            <w:shd w:val="clear" w:color="auto" w:fill="DCE2EF"/>
          </w:tcPr>
          <w:p>
            <w:pPr>
              <w:spacing w:after="0"/>
              <w:rPr>
                <w:sz w:val="2"/>
                <w:szCs w:val="2"/>
                <w:color w:val="auto"/>
              </w:rPr>
            </w:pPr>
          </w:p>
        </w:tc>
        <w:tc>
          <w:tcPr>
            <w:tcW w:w="540" w:type="dxa"/>
            <w:vAlign w:val="bottom"/>
            <w:shd w:val="clear" w:color="auto" w:fill="DCE2EF"/>
          </w:tcPr>
          <w:p>
            <w:pPr>
              <w:spacing w:after="0"/>
              <w:rPr>
                <w:sz w:val="2"/>
                <w:szCs w:val="2"/>
                <w:color w:val="auto"/>
              </w:rPr>
            </w:pPr>
          </w:p>
        </w:tc>
        <w:tc>
          <w:tcPr>
            <w:tcW w:w="1620" w:type="dxa"/>
            <w:vAlign w:val="bottom"/>
            <w:shd w:val="clear" w:color="auto" w:fill="DCE2EF"/>
          </w:tcPr>
          <w:p>
            <w:pPr>
              <w:spacing w:after="0"/>
              <w:rPr>
                <w:sz w:val="2"/>
                <w:szCs w:val="2"/>
                <w:color w:val="auto"/>
              </w:rPr>
            </w:pPr>
          </w:p>
        </w:tc>
        <w:tc>
          <w:tcPr>
            <w:tcW w:w="1580" w:type="dxa"/>
            <w:vAlign w:val="bottom"/>
            <w:shd w:val="clear" w:color="auto" w:fill="DCE2EF"/>
          </w:tcPr>
          <w:p>
            <w:pPr>
              <w:spacing w:after="0"/>
              <w:rPr>
                <w:sz w:val="2"/>
                <w:szCs w:val="2"/>
                <w:color w:val="auto"/>
              </w:rPr>
            </w:pPr>
          </w:p>
        </w:tc>
      </w:tr>
    </w:tbl>
    <w:p>
      <w:pPr>
        <w:spacing w:after="0" w:line="16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Technical Solutions revenues increased by $8.9 million, or 2.8%, during the nine months ended July 31, 2018, as compared to the nine months ended July 31, 2017. This increase was primarily attributable to higher BES project revenues due to the timing of new project bookings.</w:t>
      </w:r>
    </w:p>
    <w:p>
      <w:pPr>
        <w:spacing w:after="0" w:line="14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Operating profit decreased by $2.6 million, or 9.4%, during the nine months ended July 31, 2018, as compared to the nine months ended July 31, 2017. Operating profit margin decreased by 101 bps to 7.5% in the nine months ended July 31, 2018 from 8.5% in the nine months ended July 31, 2017. The decrease in operating profit margin was primarily attributable to the loss of certain higher margin contracts in our U.K. business and to the investment in sales personnel. This decrease was partially offset by favorable margins on certain projects in our U.S. business and higher tax deductions for energy efficient government building projects.</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700" w:type="dxa"/>
            <w:vAlign w:val="bottom"/>
            <w:gridSpan w:val="3"/>
          </w:tcPr>
          <w:p>
            <w:pPr>
              <w:ind w:left="40"/>
              <w:spacing w:after="0"/>
              <w:rPr>
                <w:sz w:val="20"/>
                <w:szCs w:val="20"/>
                <w:color w:val="auto"/>
              </w:rPr>
            </w:pPr>
            <w:r>
              <w:rPr>
                <w:rFonts w:ascii="Arial" w:cs="Arial" w:eastAsia="Arial" w:hAnsi="Arial"/>
                <w:sz w:val="18"/>
                <w:szCs w:val="18"/>
                <w:b w:val="1"/>
                <w:bCs w:val="1"/>
                <w:i w:val="1"/>
                <w:iCs w:val="1"/>
                <w:color w:val="0046AD"/>
              </w:rPr>
              <w:t>Healthcare</w:t>
            </w: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7"/>
        </w:trPr>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540" w:type="dxa"/>
            <w:vAlign w:val="bottom"/>
            <w:gridSpan w:val="5"/>
          </w:tcPr>
          <w:p>
            <w:pPr>
              <w:ind w:left="320"/>
              <w:spacing w:after="0"/>
              <w:rPr>
                <w:sz w:val="20"/>
                <w:szCs w:val="20"/>
                <w:color w:val="auto"/>
              </w:rPr>
            </w:pPr>
            <w:r>
              <w:rPr>
                <w:rFonts w:ascii="Arial" w:cs="Arial" w:eastAsia="Arial" w:hAnsi="Arial"/>
                <w:sz w:val="18"/>
                <w:szCs w:val="18"/>
                <w:b w:val="1"/>
                <w:bCs w:val="1"/>
                <w:color w:val="auto"/>
              </w:rPr>
              <w:t>Nine Months Ended July 31,</w:t>
            </w:r>
          </w:p>
        </w:tc>
        <w:tc>
          <w:tcPr>
            <w:tcW w:w="5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30"/>
        </w:trPr>
        <w:tc>
          <w:tcPr>
            <w:tcW w:w="3700" w:type="dxa"/>
            <w:vAlign w:val="bottom"/>
            <w:gridSpan w:val="3"/>
          </w:tcPr>
          <w:p>
            <w:pPr>
              <w:ind w:left="4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4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54"/>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180" w:type="dxa"/>
            <w:vAlign w:val="bottom"/>
            <w:gridSpan w:val="2"/>
          </w:tcPr>
          <w:p>
            <w:pPr>
              <w:ind w:left="420"/>
              <w:spacing w:after="0"/>
              <w:rPr>
                <w:sz w:val="20"/>
                <w:szCs w:val="20"/>
                <w:color w:val="auto"/>
              </w:rPr>
            </w:pPr>
            <w:r>
              <w:rPr>
                <w:rFonts w:ascii="Arial" w:cs="Arial" w:eastAsia="Arial" w:hAnsi="Arial"/>
                <w:sz w:val="18"/>
                <w:szCs w:val="18"/>
                <w:b w:val="1"/>
                <w:bCs w:val="1"/>
                <w:color w:val="auto"/>
              </w:rPr>
              <w:t>Increase / (Decrease)</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84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64"/>
        </w:trPr>
        <w:tc>
          <w:tcPr>
            <w:tcW w:w="370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Revenues</w:t>
            </w:r>
          </w:p>
        </w:tc>
        <w:tc>
          <w:tcPr>
            <w:tcW w:w="420" w:type="dxa"/>
            <w:vAlign w:val="bottom"/>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206.7</w:t>
            </w:r>
          </w:p>
        </w:tc>
        <w:tc>
          <w:tcPr>
            <w:tcW w:w="100" w:type="dxa"/>
            <w:vAlign w:val="bottom"/>
            <w:shd w:val="clear" w:color="auto" w:fill="DCE2EF"/>
          </w:tcPr>
          <w:p>
            <w:pPr>
              <w:spacing w:after="0"/>
              <w:rPr>
                <w:sz w:val="22"/>
                <w:szCs w:val="22"/>
                <w:color w:val="auto"/>
              </w:rPr>
            </w:pPr>
          </w:p>
        </w:tc>
        <w:tc>
          <w:tcPr>
            <w:tcW w:w="440" w:type="dxa"/>
            <w:vAlign w:val="bottom"/>
            <w:shd w:val="clear" w:color="auto" w:fill="DCE2EF"/>
          </w:tcPr>
          <w:p>
            <w:pPr>
              <w:jc w:val="right"/>
              <w:ind w:right="23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DCE2EF"/>
          </w:tcPr>
          <w:p>
            <w:pPr>
              <w:jc w:val="right"/>
              <w:ind w:right="74"/>
              <w:spacing w:after="0"/>
              <w:rPr>
                <w:sz w:val="20"/>
                <w:szCs w:val="20"/>
                <w:color w:val="auto"/>
              </w:rPr>
            </w:pPr>
            <w:r>
              <w:rPr>
                <w:rFonts w:ascii="Arial" w:cs="Arial" w:eastAsia="Arial" w:hAnsi="Arial"/>
                <w:sz w:val="18"/>
                <w:szCs w:val="18"/>
                <w:color w:val="auto"/>
              </w:rPr>
              <w:t>181.6</w:t>
            </w:r>
          </w:p>
        </w:tc>
        <w:tc>
          <w:tcPr>
            <w:tcW w:w="100" w:type="dxa"/>
            <w:vAlign w:val="bottom"/>
            <w:shd w:val="clear" w:color="auto" w:fill="DCE2EF"/>
          </w:tcPr>
          <w:p>
            <w:pPr>
              <w:spacing w:after="0"/>
              <w:rPr>
                <w:sz w:val="22"/>
                <w:szCs w:val="22"/>
                <w:color w:val="auto"/>
              </w:rPr>
            </w:pPr>
          </w:p>
        </w:tc>
        <w:tc>
          <w:tcPr>
            <w:tcW w:w="560" w:type="dxa"/>
            <w:vAlign w:val="bottom"/>
            <w:shd w:val="clear" w:color="auto" w:fill="DCE2EF"/>
          </w:tcPr>
          <w:p>
            <w:pPr>
              <w:jc w:val="right"/>
              <w:ind w:right="330"/>
              <w:spacing w:after="0"/>
              <w:rPr>
                <w:sz w:val="20"/>
                <w:szCs w:val="20"/>
                <w:color w:val="auto"/>
              </w:rPr>
            </w:pPr>
            <w:r>
              <w:rPr>
                <w:rFonts w:ascii="Arial" w:cs="Arial" w:eastAsia="Arial" w:hAnsi="Arial"/>
                <w:sz w:val="18"/>
                <w:szCs w:val="18"/>
                <w:color w:val="auto"/>
              </w:rPr>
              <w:t>$</w:t>
            </w: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8"/>
                <w:szCs w:val="18"/>
                <w:color w:val="auto"/>
              </w:rPr>
              <w:t>25.1</w:t>
            </w:r>
          </w:p>
        </w:tc>
        <w:tc>
          <w:tcPr>
            <w:tcW w:w="1580" w:type="dxa"/>
            <w:vAlign w:val="bottom"/>
            <w:shd w:val="clear" w:color="auto" w:fill="DCE2EF"/>
          </w:tcPr>
          <w:p>
            <w:pPr>
              <w:jc w:val="right"/>
              <w:ind w:right="550"/>
              <w:spacing w:after="0"/>
              <w:rPr>
                <w:sz w:val="20"/>
                <w:szCs w:val="20"/>
                <w:color w:val="auto"/>
              </w:rPr>
            </w:pPr>
            <w:r>
              <w:rPr>
                <w:rFonts w:ascii="Arial" w:cs="Arial" w:eastAsia="Arial" w:hAnsi="Arial"/>
                <w:sz w:val="18"/>
                <w:szCs w:val="18"/>
                <w:color w:val="auto"/>
              </w:rPr>
              <w:t>13.8%</w:t>
            </w:r>
          </w:p>
        </w:tc>
      </w:tr>
      <w:tr>
        <w:trPr>
          <w:trHeight w:val="263"/>
        </w:trPr>
        <w:tc>
          <w:tcPr>
            <w:tcW w:w="3700" w:type="dxa"/>
            <w:vAlign w:val="bottom"/>
            <w:gridSpan w:val="3"/>
          </w:tcPr>
          <w:p>
            <w:pPr>
              <w:ind w:left="40"/>
              <w:spacing w:after="0"/>
              <w:rPr>
                <w:sz w:val="20"/>
                <w:szCs w:val="20"/>
                <w:color w:val="auto"/>
              </w:rPr>
            </w:pPr>
            <w:r>
              <w:rPr>
                <w:rFonts w:ascii="Arial" w:cs="Arial" w:eastAsia="Arial" w:hAnsi="Arial"/>
                <w:sz w:val="18"/>
                <w:szCs w:val="18"/>
                <w:color w:val="auto"/>
              </w:rPr>
              <w:t>Operating profit</w:t>
            </w:r>
          </w:p>
        </w:tc>
        <w:tc>
          <w:tcPr>
            <w:tcW w:w="420" w:type="dxa"/>
            <w:vAlign w:val="bottom"/>
          </w:tcPr>
          <w:p>
            <w:pPr>
              <w:spacing w:after="0"/>
              <w:rPr>
                <w:sz w:val="22"/>
                <w:szCs w:val="22"/>
                <w:color w:val="auto"/>
              </w:rPr>
            </w:pPr>
          </w:p>
        </w:tc>
        <w:tc>
          <w:tcPr>
            <w:tcW w:w="1460" w:type="dxa"/>
            <w:vAlign w:val="bottom"/>
          </w:tcPr>
          <w:p>
            <w:pPr>
              <w:jc w:val="right"/>
              <w:ind w:right="74"/>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440" w:type="dxa"/>
            <w:vAlign w:val="bottom"/>
          </w:tcPr>
          <w:p>
            <w:pPr>
              <w:jc w:val="right"/>
              <w:ind w:right="74"/>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600" w:type="dxa"/>
            <w:vAlign w:val="bottom"/>
          </w:tcPr>
          <w:p>
            <w:pPr>
              <w:jc w:val="right"/>
              <w:ind w:right="354"/>
              <w:spacing w:after="0"/>
              <w:rPr>
                <w:sz w:val="20"/>
                <w:szCs w:val="20"/>
                <w:color w:val="auto"/>
              </w:rPr>
            </w:pPr>
            <w:r>
              <w:rPr>
                <w:rFonts w:ascii="Arial" w:cs="Arial" w:eastAsia="Arial" w:hAnsi="Arial"/>
                <w:sz w:val="18"/>
                <w:szCs w:val="18"/>
                <w:color w:val="auto"/>
              </w:rPr>
              <w:t>0.2</w:t>
            </w:r>
          </w:p>
        </w:tc>
        <w:tc>
          <w:tcPr>
            <w:tcW w:w="1580" w:type="dxa"/>
            <w:vAlign w:val="bottom"/>
          </w:tcPr>
          <w:p>
            <w:pPr>
              <w:jc w:val="right"/>
              <w:ind w:right="610"/>
              <w:spacing w:after="0"/>
              <w:rPr>
                <w:sz w:val="20"/>
                <w:szCs w:val="20"/>
                <w:color w:val="auto"/>
              </w:rPr>
            </w:pPr>
            <w:r>
              <w:rPr>
                <w:rFonts w:ascii="Arial" w:cs="Arial" w:eastAsia="Arial" w:hAnsi="Arial"/>
                <w:sz w:val="18"/>
                <w:szCs w:val="18"/>
                <w:color w:val="auto"/>
              </w:rPr>
              <w:t>2.8%</w:t>
            </w:r>
          </w:p>
        </w:tc>
      </w:tr>
      <w:tr>
        <w:trPr>
          <w:trHeight w:val="277"/>
        </w:trPr>
        <w:tc>
          <w:tcPr>
            <w:tcW w:w="40" w:type="dxa"/>
            <w:vAlign w:val="bottom"/>
            <w:shd w:val="clear" w:color="auto" w:fill="DCE2EF"/>
          </w:tcPr>
          <w:p>
            <w:pPr>
              <w:spacing w:after="0"/>
              <w:rPr>
                <w:sz w:val="24"/>
                <w:szCs w:val="24"/>
                <w:color w:val="auto"/>
              </w:rPr>
            </w:pPr>
          </w:p>
        </w:tc>
        <w:tc>
          <w:tcPr>
            <w:tcW w:w="3660" w:type="dxa"/>
            <w:vAlign w:val="bottom"/>
            <w:gridSpan w:val="2"/>
            <w:shd w:val="clear" w:color="auto" w:fill="DCE2EF"/>
          </w:tcPr>
          <w:p>
            <w:pPr>
              <w:ind w:left="140"/>
              <w:spacing w:after="0"/>
              <w:rPr>
                <w:sz w:val="20"/>
                <w:szCs w:val="20"/>
                <w:color w:val="auto"/>
              </w:rPr>
            </w:pPr>
            <w:r>
              <w:rPr>
                <w:rFonts w:ascii="Arial" w:cs="Arial" w:eastAsia="Arial" w:hAnsi="Arial"/>
                <w:sz w:val="14"/>
                <w:szCs w:val="14"/>
                <w:i w:val="1"/>
                <w:iCs w:val="1"/>
                <w:color w:val="auto"/>
              </w:rPr>
              <w:t>Operating profit margin</w:t>
            </w:r>
          </w:p>
        </w:tc>
        <w:tc>
          <w:tcPr>
            <w:tcW w:w="420" w:type="dxa"/>
            <w:vAlign w:val="bottom"/>
            <w:shd w:val="clear" w:color="auto" w:fill="DCE2EF"/>
          </w:tcPr>
          <w:p>
            <w:pPr>
              <w:spacing w:after="0"/>
              <w:rPr>
                <w:sz w:val="24"/>
                <w:szCs w:val="24"/>
                <w:color w:val="auto"/>
              </w:rPr>
            </w:pPr>
          </w:p>
        </w:tc>
        <w:tc>
          <w:tcPr>
            <w:tcW w:w="146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3.8%</w:t>
            </w:r>
          </w:p>
        </w:tc>
        <w:tc>
          <w:tcPr>
            <w:tcW w:w="100" w:type="dxa"/>
            <w:vAlign w:val="bottom"/>
            <w:shd w:val="clear" w:color="auto" w:fill="DCE2EF"/>
          </w:tcPr>
          <w:p>
            <w:pPr>
              <w:spacing w:after="0"/>
              <w:rPr>
                <w:sz w:val="24"/>
                <w:szCs w:val="24"/>
                <w:color w:val="auto"/>
              </w:rPr>
            </w:pPr>
          </w:p>
        </w:tc>
        <w:tc>
          <w:tcPr>
            <w:tcW w:w="440" w:type="dxa"/>
            <w:vAlign w:val="bottom"/>
            <w:shd w:val="clear" w:color="auto" w:fill="DCE2EF"/>
          </w:tcPr>
          <w:p>
            <w:pPr>
              <w:spacing w:after="0"/>
              <w:rPr>
                <w:sz w:val="24"/>
                <w:szCs w:val="24"/>
                <w:color w:val="auto"/>
              </w:rPr>
            </w:pPr>
          </w:p>
        </w:tc>
        <w:tc>
          <w:tcPr>
            <w:tcW w:w="1440" w:type="dxa"/>
            <w:vAlign w:val="bottom"/>
            <w:shd w:val="clear" w:color="auto" w:fill="DCE2EF"/>
          </w:tcPr>
          <w:p>
            <w:pPr>
              <w:jc w:val="right"/>
              <w:spacing w:after="0"/>
              <w:rPr>
                <w:sz w:val="20"/>
                <w:szCs w:val="20"/>
                <w:color w:val="auto"/>
              </w:rPr>
            </w:pPr>
            <w:r>
              <w:rPr>
                <w:rFonts w:ascii="Arial" w:cs="Arial" w:eastAsia="Arial" w:hAnsi="Arial"/>
                <w:sz w:val="14"/>
                <w:szCs w:val="14"/>
                <w:i w:val="1"/>
                <w:iCs w:val="1"/>
                <w:color w:val="auto"/>
              </w:rPr>
              <w:t>4.2%</w:t>
            </w:r>
          </w:p>
        </w:tc>
        <w:tc>
          <w:tcPr>
            <w:tcW w:w="100" w:type="dxa"/>
            <w:vAlign w:val="bottom"/>
            <w:shd w:val="clear" w:color="auto" w:fill="DCE2EF"/>
          </w:tcPr>
          <w:p>
            <w:pPr>
              <w:spacing w:after="0"/>
              <w:rPr>
                <w:sz w:val="24"/>
                <w:szCs w:val="24"/>
                <w:color w:val="auto"/>
              </w:rPr>
            </w:pPr>
          </w:p>
        </w:tc>
        <w:tc>
          <w:tcPr>
            <w:tcW w:w="560" w:type="dxa"/>
            <w:vAlign w:val="bottom"/>
            <w:shd w:val="clear" w:color="auto" w:fill="DCE2EF"/>
          </w:tcPr>
          <w:p>
            <w:pPr>
              <w:spacing w:after="0"/>
              <w:rPr>
                <w:sz w:val="24"/>
                <w:szCs w:val="24"/>
                <w:color w:val="auto"/>
              </w:rPr>
            </w:pPr>
          </w:p>
        </w:tc>
        <w:tc>
          <w:tcPr>
            <w:tcW w:w="1600" w:type="dxa"/>
            <w:vAlign w:val="bottom"/>
            <w:shd w:val="clear" w:color="auto" w:fill="DCE2EF"/>
          </w:tcPr>
          <w:p>
            <w:pPr>
              <w:jc w:val="right"/>
              <w:ind w:right="354"/>
              <w:spacing w:after="0"/>
              <w:rPr>
                <w:sz w:val="20"/>
                <w:szCs w:val="20"/>
                <w:color w:val="auto"/>
              </w:rPr>
            </w:pPr>
            <w:r>
              <w:rPr>
                <w:rFonts w:ascii="Arial" w:cs="Arial" w:eastAsia="Arial" w:hAnsi="Arial"/>
                <w:sz w:val="14"/>
                <w:szCs w:val="14"/>
                <w:i w:val="1"/>
                <w:iCs w:val="1"/>
                <w:color w:val="auto"/>
              </w:rPr>
              <w:t>(41) bps</w:t>
            </w:r>
          </w:p>
        </w:tc>
        <w:tc>
          <w:tcPr>
            <w:tcW w:w="1580" w:type="dxa"/>
            <w:vAlign w:val="bottom"/>
            <w:shd w:val="clear" w:color="auto" w:fill="DCE2EF"/>
          </w:tcPr>
          <w:p>
            <w:pPr>
              <w:spacing w:after="0"/>
              <w:rPr>
                <w:sz w:val="24"/>
                <w:szCs w:val="24"/>
                <w:color w:val="auto"/>
              </w:rPr>
            </w:pPr>
          </w:p>
        </w:tc>
      </w:tr>
    </w:tbl>
    <w:p>
      <w:pPr>
        <w:spacing w:after="0" w:line="16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Healthcare revenues increased by $25.1 million, or 13.8%, during the nine months ended July 31, 2018, as compared to the nine months ended July 31, 2017. This increase was primarily attributable to incremental revenues from the GCA acquisition of $22.3 million and net new business.</w:t>
      </w:r>
    </w:p>
    <w:p>
      <w:pPr>
        <w:spacing w:after="0" w:line="14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Operating profit increased by $0.2 million, or 2.8%, during the nine months ended July 31, 2018, as compared to the nine months ended July 31, 2017. Operating profit margin decreased by 41 bps to 3.8% in the nine months ended July 31, 2018 from 4.2% in the nine months ended July 31, 2017. This decrease was primarily attributable to lower margin new business, partially offset by the management of selling, general and administrative expenses.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9" w:right="239" w:bottom="1440" w:gutter="0" w:footer="0" w:header="0"/>
        </w:sectPr>
      </w:pPr>
    </w:p>
    <w:bookmarkStart w:id="43" w:name="page44"/>
    <w:bookmarkEnd w:id="43"/>
    <w:tbl>
      <w:tblPr>
        <w:tblLayout w:type="fixed"/>
        <w:tblInd w:w="20" w:type="dxa"/>
        <w:tblCellMar>
          <w:top w:w="0" w:type="dxa"/>
          <w:left w:w="0" w:type="dxa"/>
          <w:bottom w:w="0" w:type="dxa"/>
          <w:right w:w="0" w:type="dxa"/>
        </w:tblCellMar>
      </w:tblPr>
      <w:tr>
        <w:trPr>
          <w:trHeight w:val="239"/>
        </w:trPr>
        <w:tc>
          <w:tcPr>
            <w:tcW w:w="3740" w:type="dxa"/>
            <w:vAlign w:val="bottom"/>
            <w:gridSpan w:val="3"/>
          </w:tcPr>
          <w:p>
            <w:pPr>
              <w:ind w:left="20"/>
              <w:spacing w:after="0"/>
              <w:rPr>
                <w:sz w:val="20"/>
                <w:szCs w:val="20"/>
                <w:color w:val="auto"/>
              </w:rPr>
            </w:pPr>
            <w:r>
              <w:rPr>
                <w:rFonts w:ascii="Arial" w:cs="Arial" w:eastAsia="Arial" w:hAnsi="Arial"/>
                <w:sz w:val="18"/>
                <w:szCs w:val="18"/>
                <w:b w:val="1"/>
                <w:bCs w:val="1"/>
                <w:i w:val="1"/>
                <w:iCs w:val="1"/>
                <w:color w:val="0046AD"/>
              </w:rPr>
              <w:t>Corporate</w:t>
            </w:r>
          </w:p>
        </w:tc>
        <w:tc>
          <w:tcPr>
            <w:tcW w:w="1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7"/>
        </w:trPr>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160" w:type="dxa"/>
            <w:vAlign w:val="bottom"/>
            <w:tcBorders>
              <w:bottom w:val="single" w:sz="8" w:color="auto"/>
            </w:tcBorders>
            <w:gridSpan w:val="4"/>
          </w:tcPr>
          <w:p>
            <w:pPr>
              <w:ind w:left="700"/>
              <w:spacing w:after="0"/>
              <w:rPr>
                <w:sz w:val="20"/>
                <w:szCs w:val="20"/>
                <w:color w:val="auto"/>
              </w:rPr>
            </w:pPr>
            <w:r>
              <w:rPr>
                <w:rFonts w:ascii="Arial" w:cs="Arial" w:eastAsia="Arial" w:hAnsi="Arial"/>
                <w:sz w:val="18"/>
                <w:szCs w:val="18"/>
                <w:b w:val="1"/>
                <w:bCs w:val="1"/>
                <w:color w:val="auto"/>
              </w:rPr>
              <w:t>Nine Months Ended July 31,</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3740" w:type="dxa"/>
            <w:vAlign w:val="bottom"/>
            <w:gridSpan w:val="3"/>
          </w:tcPr>
          <w:p>
            <w:pPr>
              <w:ind w:left="20"/>
              <w:spacing w:after="0"/>
              <w:rPr>
                <w:sz w:val="20"/>
                <w:szCs w:val="20"/>
                <w:color w:val="auto"/>
              </w:rPr>
            </w:pPr>
            <w:r>
              <w:rPr>
                <w:rFonts w:ascii="Arial" w:cs="Arial" w:eastAsia="Arial" w:hAnsi="Arial"/>
                <w:sz w:val="14"/>
                <w:szCs w:val="14"/>
                <w:i w:val="1"/>
                <w:iCs w:val="1"/>
                <w:u w:val="single" w:color="auto"/>
                <w:color w:val="auto"/>
              </w:rPr>
              <w:t>(</w:t>
            </w:r>
            <w:r>
              <w:rPr>
                <w:rFonts w:ascii="Arial" w:cs="Arial" w:eastAsia="Arial" w:hAnsi="Arial"/>
                <w:sz w:val="14"/>
                <w:szCs w:val="14"/>
                <w:i w:val="1"/>
                <w:iCs w:val="1"/>
                <w:color w:val="auto"/>
              </w:rPr>
              <w:t>$ in millions)</w:t>
            </w:r>
          </w:p>
        </w:tc>
        <w:tc>
          <w:tcPr>
            <w:tcW w:w="1200" w:type="dxa"/>
            <w:vAlign w:val="bottom"/>
          </w:tcPr>
          <w:p>
            <w:pPr>
              <w:ind w:left="720"/>
              <w:spacing w:after="0"/>
              <w:rPr>
                <w:sz w:val="20"/>
                <w:szCs w:val="20"/>
                <w:color w:val="auto"/>
              </w:rPr>
            </w:pPr>
            <w:r>
              <w:rPr>
                <w:rFonts w:ascii="Arial" w:cs="Arial" w:eastAsia="Arial" w:hAnsi="Arial"/>
                <w:sz w:val="18"/>
                <w:szCs w:val="18"/>
                <w:b w:val="1"/>
                <w:bCs w:val="1"/>
                <w:color w:val="auto"/>
              </w:rPr>
              <w:t>2018</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60" w:type="dxa"/>
            <w:vAlign w:val="bottom"/>
          </w:tcPr>
          <w:p>
            <w:pPr>
              <w:jc w:val="right"/>
              <w:ind w:right="110"/>
              <w:spacing w:after="0"/>
              <w:rPr>
                <w:sz w:val="20"/>
                <w:szCs w:val="20"/>
                <w:color w:val="auto"/>
              </w:rPr>
            </w:pPr>
            <w:r>
              <w:rPr>
                <w:rFonts w:ascii="Arial" w:cs="Arial" w:eastAsia="Arial" w:hAnsi="Arial"/>
                <w:sz w:val="18"/>
                <w:szCs w:val="18"/>
                <w:b w:val="1"/>
                <w:bCs w:val="1"/>
                <w:color w:val="auto"/>
              </w:rPr>
              <w:t>Increase</w:t>
            </w:r>
          </w:p>
        </w:tc>
        <w:tc>
          <w:tcPr>
            <w:tcW w:w="1320" w:type="dxa"/>
            <w:vAlign w:val="bottom"/>
          </w:tcPr>
          <w:p>
            <w:pPr>
              <w:spacing w:after="0"/>
              <w:rPr>
                <w:sz w:val="19"/>
                <w:szCs w:val="19"/>
                <w:color w:val="auto"/>
              </w:rPr>
            </w:pPr>
          </w:p>
        </w:tc>
      </w:tr>
      <w:tr>
        <w:trPr>
          <w:trHeight w:val="21"/>
        </w:trPr>
        <w:tc>
          <w:tcPr>
            <w:tcW w:w="20" w:type="dxa"/>
            <w:vAlign w:val="bottom"/>
            <w:tcBorders>
              <w:bottom w:val="single" w:sz="8" w:color="DCE2EF"/>
            </w:tcBorders>
          </w:tcPr>
          <w:p>
            <w:pPr>
              <w:spacing w:after="0" w:line="20" w:lineRule="exact"/>
              <w:rPr>
                <w:sz w:val="1"/>
                <w:szCs w:val="1"/>
                <w:color w:val="auto"/>
              </w:rPr>
            </w:pPr>
          </w:p>
        </w:tc>
        <w:tc>
          <w:tcPr>
            <w:tcW w:w="820" w:type="dxa"/>
            <w:vAlign w:val="bottom"/>
            <w:tcBorders>
              <w:top w:val="single" w:sz="8" w:color="auto"/>
              <w:bottom w:val="single" w:sz="8" w:color="DCE2EF"/>
            </w:tcBorders>
          </w:tcPr>
          <w:p>
            <w:pPr>
              <w:spacing w:after="0" w:line="20" w:lineRule="exact"/>
              <w:rPr>
                <w:sz w:val="1"/>
                <w:szCs w:val="1"/>
                <w:color w:val="auto"/>
              </w:rPr>
            </w:pPr>
          </w:p>
        </w:tc>
        <w:tc>
          <w:tcPr>
            <w:tcW w:w="2900" w:type="dxa"/>
            <w:vAlign w:val="bottom"/>
            <w:tcBorders>
              <w:bottom w:val="single" w:sz="8" w:color="DCE2E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DCE2E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64"/>
        </w:trPr>
        <w:tc>
          <w:tcPr>
            <w:tcW w:w="3740" w:type="dxa"/>
            <w:vAlign w:val="bottom"/>
            <w:gridSpan w:val="3"/>
            <w:shd w:val="clear" w:color="auto" w:fill="DCE2EF"/>
          </w:tcPr>
          <w:p>
            <w:pPr>
              <w:ind w:left="20"/>
              <w:spacing w:after="0"/>
              <w:rPr>
                <w:sz w:val="20"/>
                <w:szCs w:val="20"/>
                <w:color w:val="auto"/>
              </w:rPr>
            </w:pPr>
            <w:r>
              <w:rPr>
                <w:rFonts w:ascii="Arial" w:cs="Arial" w:eastAsia="Arial" w:hAnsi="Arial"/>
                <w:sz w:val="18"/>
                <w:szCs w:val="18"/>
                <w:color w:val="auto"/>
              </w:rPr>
              <w:t>Corporate expenses</w:t>
            </w:r>
          </w:p>
        </w:tc>
        <w:tc>
          <w:tcPr>
            <w:tcW w:w="1200" w:type="dxa"/>
            <w:vAlign w:val="bottom"/>
            <w:shd w:val="clear" w:color="auto" w:fill="DCE2EF"/>
          </w:tcPr>
          <w:p>
            <w:pPr>
              <w:jc w:val="right"/>
              <w:ind w:right="99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127.3</w:t>
            </w:r>
          </w:p>
        </w:tc>
        <w:tc>
          <w:tcPr>
            <w:tcW w:w="100" w:type="dxa"/>
            <w:vAlign w:val="bottom"/>
            <w:shd w:val="clear" w:color="auto" w:fill="DCE2EF"/>
          </w:tcPr>
          <w:p>
            <w:pPr>
              <w:spacing w:after="0"/>
              <w:rPr>
                <w:sz w:val="22"/>
                <w:szCs w:val="22"/>
                <w:color w:val="auto"/>
              </w:rPr>
            </w:pPr>
          </w:p>
        </w:tc>
        <w:tc>
          <w:tcPr>
            <w:tcW w:w="1220" w:type="dxa"/>
            <w:vAlign w:val="bottom"/>
            <w:shd w:val="clear" w:color="auto" w:fill="DCE2EF"/>
          </w:tcPr>
          <w:p>
            <w:pPr>
              <w:jc w:val="right"/>
              <w:ind w:right="1010"/>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DCE2EF"/>
          </w:tcPr>
          <w:p>
            <w:pPr>
              <w:jc w:val="right"/>
              <w:ind w:right="30"/>
              <w:spacing w:after="0"/>
              <w:rPr>
                <w:sz w:val="20"/>
                <w:szCs w:val="20"/>
                <w:color w:val="auto"/>
              </w:rPr>
            </w:pPr>
            <w:r>
              <w:rPr>
                <w:rFonts w:ascii="Arial" w:cs="Arial" w:eastAsia="Arial" w:hAnsi="Arial"/>
                <w:sz w:val="18"/>
                <w:szCs w:val="18"/>
                <w:color w:val="auto"/>
              </w:rPr>
              <w:t>118.5</w:t>
            </w:r>
          </w:p>
        </w:tc>
        <w:tc>
          <w:tcPr>
            <w:tcW w:w="120" w:type="dxa"/>
            <w:vAlign w:val="bottom"/>
            <w:shd w:val="clear" w:color="auto" w:fill="DCE2EF"/>
          </w:tcPr>
          <w:p>
            <w:pPr>
              <w:spacing w:after="0"/>
              <w:rPr>
                <w:sz w:val="22"/>
                <w:szCs w:val="22"/>
                <w:color w:val="auto"/>
              </w:rPr>
            </w:pPr>
          </w:p>
        </w:tc>
        <w:tc>
          <w:tcPr>
            <w:tcW w:w="780" w:type="dxa"/>
            <w:vAlign w:val="bottom"/>
            <w:shd w:val="clear" w:color="auto" w:fill="DCE2EF"/>
          </w:tcPr>
          <w:p>
            <w:pPr>
              <w:jc w:val="right"/>
              <w:ind w:right="5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DCE2EF"/>
          </w:tcPr>
          <w:p>
            <w:pPr>
              <w:jc w:val="right"/>
              <w:ind w:right="630"/>
              <w:spacing w:after="0"/>
              <w:rPr>
                <w:sz w:val="20"/>
                <w:szCs w:val="20"/>
                <w:color w:val="auto"/>
              </w:rPr>
            </w:pPr>
            <w:r>
              <w:rPr>
                <w:rFonts w:ascii="Arial" w:cs="Arial" w:eastAsia="Arial" w:hAnsi="Arial"/>
                <w:sz w:val="18"/>
                <w:szCs w:val="18"/>
                <w:color w:val="auto"/>
              </w:rPr>
              <w:t>8.8</w:t>
            </w:r>
          </w:p>
        </w:tc>
        <w:tc>
          <w:tcPr>
            <w:tcW w:w="1320" w:type="dxa"/>
            <w:vAlign w:val="bottom"/>
            <w:shd w:val="clear" w:color="auto" w:fill="DCE2EF"/>
          </w:tcPr>
          <w:p>
            <w:pPr>
              <w:jc w:val="right"/>
              <w:ind w:right="630"/>
              <w:spacing w:after="0"/>
              <w:rPr>
                <w:sz w:val="20"/>
                <w:szCs w:val="20"/>
                <w:color w:val="auto"/>
              </w:rPr>
            </w:pPr>
            <w:r>
              <w:rPr>
                <w:rFonts w:ascii="Arial" w:cs="Arial" w:eastAsia="Arial" w:hAnsi="Arial"/>
                <w:sz w:val="18"/>
                <w:szCs w:val="18"/>
                <w:color w:val="auto"/>
              </w:rPr>
              <w:t>7.5%</w:t>
            </w:r>
          </w:p>
        </w:tc>
      </w:tr>
    </w:tbl>
    <w:p>
      <w:pPr>
        <w:spacing w:after="0" w:line="161"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Corporate expenses increased by $8.8 million, or 7.5%, during the nine months ended July 31, 2018, as compared to the nine months ended July 31, 2017. The increase in corporate expenses was primarily related to:</w:t>
      </w:r>
    </w:p>
    <w:p>
      <w:pPr>
        <w:spacing w:after="0" w:line="14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$6.8 million increase in technology investments and related support;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$6.5 million increase in restructuring and related costs as a result of the GCA acquisition;</w:t>
      </w:r>
    </w:p>
    <w:p>
      <w:pPr>
        <w:spacing w:after="0" w:line="149" w:lineRule="exact"/>
        <w:rPr>
          <w:rFonts w:ascii="Arial" w:cs="Arial" w:eastAsia="Arial" w:hAnsi="Arial"/>
          <w:sz w:val="18"/>
          <w:szCs w:val="18"/>
          <w:color w:val="auto"/>
        </w:rPr>
      </w:pPr>
    </w:p>
    <w:p>
      <w:pPr>
        <w:ind w:left="660" w:hanging="328"/>
        <w:spacing w:after="0" w:line="28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$3.8 million higher compensation and related expenses primarily related to hiring additional personnel to support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initiatives, as well as incremental expenses related to the GCA acquisition;</w:t>
      </w:r>
    </w:p>
    <w:p>
      <w:pPr>
        <w:spacing w:after="0" w:line="121"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absence of a $3.2 million reimbursement of previously expensed fees associated with a concluded internal investigation into a foreign entity formerly affiliated with a joint venture during the prior year;</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$2.4 million increase in expenses related to certain incentive plans due to the timing of awards; and</w:t>
      </w:r>
    </w:p>
    <w:p>
      <w:pPr>
        <w:spacing w:after="0" w:line="171" w:lineRule="exact"/>
        <w:rPr>
          <w:rFonts w:ascii="Arial" w:cs="Arial" w:eastAsia="Arial" w:hAnsi="Arial"/>
          <w:sz w:val="18"/>
          <w:szCs w:val="18"/>
          <w:color w:val="auto"/>
        </w:rPr>
      </w:pPr>
    </w:p>
    <w:p>
      <w:pPr>
        <w:ind w:right="360" w:firstLine="332"/>
        <w:spacing w:after="0" w:line="438" w:lineRule="auto"/>
        <w:tabs>
          <w:tab w:leader="none" w:pos="648"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$1.6 million increase in legal settlement costs, net of a $6.8 million reimbursement of previously expensed legal settlement costs. This increase was partially offset by:</w:t>
      </w:r>
    </w:p>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$12.3 million lower adjustment to self-insurance reserves related to prior year claims as a result of actuarial studies completed in the nine months ended July 31, 2018;</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$3.4 million adjustment to decrease our medical and dental insurance reserves as a result of actuarial evaluations performed in the nine months ended July 31, 2018; and</w:t>
      </w:r>
    </w:p>
    <w:p>
      <w:pPr>
        <w:spacing w:after="0" w:line="142"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$0.6 million decrease in acquisition costs due to the absence of $2.2 million of transaction expenses related to the GCA acquisition incurred in the prior year, partially offset by $1.6 million of acquisition related costs incurred in the current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7" w:right="239" w:bottom="1440" w:gutter="0" w:footer="0" w:header="0"/>
        </w:sectPr>
      </w:pPr>
    </w:p>
    <w:bookmarkStart w:id="44" w:name="page45"/>
    <w:bookmarkEnd w:id="44"/>
    <w:p>
      <w:pPr>
        <w:ind w:left="40"/>
        <w:spacing w:after="0"/>
        <w:rPr>
          <w:sz w:val="20"/>
          <w:szCs w:val="20"/>
          <w:color w:val="auto"/>
        </w:rPr>
      </w:pPr>
      <w:r>
        <w:rPr>
          <w:rFonts w:ascii="Arial" w:cs="Arial" w:eastAsia="Arial" w:hAnsi="Arial"/>
          <w:sz w:val="18"/>
          <w:szCs w:val="18"/>
          <w:b w:val="1"/>
          <w:bCs w:val="1"/>
          <w:color w:val="0046AD"/>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Our primary sources of liquidity are operating cash flows and borrowing capacity under our credit facility. We assess our liquidity in terms of our ability to generate cash to fund our short- and long-term cash requirements. As such, we project our anticipated cash requirements as well as cash flows generated from operating activities to meet those needs.</w:t>
      </w:r>
    </w:p>
    <w:p>
      <w:pPr>
        <w:spacing w:after="0" w:line="20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addition to normal working capital requirements, we anticipate that our short- and long-term cash requirements will include funding legal settlements, insurance claims, dividend payments, capital expenditures, and integration costs related to the GCA acquisition. We anticipate long-term cash uses will also include strategic acquisitions and share repurchases.</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believe that our operating cash flows and borrowing capacity under our credit facility are sufficient to fund our cash requirements for the next twelve months. In the event that our plans change or our cash requirements are greater than we anticipate, we may need to access the capital markets to finance future cash requirements. However, there can be no assurance that such financing will be available to us should we need it or, if available, that the terms will be satisfactory to us and not dilutive to existing shareholders.</w:t>
      </w:r>
    </w:p>
    <w:p>
      <w:pPr>
        <w:spacing w:after="0" w:line="20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On a long-term basis, we will continue to rely on our credit facility for working capital and long-term funding not provided by operating cash flows. In addition, we anticipate that future cash generated from operations will be augmented by working capital improvements driven by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such as the management of costs through consolidated procurement.</w:t>
      </w:r>
    </w:p>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IFM Assurance Company (“IFM”) is a wholly-owned captive insurance company that we formed in 2015. IFM is part of our enterprise-wide, multi-year insurance strategy that is intended to better position our risk and safety programs and provide us with increased flexibility in the end-to-end management of our insurance programs. IFM began providing coverage to us as of January 1, 2015. In 2018, we expect accelerated cash tax savings related to coverage provided by IFM will be between $5 million and $10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Credit Facility</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1, 2017, we refinanced and replaced our then-existing $800.0 million credit facility with a new senior, secured five-year syndicated credit facility (the “Credit Facility”), consisting of a $900.0 million revolving line of credit and an $800.0 million amortizing term loan, scheduled to mature on September 1, 2022. In accordance with the terms of the Credit Facility, the line of credit was reduced to $800.0 million on September 1, 2018. Initial borrowings under the Credit Facility were used to finance, in part, the cash portion of the purchase price related to the GCA acquisition, to refinance certain existing indebtedness of ABM, and to pay transaction costs.</w:t>
      </w:r>
    </w:p>
    <w:p>
      <w:pPr>
        <w:spacing w:after="0" w:line="152"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Our ability to draw down available capacity under the Credit Facility is subject to, and limited by, compliance with certain financial covenants, which include a maximum leverage ratio of 4.75 to 1.0 through April 2018, which steps down to 3.50 to 1.0 by July 2020, and a minimum fixed charge coverage ratio of 1.50 to 1.0. Other covenants under the Credit Facility include limitations on liens, dispositions, fundamental changes, investments, and certain transactions and payments. At July 31, 2018, we were in compliance with these covenants and expect to be in compliance in the foreseeable future. On September 5, 2018, we amended our Credit Facility to increase the maximum leverage ratio for fiscal quarters commencing July 31, 2018 through April 30, 2021 by 25 basis points for such quarters.</w:t>
      </w:r>
    </w:p>
    <w:p>
      <w:pPr>
        <w:spacing w:after="0" w:line="15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the first quarter, we made $20.0 million of principal payments under the Credit Facility. At July 31, 2018, the total outstanding amounts under the Credit Facility in the form of cash borrowings and standby letters of credit were $1.0 billion and $155.5 million, respectively. At July 31, 2018, we had up to $477.3 million of borrowing capacity under the Credit Facility; however, covenant restrictions limited our actual borrowing capacity to $196.0 million.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Reinvestment of Foreign Earnings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plan to reinvest our foreign earnings to fund future non-U.S. growth and expansion, and we do not anticipate remitting such earnings to the United States. While U.S. federal tax expense has been recognized as a result of the Tax Act, no deferred tax liabilities with respect to state income taxes or foreign withholding taxes have been recognized.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6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0046AD"/>
        </w:rPr>
        <w:t>Share Repurchases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Purchases may take place on the open market or otherwise, and all or part of the repurchases may be made pursuant to Rule 10b5-1 plans or in privately negotiated transactions. The timing of repurchases is at our discretion and will depend upon several factors, including market and business conditions, future cash flows, share price, and share availability. Repurchased shares are retired and returned to an authorized but unissued status. The repurchase program may be suspended or discontinued at any time without prior notice. There were no share repurchases during the nine months ended July 31, 2018. At July 31, 2018, authorization for $134.1 million of repurchases remained under our share repurchase program. Additional repurchases are not likely in the near future.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Cash Flows</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addition to revenues and operating profit, our management views operating cash flows as a good indicator of financial performance, because strong operating cash flows provide opportunities for growth both organically and through acquisitions. Net cash provided by operating activities was $207.4 million during the nine months ended July 31, 2018. Operating cash flows primarily depend on: revenue levels; the quality and timing of collections of accounts receivable; the timing of payments to suppliers and other vendors; the timing and amount of income tax payments; and the timing and amount of payments on insurance claims and legal settlements.</w:t>
      </w:r>
    </w:p>
    <w:p>
      <w:pPr>
        <w:spacing w:after="0" w:line="292" w:lineRule="exact"/>
        <w:rPr>
          <w:sz w:val="20"/>
          <w:szCs w:val="20"/>
          <w:color w:val="auto"/>
        </w:rPr>
      </w:pPr>
    </w:p>
    <w:p>
      <w:pPr>
        <w:ind w:left="8380"/>
        <w:spacing w:after="0"/>
        <w:rPr>
          <w:sz w:val="20"/>
          <w:szCs w:val="20"/>
          <w:color w:val="auto"/>
        </w:rPr>
      </w:pPr>
      <w:r>
        <w:rPr>
          <w:rFonts w:ascii="Arial" w:cs="Arial" w:eastAsia="Arial" w:hAnsi="Arial"/>
          <w:sz w:val="18"/>
          <w:szCs w:val="18"/>
          <w:b w:val="1"/>
          <w:bCs w:val="1"/>
          <w:color w:val="auto"/>
        </w:rPr>
        <w:t>Nine Months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28575</wp:posOffset>
            </wp:positionV>
            <wp:extent cx="23241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740" w:type="dxa"/>
            <w:vAlign w:val="bottom"/>
            <w:gridSpan w:val="3"/>
          </w:tcPr>
          <w:p>
            <w:pPr>
              <w:ind w:left="4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20" w:type="dxa"/>
            <w:vAlign w:val="bottom"/>
          </w:tcPr>
          <w:p>
            <w:pPr>
              <w:jc w:val="right"/>
              <w:ind w:right="630"/>
              <w:spacing w:after="0"/>
              <w:rPr>
                <w:sz w:val="20"/>
                <w:szCs w:val="20"/>
                <w:color w:val="auto"/>
              </w:rPr>
            </w:pPr>
            <w:r>
              <w:rPr>
                <w:rFonts w:ascii="Arial" w:cs="Arial" w:eastAsia="Arial" w:hAnsi="Arial"/>
                <w:sz w:val="18"/>
                <w:szCs w:val="18"/>
                <w:b w:val="1"/>
                <w:bCs w:val="1"/>
                <w:color w:val="auto"/>
              </w:rPr>
              <w:t>2017</w:t>
            </w:r>
          </w:p>
        </w:tc>
      </w:tr>
      <w:tr>
        <w:trPr>
          <w:trHeight w:val="21"/>
        </w:trPr>
        <w:tc>
          <w:tcPr>
            <w:tcW w:w="40" w:type="dxa"/>
            <w:vAlign w:val="bottom"/>
            <w:tcBorders>
              <w:bottom w:val="single" w:sz="8" w:color="DCE2EF"/>
            </w:tcBorders>
          </w:tcPr>
          <w:p>
            <w:pPr>
              <w:spacing w:after="0" w:line="20" w:lineRule="exact"/>
              <w:rPr>
                <w:sz w:val="1"/>
                <w:szCs w:val="1"/>
                <w:color w:val="auto"/>
              </w:rPr>
            </w:pPr>
          </w:p>
        </w:tc>
        <w:tc>
          <w:tcPr>
            <w:tcW w:w="700" w:type="dxa"/>
            <w:vAlign w:val="bottom"/>
            <w:tcBorders>
              <w:top w:val="single" w:sz="8" w:color="auto"/>
              <w:bottom w:val="single" w:sz="8" w:color="DCE2EF"/>
            </w:tcBorders>
          </w:tcPr>
          <w:p>
            <w:pPr>
              <w:spacing w:after="0" w:line="20" w:lineRule="exact"/>
              <w:rPr>
                <w:sz w:val="1"/>
                <w:szCs w:val="1"/>
                <w:color w:val="auto"/>
              </w:rPr>
            </w:pPr>
          </w:p>
        </w:tc>
        <w:tc>
          <w:tcPr>
            <w:tcW w:w="7000" w:type="dxa"/>
            <w:vAlign w:val="bottom"/>
            <w:tcBorders>
              <w:bottom w:val="single" w:sz="8" w:color="DCE2E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DCE2E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30"/>
        </w:trPr>
        <w:tc>
          <w:tcPr>
            <w:tcW w:w="40" w:type="dxa"/>
            <w:vAlign w:val="bottom"/>
            <w:tcBorders>
              <w:bottom w:val="single" w:sz="8" w:color="DCE2EF"/>
            </w:tcBorders>
            <w:shd w:val="clear" w:color="auto" w:fill="DCE2EF"/>
          </w:tcPr>
          <w:p>
            <w:pPr>
              <w:spacing w:after="0"/>
              <w:rPr>
                <w:sz w:val="20"/>
                <w:szCs w:val="20"/>
                <w:color w:val="auto"/>
              </w:rPr>
            </w:pPr>
          </w:p>
        </w:tc>
        <w:tc>
          <w:tcPr>
            <w:tcW w:w="77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provided by operating activities of continuing operations</w:t>
            </w:r>
          </w:p>
        </w:tc>
        <w:tc>
          <w:tcPr>
            <w:tcW w:w="380" w:type="dxa"/>
            <w:vAlign w:val="bottom"/>
            <w:tcBorders>
              <w:bottom w:val="single" w:sz="8" w:color="DCE2EF"/>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206.4</w:t>
            </w:r>
          </w:p>
        </w:tc>
        <w:tc>
          <w:tcPr>
            <w:tcW w:w="12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82.6</w:t>
            </w:r>
          </w:p>
        </w:tc>
      </w:tr>
      <w:tr>
        <w:trPr>
          <w:trHeight w:val="264"/>
        </w:trPr>
        <w:tc>
          <w:tcPr>
            <w:tcW w:w="7740" w:type="dxa"/>
            <w:vAlign w:val="bottom"/>
            <w:tcBorders>
              <w:bottom w:val="single" w:sz="8" w:color="DCE2EF"/>
            </w:tcBorders>
            <w:gridSpan w:val="3"/>
          </w:tcPr>
          <w:p>
            <w:pPr>
              <w:ind w:left="40"/>
              <w:spacing w:after="0"/>
              <w:rPr>
                <w:sz w:val="20"/>
                <w:szCs w:val="20"/>
                <w:color w:val="auto"/>
              </w:rPr>
            </w:pPr>
            <w:r>
              <w:rPr>
                <w:rFonts w:ascii="Arial" w:cs="Arial" w:eastAsia="Arial" w:hAnsi="Arial"/>
                <w:sz w:val="18"/>
                <w:szCs w:val="18"/>
                <w:color w:val="auto"/>
              </w:rPr>
              <w:t>Net cash provided by (used in) operating activities of discontinued operations</w:t>
            </w: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DCE2E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w:t>
            </w:r>
          </w:p>
        </w:tc>
      </w:tr>
      <w:tr>
        <w:trPr>
          <w:trHeight w:val="237"/>
        </w:trPr>
        <w:tc>
          <w:tcPr>
            <w:tcW w:w="40" w:type="dxa"/>
            <w:vAlign w:val="bottom"/>
            <w:tcBorders>
              <w:bottom w:val="single" w:sz="8" w:color="DCE2EF"/>
            </w:tcBorders>
            <w:shd w:val="clear" w:color="auto" w:fill="DCE2EF"/>
          </w:tcPr>
          <w:p>
            <w:pPr>
              <w:spacing w:after="0"/>
              <w:rPr>
                <w:sz w:val="20"/>
                <w:szCs w:val="20"/>
                <w:color w:val="auto"/>
              </w:rPr>
            </w:pPr>
          </w:p>
        </w:tc>
        <w:tc>
          <w:tcPr>
            <w:tcW w:w="7700" w:type="dxa"/>
            <w:vAlign w:val="bottom"/>
            <w:tcBorders>
              <w:bottom w:val="single" w:sz="8" w:color="DCE2EF"/>
            </w:tcBorders>
            <w:gridSpan w:val="2"/>
            <w:shd w:val="clear" w:color="auto" w:fill="DCE2EF"/>
          </w:tcPr>
          <w:p>
            <w:pPr>
              <w:spacing w:after="0"/>
              <w:rPr>
                <w:sz w:val="20"/>
                <w:szCs w:val="20"/>
                <w:color w:val="auto"/>
              </w:rPr>
            </w:pPr>
            <w:r>
              <w:rPr>
                <w:rFonts w:ascii="Arial" w:cs="Arial" w:eastAsia="Arial" w:hAnsi="Arial"/>
                <w:sz w:val="18"/>
                <w:szCs w:val="18"/>
                <w:color w:val="auto"/>
                <w:shd w:val="clear" w:color="auto" w:fill="DCE2EF"/>
              </w:rPr>
              <w:t>Net cash provided by operating activities</w:t>
            </w:r>
          </w:p>
        </w:tc>
        <w:tc>
          <w:tcPr>
            <w:tcW w:w="380" w:type="dxa"/>
            <w:vAlign w:val="bottom"/>
            <w:tcBorders>
              <w:bottom w:val="single" w:sz="8" w:color="DCE2EF"/>
            </w:tcBorders>
            <w:shd w:val="clear" w:color="auto" w:fill="DCE2EF"/>
          </w:tcPr>
          <w:p>
            <w:pPr>
              <w:jc w:val="right"/>
              <w:ind w:right="1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DCE2EF"/>
            </w:tcBorders>
            <w:shd w:val="clear" w:color="auto" w:fill="DCE2EF"/>
          </w:tcPr>
          <w:p>
            <w:pPr>
              <w:jc w:val="right"/>
              <w:ind w:right="10"/>
              <w:spacing w:after="0"/>
              <w:rPr>
                <w:sz w:val="20"/>
                <w:szCs w:val="20"/>
                <w:color w:val="auto"/>
              </w:rPr>
            </w:pPr>
            <w:r>
              <w:rPr>
                <w:rFonts w:ascii="Arial" w:cs="Arial" w:eastAsia="Arial" w:hAnsi="Arial"/>
                <w:sz w:val="18"/>
                <w:szCs w:val="18"/>
                <w:color w:val="auto"/>
              </w:rPr>
              <w:t>207.4</w:t>
            </w:r>
          </w:p>
        </w:tc>
        <w:tc>
          <w:tcPr>
            <w:tcW w:w="120" w:type="dxa"/>
            <w:vAlign w:val="bottom"/>
            <w:tcBorders>
              <w:bottom w:val="single" w:sz="8" w:color="DCE2EF"/>
            </w:tcBorders>
            <w:shd w:val="clear" w:color="auto" w:fill="DCE2EF"/>
          </w:tcPr>
          <w:p>
            <w:pPr>
              <w:spacing w:after="0"/>
              <w:rPr>
                <w:sz w:val="20"/>
                <w:szCs w:val="20"/>
                <w:color w:val="auto"/>
              </w:rPr>
            </w:pPr>
          </w:p>
        </w:tc>
        <w:tc>
          <w:tcPr>
            <w:tcW w:w="420" w:type="dxa"/>
            <w:vAlign w:val="bottom"/>
            <w:tcBorders>
              <w:bottom w:val="single" w:sz="8" w:color="DCE2EF"/>
            </w:tcBorders>
            <w:shd w:val="clear" w:color="auto" w:fill="DCE2EF"/>
          </w:tcPr>
          <w:p>
            <w:pPr>
              <w:jc w:val="right"/>
              <w:ind w:right="2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DCE2EF"/>
            </w:tcBorders>
            <w:shd w:val="clear" w:color="auto" w:fill="DCE2EF"/>
          </w:tcPr>
          <w:p>
            <w:pPr>
              <w:jc w:val="right"/>
              <w:ind w:right="30"/>
              <w:spacing w:after="0"/>
              <w:rPr>
                <w:sz w:val="20"/>
                <w:szCs w:val="20"/>
                <w:color w:val="auto"/>
              </w:rPr>
            </w:pPr>
            <w:r>
              <w:rPr>
                <w:rFonts w:ascii="Arial" w:cs="Arial" w:eastAsia="Arial" w:hAnsi="Arial"/>
                <w:sz w:val="18"/>
                <w:szCs w:val="18"/>
                <w:color w:val="auto"/>
              </w:rPr>
              <w:t>25.3</w:t>
            </w:r>
          </w:p>
        </w:tc>
      </w:tr>
      <w:tr>
        <w:trPr>
          <w:trHeight w:val="284"/>
        </w:trPr>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740" w:type="dxa"/>
            <w:vAlign w:val="bottom"/>
            <w:gridSpan w:val="3"/>
            <w:shd w:val="clear" w:color="auto" w:fill="DCE2E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shd w:val="clear" w:color="auto" w:fill="DCE2EF"/>
          </w:tcPr>
          <w:p>
            <w:pPr>
              <w:spacing w:after="0"/>
              <w:rPr>
                <w:sz w:val="23"/>
                <w:szCs w:val="23"/>
                <w:color w:val="auto"/>
              </w:rPr>
            </w:pPr>
          </w:p>
        </w:tc>
        <w:tc>
          <w:tcPr>
            <w:tcW w:w="13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(36.3)</w:t>
            </w:r>
          </w:p>
        </w:tc>
        <w:tc>
          <w:tcPr>
            <w:tcW w:w="120" w:type="dxa"/>
            <w:vAlign w:val="bottom"/>
            <w:shd w:val="clear" w:color="auto" w:fill="DCE2EF"/>
          </w:tcPr>
          <w:p>
            <w:pPr>
              <w:spacing w:after="0"/>
              <w:rPr>
                <w:sz w:val="23"/>
                <w:szCs w:val="23"/>
                <w:color w:val="auto"/>
              </w:rPr>
            </w:pPr>
          </w:p>
        </w:tc>
        <w:tc>
          <w:tcPr>
            <w:tcW w:w="420" w:type="dxa"/>
            <w:vAlign w:val="bottom"/>
            <w:shd w:val="clear" w:color="auto" w:fill="DCE2EF"/>
          </w:tcPr>
          <w:p>
            <w:pPr>
              <w:spacing w:after="0"/>
              <w:rPr>
                <w:sz w:val="23"/>
                <w:szCs w:val="23"/>
                <w:color w:val="auto"/>
              </w:rPr>
            </w:pPr>
          </w:p>
        </w:tc>
        <w:tc>
          <w:tcPr>
            <w:tcW w:w="1420" w:type="dxa"/>
            <w:vAlign w:val="bottom"/>
            <w:shd w:val="clear" w:color="auto" w:fill="DCE2EF"/>
          </w:tcPr>
          <w:p>
            <w:pPr>
              <w:jc w:val="right"/>
              <w:spacing w:after="0"/>
              <w:rPr>
                <w:sz w:val="20"/>
                <w:szCs w:val="20"/>
                <w:color w:val="auto"/>
              </w:rPr>
            </w:pPr>
            <w:r>
              <w:rPr>
                <w:rFonts w:ascii="Arial" w:cs="Arial" w:eastAsia="Arial" w:hAnsi="Arial"/>
                <w:sz w:val="18"/>
                <w:szCs w:val="18"/>
                <w:color w:val="auto"/>
              </w:rPr>
              <w:t>(23.9)</w:t>
            </w:r>
          </w:p>
        </w:tc>
      </w:tr>
      <w:tr>
        <w:trPr>
          <w:trHeight w:val="257"/>
        </w:trPr>
        <w:tc>
          <w:tcPr>
            <w:tcW w:w="7740" w:type="dxa"/>
            <w:vAlign w:val="bottom"/>
            <w:gridSpan w:val="3"/>
          </w:tcPr>
          <w:p>
            <w:pPr>
              <w:ind w:left="4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(187.7)</w:t>
            </w: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w:t>
            </w:r>
          </w:p>
        </w:tc>
      </w:tr>
    </w:tbl>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w:t>
      </w:r>
    </w:p>
    <w:p>
      <w:pPr>
        <w:spacing w:after="0" w:line="18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Net cash provided by operating activities increased by $182.1 million during the nine months ended July 31, 2018, as compared to the nine months ended July 31, 2017. This increase was primarily related to the timing of client receivable collections, including collections from acquired GCA accounts, as well as proceeds from the termination of our interest rate swaps and a year-over-year increase in the change in other assets due to the reduction of required cash insurance deposits. This increase was partially offset by lower distributions from unconsolidated affiliates and the timing of vendor payments.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Operating Activities of Discontinued Operations</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Net cash provided by operating activities of discontinued operations was $1.0 million during the nine months ended July 31, 2018, as compared to net cash used in operating activities of discontinued operations of $57.2 million during the nine months ended July 31, 2017. The change was primarily related to the payment of a $55.0 million legal settlement during the prior period.</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Investing Activities</w:t>
      </w:r>
    </w:p>
    <w:p>
      <w:pPr>
        <w:spacing w:after="0" w:line="18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Net cash used in investing activities increased by $12.4 million during the nine months ended July 31, 2018, as compared to the nine months ended July 31, 2017. The increase was primarily due to the absence of $35.5 million of cash proceeds from the sale of our Government Services business in the prior period, partially offset by an $18.6 million year-over-year decrease in cash paid, net of cash acquired, for acquisitions.</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Financing Activities</w:t>
      </w:r>
    </w:p>
    <w:p>
      <w:pPr>
        <w:spacing w:after="0" w:line="18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Net cash used in financing activities increased by $179.0 million during the nine months ended July 31, 2018, as compared to the nine months ended July 31, 2017. This increase was primarily related to higher repayments of our borrowings of $151.5 million.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22" w:right="239" w:bottom="1440" w:gutter="0" w:footer="0" w:header="0"/>
        </w:sectPr>
      </w:pPr>
    </w:p>
    <w:bookmarkStart w:id="46" w:name="page47"/>
    <w:bookmarkEnd w:id="46"/>
    <w:p>
      <w:pPr>
        <w:ind w:left="40"/>
        <w:spacing w:after="0"/>
        <w:rPr>
          <w:sz w:val="20"/>
          <w:szCs w:val="20"/>
          <w:color w:val="auto"/>
        </w:rPr>
      </w:pPr>
      <w:r>
        <w:rPr>
          <w:rFonts w:ascii="Arial" w:cs="Arial" w:eastAsia="Arial" w:hAnsi="Arial"/>
          <w:sz w:val="18"/>
          <w:szCs w:val="18"/>
          <w:b w:val="1"/>
          <w:bCs w:val="1"/>
          <w:color w:val="0046AD"/>
        </w:rPr>
        <w:t>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We are a party to a number of lawsuits, claims, and proceedings incident to the operation of our business, including those pertaining to labor and employment, contracts, personal injury, and other matters, some of which allege substantial monetary damages. Some of these actions may be brought as class actions on behalf of a class or purported class of employees.</w:t>
      </w:r>
    </w:p>
    <w:p>
      <w:pPr>
        <w:spacing w:after="0" w:line="148"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At July 31, 2018, the total amount accrued for all probable litigation losses where a reasonable estimate of the loss could be made was $11.7 million.</w:t>
      </w:r>
    </w:p>
    <w:p>
      <w:pPr>
        <w:spacing w:after="0" w:line="14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Litigation outcomes are difficult to predict and the estimation of probable losses requires the analysis of multiple possible outcomes that often depend on judgments about potential actions by third parties. If one or more matters are resolved in a particular period in an amount in excess of, or in a manner different than, what we anticipated, this could have a material adverse effect on our financial position, results of operations, or cash flows.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do not accrue for contingent losses that, in our judgment, are considered to be reasonably possible but not probable. The estimation of reasonably possible losses also requires the analysis of multiple possible outcomes that often depend on judgments about potential actions by third parties. Our management currently estimates the range of loss for all reasonably possible losses for which a reasonable estimate of the loss can be made is between zero and $4 million. Factors underlying this estimated range of loss may change from time to time, and actual results may vary significantly from this estimate.</w:t>
      </w:r>
    </w:p>
    <w:p>
      <w:pPr>
        <w:spacing w:after="0" w:line="1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In some cases, although a loss is probable or reasonably possible, we cannot reasonably estimate the maximum potential losses for probable matters or the range of losses for reasonably possible matters. Therefore, our accrual for probable losses and our estimated range of loss for reasonably possible losses do not represent our maximum possible exposure.</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about our contingencies, see Note 10, “Commitments and Contingencies,”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84" w:right="239" w:bottom="1440" w:gutter="0" w:footer="0" w:header="0"/>
        </w:sectPr>
      </w:pPr>
    </w:p>
    <w:bookmarkStart w:id="47" w:name="page48"/>
    <w:bookmarkEnd w:id="47"/>
    <w:p>
      <w:pPr>
        <w:ind w:left="40"/>
        <w:spacing w:after="0"/>
        <w:rPr>
          <w:sz w:val="20"/>
          <w:szCs w:val="20"/>
          <w:color w:val="auto"/>
        </w:rPr>
      </w:pPr>
      <w:r>
        <w:rPr>
          <w:rFonts w:ascii="Arial" w:cs="Arial" w:eastAsia="Arial" w:hAnsi="Arial"/>
          <w:sz w:val="18"/>
          <w:szCs w:val="18"/>
          <w:b w:val="1"/>
          <w:bCs w:val="1"/>
          <w:color w:val="0046AD"/>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Our accompanying Financial Statements are prepared in accordance with United States generally accepted accounting principles (“U.S. GAAP”), which require us to make estimates in the application of our accounting policies based on the best assumptions, judgments, and opinions of our management. There have been no significant changes to our critical accounting policies and estimates. For a description of our critical accounting policies, see Item 7., “Management’s Discussion and Analysis of Financial Condition and Results of Operations,” in our Annual Report.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0046AD"/>
        </w:rPr>
        <w:t>Recent Accounting Pronouncements</w:t>
      </w:r>
    </w:p>
    <w:p>
      <w:pPr>
        <w:sectPr>
          <w:pgSz w:w="11900" w:h="16838" w:orient="portrait"/>
          <w:cols w:equalWidth="0" w:num="1">
            <w:col w:w="11420"/>
          </w:cols>
          <w:pgMar w:left="240" w:top="684" w:right="239" w:bottom="1440" w:gutter="0" w:footer="0" w:header="0"/>
        </w:sectPr>
      </w:pPr>
    </w:p>
    <w:p>
      <w:pPr>
        <w:spacing w:after="0" w:line="33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14490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5" w:lineRule="exact"/>
        <w:rPr>
          <w:sz w:val="20"/>
          <w:szCs w:val="20"/>
          <w:color w:val="auto"/>
        </w:rPr>
      </w:pPr>
    </w:p>
    <w:p>
      <w:pPr>
        <w:ind w:left="40"/>
        <w:spacing w:after="0" w:line="229" w:lineRule="auto"/>
        <w:rPr>
          <w:sz w:val="20"/>
          <w:szCs w:val="20"/>
          <w:color w:val="auto"/>
        </w:rPr>
      </w:pPr>
      <w:r>
        <w:rPr>
          <w:rFonts w:ascii="Arial" w:cs="Arial" w:eastAsia="Arial" w:hAnsi="Arial"/>
          <w:sz w:val="15"/>
          <w:szCs w:val="15"/>
          <w:color w:val="auto"/>
        </w:rPr>
        <w:t xml:space="preserve">In August 2018, the Financial Accounting Standards Board (“FASB”) issued Accounting Standards Update (“ASU”) 2018-15, </w:t>
      </w:r>
      <w:r>
        <w:rPr>
          <w:rFonts w:ascii="Arial" w:cs="Arial" w:eastAsia="Arial" w:hAnsi="Arial"/>
          <w:sz w:val="15"/>
          <w:szCs w:val="15"/>
          <w:i w:val="1"/>
          <w:iCs w:val="1"/>
          <w:color w:val="auto"/>
        </w:rPr>
        <w:t>Intangibles—Goodwill and</w:t>
      </w:r>
      <w:r>
        <w:rPr>
          <w:rFonts w:ascii="Arial" w:cs="Arial" w:eastAsia="Arial" w:hAnsi="Arial"/>
          <w:sz w:val="15"/>
          <w:szCs w:val="15"/>
          <w:color w:val="auto"/>
        </w:rPr>
        <w:t xml:space="preserve"> </w:t>
      </w:r>
      <w:r>
        <w:rPr>
          <w:rFonts w:ascii="Arial" w:cs="Arial" w:eastAsia="Arial" w:hAnsi="Arial"/>
          <w:sz w:val="15"/>
          <w:szCs w:val="15"/>
          <w:i w:val="1"/>
          <w:iCs w:val="1"/>
          <w:color w:val="auto"/>
        </w:rPr>
        <w:t>Other—Internal-Use Software (Topic 350).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4490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00" w:type="dxa"/>
            <w:vAlign w:val="bottom"/>
            <w:gridSpan w:val="2"/>
          </w:tcPr>
          <w:p>
            <w:pPr>
              <w:ind w:left="40"/>
              <w:spacing w:after="0"/>
              <w:rPr>
                <w:sz w:val="20"/>
                <w:szCs w:val="20"/>
                <w:color w:val="auto"/>
              </w:rPr>
            </w:pPr>
            <w:r>
              <w:rPr>
                <w:rFonts w:ascii="Arial" w:cs="Arial" w:eastAsia="Arial" w:hAnsi="Arial"/>
                <w:sz w:val="15"/>
                <w:szCs w:val="15"/>
                <w:b w:val="1"/>
                <w:bCs w:val="1"/>
                <w:color w:val="auto"/>
              </w:rPr>
              <w:t>Effective Date/Method of</w:t>
            </w:r>
          </w:p>
        </w:tc>
        <w:tc>
          <w:tcPr>
            <w:tcW w:w="3980" w:type="dxa"/>
            <w:vAlign w:val="bottom"/>
          </w:tcPr>
          <w:p>
            <w:pPr>
              <w:spacing w:after="0"/>
              <w:rPr>
                <w:sz w:val="14"/>
                <w:szCs w:val="14"/>
                <w:color w:val="auto"/>
              </w:rPr>
            </w:pPr>
          </w:p>
        </w:tc>
      </w:tr>
      <w:tr>
        <w:trPr>
          <w:trHeight w:val="206"/>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Description</w:t>
            </w:r>
          </w:p>
        </w:tc>
        <w:tc>
          <w:tcPr>
            <w:tcW w:w="100" w:type="dxa"/>
            <w:vAlign w:val="bottom"/>
          </w:tcPr>
          <w:p>
            <w:pPr>
              <w:spacing w:after="0"/>
              <w:rPr>
                <w:sz w:val="17"/>
                <w:szCs w:val="17"/>
                <w:color w:val="auto"/>
              </w:rPr>
            </w:pPr>
          </w:p>
        </w:tc>
        <w:tc>
          <w:tcPr>
            <w:tcW w:w="240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Adoption</w:t>
            </w:r>
          </w:p>
        </w:tc>
        <w:tc>
          <w:tcPr>
            <w:tcW w:w="100" w:type="dxa"/>
            <w:vAlign w:val="bottom"/>
          </w:tcPr>
          <w:p>
            <w:pPr>
              <w:spacing w:after="0"/>
              <w:rPr>
                <w:sz w:val="17"/>
                <w:szCs w:val="17"/>
                <w:color w:val="auto"/>
              </w:rPr>
            </w:pP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Effect on the Financial Statements</w:t>
            </w:r>
          </w:p>
        </w:tc>
      </w:tr>
      <w:tr>
        <w:trPr>
          <w:trHeight w:val="183"/>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This ASU aligns the requirements</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November 1, 2020</w:t>
            </w:r>
          </w:p>
        </w:tc>
        <w:tc>
          <w:tcPr>
            <w:tcW w:w="3980" w:type="dxa"/>
            <w:vAlign w:val="bottom"/>
          </w:tcPr>
          <w:p>
            <w:pPr>
              <w:ind w:left="20"/>
              <w:spacing w:after="0"/>
              <w:rPr>
                <w:sz w:val="20"/>
                <w:szCs w:val="20"/>
                <w:color w:val="auto"/>
              </w:rPr>
            </w:pPr>
            <w:r>
              <w:rPr>
                <w:rFonts w:ascii="Arial" w:cs="Arial" w:eastAsia="Arial" w:hAnsi="Arial"/>
                <w:sz w:val="15"/>
                <w:szCs w:val="15"/>
                <w:color w:val="auto"/>
              </w:rPr>
              <w:t>We are currently evaluating the impact of implementing</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for capitalizing implementation</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this guidance on our financial statements.</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costs incurred in a hosting</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arrangement that is a service</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contract with the requirements for</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capitalizing implementation costs</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incurred to develop or obtain</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84"/>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internal-use software.</w:t>
            </w: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57111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170" w:lineRule="exact"/>
        <w:rPr>
          <w:sz w:val="20"/>
          <w:szCs w:val="20"/>
          <w:color w:val="auto"/>
        </w:rPr>
      </w:pPr>
    </w:p>
    <w:p>
      <w:pPr>
        <w:sectPr>
          <w:pgSz w:w="11900" w:h="16838" w:orient="portrait"/>
          <w:cols w:equalWidth="0" w:num="2">
            <w:col w:w="2260" w:space="160"/>
            <w:col w:w="9000"/>
          </w:cols>
          <w:pgMar w:left="240" w:top="684" w:right="239" w:bottom="1440" w:gutter="0" w:footer="0" w:header="0"/>
          <w:type w:val="continuous"/>
        </w:sectPr>
      </w:pPr>
    </w:p>
    <w:p>
      <w:pPr>
        <w:spacing w:after="0" w:line="10" w:lineRule="exact"/>
        <w:rPr>
          <w:sz w:val="20"/>
          <w:szCs w:val="20"/>
          <w:color w:val="auto"/>
        </w:rPr>
      </w:pPr>
    </w:p>
    <w:p>
      <w:pPr>
        <w:ind w:left="40" w:right="100"/>
        <w:spacing w:after="0" w:line="233" w:lineRule="auto"/>
        <w:rPr>
          <w:sz w:val="20"/>
          <w:szCs w:val="20"/>
          <w:color w:val="auto"/>
        </w:rPr>
      </w:pPr>
      <w:r>
        <w:rPr>
          <w:rFonts w:ascii="Arial" w:cs="Arial" w:eastAsia="Arial" w:hAnsi="Arial"/>
          <w:sz w:val="15"/>
          <w:szCs w:val="15"/>
          <w:color w:val="auto"/>
        </w:rPr>
        <w:t xml:space="preserve">In August 2018, the FASB issued ASU 2018-14, </w:t>
      </w:r>
      <w:r>
        <w:rPr>
          <w:rFonts w:ascii="Arial" w:cs="Arial" w:eastAsia="Arial" w:hAnsi="Arial"/>
          <w:sz w:val="15"/>
          <w:szCs w:val="15"/>
          <w:i w:val="1"/>
          <w:iCs w:val="1"/>
          <w:color w:val="auto"/>
        </w:rPr>
        <w:t>Compensation—Retirement Benefits—General (Topic 715).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144907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 w:lineRule="exact"/>
        <w:rPr>
          <w:sz w:val="20"/>
          <w:szCs w:val="20"/>
          <w:color w:val="auto"/>
        </w:rPr>
      </w:pPr>
    </w:p>
    <w:p>
      <w:pPr>
        <w:ind w:left="40"/>
        <w:spacing w:after="0" w:line="233" w:lineRule="auto"/>
        <w:rPr>
          <w:sz w:val="20"/>
          <w:szCs w:val="20"/>
          <w:color w:val="auto"/>
        </w:rPr>
      </w:pPr>
      <w:r>
        <w:rPr>
          <w:rFonts w:ascii="Arial" w:cs="Arial" w:eastAsia="Arial" w:hAnsi="Arial"/>
          <w:sz w:val="15"/>
          <w:szCs w:val="15"/>
          <w:color w:val="auto"/>
        </w:rPr>
        <w:t xml:space="preserve">In August 2018, the FASB issued ASU 2018-13, </w:t>
      </w:r>
      <w:r>
        <w:rPr>
          <w:rFonts w:ascii="Arial" w:cs="Arial" w:eastAsia="Arial" w:hAnsi="Arial"/>
          <w:sz w:val="15"/>
          <w:szCs w:val="15"/>
          <w:i w:val="1"/>
          <w:iCs w:val="1"/>
          <w:color w:val="auto"/>
        </w:rPr>
        <w:t>Fair Value</w:t>
      </w:r>
      <w:r>
        <w:rPr>
          <w:rFonts w:ascii="Arial" w:cs="Arial" w:eastAsia="Arial" w:hAnsi="Arial"/>
          <w:sz w:val="15"/>
          <w:szCs w:val="15"/>
          <w:color w:val="auto"/>
        </w:rPr>
        <w:t xml:space="preserve"> </w:t>
      </w:r>
      <w:r>
        <w:rPr>
          <w:rFonts w:ascii="Arial" w:cs="Arial" w:eastAsia="Arial" w:hAnsi="Arial"/>
          <w:sz w:val="15"/>
          <w:szCs w:val="15"/>
          <w:i w:val="1"/>
          <w:iCs w:val="1"/>
          <w:color w:val="auto"/>
        </w:rPr>
        <w:t>Measurement (Topic 820): Disclosure Framework</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708660</wp:posOffset>
            </wp:positionV>
            <wp:extent cx="14490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This ASU modifies the disclosure</w:t>
            </w:r>
          </w:p>
        </w:tc>
        <w:tc>
          <w:tcPr>
            <w:tcW w:w="2400" w:type="dxa"/>
            <w:vAlign w:val="bottom"/>
          </w:tcPr>
          <w:p>
            <w:pPr>
              <w:ind w:left="40"/>
              <w:spacing w:after="0"/>
              <w:rPr>
                <w:sz w:val="20"/>
                <w:szCs w:val="20"/>
                <w:color w:val="auto"/>
              </w:rPr>
            </w:pPr>
            <w:r>
              <w:rPr>
                <w:rFonts w:ascii="Arial" w:cs="Arial" w:eastAsia="Arial" w:hAnsi="Arial"/>
                <w:sz w:val="15"/>
                <w:szCs w:val="15"/>
                <w:color w:val="auto"/>
              </w:rPr>
              <w:t>November 1, 2020</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requirements on company-</w:t>
            </w:r>
          </w:p>
        </w:tc>
        <w:tc>
          <w:tcPr>
            <w:tcW w:w="2400" w:type="dxa"/>
            <w:vAlign w:val="bottom"/>
          </w:tcPr>
          <w:p>
            <w:pPr>
              <w:spacing w:after="0"/>
              <w:rPr>
                <w:sz w:val="14"/>
                <w:szCs w:val="14"/>
                <w:color w:val="auto"/>
              </w:rPr>
            </w:pPr>
          </w:p>
        </w:tc>
      </w:tr>
      <w:tr>
        <w:trPr>
          <w:trHeight w:val="184"/>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sponsored defined benefit plans.</w:t>
            </w:r>
          </w:p>
        </w:tc>
        <w:tc>
          <w:tcPr>
            <w:tcW w:w="2400" w:type="dxa"/>
            <w:vAlign w:val="bottom"/>
          </w:tcPr>
          <w:p>
            <w:pPr>
              <w:spacing w:after="0"/>
              <w:rPr>
                <w:sz w:val="16"/>
                <w:szCs w:val="16"/>
                <w:color w:val="auto"/>
              </w:rPr>
            </w:pPr>
          </w:p>
        </w:tc>
      </w:tr>
      <w:tr>
        <w:trPr>
          <w:trHeight w:val="170"/>
        </w:trPr>
        <w:tc>
          <w:tcPr>
            <w:tcW w:w="2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tcBorders>
              <w:bottom w:val="single" w:sz="8" w:color="auto"/>
            </w:tcBorders>
          </w:tcPr>
          <w:p>
            <w:pPr>
              <w:spacing w:after="0"/>
              <w:rPr>
                <w:sz w:val="14"/>
                <w:szCs w:val="14"/>
                <w:color w:val="auto"/>
              </w:rPr>
            </w:pPr>
          </w:p>
        </w:tc>
      </w:tr>
      <w:tr>
        <w:trPr>
          <w:trHeight w:val="179"/>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This ASU modifies the disclosure</w:t>
            </w:r>
          </w:p>
        </w:tc>
        <w:tc>
          <w:tcPr>
            <w:tcW w:w="2400" w:type="dxa"/>
            <w:vAlign w:val="bottom"/>
          </w:tcPr>
          <w:p>
            <w:pPr>
              <w:ind w:left="40"/>
              <w:spacing w:after="0"/>
              <w:rPr>
                <w:sz w:val="20"/>
                <w:szCs w:val="20"/>
                <w:color w:val="auto"/>
              </w:rPr>
            </w:pPr>
            <w:r>
              <w:rPr>
                <w:rFonts w:ascii="Arial" w:cs="Arial" w:eastAsia="Arial" w:hAnsi="Arial"/>
                <w:sz w:val="15"/>
                <w:szCs w:val="15"/>
                <w:color w:val="auto"/>
              </w:rPr>
              <w:t>November 1, 2020</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requirements on fair value</w:t>
            </w:r>
          </w:p>
        </w:tc>
        <w:tc>
          <w:tcPr>
            <w:tcW w:w="240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measurements by removing</w:t>
            </w:r>
          </w:p>
        </w:tc>
        <w:tc>
          <w:tcPr>
            <w:tcW w:w="240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certain disclosure requirements</w:t>
            </w:r>
          </w:p>
        </w:tc>
        <w:tc>
          <w:tcPr>
            <w:tcW w:w="240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related to the fair value hierarchy,</w:t>
            </w:r>
          </w:p>
        </w:tc>
        <w:tc>
          <w:tcPr>
            <w:tcW w:w="240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modifying existing disclosure</w:t>
            </w:r>
          </w:p>
        </w:tc>
        <w:tc>
          <w:tcPr>
            <w:tcW w:w="240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requirements related to</w:t>
            </w:r>
          </w:p>
        </w:tc>
        <w:tc>
          <w:tcPr>
            <w:tcW w:w="240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measurement uncertainty, and</w:t>
            </w:r>
          </w:p>
        </w:tc>
        <w:tc>
          <w:tcPr>
            <w:tcW w:w="240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adding new disclosure</w:t>
            </w:r>
          </w:p>
        </w:tc>
        <w:tc>
          <w:tcPr>
            <w:tcW w:w="2400" w:type="dxa"/>
            <w:vAlign w:val="bottom"/>
          </w:tcPr>
          <w:p>
            <w:pPr>
              <w:spacing w:after="0"/>
              <w:rPr>
                <w:sz w:val="14"/>
                <w:szCs w:val="14"/>
                <w:color w:val="auto"/>
              </w:rPr>
            </w:pPr>
          </w:p>
        </w:tc>
      </w:tr>
      <w:tr>
        <w:trPr>
          <w:trHeight w:val="184"/>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requirements.</w:t>
            </w:r>
          </w:p>
        </w:tc>
        <w:tc>
          <w:tcPr>
            <w:tcW w:w="24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90805</wp:posOffset>
            </wp:positionV>
            <wp:extent cx="31127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40"/>
        <w:spacing w:after="0" w:line="242" w:lineRule="auto"/>
        <w:rPr>
          <w:sz w:val="20"/>
          <w:szCs w:val="20"/>
          <w:color w:val="auto"/>
        </w:rPr>
      </w:pPr>
      <w:r>
        <w:rPr>
          <w:rFonts w:ascii="Arial" w:cs="Arial" w:eastAsia="Arial" w:hAnsi="Arial"/>
          <w:sz w:val="15"/>
          <w:szCs w:val="15"/>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25298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48" w:lineRule="exact"/>
        <w:rPr>
          <w:sz w:val="20"/>
          <w:szCs w:val="20"/>
          <w:color w:val="auto"/>
        </w:rPr>
      </w:pPr>
    </w:p>
    <w:p>
      <w:pPr>
        <w:ind w:right="240"/>
        <w:spacing w:after="0" w:line="242" w:lineRule="auto"/>
        <w:rPr>
          <w:sz w:val="20"/>
          <w:szCs w:val="20"/>
          <w:color w:val="auto"/>
        </w:rPr>
      </w:pPr>
      <w:r>
        <w:rPr>
          <w:rFonts w:ascii="Arial" w:cs="Arial" w:eastAsia="Arial" w:hAnsi="Arial"/>
          <w:sz w:val="15"/>
          <w:szCs w:val="15"/>
          <w:color w:val="auto"/>
        </w:rPr>
        <w:t>We are currently evaluating the impact of implementing this guidance on our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913130</wp:posOffset>
            </wp:positionV>
            <wp:extent cx="25298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1465" w:lineRule="exact"/>
        <w:rPr>
          <w:sz w:val="20"/>
          <w:szCs w:val="20"/>
          <w:color w:val="auto"/>
        </w:rPr>
      </w:pPr>
    </w:p>
    <w:p>
      <w:pPr>
        <w:sectPr>
          <w:pgSz w:w="11900" w:h="16838" w:orient="portrait"/>
          <w:cols w:equalWidth="0" w:num="3">
            <w:col w:w="2220" w:space="200"/>
            <w:col w:w="4900" w:space="120"/>
            <w:col w:w="3980"/>
          </w:cols>
          <w:pgMar w:left="240" w:top="684" w:right="239" w:bottom="1440" w:gutter="0" w:footer="0" w:header="0"/>
          <w:type w:val="continuous"/>
        </w:sectPr>
      </w:pPr>
    </w:p>
    <w:p>
      <w:pPr>
        <w:spacing w:after="0" w:line="10" w:lineRule="exact"/>
        <w:rPr>
          <w:sz w:val="20"/>
          <w:szCs w:val="20"/>
          <w:color w:val="auto"/>
        </w:rPr>
      </w:pPr>
    </w:p>
    <w:p>
      <w:pPr>
        <w:ind w:left="40"/>
        <w:spacing w:after="0" w:line="235" w:lineRule="auto"/>
        <w:rPr>
          <w:sz w:val="20"/>
          <w:szCs w:val="20"/>
          <w:color w:val="auto"/>
        </w:rPr>
      </w:pPr>
      <w:r>
        <w:rPr>
          <w:rFonts w:ascii="Arial" w:cs="Arial" w:eastAsia="Arial" w:hAnsi="Arial"/>
          <w:sz w:val="15"/>
          <w:szCs w:val="15"/>
          <w:color w:val="auto"/>
        </w:rPr>
        <w:t xml:space="preserve">In March 2018, the FASB issued ASU 2018-05, </w:t>
      </w:r>
      <w:r>
        <w:rPr>
          <w:rFonts w:ascii="Arial" w:cs="Arial" w:eastAsia="Arial" w:hAnsi="Arial"/>
          <w:sz w:val="15"/>
          <w:szCs w:val="15"/>
          <w:i w:val="1"/>
          <w:iCs w:val="1"/>
          <w:color w:val="auto"/>
        </w:rPr>
        <w:t>Income Taxes</w:t>
      </w:r>
      <w:r>
        <w:rPr>
          <w:rFonts w:ascii="Arial" w:cs="Arial" w:eastAsia="Arial" w:hAnsi="Arial"/>
          <w:sz w:val="15"/>
          <w:szCs w:val="15"/>
          <w:color w:val="auto"/>
        </w:rPr>
        <w:t xml:space="preserve"> </w:t>
      </w:r>
      <w:r>
        <w:rPr>
          <w:rFonts w:ascii="Arial" w:cs="Arial" w:eastAsia="Arial" w:hAnsi="Arial"/>
          <w:sz w:val="15"/>
          <w:szCs w:val="15"/>
          <w:i w:val="1"/>
          <w:iCs w:val="1"/>
          <w:color w:val="auto"/>
        </w:rPr>
        <w:t>(Topic 740).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915670</wp:posOffset>
            </wp:positionV>
            <wp:extent cx="14490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This ASU incorporates the</w:t>
            </w:r>
          </w:p>
        </w:tc>
        <w:tc>
          <w:tcPr>
            <w:tcW w:w="2500" w:type="dxa"/>
            <w:vAlign w:val="bottom"/>
            <w:gridSpan w:val="2"/>
          </w:tcPr>
          <w:p>
            <w:pPr>
              <w:ind w:left="40"/>
              <w:spacing w:after="0"/>
              <w:rPr>
                <w:sz w:val="20"/>
                <w:szCs w:val="20"/>
                <w:color w:val="auto"/>
              </w:rPr>
            </w:pPr>
            <w:r>
              <w:rPr>
                <w:rFonts w:ascii="Arial" w:cs="Arial" w:eastAsia="Arial" w:hAnsi="Arial"/>
                <w:sz w:val="15"/>
                <w:szCs w:val="15"/>
                <w:color w:val="auto"/>
              </w:rPr>
              <w:t>This standard became effective</w:t>
            </w:r>
          </w:p>
        </w:tc>
        <w:tc>
          <w:tcPr>
            <w:tcW w:w="3980" w:type="dxa"/>
            <w:vAlign w:val="bottom"/>
          </w:tcPr>
          <w:p>
            <w:pPr>
              <w:ind w:left="20"/>
              <w:spacing w:after="0"/>
              <w:rPr>
                <w:sz w:val="20"/>
                <w:szCs w:val="20"/>
                <w:color w:val="auto"/>
              </w:rPr>
            </w:pPr>
            <w:r>
              <w:rPr>
                <w:rFonts w:ascii="Arial" w:cs="Arial" w:eastAsia="Arial" w:hAnsi="Arial"/>
                <w:sz w:val="15"/>
                <w:szCs w:val="15"/>
                <w:color w:val="auto"/>
              </w:rPr>
              <w:t>We applied SAB 118 to our financial statements upon its</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provisions of SAB 118 into the</w:t>
            </w:r>
          </w:p>
        </w:tc>
        <w:tc>
          <w:tcPr>
            <w:tcW w:w="2500" w:type="dxa"/>
            <w:vAlign w:val="bottom"/>
            <w:gridSpan w:val="2"/>
          </w:tcPr>
          <w:p>
            <w:pPr>
              <w:ind w:left="40"/>
              <w:spacing w:after="0" w:line="162" w:lineRule="exact"/>
              <w:rPr>
                <w:sz w:val="20"/>
                <w:szCs w:val="20"/>
                <w:color w:val="auto"/>
              </w:rPr>
            </w:pPr>
            <w:r>
              <w:rPr>
                <w:rFonts w:ascii="Arial" w:cs="Arial" w:eastAsia="Arial" w:hAnsi="Arial"/>
                <w:sz w:val="15"/>
                <w:szCs w:val="15"/>
                <w:color w:val="auto"/>
              </w:rPr>
              <w:t>upon issuance.</w:t>
            </w: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original issuance in December 2017, prior to the</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accounting standards codification.</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codification in ASC 740. Refer to Note 11, “Income</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SAB 118 provides guidance on</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Taxes,” in the Financial Statements for a discussion of the</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accounting for tax effects of the</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impacts of the Tax Act on our consolidated financial</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Tax Act and permits a</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statements.</w:t>
            </w: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measurement period not to</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exceed one year from the</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enactment date for companies to</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0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complete the required analyses</w:t>
            </w:r>
          </w:p>
        </w:tc>
        <w:tc>
          <w:tcPr>
            <w:tcW w:w="2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84"/>
        </w:trPr>
        <w:tc>
          <w:tcPr>
            <w:tcW w:w="2500" w:type="dxa"/>
            <w:vAlign w:val="bottom"/>
            <w:gridSpan w:val="2"/>
          </w:tcPr>
          <w:p>
            <w:pPr>
              <w:ind w:left="20"/>
              <w:spacing w:after="0"/>
              <w:rPr>
                <w:sz w:val="20"/>
                <w:szCs w:val="20"/>
                <w:color w:val="auto"/>
              </w:rPr>
            </w:pPr>
            <w:r>
              <w:rPr>
                <w:rFonts w:ascii="Arial" w:cs="Arial" w:eastAsia="Arial" w:hAnsi="Arial"/>
                <w:sz w:val="15"/>
                <w:szCs w:val="15"/>
                <w:color w:val="auto"/>
              </w:rPr>
              <w:t>and accounting.</w:t>
            </w: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tcPr>
          <w:p>
            <w:pPr>
              <w:spacing w:after="0"/>
              <w:rPr>
                <w:sz w:val="16"/>
                <w:szCs w:val="16"/>
                <w:color w:val="auto"/>
              </w:rPr>
            </w:pPr>
          </w:p>
        </w:tc>
      </w:tr>
      <w:tr>
        <w:trPr>
          <w:trHeight w:val="143"/>
        </w:trPr>
        <w:tc>
          <w:tcPr>
            <w:tcW w:w="2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4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980" w:type="dxa"/>
            <w:vAlign w:val="bottom"/>
            <w:tcBorders>
              <w:bottom w:val="single" w:sz="8" w:color="auto"/>
            </w:tcBorders>
          </w:tcPr>
          <w:p>
            <w:pPr>
              <w:spacing w:after="0"/>
              <w:rPr>
                <w:sz w:val="12"/>
                <w:szCs w:val="12"/>
                <w:color w:val="auto"/>
              </w:rPr>
            </w:pPr>
          </w:p>
        </w:tc>
      </w:tr>
    </w:tbl>
    <w:p>
      <w:pPr>
        <w:spacing w:after="0" w:line="200" w:lineRule="exact"/>
        <w:rPr>
          <w:sz w:val="20"/>
          <w:szCs w:val="20"/>
          <w:color w:val="auto"/>
        </w:rPr>
      </w:pPr>
    </w:p>
    <w:p>
      <w:pPr>
        <w:sectPr>
          <w:pgSz w:w="11900" w:h="16838" w:orient="portrait"/>
          <w:cols w:equalWidth="0" w:num="2">
            <w:col w:w="2220" w:space="200"/>
            <w:col w:w="9000"/>
          </w:cols>
          <w:pgMar w:left="240" w:top="684" w:right="239" w:bottom="1440" w:gutter="0" w:footer="0" w:header="0"/>
          <w:type w:val="continuous"/>
        </w:sectPr>
      </w:pP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20"/>
          </w:cols>
          <w:pgMar w:left="240" w:top="684" w:right="239" w:bottom="1440" w:gutter="0" w:footer="0" w:header="0"/>
          <w:type w:val="continuous"/>
        </w:sectPr>
      </w:pPr>
    </w:p>
    <w:bookmarkStart w:id="48" w:name="page49"/>
    <w:bookmarkEnd w:id="48"/>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24130</wp:posOffset>
            </wp:positionV>
            <wp:extent cx="14490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5"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 xml:space="preserve">In March 2018, the FASB issued ASU 2018-04, </w:t>
      </w:r>
      <w:r>
        <w:rPr>
          <w:rFonts w:ascii="Arial" w:cs="Arial" w:eastAsia="Arial" w:hAnsi="Arial"/>
          <w:sz w:val="15"/>
          <w:szCs w:val="15"/>
          <w:i w:val="1"/>
          <w:iCs w:val="1"/>
          <w:color w:val="auto"/>
        </w:rPr>
        <w:t>Investments—</w:t>
      </w:r>
      <w:r>
        <w:rPr>
          <w:rFonts w:ascii="Arial" w:cs="Arial" w:eastAsia="Arial" w:hAnsi="Arial"/>
          <w:sz w:val="15"/>
          <w:szCs w:val="15"/>
          <w:color w:val="auto"/>
        </w:rPr>
        <w:t xml:space="preserve"> </w:t>
      </w:r>
      <w:r>
        <w:rPr>
          <w:rFonts w:ascii="Arial" w:cs="Arial" w:eastAsia="Arial" w:hAnsi="Arial"/>
          <w:sz w:val="15"/>
          <w:szCs w:val="15"/>
          <w:i w:val="1"/>
          <w:iCs w:val="1"/>
          <w:color w:val="auto"/>
        </w:rPr>
        <w:t>Debt Securities (Topic 320) and Regulated Operations (Topic 980): Amendments to SEC Paragraphs Pursuant to SAB No. 117 and SEC Release No. 33-9273.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915670</wp:posOffset>
            </wp:positionV>
            <wp:extent cx="14490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2"/>
          </w:tcPr>
          <w:p>
            <w:pPr>
              <w:ind w:left="20"/>
              <w:spacing w:after="0"/>
              <w:rPr>
                <w:sz w:val="20"/>
                <w:szCs w:val="20"/>
                <w:color w:val="auto"/>
              </w:rPr>
            </w:pPr>
            <w:r>
              <w:rPr>
                <w:rFonts w:ascii="Arial" w:cs="Arial" w:eastAsia="Arial" w:hAnsi="Arial"/>
                <w:sz w:val="15"/>
                <w:szCs w:val="15"/>
                <w:b w:val="1"/>
                <w:bCs w:val="1"/>
                <w:color w:val="auto"/>
              </w:rPr>
              <w:t>Effective Date/Method of</w:t>
            </w:r>
          </w:p>
        </w:tc>
        <w:tc>
          <w:tcPr>
            <w:tcW w:w="3980" w:type="dxa"/>
            <w:vAlign w:val="bottom"/>
          </w:tcPr>
          <w:p>
            <w:pPr>
              <w:spacing w:after="0"/>
              <w:rPr>
                <w:sz w:val="14"/>
                <w:szCs w:val="14"/>
                <w:color w:val="auto"/>
              </w:rPr>
            </w:pPr>
          </w:p>
        </w:tc>
      </w:tr>
      <w:tr>
        <w:trPr>
          <w:trHeight w:val="206"/>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Description</w:t>
            </w:r>
          </w:p>
        </w:tc>
        <w:tc>
          <w:tcPr>
            <w:tcW w:w="120" w:type="dxa"/>
            <w:vAlign w:val="bottom"/>
          </w:tcPr>
          <w:p>
            <w:pPr>
              <w:spacing w:after="0"/>
              <w:rPr>
                <w:sz w:val="17"/>
                <w:szCs w:val="17"/>
                <w:color w:val="auto"/>
              </w:rPr>
            </w:pPr>
          </w:p>
        </w:tc>
        <w:tc>
          <w:tcPr>
            <w:tcW w:w="23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Adoption</w:t>
            </w:r>
          </w:p>
        </w:tc>
        <w:tc>
          <w:tcPr>
            <w:tcW w:w="120" w:type="dxa"/>
            <w:vAlign w:val="bottom"/>
          </w:tcPr>
          <w:p>
            <w:pPr>
              <w:spacing w:after="0"/>
              <w:rPr>
                <w:sz w:val="17"/>
                <w:szCs w:val="17"/>
                <w:color w:val="auto"/>
              </w:rPr>
            </w:pPr>
          </w:p>
        </w:tc>
        <w:tc>
          <w:tcPr>
            <w:tcW w:w="39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Effect on the Financial Statements</w:t>
            </w:r>
          </w:p>
        </w:tc>
      </w:tr>
      <w:tr>
        <w:trPr>
          <w:trHeight w:val="183"/>
        </w:trPr>
        <w:tc>
          <w:tcPr>
            <w:tcW w:w="2520" w:type="dxa"/>
            <w:vAlign w:val="bottom"/>
            <w:gridSpan w:val="2"/>
          </w:tcPr>
          <w:p>
            <w:pPr>
              <w:ind w:left="20"/>
              <w:spacing w:after="0"/>
              <w:rPr>
                <w:sz w:val="20"/>
                <w:szCs w:val="20"/>
                <w:color w:val="auto"/>
              </w:rPr>
            </w:pPr>
            <w:r>
              <w:rPr>
                <w:rFonts w:ascii="Arial" w:cs="Arial" w:eastAsia="Arial" w:hAnsi="Arial"/>
                <w:sz w:val="15"/>
                <w:szCs w:val="15"/>
                <w:color w:val="auto"/>
              </w:rPr>
              <w:t>This ASU deletes ASC 320-10-</w:t>
            </w:r>
          </w:p>
        </w:tc>
        <w:tc>
          <w:tcPr>
            <w:tcW w:w="2500" w:type="dxa"/>
            <w:vAlign w:val="bottom"/>
            <w:gridSpan w:val="2"/>
          </w:tcPr>
          <w:p>
            <w:pPr>
              <w:ind w:left="20"/>
              <w:spacing w:after="0"/>
              <w:rPr>
                <w:sz w:val="20"/>
                <w:szCs w:val="20"/>
                <w:color w:val="auto"/>
              </w:rPr>
            </w:pPr>
            <w:r>
              <w:rPr>
                <w:rFonts w:ascii="Arial" w:cs="Arial" w:eastAsia="Arial" w:hAnsi="Arial"/>
                <w:sz w:val="15"/>
                <w:szCs w:val="15"/>
                <w:color w:val="auto"/>
              </w:rPr>
              <w:t>November 1, 2018</w:t>
            </w:r>
          </w:p>
        </w:tc>
        <w:tc>
          <w:tcPr>
            <w:tcW w:w="3980" w:type="dxa"/>
            <w:vAlign w:val="bottom"/>
          </w:tcPr>
          <w:p>
            <w:pPr>
              <w:ind w:left="20"/>
              <w:spacing w:after="0"/>
              <w:rPr>
                <w:sz w:val="20"/>
                <w:szCs w:val="20"/>
                <w:color w:val="auto"/>
              </w:rPr>
            </w:pPr>
            <w:r>
              <w:rPr>
                <w:rFonts w:ascii="Arial" w:cs="Arial" w:eastAsia="Arial" w:hAnsi="Arial"/>
                <w:sz w:val="15"/>
                <w:szCs w:val="15"/>
                <w:color w:val="auto"/>
              </w:rPr>
              <w:t>We are currently evaluating the impact of implementing</w:t>
            </w: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S99-1, which had codified SAB</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this guidance on our consolidated financial statements.</w:t>
            </w: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Topic 5.M, and also removes</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special requirements in SEC</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Regulation S-X Rule 3A-05 for</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public utility holding companies. In</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November 2017, the SEC issued</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SAB 117 to bring its existing</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46"/>
        </w:trPr>
        <w:tc>
          <w:tcPr>
            <w:tcW w:w="252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guidance into conformity with</w:t>
            </w:r>
          </w:p>
        </w:tc>
        <w:tc>
          <w:tcPr>
            <w:tcW w:w="2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980" w:type="dxa"/>
            <w:vAlign w:val="bottom"/>
          </w:tcPr>
          <w:p>
            <w:pPr>
              <w:spacing w:after="0"/>
              <w:rPr>
                <w:sz w:val="12"/>
                <w:szCs w:val="12"/>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 xml:space="preserve">Topic 321, </w:t>
            </w:r>
            <w:r>
              <w:rPr>
                <w:rFonts w:ascii="Arial" w:cs="Arial" w:eastAsia="Arial" w:hAnsi="Arial"/>
                <w:sz w:val="15"/>
                <w:szCs w:val="15"/>
                <w:i w:val="1"/>
                <w:iCs w:val="1"/>
                <w:color w:val="auto"/>
              </w:rPr>
              <w:t>Investments—Equity</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i w:val="1"/>
                <w:iCs w:val="1"/>
                <w:color w:val="auto"/>
              </w:rPr>
              <w:t>Securities</w:t>
            </w:r>
            <w:r>
              <w:rPr>
                <w:rFonts w:ascii="Arial" w:cs="Arial" w:eastAsia="Arial" w:hAnsi="Arial"/>
                <w:sz w:val="15"/>
                <w:szCs w:val="15"/>
                <w:color w:val="auto"/>
              </w:rPr>
              <w:t>. SAB 117 states that</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 xml:space="preserve">SAB Topic 5.M, </w:t>
            </w:r>
            <w:r>
              <w:rPr>
                <w:rFonts w:ascii="Arial" w:cs="Arial" w:eastAsia="Arial" w:hAnsi="Arial"/>
                <w:sz w:val="15"/>
                <w:szCs w:val="15"/>
                <w:i w:val="1"/>
                <w:iCs w:val="1"/>
                <w:color w:val="auto"/>
              </w:rPr>
              <w:t>Other Than</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i w:val="1"/>
                <w:iCs w:val="1"/>
                <w:color w:val="auto"/>
              </w:rPr>
              <w:t>Temporary Impairment of Certain</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i w:val="1"/>
                <w:iCs w:val="1"/>
                <w:color w:val="auto"/>
              </w:rPr>
              <w:t>Investments in Equity</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78"/>
        </w:trPr>
        <w:tc>
          <w:tcPr>
            <w:tcW w:w="2520" w:type="dxa"/>
            <w:vAlign w:val="bottom"/>
            <w:gridSpan w:val="2"/>
          </w:tcPr>
          <w:p>
            <w:pPr>
              <w:ind w:left="20"/>
              <w:spacing w:after="0"/>
              <w:rPr>
                <w:sz w:val="20"/>
                <w:szCs w:val="20"/>
                <w:color w:val="auto"/>
              </w:rPr>
            </w:pPr>
            <w:r>
              <w:rPr>
                <w:rFonts w:ascii="Arial" w:cs="Arial" w:eastAsia="Arial" w:hAnsi="Arial"/>
                <w:sz w:val="15"/>
                <w:szCs w:val="15"/>
                <w:i w:val="1"/>
                <w:iCs w:val="1"/>
                <w:color w:val="auto"/>
              </w:rPr>
              <w:t xml:space="preserve">Securities, </w:t>
            </w:r>
            <w:r>
              <w:rPr>
                <w:rFonts w:ascii="Arial" w:cs="Arial" w:eastAsia="Arial" w:hAnsi="Arial"/>
                <w:sz w:val="15"/>
                <w:szCs w:val="15"/>
                <w:color w:val="auto"/>
              </w:rPr>
              <w:t>is no longer applicable</w:t>
            </w:r>
          </w:p>
        </w:tc>
        <w:tc>
          <w:tcPr>
            <w:tcW w:w="2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980" w:type="dxa"/>
            <w:vAlign w:val="bottom"/>
          </w:tcPr>
          <w:p>
            <w:pPr>
              <w:spacing w:after="0"/>
              <w:rPr>
                <w:sz w:val="15"/>
                <w:szCs w:val="15"/>
                <w:color w:val="auto"/>
              </w:rPr>
            </w:pPr>
          </w:p>
        </w:tc>
      </w:tr>
      <w:tr>
        <w:trPr>
          <w:trHeight w:val="184"/>
        </w:trPr>
        <w:tc>
          <w:tcPr>
            <w:tcW w:w="2520" w:type="dxa"/>
            <w:vAlign w:val="bottom"/>
            <w:gridSpan w:val="2"/>
          </w:tcPr>
          <w:p>
            <w:pPr>
              <w:ind w:left="20"/>
              <w:spacing w:after="0"/>
              <w:rPr>
                <w:sz w:val="20"/>
                <w:szCs w:val="20"/>
                <w:color w:val="auto"/>
              </w:rPr>
            </w:pPr>
            <w:r>
              <w:rPr>
                <w:rFonts w:ascii="Arial" w:cs="Arial" w:eastAsia="Arial" w:hAnsi="Arial"/>
                <w:sz w:val="15"/>
                <w:szCs w:val="15"/>
                <w:color w:val="auto"/>
              </w:rPr>
              <w:t>upon adoption of ASC 321.</w:t>
            </w:r>
          </w:p>
        </w:tc>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90805</wp:posOffset>
            </wp:positionV>
            <wp:extent cx="57111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11190" cy="889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2200" w:space="180"/>
            <w:col w:w="9000"/>
          </w:cols>
          <w:pgMar w:left="280" w:top="675" w:right="239" w:bottom="1440" w:gutter="0" w:footer="0" w:header="0"/>
        </w:sectPr>
      </w:pPr>
    </w:p>
    <w:p>
      <w:pPr>
        <w:ind w:right="20"/>
        <w:spacing w:after="0" w:line="229" w:lineRule="auto"/>
        <w:rPr>
          <w:sz w:val="20"/>
          <w:szCs w:val="20"/>
          <w:color w:val="auto"/>
        </w:rPr>
      </w:pPr>
      <w:r>
        <w:rPr>
          <w:rFonts w:ascii="Arial" w:cs="Arial" w:eastAsia="Arial" w:hAnsi="Arial"/>
          <w:sz w:val="15"/>
          <w:szCs w:val="15"/>
          <w:color w:val="auto"/>
        </w:rPr>
        <w:t xml:space="preserve">In February 2018, the FASB issued ASU 2018-02, </w:t>
      </w:r>
      <w:r>
        <w:rPr>
          <w:rFonts w:ascii="Arial" w:cs="Arial" w:eastAsia="Arial" w:hAnsi="Arial"/>
          <w:sz w:val="15"/>
          <w:szCs w:val="15"/>
          <w:i w:val="1"/>
          <w:iCs w:val="1"/>
          <w:color w:val="auto"/>
        </w:rPr>
        <w:t>Income</w:t>
      </w:r>
      <w:r>
        <w:rPr>
          <w:rFonts w:ascii="Arial" w:cs="Arial" w:eastAsia="Arial" w:hAnsi="Arial"/>
          <w:sz w:val="15"/>
          <w:szCs w:val="15"/>
          <w:color w:val="auto"/>
        </w:rPr>
        <w:t xml:space="preserve"> </w:t>
      </w:r>
      <w:r>
        <w:rPr>
          <w:rFonts w:ascii="Arial" w:cs="Arial" w:eastAsia="Arial" w:hAnsi="Arial"/>
          <w:sz w:val="15"/>
          <w:szCs w:val="15"/>
          <w:i w:val="1"/>
          <w:iCs w:val="1"/>
          <w:color w:val="auto"/>
        </w:rPr>
        <w:t>Statement—Reporting Comprehensive Income (Topic 220): Reclassification of Certain Tax Effects from Accumulated Other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8255</wp:posOffset>
            </wp:positionV>
            <wp:extent cx="14490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0" w:lineRule="exact"/>
        <w:rPr>
          <w:sz w:val="20"/>
          <w:szCs w:val="20"/>
          <w:color w:val="auto"/>
        </w:rPr>
      </w:pPr>
    </w:p>
    <w:p>
      <w:pPr>
        <w:spacing w:after="0" w:line="230" w:lineRule="auto"/>
        <w:rPr>
          <w:sz w:val="20"/>
          <w:szCs w:val="20"/>
          <w:color w:val="auto"/>
        </w:rPr>
      </w:pPr>
      <w:r>
        <w:rPr>
          <w:rFonts w:ascii="Arial" w:cs="Arial" w:eastAsia="Arial" w:hAnsi="Arial"/>
          <w:sz w:val="15"/>
          <w:szCs w:val="15"/>
          <w:color w:val="auto"/>
        </w:rPr>
        <w:t xml:space="preserve">In August 2017, the FASB issued ASU 2017-12, </w:t>
      </w:r>
      <w:r>
        <w:rPr>
          <w:rFonts w:ascii="Arial" w:cs="Arial" w:eastAsia="Arial" w:hAnsi="Arial"/>
          <w:sz w:val="15"/>
          <w:szCs w:val="15"/>
          <w:i w:val="1"/>
          <w:iCs w:val="1"/>
          <w:color w:val="auto"/>
        </w:rPr>
        <w:t>Derivatives and Hedging (Topic 815): Targeted Improvements to Accounting for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195580</wp:posOffset>
            </wp:positionV>
            <wp:extent cx="14490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Arial" w:cs="Arial" w:eastAsia="Arial" w:hAnsi="Arial"/>
          <w:sz w:val="15"/>
          <w:szCs w:val="15"/>
          <w:color w:val="auto"/>
        </w:rPr>
        <w:t>This ASU permits an entity to reclassify the income tax effects of the Tax Act on items within accumulated other comprehensive income into 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212725</wp:posOffset>
            </wp:positionV>
            <wp:extent cx="15265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352" w:lineRule="exact"/>
        <w:rPr>
          <w:sz w:val="20"/>
          <w:szCs w:val="20"/>
          <w:color w:val="auto"/>
        </w:rPr>
      </w:pPr>
    </w:p>
    <w:p>
      <w:pPr>
        <w:ind w:right="20"/>
        <w:spacing w:after="0" w:line="229" w:lineRule="auto"/>
        <w:rPr>
          <w:sz w:val="20"/>
          <w:szCs w:val="20"/>
          <w:color w:val="auto"/>
        </w:rPr>
      </w:pPr>
      <w:r>
        <w:rPr>
          <w:rFonts w:ascii="Arial" w:cs="Arial" w:eastAsia="Arial" w:hAnsi="Arial"/>
          <w:sz w:val="15"/>
          <w:szCs w:val="15"/>
          <w:color w:val="auto"/>
        </w:rPr>
        <w:t>This ASU better aligns accounting rules with a company’s risk management activities; better reflects economic results of hedging in financial statements; and simplifies hedge accounting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93980</wp:posOffset>
            </wp:positionV>
            <wp:extent cx="15265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30" w:lineRule="auto"/>
        <w:rPr>
          <w:sz w:val="20"/>
          <w:szCs w:val="20"/>
          <w:color w:val="auto"/>
        </w:rPr>
      </w:pPr>
      <w:r>
        <w:rPr>
          <w:rFonts w:ascii="Arial" w:cs="Arial" w:eastAsia="Arial" w:hAnsi="Arial"/>
          <w:sz w:val="15"/>
          <w:szCs w:val="15"/>
          <w:color w:val="auto"/>
        </w:rPr>
        <w:t>This standard will be applied either in the period of adoption or retrospectively to each period in which the effect of the change in the tax laws or rates were recognized.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109855</wp:posOffset>
            </wp:positionV>
            <wp:extent cx="1517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0" w:lineRule="exact"/>
        <w:rPr>
          <w:sz w:val="20"/>
          <w:szCs w:val="20"/>
          <w:color w:val="auto"/>
        </w:rPr>
      </w:pPr>
    </w:p>
    <w:p>
      <w:pPr>
        <w:spacing w:after="0" w:line="235" w:lineRule="auto"/>
        <w:rPr>
          <w:sz w:val="20"/>
          <w:szCs w:val="20"/>
          <w:color w:val="auto"/>
        </w:rPr>
      </w:pPr>
      <w:r>
        <w:rPr>
          <w:rFonts w:ascii="Arial" w:cs="Arial" w:eastAsia="Arial" w:hAnsi="Arial"/>
          <w:sz w:val="15"/>
          <w:szCs w:val="15"/>
          <w:color w:val="auto"/>
        </w:rPr>
        <w:t>We early adopted this standard in the first quarter of 2018 using a modified retrospective approach.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503555</wp:posOffset>
            </wp:positionV>
            <wp:extent cx="15176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right="240"/>
        <w:spacing w:after="0" w:line="242" w:lineRule="auto"/>
        <w:rPr>
          <w:sz w:val="20"/>
          <w:szCs w:val="20"/>
          <w:color w:val="auto"/>
        </w:rPr>
      </w:pPr>
      <w:r>
        <w:rPr>
          <w:rFonts w:ascii="Arial" w:cs="Arial" w:eastAsia="Arial" w:hAnsi="Arial"/>
          <w:sz w:val="15"/>
          <w:szCs w:val="15"/>
          <w:color w:val="auto"/>
        </w:rPr>
        <w:t>We are currently evaluating the impact of implementing this guidance on our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518795</wp:posOffset>
            </wp:positionV>
            <wp:extent cx="25298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300"/>
        <w:spacing w:after="0" w:line="235" w:lineRule="auto"/>
        <w:rPr>
          <w:sz w:val="20"/>
          <w:szCs w:val="20"/>
          <w:color w:val="auto"/>
        </w:rPr>
      </w:pPr>
      <w:r>
        <w:rPr>
          <w:rFonts w:ascii="Arial" w:cs="Arial" w:eastAsia="Arial" w:hAnsi="Arial"/>
          <w:sz w:val="15"/>
          <w:szCs w:val="15"/>
          <w:color w:val="auto"/>
        </w:rPr>
        <w:t>Our adoption of this guidance did not have a material impact on our current hedging arrangements or on the disclosures related to such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503555</wp:posOffset>
            </wp:positionV>
            <wp:extent cx="25298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820" w:lineRule="exact"/>
        <w:rPr>
          <w:sz w:val="20"/>
          <w:szCs w:val="20"/>
          <w:color w:val="auto"/>
        </w:rPr>
      </w:pPr>
    </w:p>
    <w:p>
      <w:pPr>
        <w:sectPr>
          <w:pgSz w:w="11900" w:h="16838" w:orient="portrait"/>
          <w:cols w:equalWidth="0" w:num="4">
            <w:col w:w="2180" w:space="220"/>
            <w:col w:w="2340" w:space="180"/>
            <w:col w:w="2280" w:space="220"/>
            <w:col w:w="3960"/>
          </w:cols>
          <w:pgMar w:left="280" w:top="675" w:right="239" w:bottom="1440" w:gutter="0" w:footer="0" w:header="0"/>
          <w:type w:val="continuous"/>
        </w:sectPr>
      </w:pPr>
    </w:p>
    <w:p>
      <w:pPr>
        <w:spacing w:after="0" w:line="10" w:lineRule="exact"/>
        <w:rPr>
          <w:sz w:val="20"/>
          <w:szCs w:val="20"/>
          <w:color w:val="auto"/>
        </w:rPr>
      </w:pPr>
    </w:p>
    <w:p>
      <w:pPr>
        <w:spacing w:after="0" w:line="231"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(Topic 842). </w:t>
      </w:r>
      <w:r>
        <w:rPr>
          <w:rFonts w:ascii="Arial" w:cs="Arial" w:eastAsia="Arial" w:hAnsi="Arial"/>
          <w:sz w:val="15"/>
          <w:szCs w:val="15"/>
          <w:color w:val="auto"/>
        </w:rPr>
        <w:t>This guidance was</w:t>
      </w:r>
      <w:r>
        <w:rPr>
          <w:rFonts w:ascii="Arial" w:cs="Arial" w:eastAsia="Arial" w:hAnsi="Arial"/>
          <w:sz w:val="15"/>
          <w:szCs w:val="15"/>
          <w:i w:val="1"/>
          <w:iCs w:val="1"/>
          <w:color w:val="auto"/>
        </w:rPr>
        <w:t xml:space="preserve"> </w:t>
      </w:r>
      <w:r>
        <w:rPr>
          <w:rFonts w:ascii="Arial" w:cs="Arial" w:eastAsia="Arial" w:hAnsi="Arial"/>
          <w:sz w:val="15"/>
          <w:szCs w:val="15"/>
          <w:color w:val="auto"/>
        </w:rPr>
        <w:t>additionally updated by ASU 2018-11 in July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1550670</wp:posOffset>
            </wp:positionV>
            <wp:extent cx="14490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520" w:type="dxa"/>
            <w:vAlign w:val="bottom"/>
            <w:gridSpan w:val="2"/>
          </w:tcPr>
          <w:p>
            <w:pPr>
              <w:ind w:left="20"/>
              <w:spacing w:after="0"/>
              <w:rPr>
                <w:sz w:val="20"/>
                <w:szCs w:val="20"/>
                <w:color w:val="auto"/>
              </w:rPr>
            </w:pPr>
            <w:r>
              <w:rPr>
                <w:rFonts w:ascii="Arial" w:cs="Arial" w:eastAsia="Arial" w:hAnsi="Arial"/>
                <w:sz w:val="15"/>
                <w:szCs w:val="15"/>
                <w:color w:val="auto"/>
              </w:rPr>
              <w:t>ASU 2016-02 improves</w:t>
            </w:r>
          </w:p>
        </w:tc>
        <w:tc>
          <w:tcPr>
            <w:tcW w:w="2500" w:type="dxa"/>
            <w:vAlign w:val="bottom"/>
            <w:gridSpan w:val="2"/>
          </w:tcPr>
          <w:p>
            <w:pPr>
              <w:ind w:left="20"/>
              <w:spacing w:after="0"/>
              <w:rPr>
                <w:sz w:val="20"/>
                <w:szCs w:val="20"/>
                <w:color w:val="auto"/>
              </w:rPr>
            </w:pPr>
            <w:r>
              <w:rPr>
                <w:rFonts w:ascii="Arial" w:cs="Arial" w:eastAsia="Arial" w:hAnsi="Arial"/>
                <w:sz w:val="15"/>
                <w:szCs w:val="15"/>
                <w:color w:val="auto"/>
              </w:rPr>
              <w:t>November 1, 2019</w:t>
            </w:r>
          </w:p>
        </w:tc>
        <w:tc>
          <w:tcPr>
            <w:tcW w:w="3980" w:type="dxa"/>
            <w:vAlign w:val="bottom"/>
          </w:tcPr>
          <w:p>
            <w:pPr>
              <w:ind w:left="20"/>
              <w:spacing w:after="0"/>
              <w:rPr>
                <w:sz w:val="20"/>
                <w:szCs w:val="20"/>
                <w:color w:val="auto"/>
              </w:rPr>
            </w:pPr>
            <w:r>
              <w:rPr>
                <w:rFonts w:ascii="Arial" w:cs="Arial" w:eastAsia="Arial" w:hAnsi="Arial"/>
                <w:sz w:val="15"/>
                <w:szCs w:val="15"/>
                <w:color w:val="auto"/>
              </w:rPr>
              <w:t>We are currently evaluating the impact of implementing</w:t>
            </w: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transparency and comparability</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ind w:left="20"/>
              <w:spacing w:after="0" w:line="162" w:lineRule="exact"/>
              <w:rPr>
                <w:sz w:val="20"/>
                <w:szCs w:val="20"/>
                <w:color w:val="auto"/>
              </w:rPr>
            </w:pPr>
            <w:r>
              <w:rPr>
                <w:rFonts w:ascii="Arial" w:cs="Arial" w:eastAsia="Arial" w:hAnsi="Arial"/>
                <w:sz w:val="15"/>
                <w:szCs w:val="15"/>
                <w:color w:val="auto"/>
              </w:rPr>
              <w:t>this guidance on our consolidated financial statements.</w:t>
            </w: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among organizations by requiring</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lessees to recognize lease assets</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and lease liabilities on the balance</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sheet and to disclose key</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information about leasing</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arrangements. ASU 2018-11</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added a transition option for</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lessees whereby entities can</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choose to continue to apply the</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legacy guidance and make only</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annual disclosures for the</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comparative periods, or, for those</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who elect the transition option,</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can recognize a cumulative effect</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adjustment to the opening balance</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of retained earnings in the period</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62"/>
        </w:trPr>
        <w:tc>
          <w:tcPr>
            <w:tcW w:w="2520" w:type="dxa"/>
            <w:vAlign w:val="bottom"/>
            <w:gridSpan w:val="2"/>
          </w:tcPr>
          <w:p>
            <w:pPr>
              <w:ind w:left="20"/>
              <w:spacing w:after="0" w:line="162" w:lineRule="exact"/>
              <w:rPr>
                <w:sz w:val="20"/>
                <w:szCs w:val="20"/>
                <w:color w:val="auto"/>
              </w:rPr>
            </w:pPr>
            <w:r>
              <w:rPr>
                <w:rFonts w:ascii="Arial" w:cs="Arial" w:eastAsia="Arial" w:hAnsi="Arial"/>
                <w:sz w:val="15"/>
                <w:szCs w:val="15"/>
                <w:color w:val="auto"/>
              </w:rPr>
              <w:t>of adoption, rather than the</w:t>
            </w:r>
          </w:p>
        </w:tc>
        <w:tc>
          <w:tcPr>
            <w:tcW w:w="2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Pr>
          <w:p>
            <w:pPr>
              <w:spacing w:after="0"/>
              <w:rPr>
                <w:sz w:val="14"/>
                <w:szCs w:val="14"/>
                <w:color w:val="auto"/>
              </w:rPr>
            </w:pPr>
          </w:p>
        </w:tc>
      </w:tr>
      <w:tr>
        <w:trPr>
          <w:trHeight w:val="188"/>
        </w:trPr>
        <w:tc>
          <w:tcPr>
            <w:tcW w:w="240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earliest period presented.</w:t>
            </w:r>
          </w:p>
        </w:tc>
        <w:tc>
          <w:tcPr>
            <w:tcW w:w="120" w:type="dxa"/>
            <w:vAlign w:val="bottom"/>
          </w:tcPr>
          <w:p>
            <w:pPr>
              <w:spacing w:after="0"/>
              <w:rPr>
                <w:sz w:val="16"/>
                <w:szCs w:val="16"/>
                <w:color w:val="auto"/>
              </w:rPr>
            </w:pPr>
          </w:p>
        </w:tc>
        <w:tc>
          <w:tcPr>
            <w:tcW w:w="2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980" w:type="dxa"/>
            <w:vAlign w:val="bottom"/>
            <w:tcBorders>
              <w:bottom w:val="single" w:sz="8" w:color="auto"/>
            </w:tcBorders>
          </w:tcPr>
          <w:p>
            <w:pPr>
              <w:spacing w:after="0"/>
              <w:rPr>
                <w:sz w:val="16"/>
                <w:szCs w:val="16"/>
                <w:color w:val="auto"/>
              </w:rPr>
            </w:pPr>
          </w:p>
        </w:tc>
      </w:tr>
    </w:tbl>
    <w:p>
      <w:pPr>
        <w:spacing w:after="0" w:line="200" w:lineRule="exact"/>
        <w:rPr>
          <w:sz w:val="20"/>
          <w:szCs w:val="20"/>
          <w:color w:val="auto"/>
        </w:rPr>
      </w:pPr>
    </w:p>
    <w:p>
      <w:pPr>
        <w:sectPr>
          <w:pgSz w:w="11900" w:h="16838" w:orient="portrait"/>
          <w:cols w:equalWidth="0" w:num="2">
            <w:col w:w="2120" w:space="260"/>
            <w:col w:w="9000"/>
          </w:cols>
          <w:pgMar w:left="280" w:top="675" w:right="239"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380"/>
          </w:cols>
          <w:pgMar w:left="280" w:top="675" w:right="239" w:bottom="1440" w:gutter="0" w:footer="0" w:header="0"/>
          <w:type w:val="continuous"/>
        </w:sectPr>
      </w:pPr>
    </w:p>
    <w:bookmarkStart w:id="49" w:name="page50"/>
    <w:bookmarkEnd w:id="49"/>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Accounting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24130</wp:posOffset>
            </wp:positionV>
            <wp:extent cx="14490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5" w:lineRule="exact"/>
        <w:rPr>
          <w:sz w:val="20"/>
          <w:szCs w:val="20"/>
          <w:color w:val="auto"/>
        </w:rPr>
      </w:pPr>
    </w:p>
    <w:p>
      <w:pPr>
        <w:spacing w:after="0" w:line="233" w:lineRule="auto"/>
        <w:rPr>
          <w:sz w:val="20"/>
          <w:szCs w:val="20"/>
          <w:color w:val="auto"/>
        </w:rPr>
      </w:pPr>
      <w:r>
        <w:rPr>
          <w:rFonts w:ascii="Arial" w:cs="Arial" w:eastAsia="Arial" w:hAnsi="Arial"/>
          <w:sz w:val="15"/>
          <w:szCs w:val="15"/>
          <w:color w:val="auto"/>
        </w:rPr>
        <w:t xml:space="preserve">In May 2014, the FASB issued ASU 2014-09, </w:t>
      </w:r>
      <w:r>
        <w:rPr>
          <w:rFonts w:ascii="Arial" w:cs="Arial" w:eastAsia="Arial" w:hAnsi="Arial"/>
          <w:sz w:val="15"/>
          <w:szCs w:val="15"/>
          <w:i w:val="1"/>
          <w:iCs w:val="1"/>
          <w:color w:val="auto"/>
        </w:rPr>
        <w:t>Revenue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 (Topic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2166620</wp:posOffset>
            </wp:positionV>
            <wp:extent cx="14490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24130</wp:posOffset>
            </wp:positionV>
            <wp:extent cx="15265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55" w:lineRule="exact"/>
        <w:rPr>
          <w:sz w:val="20"/>
          <w:szCs w:val="20"/>
          <w:color w:val="auto"/>
        </w:rPr>
      </w:pPr>
    </w:p>
    <w:p>
      <w:pPr>
        <w:spacing w:after="0" w:line="228" w:lineRule="auto"/>
        <w:rPr>
          <w:sz w:val="20"/>
          <w:szCs w:val="20"/>
          <w:color w:val="auto"/>
        </w:rPr>
      </w:pPr>
      <w:r>
        <w:rPr>
          <w:rFonts w:ascii="Arial" w:cs="Arial" w:eastAsia="Arial" w:hAnsi="Arial"/>
          <w:sz w:val="15"/>
          <w:szCs w:val="15"/>
          <w:color w:val="auto"/>
        </w:rPr>
        <w:t>This ASU introduces a new principles-based framework for revenue recognition and disclosure. The core principle of the standard is when an entity transfers goods or services to customers it will recognize revenue in an amount that reflects the consideration the entity expects to be entitled to for those goods or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1447800</wp:posOffset>
            </wp:positionV>
            <wp:extent cx="15265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5265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80"/>
        <w:spacing w:after="0" w:line="267" w:lineRule="auto"/>
        <w:rPr>
          <w:sz w:val="20"/>
          <w:szCs w:val="20"/>
          <w:color w:val="auto"/>
        </w:rPr>
      </w:pPr>
      <w:r>
        <w:rPr>
          <w:rFonts w:ascii="Arial" w:cs="Arial" w:eastAsia="Arial" w:hAnsi="Arial"/>
          <w:sz w:val="15"/>
          <w:szCs w:val="15"/>
          <w:b w:val="1"/>
          <w:bCs w:val="1"/>
          <w:color w:val="auto"/>
        </w:rPr>
        <w:t>Effective Date/Method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-6350</wp:posOffset>
            </wp:positionV>
            <wp:extent cx="151765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November 1, 2018</w:t>
      </w:r>
    </w:p>
    <w:p>
      <w:pPr>
        <w:spacing w:after="0" w:line="152" w:lineRule="exact"/>
        <w:rPr>
          <w:sz w:val="20"/>
          <w:szCs w:val="20"/>
          <w:color w:val="auto"/>
        </w:rPr>
      </w:pPr>
    </w:p>
    <w:p>
      <w:pPr>
        <w:spacing w:after="0" w:line="229" w:lineRule="auto"/>
        <w:rPr>
          <w:sz w:val="20"/>
          <w:szCs w:val="20"/>
          <w:color w:val="auto"/>
        </w:rPr>
      </w:pPr>
      <w:r>
        <w:rPr>
          <w:rFonts w:ascii="Arial" w:cs="Arial" w:eastAsia="Arial" w:hAnsi="Arial"/>
          <w:sz w:val="15"/>
          <w:szCs w:val="15"/>
          <w:color w:val="auto"/>
        </w:rPr>
        <w:t>This standard will be applied as a full retrospective adoption to all periods presented or a modified retrospective adoption approach with a cumulative-effect adjustment to retained earnings as of the beginning of the year of adoption.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1550035</wp:posOffset>
            </wp:positionV>
            <wp:extent cx="15176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Effect on the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24130</wp:posOffset>
            </wp:positionV>
            <wp:extent cx="252984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55" w:lineRule="exact"/>
        <w:rPr>
          <w:sz w:val="20"/>
          <w:szCs w:val="20"/>
          <w:color w:val="auto"/>
        </w:rPr>
      </w:pPr>
    </w:p>
    <w:p>
      <w:pPr>
        <w:spacing w:after="0" w:line="236" w:lineRule="auto"/>
        <w:rPr>
          <w:sz w:val="20"/>
          <w:szCs w:val="20"/>
          <w:color w:val="auto"/>
        </w:rPr>
      </w:pPr>
      <w:r>
        <w:rPr>
          <w:rFonts w:ascii="Arial" w:cs="Arial" w:eastAsia="Arial" w:hAnsi="Arial"/>
          <w:sz w:val="15"/>
          <w:szCs w:val="15"/>
          <w:color w:val="auto"/>
        </w:rPr>
        <w:t>To assess the impact of this standard, we have established a cross-functional implementation team consisting of representatives from all of our operating segments. The implementation team is completing the analysis of our contract portfolio to identify potential differences that would result from applying the requirements of this new standard. In addition, we continue to identify and implement the appropriate changes to our business processes and controls to support revenue recognition and disclosure under this new standard. We expect adoption of this standard to have an impact on the timing of revenue recognition related to certain lines of business and the financial statement line item reporting of certain items. Additionally, the accounting for certain direct and incremental contract costs is significantly different from our current capitalization policy; however, the full impact of this difference is currently unknown. We are continuing to evaluate the impact of this ASU and an estimate of the impact to our consolidated financial statements cannot be made at this time. We expect to adopt using the modified retrospective approach, under which we will present the cumulative effect of adoption as an adjustment to the opening balance of retained earnings at the adoption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6985</wp:posOffset>
            </wp:positionV>
            <wp:extent cx="25298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200" w:space="200"/>
            <w:col w:w="2320" w:space="200"/>
            <w:col w:w="2260" w:space="240"/>
            <w:col w:w="3900"/>
          </w:cols>
          <w:pgMar w:left="280" w:top="685" w:right="29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320"/>
          </w:cols>
          <w:pgMar w:left="280" w:top="685" w:right="29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color w:val="0046AD"/>
        </w:rPr>
        <w:t>ITEM 3. QUANTITATIVE AND QUALITATIVE DISCLOSURES ABOUT MARKET RISK.</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During April 2018, we elected to terminate all of our interest rate swaps. We have subsequently entered into new forward-starting interest rate swaps that are effective November 1, 2018. Refer to Note 9, “Credit Facility,” in the unaudited consolidated financial statements and the accompanying notes. There are no other material changes related to market risk from the disclosures in our Annual Report on Form 10-K for the year ended October 31, 2017.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a. Disclosure Controls and Procedures.</w:t>
      </w:r>
    </w:p>
    <w:p>
      <w:pPr>
        <w:spacing w:after="0" w:line="19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As of the end of the period covered by this report, our Principal Executive Officer and Principal Financial Officer evaluated our disclosure controls and procedures, as such term is defined in Rules 13a-15(e) and 15d-15(e) of the Exchange Act. Based upon that evaluation, our Principal Executive Officer and Principal Financial Officer concluded that as of the end of the period covered by this report, our disclosure controls and procedures were effective to ensure that information required to be disclosed by us in reports we file or submit under the Exchange Act is (1) recorded, processed, summarized, and reported within the time periods specified in the rules and forms of the Securities and Exchange Commission, and (2) accumulated and communicated to our management, including our Principal Executive Officer and Principal Financial Officer, to allow timely decisions regarding required disclosure.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b. Changes in Internal Control Over Financial Reporting.</w:t>
      </w:r>
    </w:p>
    <w:p>
      <w:pPr>
        <w:spacing w:after="0" w:line="19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During 2017, we completed the acquisition of GCA, as described elsewhere in this report. We continue to integrate policies, processes, personnel, technology, and operations relating to this transaction and will continue to evaluate the impact of any related changes to our control over financial reporting. Additionally, we continue to migrate many of our financial reporting and other processes to our Enterprise Services Center as part of our </w:t>
      </w:r>
      <w:r>
        <w:rPr>
          <w:rFonts w:ascii="Arial" w:cs="Arial" w:eastAsia="Arial" w:hAnsi="Arial"/>
          <w:sz w:val="18"/>
          <w:szCs w:val="18"/>
          <w:b w:val="1"/>
          <w:bCs w:val="1"/>
          <w:color w:val="FF9900"/>
        </w:rPr>
        <w:t>2020</w:t>
      </w:r>
      <w:r>
        <w:rPr>
          <w:rFonts w:ascii="Arial" w:cs="Arial" w:eastAsia="Arial" w:hAnsi="Arial"/>
          <w:sz w:val="18"/>
          <w:szCs w:val="18"/>
          <w:color w:val="auto"/>
        </w:rPr>
        <w:t xml:space="preserve"> </w:t>
      </w:r>
      <w:r>
        <w:rPr>
          <w:rFonts w:ascii="Arial" w:cs="Arial" w:eastAsia="Arial" w:hAnsi="Arial"/>
          <w:sz w:val="18"/>
          <w:szCs w:val="18"/>
          <w:b w:val="1"/>
          <w:bCs w:val="1"/>
          <w:color w:val="0070C0"/>
        </w:rPr>
        <w:t>Vision</w:t>
      </w:r>
      <w:r>
        <w:rPr>
          <w:rFonts w:ascii="Arial" w:cs="Arial" w:eastAsia="Arial" w:hAnsi="Arial"/>
          <w:sz w:val="18"/>
          <w:szCs w:val="18"/>
          <w:color w:val="auto"/>
        </w:rPr>
        <w:t xml:space="preserve"> strategic transformation initiative.</w:t>
      </w:r>
    </w:p>
    <w:p>
      <w:pPr>
        <w:spacing w:after="0" w:line="15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There were no other changes in our internal control over financial reporting during the third quarter of 2018 identified in connection with the evaluation required by Rule 13a-15(d) and 15d-15(d) of the Exchange Act that has materially affected, or is reasonably likely to materially affect, our internal control over financial reporting.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 LEGAL PROCEEDINGS.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A discussion of material developments in our litigation matters occurring in the period covered by this report is found in Note 10, “Commitments and Contingencies,” to the Financial Statements in this Form 10-Q.</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1A. RISK FACTORS.</w:t>
      </w:r>
    </w:p>
    <w:p>
      <w:pPr>
        <w:spacing w:after="0" w:line="247" w:lineRule="exact"/>
        <w:rPr>
          <w:sz w:val="20"/>
          <w:szCs w:val="20"/>
          <w:color w:val="auto"/>
        </w:rPr>
      </w:pPr>
    </w:p>
    <w:p>
      <w:pPr>
        <w:jc w:val="both"/>
        <w:ind w:right="20" w:firstLine="648"/>
        <w:spacing w:after="0" w:line="262" w:lineRule="auto"/>
        <w:rPr>
          <w:sz w:val="20"/>
          <w:szCs w:val="20"/>
          <w:color w:val="auto"/>
        </w:rPr>
      </w:pPr>
      <w:r>
        <w:rPr>
          <w:rFonts w:ascii="Arial" w:cs="Arial" w:eastAsia="Arial" w:hAnsi="Arial"/>
          <w:sz w:val="18"/>
          <w:szCs w:val="18"/>
          <w:color w:val="auto"/>
        </w:rPr>
        <w:t>There have been no material changes to the risk factors identified in our Annual Report on Form 10-K for the year ended October 31, 2017, in response to Item 1A., “Risk Factors,” of Part I of the Annual Report, except as described below.</w:t>
      </w:r>
    </w:p>
    <w:p>
      <w:pPr>
        <w:spacing w:after="0" w:line="19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The Risk Factor under the caption “Our business may be materially affected by changes to fiscal and tax policies. Negative or unexpected tax consequences could adversely affect our results of operations” in our Annual Report on Form 10-K for the year ended October 31, 2017 is amended by replacing in its entirety the text below such caption with the following paragraph:</w:t>
      </w:r>
    </w:p>
    <w:p>
      <w:pPr>
        <w:spacing w:after="0" w:line="202"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8"/>
          <w:szCs w:val="18"/>
          <w:color w:val="auto"/>
        </w:rPr>
        <w:t>The Company is subject to income tax laws and regulations in the United States and certain foreign jurisdictions. Significant judgment is required in evaluating and estimating our provision and accruals for these taxes. Our income tax liabilities are dependent upon the location of earnings among different jurisdictions. Our income tax provision and income tax liabilities could be adversely affected by the jurisdictional mix of earnings, changes in valuations of deferred tax assets and liabilities, and changes in tax treaties, laws, and regulations, including changes introduced by the U.S. Tax Cuts and Jobs Act of 2017, which effected significant changes to the U.S. corporate income tax system. Our preliminary estimate of the effects of this law is subject to finalization of management’s analysis related to certain matters. Changes to our preliminary estimate of the effects of this law, which will be recorded in the period completed, could have material adverse effect on the Company’s financial condition or results of operations, as well as our effective tax rate in the period in which the adjustments are made. Furthermore, we are subject to tax</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22" w:right="239" w:bottom="1440" w:gutter="0" w:footer="0" w:header="0"/>
        </w:sectPr>
      </w:pPr>
    </w:p>
    <w:bookmarkStart w:id="51" w:name="page52"/>
    <w:bookmarkEnd w:id="51"/>
    <w:p>
      <w:pPr>
        <w:jc w:val="both"/>
        <w:spacing w:after="0" w:line="262" w:lineRule="auto"/>
        <w:rPr>
          <w:sz w:val="20"/>
          <w:szCs w:val="20"/>
          <w:color w:val="auto"/>
        </w:rPr>
      </w:pPr>
      <w:r>
        <w:rPr>
          <w:rFonts w:ascii="Arial" w:cs="Arial" w:eastAsia="Arial" w:hAnsi="Arial"/>
          <w:sz w:val="18"/>
          <w:szCs w:val="18"/>
          <w:color w:val="auto"/>
        </w:rPr>
        <w:t>audits by government authorities, primarily in the United States and the United Kingdom. If we experience unfavorable results from one or more such tax audits, there could be an adverse effect on our tax rate and therefore on our net income.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2. UNREGISTERED SALES OF EQUITY SECURITIES AND USE OF PROCEEDS.</w:t>
      </w:r>
    </w:p>
    <w:p>
      <w:pPr>
        <w:spacing w:after="0" w:line="193"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On September 2, 2015, our Board of Directors authorized a program to repurchase up to $200.0 million of our common stock. During the nine months ended July 31, 2018, there were no share repurchases. At July 31, 2018, authorization for $134.1 million of repurchases remained under our share repurchase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3. DEFAULTS UPON SENIOR SECURITIES.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4. MINE SAFETY DISCLOSURES.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0046AD"/>
        </w:rPr>
        <w:t>ITEM 5. OTHER INFORMATION.</w:t>
      </w:r>
    </w:p>
    <w:p>
      <w:pPr>
        <w:spacing w:after="0" w:line="193"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On September 5, 2018, the Company entered into an amendment to the Credit Agreement dated September 1, 2017 (the “Amendment”) by and among the Company, the designated borrowers identified on the signature pages thereto, the guarantors identified on the signature pages thereto, and the lenders party thereto, and Bank of America, N.A., as administrative agent. The Amendment increases the maximum total leverage ratio applicable to the Company for fiscal quarters commencing July 31, 2018 through April 30, 2021 by 25 basis points from those specified in the Credit Agreement dated September 1, 2017 for such periods.</w:t>
      </w:r>
    </w:p>
    <w:p>
      <w:pPr>
        <w:spacing w:after="0" w:line="20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8"/>
          <w:szCs w:val="18"/>
          <w:color w:val="auto"/>
        </w:rPr>
        <w:t>The foregoing summary of the Amendment does not purport to be complete and is subject to, and qualified in its entirety by, the full text of the Amendment, which is filed as Exhibit 10.2 to this Quarterly Report on Form 10-Q and is incorporated herein by reference.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382" w:right="2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39"/>
        </w:trPr>
        <w:tc>
          <w:tcPr>
            <w:tcW w:w="11400" w:type="dxa"/>
            <w:vAlign w:val="bottom"/>
            <w:gridSpan w:val="10"/>
          </w:tcPr>
          <w:p>
            <w:pPr>
              <w:spacing w:after="0"/>
              <w:rPr>
                <w:sz w:val="20"/>
                <w:szCs w:val="20"/>
                <w:color w:val="auto"/>
              </w:rPr>
            </w:pPr>
            <w:r>
              <w:rPr>
                <w:rFonts w:ascii="Arial" w:cs="Arial" w:eastAsia="Arial" w:hAnsi="Arial"/>
                <w:sz w:val="18"/>
                <w:szCs w:val="18"/>
                <w:b w:val="1"/>
                <w:bCs w:val="1"/>
                <w:color w:val="0046AD"/>
              </w:rPr>
              <w:t>ITEM 6. EXHIBITS.</w:t>
            </w:r>
          </w:p>
        </w:tc>
      </w:tr>
      <w:tr>
        <w:trPr>
          <w:trHeight w:val="378"/>
        </w:trPr>
        <w:tc>
          <w:tcPr>
            <w:tcW w:w="11400" w:type="dxa"/>
            <w:vAlign w:val="bottom"/>
            <w:gridSpan w:val="10"/>
          </w:tcPr>
          <w:p>
            <w:pPr>
              <w:ind w:left="660"/>
              <w:spacing w:after="0"/>
              <w:rPr>
                <w:sz w:val="20"/>
                <w:szCs w:val="20"/>
                <w:color w:val="auto"/>
              </w:rPr>
            </w:pPr>
            <w:r>
              <w:rPr>
                <w:rFonts w:ascii="Arial" w:cs="Arial" w:eastAsia="Arial" w:hAnsi="Arial"/>
                <w:sz w:val="18"/>
                <w:szCs w:val="18"/>
                <w:color w:val="auto"/>
              </w:rPr>
              <w:t>(a) Exhibits</w:t>
            </w:r>
          </w:p>
        </w:tc>
      </w:tr>
      <w:tr>
        <w:trPr>
          <w:trHeight w:val="378"/>
        </w:trPr>
        <w:tc>
          <w:tcPr>
            <w:tcW w:w="1500" w:type="dxa"/>
            <w:vAlign w:val="bottom"/>
            <w:gridSpan w:val="2"/>
          </w:tcPr>
          <w:p>
            <w:pPr>
              <w:ind w:left="2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6720" w:type="dxa"/>
            <w:vAlign w:val="bottom"/>
            <w:gridSpan w:val="6"/>
          </w:tcPr>
          <w:p>
            <w:pPr>
              <w:ind w:left="960"/>
              <w:spacing w:after="0"/>
              <w:rPr>
                <w:sz w:val="20"/>
                <w:szCs w:val="20"/>
                <w:color w:val="auto"/>
              </w:rPr>
            </w:pPr>
            <w:r>
              <w:rPr>
                <w:rFonts w:ascii="Arial" w:cs="Arial" w:eastAsia="Arial" w:hAnsi="Arial"/>
                <w:sz w:val="18"/>
                <w:szCs w:val="18"/>
                <w:b w:val="1"/>
                <w:bCs w:val="1"/>
                <w:color w:val="auto"/>
              </w:rPr>
              <w:t>Exhibit Description</w:t>
            </w:r>
          </w:p>
        </w:tc>
      </w:tr>
      <w:tr>
        <w:trPr>
          <w:trHeight w:val="27"/>
        </w:trPr>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DCE2E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1500" w:type="dxa"/>
            <w:vAlign w:val="bottom"/>
            <w:tcBorders>
              <w:bottom w:val="single" w:sz="8" w:color="DCE2EF"/>
            </w:tcBorders>
            <w:gridSpan w:val="2"/>
            <w:shd w:val="clear" w:color="auto" w:fill="DCE2EF"/>
          </w:tcPr>
          <w:p>
            <w:pPr>
              <w:ind w:left="40"/>
              <w:spacing w:after="0" w:line="196" w:lineRule="exact"/>
              <w:rPr>
                <w:sz w:val="20"/>
                <w:szCs w:val="20"/>
                <w:color w:val="auto"/>
              </w:rPr>
            </w:pPr>
            <w:r>
              <w:rPr>
                <w:rFonts w:ascii="Arial" w:cs="Arial" w:eastAsia="Arial" w:hAnsi="Arial"/>
                <w:sz w:val="18"/>
                <w:szCs w:val="18"/>
                <w:color w:val="auto"/>
              </w:rPr>
              <w:t>10.1‡</w:t>
            </w:r>
          </w:p>
        </w:tc>
        <w:tc>
          <w:tcPr>
            <w:tcW w:w="20" w:type="dxa"/>
            <w:vAlign w:val="bottom"/>
            <w:tcBorders>
              <w:bottom w:val="single" w:sz="8" w:color="DCE2EF"/>
            </w:tcBorders>
            <w:shd w:val="clear" w:color="auto" w:fill="DCE2EF"/>
          </w:tcPr>
          <w:p>
            <w:pPr>
              <w:spacing w:after="0"/>
              <w:rPr>
                <w:sz w:val="17"/>
                <w:szCs w:val="17"/>
                <w:color w:val="auto"/>
              </w:rPr>
            </w:pPr>
          </w:p>
        </w:tc>
        <w:tc>
          <w:tcPr>
            <w:tcW w:w="9880" w:type="dxa"/>
            <w:vAlign w:val="bottom"/>
            <w:tcBorders>
              <w:bottom w:val="single" w:sz="8" w:color="0000FF"/>
            </w:tcBorders>
            <w:gridSpan w:val="7"/>
            <w:shd w:val="clear" w:color="auto" w:fill="DCE2EF"/>
          </w:tcPr>
          <w:p>
            <w:pPr>
              <w:spacing w:after="0" w:line="196" w:lineRule="exact"/>
              <w:rPr>
                <w:rFonts w:ascii="Arial" w:cs="Arial" w:eastAsia="Arial" w:hAnsi="Arial"/>
                <w:sz w:val="18"/>
                <w:szCs w:val="18"/>
                <w:color w:val="0000FF"/>
              </w:rPr>
            </w:pPr>
            <w:hyperlink w:anchor="page55">
              <w:r>
                <w:rPr>
                  <w:rFonts w:ascii="Arial" w:cs="Arial" w:eastAsia="Arial" w:hAnsi="Arial"/>
                  <w:sz w:val="18"/>
                  <w:szCs w:val="18"/>
                  <w:color w:val="0000FF"/>
                </w:rPr>
                <w:t>First Amendment, dated as of July 3, 2018, to the Credit Agreement dated September 1, 2017, by and among ABM</w:t>
              </w:r>
            </w:hyperlink>
          </w:p>
        </w:tc>
      </w:tr>
      <w:tr>
        <w:trPr>
          <w:trHeight w:val="183"/>
        </w:trPr>
        <w:tc>
          <w:tcPr>
            <w:tcW w:w="1380" w:type="dxa"/>
            <w:vAlign w:val="bottom"/>
            <w:tcBorders>
              <w:bottom w:val="single" w:sz="8" w:color="DCE2EF"/>
            </w:tcBorders>
            <w:shd w:val="clear" w:color="auto" w:fill="DCE2EF"/>
          </w:tcPr>
          <w:p>
            <w:pPr>
              <w:spacing w:after="0"/>
              <w:rPr>
                <w:sz w:val="15"/>
                <w:szCs w:val="15"/>
                <w:color w:val="auto"/>
              </w:rPr>
            </w:pPr>
          </w:p>
        </w:tc>
        <w:tc>
          <w:tcPr>
            <w:tcW w:w="120" w:type="dxa"/>
            <w:vAlign w:val="bottom"/>
            <w:tcBorders>
              <w:bottom w:val="single" w:sz="8" w:color="DCE2EF"/>
            </w:tcBorders>
            <w:shd w:val="clear" w:color="auto" w:fill="DCE2EF"/>
          </w:tcPr>
          <w:p>
            <w:pPr>
              <w:spacing w:after="0"/>
              <w:rPr>
                <w:sz w:val="15"/>
                <w:szCs w:val="15"/>
                <w:color w:val="auto"/>
              </w:rPr>
            </w:pPr>
          </w:p>
        </w:tc>
        <w:tc>
          <w:tcPr>
            <w:tcW w:w="20" w:type="dxa"/>
            <w:vAlign w:val="bottom"/>
            <w:tcBorders>
              <w:bottom w:val="single" w:sz="8" w:color="DCE2EF"/>
            </w:tcBorders>
            <w:shd w:val="clear" w:color="auto" w:fill="DCE2EF"/>
          </w:tcPr>
          <w:p>
            <w:pPr>
              <w:spacing w:after="0"/>
              <w:rPr>
                <w:sz w:val="15"/>
                <w:szCs w:val="15"/>
                <w:color w:val="auto"/>
              </w:rPr>
            </w:pPr>
          </w:p>
        </w:tc>
        <w:tc>
          <w:tcPr>
            <w:tcW w:w="9880" w:type="dxa"/>
            <w:vAlign w:val="bottom"/>
            <w:tcBorders>
              <w:bottom w:val="single" w:sz="8" w:color="0000FF"/>
            </w:tcBorders>
            <w:gridSpan w:val="7"/>
            <w:shd w:val="clear" w:color="auto" w:fill="DCE2EF"/>
          </w:tcPr>
          <w:p>
            <w:pPr>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Industries Incorporated, a Delaware corporation, the Designated Borrowers identified on the signature pages thereto, the</w:t>
              </w:r>
            </w:hyperlink>
          </w:p>
        </w:tc>
      </w:tr>
      <w:tr>
        <w:trPr>
          <w:trHeight w:val="183"/>
        </w:trPr>
        <w:tc>
          <w:tcPr>
            <w:tcW w:w="1380" w:type="dxa"/>
            <w:vAlign w:val="bottom"/>
            <w:tcBorders>
              <w:bottom w:val="single" w:sz="8" w:color="DCE2EF"/>
            </w:tcBorders>
            <w:shd w:val="clear" w:color="auto" w:fill="DCE2EF"/>
          </w:tcPr>
          <w:p>
            <w:pPr>
              <w:spacing w:after="0"/>
              <w:rPr>
                <w:sz w:val="15"/>
                <w:szCs w:val="15"/>
                <w:color w:val="auto"/>
              </w:rPr>
            </w:pPr>
          </w:p>
        </w:tc>
        <w:tc>
          <w:tcPr>
            <w:tcW w:w="120" w:type="dxa"/>
            <w:vAlign w:val="bottom"/>
            <w:tcBorders>
              <w:bottom w:val="single" w:sz="8" w:color="DCE2EF"/>
            </w:tcBorders>
            <w:shd w:val="clear" w:color="auto" w:fill="DCE2EF"/>
          </w:tcPr>
          <w:p>
            <w:pPr>
              <w:spacing w:after="0"/>
              <w:rPr>
                <w:sz w:val="15"/>
                <w:szCs w:val="15"/>
                <w:color w:val="auto"/>
              </w:rPr>
            </w:pPr>
          </w:p>
        </w:tc>
        <w:tc>
          <w:tcPr>
            <w:tcW w:w="20" w:type="dxa"/>
            <w:vAlign w:val="bottom"/>
            <w:tcBorders>
              <w:bottom w:val="single" w:sz="8" w:color="DCE2EF"/>
            </w:tcBorders>
            <w:shd w:val="clear" w:color="auto" w:fill="DCE2EF"/>
          </w:tcPr>
          <w:p>
            <w:pPr>
              <w:spacing w:after="0"/>
              <w:rPr>
                <w:sz w:val="15"/>
                <w:szCs w:val="15"/>
                <w:color w:val="auto"/>
              </w:rPr>
            </w:pPr>
          </w:p>
        </w:tc>
        <w:tc>
          <w:tcPr>
            <w:tcW w:w="9880" w:type="dxa"/>
            <w:vAlign w:val="bottom"/>
            <w:tcBorders>
              <w:bottom w:val="single" w:sz="8" w:color="0000FF"/>
            </w:tcBorders>
            <w:gridSpan w:val="7"/>
            <w:shd w:val="clear" w:color="auto" w:fill="DCE2EF"/>
          </w:tcPr>
          <w:p>
            <w:pPr>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Guarantors identified on the signatures pages thereto, the Lenders identified on the signature pages thereto, and Bank of</w:t>
              </w:r>
            </w:hyperlink>
          </w:p>
        </w:tc>
      </w:tr>
      <w:tr>
        <w:trPr>
          <w:trHeight w:val="217"/>
        </w:trPr>
        <w:tc>
          <w:tcPr>
            <w:tcW w:w="1380" w:type="dxa"/>
            <w:vAlign w:val="bottom"/>
            <w:tcBorders>
              <w:bottom w:val="single" w:sz="8" w:color="DCE2EF"/>
            </w:tcBorders>
            <w:shd w:val="clear" w:color="auto" w:fill="DCE2EF"/>
          </w:tcPr>
          <w:p>
            <w:pPr>
              <w:spacing w:after="0"/>
              <w:rPr>
                <w:sz w:val="18"/>
                <w:szCs w:val="18"/>
                <w:color w:val="auto"/>
              </w:rPr>
            </w:pPr>
          </w:p>
        </w:tc>
        <w:tc>
          <w:tcPr>
            <w:tcW w:w="120" w:type="dxa"/>
            <w:vAlign w:val="bottom"/>
            <w:tcBorders>
              <w:bottom w:val="single" w:sz="8" w:color="DCE2EF"/>
            </w:tcBorders>
            <w:shd w:val="clear" w:color="auto" w:fill="DCE2EF"/>
          </w:tcPr>
          <w:p>
            <w:pPr>
              <w:spacing w:after="0"/>
              <w:rPr>
                <w:sz w:val="18"/>
                <w:szCs w:val="18"/>
                <w:color w:val="auto"/>
              </w:rPr>
            </w:pPr>
          </w:p>
        </w:tc>
        <w:tc>
          <w:tcPr>
            <w:tcW w:w="20" w:type="dxa"/>
            <w:vAlign w:val="bottom"/>
            <w:tcBorders>
              <w:bottom w:val="single" w:sz="8" w:color="DCE2EF"/>
            </w:tcBorders>
            <w:shd w:val="clear" w:color="auto" w:fill="DCE2EF"/>
          </w:tcPr>
          <w:p>
            <w:pPr>
              <w:spacing w:after="0"/>
              <w:rPr>
                <w:sz w:val="18"/>
                <w:szCs w:val="18"/>
                <w:color w:val="auto"/>
              </w:rPr>
            </w:pPr>
          </w:p>
        </w:tc>
        <w:tc>
          <w:tcPr>
            <w:tcW w:w="3160" w:type="dxa"/>
            <w:vAlign w:val="bottom"/>
            <w:tcBorders>
              <w:bottom w:val="single" w:sz="8" w:color="0000FF"/>
            </w:tcBorders>
            <w:shd w:val="clear" w:color="auto" w:fill="DCE2EF"/>
          </w:tcPr>
          <w:p>
            <w:pPr>
              <w:spacing w:after="0" w:line="182" w:lineRule="exact"/>
              <w:rPr>
                <w:rFonts w:ascii="Arial" w:cs="Arial" w:eastAsia="Arial" w:hAnsi="Arial"/>
                <w:sz w:val="18"/>
                <w:szCs w:val="18"/>
                <w:color w:val="0000FF"/>
                <w:w w:val="99"/>
              </w:rPr>
            </w:pPr>
            <w:hyperlink w:anchor="page55">
              <w:r>
                <w:rPr>
                  <w:rFonts w:ascii="Arial" w:cs="Arial" w:eastAsia="Arial" w:hAnsi="Arial"/>
                  <w:sz w:val="18"/>
                  <w:szCs w:val="18"/>
                  <w:color w:val="0000FF"/>
                  <w:w w:val="99"/>
                </w:rPr>
                <w:t>America, N.A., as Administrative Agent.</w:t>
              </w:r>
            </w:hyperlink>
          </w:p>
        </w:tc>
        <w:tc>
          <w:tcPr>
            <w:tcW w:w="6720" w:type="dxa"/>
            <w:vAlign w:val="bottom"/>
            <w:tcBorders>
              <w:bottom w:val="single" w:sz="8" w:color="DCE2EF"/>
            </w:tcBorders>
            <w:gridSpan w:val="6"/>
            <w:shd w:val="clear" w:color="auto" w:fill="DCE2EF"/>
          </w:tcPr>
          <w:p>
            <w:pPr>
              <w:spacing w:after="0"/>
              <w:rPr>
                <w:sz w:val="18"/>
                <w:szCs w:val="18"/>
                <w:color w:val="auto"/>
              </w:rPr>
            </w:pPr>
          </w:p>
        </w:tc>
      </w:tr>
      <w:tr>
        <w:trPr>
          <w:trHeight w:val="203"/>
        </w:trPr>
        <w:tc>
          <w:tcPr>
            <w:tcW w:w="15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9880" w:type="dxa"/>
            <w:vAlign w:val="bottom"/>
            <w:gridSpan w:val="7"/>
          </w:tcPr>
          <w:p>
            <w:pPr>
              <w:spacing w:after="0" w:line="202" w:lineRule="exact"/>
              <w:rPr>
                <w:rFonts w:ascii="Arial" w:cs="Arial" w:eastAsia="Arial" w:hAnsi="Arial"/>
                <w:sz w:val="18"/>
                <w:szCs w:val="18"/>
                <w:color w:val="0000FF"/>
              </w:rPr>
            </w:pPr>
            <w:hyperlink w:anchor="page80">
              <w:r>
                <w:rPr>
                  <w:rFonts w:ascii="Arial" w:cs="Arial" w:eastAsia="Arial" w:hAnsi="Arial"/>
                  <w:sz w:val="18"/>
                  <w:szCs w:val="18"/>
                  <w:color w:val="0000FF"/>
                </w:rPr>
                <w:t>Second Amendment, dated September 5, 2018, to the Credit Agreement dated September 1, 2017, by and among ABM</w:t>
              </w:r>
            </w:hyperlink>
          </w:p>
        </w:tc>
      </w:tr>
      <w:tr>
        <w:trPr>
          <w:trHeight w:val="20"/>
        </w:trPr>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60" w:type="dxa"/>
            <w:vAlign w:val="bottom"/>
            <w:tcBorders>
              <w:bottom w:val="single" w:sz="8" w:color="0000FF"/>
            </w:tcBorders>
            <w:gridSpan w:val="6"/>
          </w:tcPr>
          <w:p>
            <w:pPr>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Industries Incorporated, a Delaware corporation, the Designated Borrowers identified on the signature pages thereto, the</w:t>
              </w:r>
            </w:hyperlink>
          </w:p>
        </w:tc>
        <w:tc>
          <w:tcPr>
            <w:tcW w:w="20" w:type="dxa"/>
            <w:vAlign w:val="bottom"/>
          </w:tcPr>
          <w:p>
            <w:pPr>
              <w:spacing w:after="0"/>
              <w:rPr>
                <w:sz w:val="15"/>
                <w:szCs w:val="15"/>
                <w:color w:val="auto"/>
              </w:rPr>
            </w:pPr>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80" w:type="dxa"/>
            <w:vAlign w:val="bottom"/>
            <w:gridSpan w:val="7"/>
          </w:tcPr>
          <w:p>
            <w:pPr>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Guarantors identified on the signatures pages thereto, the Lenders identified on the signature pages thereto and Bank of</w:t>
              </w:r>
            </w:hyperlink>
          </w:p>
        </w:tc>
      </w:tr>
      <w:tr>
        <w:trPr>
          <w:trHeight w:val="183"/>
        </w:trPr>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4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w:anchor="page80">
              <w:r>
                <w:rPr>
                  <w:rFonts w:ascii="Arial" w:cs="Arial" w:eastAsia="Arial" w:hAnsi="Arial"/>
                  <w:sz w:val="18"/>
                  <w:szCs w:val="18"/>
                  <w:color w:val="0000FF"/>
                </w:rPr>
                <w:t>America, N.A., as Administrative Agent.</w:t>
              </w:r>
            </w:hyperlink>
          </w:p>
        </w:tc>
        <w:tc>
          <w:tcPr>
            <w:tcW w:w="40" w:type="dxa"/>
            <w:vAlign w:val="bottom"/>
            <w:gridSpan w:val="2"/>
          </w:tcPr>
          <w:p>
            <w:pPr>
              <w:spacing w:after="0"/>
              <w:rPr>
                <w:sz w:val="15"/>
                <w:szCs w:val="15"/>
                <w:color w:val="auto"/>
              </w:rPr>
            </w:pPr>
          </w:p>
        </w:tc>
      </w:tr>
      <w:tr>
        <w:trPr>
          <w:trHeight w:val="34"/>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160" w:type="dxa"/>
            <w:vAlign w:val="bottom"/>
            <w:tcBorders>
              <w:top w:val="single" w:sz="8" w:color="0000FF"/>
            </w:tcBorders>
          </w:tcPr>
          <w:p>
            <w:pPr>
              <w:spacing w:after="0"/>
              <w:rPr>
                <w:sz w:val="2"/>
                <w:szCs w:val="2"/>
                <w:color w:val="auto"/>
              </w:rPr>
            </w:pPr>
          </w:p>
        </w:tc>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line="202" w:lineRule="exact"/>
              <w:rPr>
                <w:sz w:val="20"/>
                <w:szCs w:val="20"/>
                <w:color w:val="auto"/>
              </w:rPr>
            </w:pPr>
            <w:r>
              <w:rPr>
                <w:rFonts w:ascii="Arial" w:cs="Arial" w:eastAsia="Arial" w:hAnsi="Arial"/>
                <w:sz w:val="18"/>
                <w:szCs w:val="18"/>
                <w:color w:val="auto"/>
              </w:rPr>
              <w:t>31.1‡</w:t>
            </w:r>
          </w:p>
        </w:tc>
        <w:tc>
          <w:tcPr>
            <w:tcW w:w="20" w:type="dxa"/>
            <w:vAlign w:val="bottom"/>
            <w:tcBorders>
              <w:bottom w:val="single" w:sz="8" w:color="DCE2EF"/>
            </w:tcBorders>
            <w:shd w:val="clear" w:color="auto" w:fill="DCE2EF"/>
          </w:tcPr>
          <w:p>
            <w:pPr>
              <w:spacing w:after="0"/>
              <w:rPr>
                <w:sz w:val="21"/>
                <w:szCs w:val="21"/>
                <w:color w:val="auto"/>
              </w:rPr>
            </w:pPr>
          </w:p>
        </w:tc>
        <w:tc>
          <w:tcPr>
            <w:tcW w:w="8060" w:type="dxa"/>
            <w:vAlign w:val="bottom"/>
            <w:tcBorders>
              <w:bottom w:val="single" w:sz="8" w:color="0000FF"/>
            </w:tcBorders>
            <w:gridSpan w:val="3"/>
            <w:shd w:val="clear" w:color="auto" w:fill="DCE2EF"/>
          </w:tcPr>
          <w:p>
            <w:pPr>
              <w:spacing w:after="0" w:line="202" w:lineRule="exact"/>
              <w:rPr>
                <w:rFonts w:ascii="Arial" w:cs="Arial" w:eastAsia="Arial" w:hAnsi="Arial"/>
                <w:sz w:val="18"/>
                <w:szCs w:val="18"/>
                <w:color w:val="0000FF"/>
                <w:w w:val="99"/>
              </w:rPr>
            </w:pPr>
            <w:hyperlink w:anchor="page103">
              <w:r>
                <w:rPr>
                  <w:rFonts w:ascii="Arial" w:cs="Arial" w:eastAsia="Arial" w:hAnsi="Arial"/>
                  <w:sz w:val="18"/>
                  <w:szCs w:val="18"/>
                  <w:color w:val="0000FF"/>
                  <w:w w:val="99"/>
                </w:rPr>
                <w:t>Certification of Principal Executive Officer pursuant to Section 302 of the Sarbanes-Oxley Act of 2002</w:t>
              </w:r>
            </w:hyperlink>
          </w:p>
        </w:tc>
        <w:tc>
          <w:tcPr>
            <w:tcW w:w="1820" w:type="dxa"/>
            <w:vAlign w:val="bottom"/>
            <w:tcBorders>
              <w:bottom w:val="single" w:sz="8" w:color="DCE2EF"/>
            </w:tcBorders>
            <w:gridSpan w:val="4"/>
            <w:shd w:val="clear" w:color="auto" w:fill="DCE2EF"/>
          </w:tcPr>
          <w:p>
            <w:pPr>
              <w:spacing w:after="0"/>
              <w:rPr>
                <w:sz w:val="21"/>
                <w:szCs w:val="21"/>
                <w:color w:val="auto"/>
              </w:rPr>
            </w:pPr>
          </w:p>
        </w:tc>
      </w:tr>
      <w:tr>
        <w:trPr>
          <w:trHeight w:val="203"/>
        </w:trPr>
        <w:tc>
          <w:tcPr>
            <w:tcW w:w="1500" w:type="dxa"/>
            <w:vAlign w:val="bottom"/>
            <w:gridSpan w:val="2"/>
          </w:tcPr>
          <w:p>
            <w:pPr>
              <w:ind w:left="40"/>
              <w:spacing w:after="0" w:line="20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c>
          <w:tcPr>
            <w:tcW w:w="9880" w:type="dxa"/>
            <w:vAlign w:val="bottom"/>
            <w:gridSpan w:val="7"/>
          </w:tcPr>
          <w:p>
            <w:pPr>
              <w:spacing w:after="0" w:line="202" w:lineRule="exact"/>
              <w:rPr>
                <w:rFonts w:ascii="Arial" w:cs="Arial" w:eastAsia="Arial" w:hAnsi="Arial"/>
                <w:sz w:val="18"/>
                <w:szCs w:val="18"/>
                <w:color w:val="0000FF"/>
              </w:rPr>
            </w:pPr>
            <w:hyperlink w:anchor="page104">
              <w:r>
                <w:rPr>
                  <w:rFonts w:ascii="Arial" w:cs="Arial" w:eastAsia="Arial" w:hAnsi="Arial"/>
                  <w:sz w:val="18"/>
                  <w:szCs w:val="18"/>
                  <w:color w:val="0000FF"/>
                </w:rPr>
                <w:t>Certification of Principal Financial Officer pursuant to Section 302 of the Sarbanes-Oxley Act of 2002</w:t>
              </w:r>
            </w:hyperlink>
          </w:p>
        </w:tc>
      </w:tr>
      <w:tr>
        <w:trPr>
          <w:trHeight w:val="48"/>
        </w:trPr>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3160" w:type="dxa"/>
            <w:vAlign w:val="bottom"/>
            <w:tcBorders>
              <w:top w:val="single" w:sz="8" w:color="0000FF"/>
            </w:tcBorders>
          </w:tcPr>
          <w:p>
            <w:pPr>
              <w:spacing w:after="0"/>
              <w:rPr>
                <w:sz w:val="4"/>
                <w:szCs w:val="4"/>
                <w:color w:val="auto"/>
              </w:rPr>
            </w:pPr>
          </w:p>
        </w:tc>
        <w:tc>
          <w:tcPr>
            <w:tcW w:w="484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line="202" w:lineRule="exact"/>
              <w:rPr>
                <w:sz w:val="20"/>
                <w:szCs w:val="20"/>
                <w:color w:val="auto"/>
              </w:rPr>
            </w:pPr>
            <w:r>
              <w:rPr>
                <w:rFonts w:ascii="Arial" w:cs="Arial" w:eastAsia="Arial" w:hAnsi="Arial"/>
                <w:sz w:val="18"/>
                <w:szCs w:val="18"/>
                <w:color w:val="auto"/>
              </w:rPr>
              <w:t>32†</w:t>
            </w:r>
          </w:p>
        </w:tc>
        <w:tc>
          <w:tcPr>
            <w:tcW w:w="20" w:type="dxa"/>
            <w:vAlign w:val="bottom"/>
            <w:tcBorders>
              <w:bottom w:val="single" w:sz="8" w:color="DCE2EF"/>
            </w:tcBorders>
            <w:shd w:val="clear" w:color="auto" w:fill="DCE2EF"/>
          </w:tcPr>
          <w:p>
            <w:pPr>
              <w:spacing w:after="0"/>
              <w:rPr>
                <w:sz w:val="21"/>
                <w:szCs w:val="21"/>
                <w:color w:val="auto"/>
              </w:rPr>
            </w:pPr>
          </w:p>
        </w:tc>
        <w:tc>
          <w:tcPr>
            <w:tcW w:w="9580" w:type="dxa"/>
            <w:vAlign w:val="bottom"/>
            <w:tcBorders>
              <w:bottom w:val="single" w:sz="8" w:color="0000FF"/>
            </w:tcBorders>
            <w:gridSpan w:val="4"/>
            <w:shd w:val="clear" w:color="auto" w:fill="DCE2EF"/>
          </w:tcPr>
          <w:p>
            <w:pPr>
              <w:spacing w:after="0" w:line="202" w:lineRule="exact"/>
              <w:rPr>
                <w:rFonts w:ascii="Arial" w:cs="Arial" w:eastAsia="Arial" w:hAnsi="Arial"/>
                <w:sz w:val="18"/>
                <w:szCs w:val="18"/>
                <w:color w:val="0000FF"/>
                <w:w w:val="99"/>
              </w:rPr>
            </w:pPr>
            <w:hyperlink w:anchor="page105">
              <w:r>
                <w:rPr>
                  <w:rFonts w:ascii="Arial" w:cs="Arial" w:eastAsia="Arial" w:hAnsi="Arial"/>
                  <w:sz w:val="18"/>
                  <w:szCs w:val="18"/>
                  <w:color w:val="0000FF"/>
                  <w:w w:val="99"/>
                </w:rPr>
                <w:t>Certification pursuant to 18 U.S.C. Section 1350, as adopted pursuant to Section 906 of the Sarbanes-Oxley Act of 2002</w:t>
              </w:r>
            </w:hyperlink>
          </w:p>
        </w:tc>
        <w:tc>
          <w:tcPr>
            <w:tcW w:w="300" w:type="dxa"/>
            <w:vAlign w:val="bottom"/>
            <w:tcBorders>
              <w:bottom w:val="single" w:sz="8" w:color="DCE2EF"/>
            </w:tcBorders>
            <w:gridSpan w:val="3"/>
            <w:shd w:val="clear" w:color="auto" w:fill="DCE2EF"/>
          </w:tcPr>
          <w:p>
            <w:pPr>
              <w:spacing w:after="0"/>
              <w:rPr>
                <w:sz w:val="21"/>
                <w:szCs w:val="21"/>
                <w:color w:val="auto"/>
              </w:rPr>
            </w:pP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1"/>
                <w:szCs w:val="21"/>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auto"/>
              </w:rPr>
              <w:t>XBRL Report Instance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101.SCH</w:t>
            </w:r>
          </w:p>
        </w:tc>
        <w:tc>
          <w:tcPr>
            <w:tcW w:w="20" w:type="dxa"/>
            <w:vAlign w:val="bottom"/>
            <w:tcBorders>
              <w:bottom w:val="single" w:sz="8" w:color="DCE2EF"/>
            </w:tcBorders>
            <w:shd w:val="clear" w:color="auto" w:fill="DCE2EF"/>
          </w:tcPr>
          <w:p>
            <w:pPr>
              <w:spacing w:after="0"/>
              <w:rPr>
                <w:sz w:val="21"/>
                <w:szCs w:val="21"/>
                <w:color w:val="auto"/>
              </w:rPr>
            </w:pPr>
          </w:p>
        </w:tc>
        <w:tc>
          <w:tcPr>
            <w:tcW w:w="9880" w:type="dxa"/>
            <w:vAlign w:val="bottom"/>
            <w:tcBorders>
              <w:bottom w:val="single" w:sz="8" w:color="DCE2EF"/>
            </w:tcBorders>
            <w:gridSpan w:val="7"/>
            <w:shd w:val="clear" w:color="auto" w:fill="DCE2E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1"/>
                <w:szCs w:val="21"/>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1500" w:type="dxa"/>
            <w:vAlign w:val="bottom"/>
            <w:tcBorders>
              <w:bottom w:val="single" w:sz="8" w:color="DCE2EF"/>
            </w:tcBorders>
            <w:gridSpan w:val="2"/>
            <w:shd w:val="clear" w:color="auto" w:fill="DCE2EF"/>
          </w:tcPr>
          <w:p>
            <w:pPr>
              <w:ind w:left="40"/>
              <w:spacing w:after="0"/>
              <w:rPr>
                <w:sz w:val="20"/>
                <w:szCs w:val="20"/>
                <w:color w:val="auto"/>
              </w:rPr>
            </w:pPr>
            <w:r>
              <w:rPr>
                <w:rFonts w:ascii="Arial" w:cs="Arial" w:eastAsia="Arial" w:hAnsi="Arial"/>
                <w:sz w:val="18"/>
                <w:szCs w:val="18"/>
                <w:color w:val="auto"/>
              </w:rPr>
              <w:t>101.DEF</w:t>
            </w:r>
          </w:p>
        </w:tc>
        <w:tc>
          <w:tcPr>
            <w:tcW w:w="20" w:type="dxa"/>
            <w:vAlign w:val="bottom"/>
            <w:tcBorders>
              <w:bottom w:val="single" w:sz="8" w:color="DCE2EF"/>
            </w:tcBorders>
            <w:shd w:val="clear" w:color="auto" w:fill="DCE2EF"/>
          </w:tcPr>
          <w:p>
            <w:pPr>
              <w:spacing w:after="0"/>
              <w:rPr>
                <w:sz w:val="21"/>
                <w:szCs w:val="21"/>
                <w:color w:val="auto"/>
              </w:rPr>
            </w:pPr>
          </w:p>
        </w:tc>
        <w:tc>
          <w:tcPr>
            <w:tcW w:w="9880" w:type="dxa"/>
            <w:vAlign w:val="bottom"/>
            <w:tcBorders>
              <w:bottom w:val="single" w:sz="8" w:color="DCE2EF"/>
            </w:tcBorders>
            <w:gridSpan w:val="7"/>
            <w:shd w:val="clear" w:color="auto" w:fill="DCE2E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50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1"/>
                <w:szCs w:val="21"/>
                <w:color w:val="auto"/>
              </w:rPr>
            </w:pPr>
          </w:p>
        </w:tc>
        <w:tc>
          <w:tcPr>
            <w:tcW w:w="9880" w:type="dxa"/>
            <w:vAlign w:val="bottom"/>
            <w:gridSpan w:val="7"/>
          </w:tcPr>
          <w:p>
            <w:pPr>
              <w:spacing w:after="0"/>
              <w:rPr>
                <w:sz w:val="20"/>
                <w:szCs w:val="20"/>
                <w:color w:val="auto"/>
              </w:rPr>
            </w:pPr>
            <w:r>
              <w:rPr>
                <w:rFonts w:ascii="Arial" w:cs="Arial" w:eastAsia="Arial" w:hAnsi="Arial"/>
                <w:sz w:val="18"/>
                <w:szCs w:val="18"/>
                <w:color w:val="auto"/>
              </w:rPr>
              <w:t>XBRL Taxonomy Label Linkbase Document</w:t>
            </w:r>
          </w:p>
        </w:tc>
      </w:tr>
      <w:tr>
        <w:trPr>
          <w:trHeight w:val="27"/>
        </w:trPr>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160" w:type="dxa"/>
            <w:vAlign w:val="bottom"/>
          </w:tcPr>
          <w:p>
            <w:pPr>
              <w:spacing w:after="0"/>
              <w:rPr>
                <w:sz w:val="2"/>
                <w:szCs w:val="2"/>
                <w:color w:val="auto"/>
              </w:rPr>
            </w:pPr>
          </w:p>
        </w:tc>
        <w:tc>
          <w:tcPr>
            <w:tcW w:w="4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1500" w:type="dxa"/>
            <w:vAlign w:val="bottom"/>
            <w:gridSpan w:val="2"/>
            <w:shd w:val="clear" w:color="auto" w:fill="DCE2EF"/>
          </w:tcPr>
          <w:p>
            <w:pPr>
              <w:ind w:left="40"/>
              <w:spacing w:after="0"/>
              <w:rPr>
                <w:sz w:val="20"/>
                <w:szCs w:val="20"/>
                <w:color w:val="auto"/>
              </w:rPr>
            </w:pPr>
            <w:r>
              <w:rPr>
                <w:rFonts w:ascii="Arial" w:cs="Arial" w:eastAsia="Arial" w:hAnsi="Arial"/>
                <w:sz w:val="18"/>
                <w:szCs w:val="18"/>
                <w:color w:val="auto"/>
              </w:rPr>
              <w:t>101.PRE</w:t>
            </w:r>
          </w:p>
        </w:tc>
        <w:tc>
          <w:tcPr>
            <w:tcW w:w="20" w:type="dxa"/>
            <w:vAlign w:val="bottom"/>
            <w:shd w:val="clear" w:color="auto" w:fill="DCE2EF"/>
          </w:tcPr>
          <w:p>
            <w:pPr>
              <w:spacing w:after="0"/>
              <w:rPr>
                <w:sz w:val="21"/>
                <w:szCs w:val="21"/>
                <w:color w:val="auto"/>
              </w:rPr>
            </w:pPr>
          </w:p>
        </w:tc>
        <w:tc>
          <w:tcPr>
            <w:tcW w:w="9880" w:type="dxa"/>
            <w:vAlign w:val="bottom"/>
            <w:gridSpan w:val="7"/>
            <w:shd w:val="clear" w:color="auto" w:fill="DCE2EF"/>
          </w:tcPr>
          <w:p>
            <w:pPr>
              <w:spacing w:after="0"/>
              <w:rPr>
                <w:sz w:val="20"/>
                <w:szCs w:val="20"/>
                <w:color w:val="auto"/>
              </w:rPr>
            </w:pPr>
            <w:r>
              <w:rPr>
                <w:rFonts w:ascii="Arial" w:cs="Arial" w:eastAsia="Arial" w:hAnsi="Arial"/>
                <w:sz w:val="18"/>
                <w:szCs w:val="18"/>
                <w:color w:val="auto"/>
              </w:rPr>
              <w:t>XBRL Presentation Linkbase Document</w:t>
            </w:r>
          </w:p>
        </w:tc>
      </w:tr>
      <w:tr>
        <w:trPr>
          <w:trHeight w:val="27"/>
        </w:trPr>
        <w:tc>
          <w:tcPr>
            <w:tcW w:w="1380" w:type="dxa"/>
            <w:vAlign w:val="bottom"/>
            <w:shd w:val="clear" w:color="auto" w:fill="DCE2EF"/>
          </w:tcPr>
          <w:p>
            <w:pPr>
              <w:spacing w:after="0"/>
              <w:rPr>
                <w:sz w:val="2"/>
                <w:szCs w:val="2"/>
                <w:color w:val="auto"/>
              </w:rPr>
            </w:pPr>
          </w:p>
        </w:tc>
        <w:tc>
          <w:tcPr>
            <w:tcW w:w="120" w:type="dxa"/>
            <w:vAlign w:val="bottom"/>
            <w:shd w:val="clear" w:color="auto" w:fill="DCE2EF"/>
          </w:tcPr>
          <w:p>
            <w:pPr>
              <w:spacing w:after="0"/>
              <w:rPr>
                <w:sz w:val="2"/>
                <w:szCs w:val="2"/>
                <w:color w:val="auto"/>
              </w:rPr>
            </w:pPr>
          </w:p>
        </w:tc>
        <w:tc>
          <w:tcPr>
            <w:tcW w:w="20" w:type="dxa"/>
            <w:vAlign w:val="bottom"/>
            <w:shd w:val="clear" w:color="auto" w:fill="DCE2EF"/>
          </w:tcPr>
          <w:p>
            <w:pPr>
              <w:spacing w:after="0"/>
              <w:rPr>
                <w:sz w:val="2"/>
                <w:szCs w:val="2"/>
                <w:color w:val="auto"/>
              </w:rPr>
            </w:pPr>
          </w:p>
        </w:tc>
        <w:tc>
          <w:tcPr>
            <w:tcW w:w="3160" w:type="dxa"/>
            <w:vAlign w:val="bottom"/>
            <w:shd w:val="clear" w:color="auto" w:fill="DCE2EF"/>
          </w:tcPr>
          <w:p>
            <w:pPr>
              <w:spacing w:after="0"/>
              <w:rPr>
                <w:sz w:val="2"/>
                <w:szCs w:val="2"/>
                <w:color w:val="auto"/>
              </w:rPr>
            </w:pPr>
          </w:p>
        </w:tc>
        <w:tc>
          <w:tcPr>
            <w:tcW w:w="4840" w:type="dxa"/>
            <w:vAlign w:val="bottom"/>
            <w:shd w:val="clear" w:color="auto" w:fill="DCE2EF"/>
          </w:tcPr>
          <w:p>
            <w:pPr>
              <w:spacing w:after="0"/>
              <w:rPr>
                <w:sz w:val="2"/>
                <w:szCs w:val="2"/>
                <w:color w:val="auto"/>
              </w:rPr>
            </w:pPr>
          </w:p>
        </w:tc>
        <w:tc>
          <w:tcPr>
            <w:tcW w:w="60" w:type="dxa"/>
            <w:vAlign w:val="bottom"/>
            <w:shd w:val="clear" w:color="auto" w:fill="DCE2EF"/>
          </w:tcPr>
          <w:p>
            <w:pPr>
              <w:spacing w:after="0"/>
              <w:rPr>
                <w:sz w:val="2"/>
                <w:szCs w:val="2"/>
                <w:color w:val="auto"/>
              </w:rPr>
            </w:pPr>
          </w:p>
        </w:tc>
        <w:tc>
          <w:tcPr>
            <w:tcW w:w="1520" w:type="dxa"/>
            <w:vAlign w:val="bottom"/>
            <w:shd w:val="clear" w:color="auto" w:fill="DCE2EF"/>
          </w:tcPr>
          <w:p>
            <w:pPr>
              <w:spacing w:after="0"/>
              <w:rPr>
                <w:sz w:val="2"/>
                <w:szCs w:val="2"/>
                <w:color w:val="auto"/>
              </w:rPr>
            </w:pPr>
          </w:p>
        </w:tc>
        <w:tc>
          <w:tcPr>
            <w:tcW w:w="260" w:type="dxa"/>
            <w:vAlign w:val="bottom"/>
            <w:shd w:val="clear" w:color="auto" w:fill="DCE2EF"/>
          </w:tcPr>
          <w:p>
            <w:pPr>
              <w:spacing w:after="0"/>
              <w:rPr>
                <w:sz w:val="2"/>
                <w:szCs w:val="2"/>
                <w:color w:val="auto"/>
              </w:rPr>
            </w:pPr>
          </w:p>
        </w:tc>
        <w:tc>
          <w:tcPr>
            <w:tcW w:w="20" w:type="dxa"/>
            <w:vAlign w:val="bottom"/>
            <w:shd w:val="clear" w:color="auto" w:fill="DCE2EF"/>
          </w:tcPr>
          <w:p>
            <w:pPr>
              <w:spacing w:after="0"/>
              <w:rPr>
                <w:sz w:val="2"/>
                <w:szCs w:val="2"/>
                <w:color w:val="auto"/>
              </w:rPr>
            </w:pPr>
          </w:p>
        </w:tc>
        <w:tc>
          <w:tcPr>
            <w:tcW w:w="20" w:type="dxa"/>
            <w:vAlign w:val="bottom"/>
            <w:shd w:val="clear" w:color="auto" w:fill="DCE2EF"/>
          </w:tcPr>
          <w:p>
            <w:pPr>
              <w:spacing w:after="0"/>
              <w:rPr>
                <w:sz w:val="2"/>
                <w:szCs w:val="2"/>
                <w:color w:val="auto"/>
              </w:rPr>
            </w:pPr>
          </w:p>
        </w:tc>
      </w:tr>
    </w:tbl>
    <w:p>
      <w:pPr>
        <w:spacing w:after="0" w:line="283" w:lineRule="exact"/>
        <w:rPr>
          <w:sz w:val="20"/>
          <w:szCs w:val="20"/>
          <w:color w:val="auto"/>
        </w:rPr>
      </w:pPr>
    </w:p>
    <w:p>
      <w:pPr>
        <w:ind w:left="740" w:hanging="698"/>
        <w:spacing w:after="0"/>
        <w:tabs>
          <w:tab w:leader="none" w:pos="7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Indicates filed herewith</w:t>
      </w:r>
    </w:p>
    <w:p>
      <w:pPr>
        <w:spacing w:after="0" w:line="171" w:lineRule="exact"/>
        <w:rPr>
          <w:sz w:val="20"/>
          <w:szCs w:val="20"/>
          <w:color w:val="auto"/>
        </w:rPr>
      </w:pPr>
    </w:p>
    <w:p>
      <w:pPr>
        <w:ind w:left="740" w:hanging="698"/>
        <w:spacing w:after="0"/>
        <w:tabs>
          <w:tab w:leader="none" w:pos="7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Indicates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522" w:right="25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9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ABM Industries Incorporated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520"/>
        <w:spacing w:after="0"/>
        <w:tabs>
          <w:tab w:leader="none" w:pos="6520" w:val="left"/>
        </w:tabs>
        <w:rPr>
          <w:sz w:val="20"/>
          <w:szCs w:val="20"/>
          <w:color w:val="auto"/>
        </w:rPr>
      </w:pPr>
      <w:r>
        <w:rPr>
          <w:rFonts w:ascii="Arial" w:cs="Arial" w:eastAsia="Arial" w:hAnsi="Arial"/>
          <w:sz w:val="18"/>
          <w:szCs w:val="18"/>
          <w:u w:val="single" w:color="auto"/>
          <w:color w:val="auto"/>
        </w:rPr>
        <w:t>September 7, 2018</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Executive Vice President and 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520"/>
        <w:spacing w:after="0"/>
        <w:tabs>
          <w:tab w:leader="none" w:pos="6520" w:val="left"/>
        </w:tabs>
        <w:rPr>
          <w:sz w:val="20"/>
          <w:szCs w:val="20"/>
          <w:color w:val="auto"/>
        </w:rPr>
      </w:pPr>
      <w:r>
        <w:rPr>
          <w:rFonts w:ascii="Arial" w:cs="Arial" w:eastAsia="Arial" w:hAnsi="Arial"/>
          <w:sz w:val="18"/>
          <w:szCs w:val="18"/>
          <w:u w:val="single" w:color="auto"/>
          <w:color w:val="auto"/>
        </w:rPr>
        <w:t>September 7, 2018</w:t>
      </w:r>
      <w:r>
        <w:rPr>
          <w:sz w:val="20"/>
          <w:szCs w:val="20"/>
          <w:color w:val="auto"/>
        </w:rPr>
        <w:tab/>
      </w:r>
      <w:r>
        <w:rPr>
          <w:rFonts w:ascii="Arial" w:cs="Arial" w:eastAsia="Arial" w:hAnsi="Arial"/>
          <w:sz w:val="18"/>
          <w:szCs w:val="18"/>
          <w:u w:val="single" w:color="auto"/>
          <w:color w:val="auto"/>
        </w:rPr>
        <w:t>/s/ Dean A. Chin</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Dean A. Chin</w:t>
      </w:r>
    </w:p>
    <w:p>
      <w:pPr>
        <w:ind w:left="6540"/>
        <w:spacing w:after="0" w:line="234" w:lineRule="auto"/>
        <w:rPr>
          <w:sz w:val="20"/>
          <w:szCs w:val="20"/>
          <w:color w:val="auto"/>
        </w:rPr>
      </w:pPr>
      <w:r>
        <w:rPr>
          <w:rFonts w:ascii="Arial" w:cs="Arial" w:eastAsia="Arial" w:hAnsi="Arial"/>
          <w:sz w:val="18"/>
          <w:szCs w:val="18"/>
          <w:color w:val="auto"/>
        </w:rPr>
        <w:t>Senior Vice President, Chief Accounting Officer,</w:t>
      </w:r>
    </w:p>
    <w:p>
      <w:pPr>
        <w:ind w:left="6540"/>
        <w:spacing w:after="0" w:line="235" w:lineRule="auto"/>
        <w:rPr>
          <w:sz w:val="20"/>
          <w:szCs w:val="20"/>
          <w:color w:val="auto"/>
        </w:rPr>
      </w:pPr>
      <w:r>
        <w:rPr>
          <w:rFonts w:ascii="Arial" w:cs="Arial" w:eastAsia="Arial" w:hAnsi="Arial"/>
          <w:sz w:val="18"/>
          <w:szCs w:val="18"/>
          <w:color w:val="auto"/>
        </w:rPr>
        <w:t>and Corporate Controller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22" w:right="259" w:bottom="1440" w:gutter="0" w:footer="0" w:header="0"/>
        </w:sectPr>
      </w:pPr>
    </w:p>
    <w:bookmarkStart w:id="54" w:name="page55"/>
    <w:bookmarkEnd w:id="54"/>
    <w:p>
      <w:pPr>
        <w:spacing w:after="0"/>
        <w:rPr>
          <w:sz w:val="20"/>
          <w:szCs w:val="20"/>
          <w:color w:val="auto"/>
        </w:rPr>
      </w:pPr>
      <w:r>
        <w:rPr>
          <w:rFonts w:ascii="Arial" w:cs="Arial" w:eastAsia="Arial" w:hAnsi="Arial"/>
          <w:sz w:val="20"/>
          <w:szCs w:val="20"/>
          <w:b w:val="1"/>
          <w:bCs w:val="1"/>
          <w:color w:val="auto"/>
        </w:rPr>
        <w:t>EXHIBIT 10.1</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0"/>
          <w:szCs w:val="20"/>
          <w:color w:val="828282"/>
        </w:rPr>
        <w:t>EXECUTION COPY</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FIRST AMENDMENT</w:t>
      </w:r>
    </w:p>
    <w:p>
      <w:pPr>
        <w:spacing w:after="0" w:line="22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THIS FIRST AMENDMENT (this “</w:t>
      </w:r>
      <w:r>
        <w:rPr>
          <w:rFonts w:ascii="Arial" w:cs="Arial" w:eastAsia="Arial" w:hAnsi="Arial"/>
          <w:sz w:val="20"/>
          <w:szCs w:val="20"/>
          <w:u w:val="single" w:color="auto"/>
          <w:color w:val="auto"/>
        </w:rPr>
        <w:t>Amendment</w:t>
      </w:r>
      <w:r>
        <w:rPr>
          <w:rFonts w:ascii="Arial" w:cs="Arial" w:eastAsia="Arial" w:hAnsi="Arial"/>
          <w:sz w:val="20"/>
          <w:szCs w:val="20"/>
          <w:color w:val="auto"/>
        </w:rPr>
        <w:t>”) dated as of July 3, 2018 to the Credit Agreement referred to below is by and among ABM INDUSTRIES INCORPORATED, a Delaware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the Designated Borrowers identified on the signature pages hereto, the Guarantors identified on the signature pages hereto, the Lenders identified on the signature pages hereto and Bank of America, N.A., as Administrative Agent (in such capacity, the “</w:t>
      </w:r>
      <w:r>
        <w:rPr>
          <w:rFonts w:ascii="Arial" w:cs="Arial" w:eastAsia="Arial" w:hAnsi="Arial"/>
          <w:sz w:val="20"/>
          <w:szCs w:val="20"/>
          <w:u w:val="single" w:color="auto"/>
          <w:color w:val="auto"/>
        </w:rPr>
        <w:t>Administrative Agent</w:t>
      </w:r>
      <w:r>
        <w:rPr>
          <w:rFonts w:ascii="Arial" w:cs="Arial" w:eastAsia="Arial" w:hAnsi="Arial"/>
          <w:sz w:val="20"/>
          <w:szCs w:val="20"/>
          <w:color w:val="auto"/>
        </w:rPr>
        <w:t>”).</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the Designated Borrowers identified therein, the Lenders identified therein and the Administrative Agent are parties to the Credit Agreement dated as of September 1, 2017 (as amended, modified, supplemented, increased and extended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Loan Parties have requested that the Required Lenders amend certain provisions of the Credit Agreement and the Required Lenders have agreed to such amendments on the terms and conditions set forth herein.</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in consideration of the agreements hereinafter set forth, and for other good and valuable consideration, the receipt and adequacy of which are hereby acknowledged, the parties hereto agree as follows:</w:t>
      </w:r>
    </w:p>
    <w:p>
      <w:pPr>
        <w:spacing w:after="0" w:line="190" w:lineRule="exact"/>
        <w:rPr>
          <w:sz w:val="20"/>
          <w:szCs w:val="20"/>
          <w:color w:val="auto"/>
        </w:rPr>
      </w:pPr>
    </w:p>
    <w:p>
      <w:pPr>
        <w:ind w:right="540" w:firstLine="8"/>
        <w:spacing w:after="0" w:line="260" w:lineRule="auto"/>
        <w:tabs>
          <w:tab w:leader="none" w:pos="346"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w:t>
      </w:r>
    </w:p>
    <w:p>
      <w:pPr>
        <w:spacing w:after="0" w:line="190" w:lineRule="exact"/>
        <w:rPr>
          <w:rFonts w:ascii="Arial" w:cs="Arial" w:eastAsia="Arial" w:hAnsi="Arial"/>
          <w:sz w:val="20"/>
          <w:szCs w:val="20"/>
          <w:color w:val="auto"/>
        </w:rPr>
      </w:pPr>
    </w:p>
    <w:p>
      <w:pPr>
        <w:ind w:left="360" w:hanging="352"/>
        <w:spacing w:after="0"/>
        <w:tabs>
          <w:tab w:leader="none" w:pos="360" w:val="left"/>
        </w:tabs>
        <w:numPr>
          <w:ilvl w:val="0"/>
          <w:numId w:val="25"/>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The Credit Agreement is amended as follows:</w:t>
      </w:r>
    </w:p>
    <w:p>
      <w:pPr>
        <w:spacing w:after="0" w:line="22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The following definitions are added to Section 1.01 of the Credit Agreement in the appropriate alphabetical order:</w:t>
      </w:r>
    </w:p>
    <w:p>
      <w:pPr>
        <w:spacing w:after="0" w:line="229" w:lineRule="exact"/>
        <w:rPr>
          <w:sz w:val="20"/>
          <w:szCs w:val="20"/>
          <w:color w:val="auto"/>
        </w:rPr>
      </w:pPr>
    </w:p>
    <w:p>
      <w:pPr>
        <w:ind w:left="1300" w:right="8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200" w:lineRule="exact"/>
        <w:rPr>
          <w:sz w:val="20"/>
          <w:szCs w:val="20"/>
          <w:color w:val="auto"/>
        </w:rPr>
      </w:pPr>
    </w:p>
    <w:p>
      <w:pPr>
        <w:spacing w:after="0" w:line="20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29" w:lineRule="exact"/>
        <w:rPr>
          <w:sz w:val="20"/>
          <w:szCs w:val="20"/>
          <w:color w:val="auto"/>
        </w:rPr>
      </w:pPr>
    </w:p>
    <w:p>
      <w:pPr>
        <w:jc w:val="both"/>
        <w:ind w:left="130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205" w:lineRule="exact"/>
        <w:rPr>
          <w:sz w:val="20"/>
          <w:szCs w:val="20"/>
          <w:color w:val="auto"/>
        </w:rPr>
      </w:pPr>
    </w:p>
    <w:p>
      <w:pPr>
        <w:jc w:val="both"/>
        <w:ind w:left="1300"/>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ESPC Collateral</w:t>
      </w:r>
      <w:r>
        <w:rPr>
          <w:rFonts w:ascii="Arial" w:cs="Arial" w:eastAsia="Arial" w:hAnsi="Arial"/>
          <w:sz w:val="20"/>
          <w:szCs w:val="20"/>
          <w:color w:val="auto"/>
        </w:rPr>
        <w:t>” means, with respect to any ESPC, (a) such ESPC and all rights of the Company or any Subsidiary under such ESPC, (b) Receivables arising under such ESPC, (c) equipment or other property licensed to, installed by or used in connection with the performance by the Company or any Subsidiary of such ESPC, (d) any other property relating to such ESPC and approved by the Administrative Agent in its sole discretion and (e) all accessions and products and proceeds of the foregoing.</w:t>
      </w:r>
    </w:p>
    <w:p>
      <w:pPr>
        <w:sectPr>
          <w:pgSz w:w="11900" w:h="16838" w:orient="portrait"/>
          <w:cols w:equalWidth="0" w:num="1">
            <w:col w:w="11420"/>
          </w:cols>
          <w:pgMar w:left="240" w:top="118" w:right="239" w:bottom="1440" w:gutter="0" w:footer="0" w:header="0"/>
        </w:sectPr>
      </w:pPr>
    </w:p>
    <w:bookmarkStart w:id="55" w:name="page56"/>
    <w:bookmarkEnd w:id="55"/>
    <w:p>
      <w:pPr>
        <w:ind w:left="6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First Amendment</w:t>
      </w:r>
      <w:r>
        <w:rPr>
          <w:rFonts w:ascii="Arial" w:cs="Arial" w:eastAsia="Arial" w:hAnsi="Arial"/>
          <w:sz w:val="20"/>
          <w:szCs w:val="20"/>
          <w:color w:val="auto"/>
        </w:rPr>
        <w:t>” means that certain First Amendment dated as of July 3, 2018 by and among the Company, the Designated Borrowers identified therein, the Required Lenders and the Administrative Agent.</w:t>
      </w:r>
    </w:p>
    <w:p>
      <w:pPr>
        <w:spacing w:after="0" w:line="190" w:lineRule="exact"/>
        <w:rPr>
          <w:sz w:val="20"/>
          <w:szCs w:val="20"/>
          <w:color w:val="auto"/>
        </w:rPr>
      </w:pPr>
    </w:p>
    <w:p>
      <w:pPr>
        <w:ind w:left="640"/>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9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18"/>
          <w:szCs w:val="18"/>
          <w:color w:val="auto"/>
        </w:rPr>
        <w:t>Section 3.11 of the Credit Agreement is amended by inserting the following new clause (d) immediately after clause (c) thereof:</w:t>
      </w:r>
    </w:p>
    <w:p>
      <w:pPr>
        <w:spacing w:after="0" w:line="229" w:lineRule="exact"/>
        <w:rPr>
          <w:sz w:val="20"/>
          <w:szCs w:val="20"/>
          <w:color w:val="auto"/>
        </w:rPr>
      </w:pPr>
    </w:p>
    <w:p>
      <w:pPr>
        <w:jc w:val="both"/>
        <w:ind w:left="640" w:firstLine="5"/>
        <w:spacing w:after="0" w:line="269" w:lineRule="auto"/>
        <w:tabs>
          <w:tab w:leader="none" w:pos="1077"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Borrowers represent and warrant as of the effective date of the First Amendment to this Agreement that no Borrower is and will be using “plan assets” (within the meaning of 29 CFR § 2510.3-101, as modified by Section 3(42) of ERISA) of one or more Benefit Plans in connection with the Loans, the Letters of Credit or the Commitments.</w:t>
      </w:r>
    </w:p>
    <w:p>
      <w:pPr>
        <w:spacing w:after="0" w:line="184"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16"/>
          <w:szCs w:val="16"/>
          <w:color w:val="auto"/>
        </w:rPr>
        <w:t>Section 3.15 of the Credit Agreement is amended by inserting the following sentence at the end thereof:</w:t>
      </w:r>
    </w:p>
    <w:p>
      <w:pPr>
        <w:spacing w:after="0" w:line="229" w:lineRule="exact"/>
        <w:rPr>
          <w:sz w:val="20"/>
          <w:szCs w:val="20"/>
          <w:color w:val="auto"/>
        </w:rPr>
      </w:pPr>
    </w:p>
    <w:p>
      <w:pPr>
        <w:jc w:val="both"/>
        <w:ind w:left="640"/>
        <w:spacing w:after="0" w:line="260" w:lineRule="auto"/>
        <w:rPr>
          <w:sz w:val="20"/>
          <w:szCs w:val="20"/>
          <w:color w:val="auto"/>
        </w:rPr>
      </w:pPr>
      <w:r>
        <w:rPr>
          <w:rFonts w:ascii="Arial" w:cs="Arial" w:eastAsia="Arial" w:hAnsi="Arial"/>
          <w:sz w:val="20"/>
          <w:szCs w:val="20"/>
          <w:color w:val="auto"/>
        </w:rPr>
        <w:t>As of the effective date of the First Amendment to this Agreement, the information included in the Beneficial Ownership Certification, if applicable, is true and correct in all respects.</w:t>
      </w:r>
    </w:p>
    <w:p>
      <w:pPr>
        <w:spacing w:after="0" w:line="19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color w:val="auto"/>
        </w:rPr>
        <w:t>The second sentence of Section 5.12 of the Credit Agreement is amended to read as follows:</w:t>
      </w:r>
    </w:p>
    <w:p>
      <w:pPr>
        <w:spacing w:after="0" w:line="229" w:lineRule="exact"/>
        <w:rPr>
          <w:sz w:val="20"/>
          <w:szCs w:val="20"/>
          <w:color w:val="auto"/>
        </w:rPr>
      </w:pPr>
    </w:p>
    <w:p>
      <w:pPr>
        <w:jc w:val="both"/>
        <w:ind w:left="640"/>
        <w:spacing w:after="0" w:line="259" w:lineRule="auto"/>
        <w:rPr>
          <w:sz w:val="20"/>
          <w:szCs w:val="20"/>
          <w:color w:val="auto"/>
        </w:rPr>
      </w:pPr>
      <w:r>
        <w:rPr>
          <w:rFonts w:ascii="Arial" w:cs="Arial" w:eastAsia="Arial" w:hAnsi="Arial"/>
          <w:sz w:val="19"/>
          <w:szCs w:val="19"/>
          <w:color w:val="auto"/>
        </w:rPr>
        <w:t>The Company also agrees to provide to the Administrative Agent (i) from time to time upon request, evidence reasonably satisfactory to the Administrative Agent as to the perfection and priority of the Liens created or intended to be created by the Security Documents and (ii) promptly after reasonable request therefor, all documentation and other information reasonably requested by the Administrative Agent or any Lender that is required to satisfy applicable “know your customer” and anti-money laundering rules and regulations, including, without limitation, the USA PATRIOT Act, the Prohibition on Money Laundering Law and the Beneficial Ownership Regulation.</w:t>
      </w:r>
    </w:p>
    <w:p>
      <w:pPr>
        <w:spacing w:after="0" w:line="192"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Section 6.02(r) of the Credit Agreement is amended to read as follows:</w:t>
      </w:r>
    </w:p>
    <w:p>
      <w:pPr>
        <w:spacing w:after="0" w:line="229" w:lineRule="exact"/>
        <w:rPr>
          <w:sz w:val="20"/>
          <w:szCs w:val="20"/>
          <w:color w:val="auto"/>
        </w:rPr>
      </w:pPr>
    </w:p>
    <w:p>
      <w:pPr>
        <w:ind w:left="640" w:firstLine="5"/>
        <w:spacing w:after="0" w:line="260" w:lineRule="auto"/>
        <w:tabs>
          <w:tab w:leader="none" w:pos="1090"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by </w:t>
      </w:r>
      <w:r>
        <w:rPr>
          <w:rFonts w:ascii="Arial" w:cs="Arial" w:eastAsia="Arial" w:hAnsi="Arial"/>
          <w:sz w:val="20"/>
          <w:szCs w:val="20"/>
          <w:u w:val="single" w:color="auto"/>
          <w:color w:val="auto"/>
        </w:rPr>
        <w:t>Section 6.01(w)</w:t>
      </w:r>
      <w:r>
        <w:rPr>
          <w:rFonts w:ascii="Arial" w:cs="Arial" w:eastAsia="Arial" w:hAnsi="Arial"/>
          <w:sz w:val="20"/>
          <w:szCs w:val="20"/>
          <w:color w:val="auto"/>
        </w:rPr>
        <w:t>; provided that, such Liens shall not apply to any property or assets of the Company or any Subsidiary other than ESPC Collateral.</w:t>
      </w:r>
    </w:p>
    <w:p>
      <w:pPr>
        <w:spacing w:after="0" w:line="190"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2.6</w:t>
      </w:r>
      <w:r>
        <w:rPr>
          <w:sz w:val="20"/>
          <w:szCs w:val="20"/>
          <w:color w:val="auto"/>
        </w:rPr>
        <w:tab/>
      </w:r>
      <w:r>
        <w:rPr>
          <w:rFonts w:ascii="Arial" w:cs="Arial" w:eastAsia="Arial" w:hAnsi="Arial"/>
          <w:sz w:val="18"/>
          <w:szCs w:val="18"/>
          <w:color w:val="auto"/>
        </w:rPr>
        <w:t>Section 8.10(b) of the Credit Agreement is amended by adding the words “or release” after the word “subordinate”.</w:t>
      </w:r>
    </w:p>
    <w:p>
      <w:pPr>
        <w:spacing w:after="0" w:line="229"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2.7</w:t>
      </w:r>
      <w:r>
        <w:rPr>
          <w:sz w:val="20"/>
          <w:szCs w:val="20"/>
          <w:color w:val="auto"/>
        </w:rPr>
        <w:tab/>
      </w:r>
      <w:r>
        <w:rPr>
          <w:rFonts w:ascii="Arial" w:cs="Arial" w:eastAsia="Arial" w:hAnsi="Arial"/>
          <w:sz w:val="16"/>
          <w:szCs w:val="16"/>
          <w:color w:val="auto"/>
        </w:rPr>
        <w:t>Section 9.21 of the Credit Agreement is amended to read as follows:</w:t>
      </w:r>
    </w:p>
    <w:p>
      <w:pPr>
        <w:spacing w:after="0" w:line="229"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0"/>
          <w:szCs w:val="20"/>
          <w:color w:val="auto"/>
        </w:rPr>
        <w:t>9.21</w:t>
      </w:r>
      <w:r>
        <w:rPr>
          <w:sz w:val="20"/>
          <w:szCs w:val="20"/>
          <w:color w:val="auto"/>
        </w:rPr>
        <w:tab/>
      </w:r>
      <w:r>
        <w:rPr>
          <w:rFonts w:ascii="Arial" w:cs="Arial" w:eastAsia="Arial" w:hAnsi="Arial"/>
          <w:sz w:val="16"/>
          <w:szCs w:val="16"/>
          <w:u w:val="single" w:color="auto"/>
          <w:color w:val="auto"/>
        </w:rPr>
        <w:t>Lender Representations</w:t>
      </w:r>
      <w:r>
        <w:rPr>
          <w:rFonts w:ascii="Arial" w:cs="Arial" w:eastAsia="Arial" w:hAnsi="Arial"/>
          <w:sz w:val="16"/>
          <w:szCs w:val="16"/>
          <w:color w:val="auto"/>
        </w:rPr>
        <w:t>.</w:t>
      </w:r>
    </w:p>
    <w:p>
      <w:pPr>
        <w:spacing w:after="0" w:line="216" w:lineRule="exact"/>
        <w:rPr>
          <w:sz w:val="20"/>
          <w:szCs w:val="20"/>
          <w:color w:val="auto"/>
        </w:rPr>
      </w:pPr>
    </w:p>
    <w:p>
      <w:pPr>
        <w:jc w:val="both"/>
        <w:ind w:left="640" w:firstLine="653"/>
        <w:spacing w:after="0" w:line="291" w:lineRule="auto"/>
        <w:tabs>
          <w:tab w:leader="none" w:pos="18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w:t>
      </w:r>
    </w:p>
    <w:p>
      <w:pPr>
        <w:spacing w:after="0" w:line="395" w:lineRule="exact"/>
        <w:rPr>
          <w:sz w:val="20"/>
          <w:szCs w:val="20"/>
          <w:color w:val="auto"/>
        </w:rPr>
      </w:pPr>
    </w:p>
    <w:p>
      <w:pPr>
        <w:ind w:left="5000"/>
        <w:spacing w:after="0"/>
        <w:rPr>
          <w:sz w:val="20"/>
          <w:szCs w:val="20"/>
          <w:color w:val="auto"/>
        </w:rPr>
      </w:pPr>
      <w:r>
        <w:rPr>
          <w:rFonts w:ascii="Arial" w:cs="Arial" w:eastAsia="Arial" w:hAnsi="Arial"/>
          <w:sz w:val="20"/>
          <w:szCs w:val="20"/>
          <w:color w:val="828282"/>
        </w:rPr>
        <w:t>2</w:t>
      </w:r>
    </w:p>
    <w:p>
      <w:pPr>
        <w:sectPr>
          <w:pgSz w:w="11900" w:h="16838" w:orient="portrait"/>
          <w:cols w:equalWidth="0" w:num="1">
            <w:col w:w="10760"/>
          </w:cols>
          <w:pgMar w:left="900" w:top="366" w:right="239" w:bottom="1440" w:gutter="0" w:footer="0" w:header="0"/>
        </w:sectPr>
      </w:pPr>
    </w:p>
    <w:bookmarkStart w:id="56" w:name="page57"/>
    <w:bookmarkEnd w:id="56"/>
    <w:p>
      <w:pPr>
        <w:ind w:left="100"/>
        <w:spacing w:after="0" w:line="260" w:lineRule="auto"/>
        <w:rPr>
          <w:sz w:val="20"/>
          <w:szCs w:val="20"/>
          <w:color w:val="auto"/>
        </w:rPr>
      </w:pPr>
      <w:r>
        <w:rPr>
          <w:rFonts w:ascii="Arial" w:cs="Arial" w:eastAsia="Arial" w:hAnsi="Arial"/>
          <w:sz w:val="20"/>
          <w:szCs w:val="20"/>
          <w:color w:val="auto"/>
        </w:rPr>
        <w:t>avoidance of doubt, to or for the benefit of the Company or any other Loan Party, that at least one of the following is and will be true:</w:t>
      </w:r>
    </w:p>
    <w:p>
      <w:pPr>
        <w:spacing w:after="0" w:line="393" w:lineRule="exact"/>
        <w:rPr>
          <w:sz w:val="20"/>
          <w:szCs w:val="20"/>
          <w:color w:val="auto"/>
        </w:rPr>
      </w:pPr>
    </w:p>
    <w:p>
      <w:pPr>
        <w:jc w:val="both"/>
        <w:ind w:left="760" w:firstLine="641"/>
        <w:spacing w:after="0" w:line="250" w:lineRule="auto"/>
        <w:tabs>
          <w:tab w:leader="none" w:pos="1947" w:val="left"/>
        </w:tabs>
        <w:numPr>
          <w:ilvl w:val="1"/>
          <w:numId w:val="29"/>
        </w:numPr>
        <w:rPr>
          <w:rFonts w:ascii="Arial" w:cs="Arial" w:eastAsia="Arial" w:hAnsi="Arial"/>
          <w:sz w:val="20"/>
          <w:szCs w:val="20"/>
          <w:color w:val="auto"/>
        </w:rPr>
      </w:pPr>
      <w:r>
        <w:rPr>
          <w:rFonts w:ascii="Arial" w:cs="Arial" w:eastAsia="Arial" w:hAnsi="Arial"/>
          <w:sz w:val="20"/>
          <w:szCs w:val="20"/>
          <w:color w:val="auto"/>
        </w:rPr>
        <w:t>such Lender is not using “plan assets” (within the meaning of 29 CFR § 2510.3-101, as modified by Section 3(42) of ERISA) of one or more Benefit Plans in connection with the Loans, the Letters of Credit or the Commitments,</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left="760" w:firstLine="641"/>
        <w:spacing w:after="0" w:line="274" w:lineRule="auto"/>
        <w:tabs>
          <w:tab w:leader="none" w:pos="2011"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385" w:lineRule="exact"/>
        <w:rPr>
          <w:rFonts w:ascii="Arial" w:cs="Arial" w:eastAsia="Arial" w:hAnsi="Arial"/>
          <w:sz w:val="18"/>
          <w:szCs w:val="18"/>
          <w:color w:val="auto"/>
        </w:rPr>
      </w:pPr>
    </w:p>
    <w:p>
      <w:pPr>
        <w:jc w:val="both"/>
        <w:ind w:left="760" w:firstLine="641"/>
        <w:spacing w:after="0" w:line="273" w:lineRule="auto"/>
        <w:tabs>
          <w:tab w:leader="none" w:pos="200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385" w:lineRule="exact"/>
        <w:rPr>
          <w:rFonts w:ascii="Arial" w:cs="Arial" w:eastAsia="Arial" w:hAnsi="Arial"/>
          <w:sz w:val="18"/>
          <w:szCs w:val="18"/>
          <w:color w:val="auto"/>
        </w:rPr>
      </w:pPr>
    </w:p>
    <w:p>
      <w:pPr>
        <w:ind w:left="760" w:firstLine="641"/>
        <w:spacing w:after="0" w:line="260" w:lineRule="auto"/>
        <w:tabs>
          <w:tab w:leader="none" w:pos="2260" w:val="left"/>
        </w:tabs>
        <w:numPr>
          <w:ilvl w:val="1"/>
          <w:numId w:val="29"/>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393" w:lineRule="exact"/>
        <w:rPr>
          <w:rFonts w:ascii="Arial" w:cs="Arial" w:eastAsia="Arial" w:hAnsi="Arial"/>
          <w:sz w:val="20"/>
          <w:szCs w:val="20"/>
          <w:color w:val="auto"/>
        </w:rPr>
      </w:pPr>
    </w:p>
    <w:p>
      <w:pPr>
        <w:jc w:val="both"/>
        <w:ind w:left="100" w:firstLine="653"/>
        <w:spacing w:after="0" w:line="276" w:lineRule="auto"/>
        <w:tabs>
          <w:tab w:leader="none" w:pos="1246"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Company or any other Loan Party, that:</w:t>
      </w:r>
    </w:p>
    <w:p>
      <w:pPr>
        <w:spacing w:after="0" w:line="381" w:lineRule="exact"/>
        <w:rPr>
          <w:rFonts w:ascii="Arial" w:cs="Arial" w:eastAsia="Arial" w:hAnsi="Arial"/>
          <w:sz w:val="18"/>
          <w:szCs w:val="18"/>
          <w:color w:val="auto"/>
        </w:rPr>
      </w:pPr>
    </w:p>
    <w:p>
      <w:pPr>
        <w:jc w:val="both"/>
        <w:ind w:left="760" w:firstLine="641"/>
        <w:spacing w:after="0" w:line="291" w:lineRule="auto"/>
        <w:tabs>
          <w:tab w:leader="none" w:pos="18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none of the Administrative Agent, or any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395" w:lineRule="exact"/>
        <w:rPr>
          <w:sz w:val="20"/>
          <w:szCs w:val="20"/>
          <w:color w:val="auto"/>
        </w:rPr>
      </w:pPr>
    </w:p>
    <w:p>
      <w:pPr>
        <w:ind w:left="4460"/>
        <w:spacing w:after="0"/>
        <w:rPr>
          <w:sz w:val="20"/>
          <w:szCs w:val="20"/>
          <w:color w:val="auto"/>
        </w:rPr>
      </w:pPr>
      <w:r>
        <w:rPr>
          <w:rFonts w:ascii="Arial" w:cs="Arial" w:eastAsia="Arial" w:hAnsi="Arial"/>
          <w:sz w:val="20"/>
          <w:szCs w:val="20"/>
          <w:color w:val="828282"/>
        </w:rPr>
        <w:t>3</w:t>
      </w:r>
    </w:p>
    <w:p>
      <w:pPr>
        <w:sectPr>
          <w:pgSz w:w="11900" w:h="16838" w:orient="portrait"/>
          <w:cols w:equalWidth="0" w:num="1">
            <w:col w:w="10220"/>
          </w:cols>
          <w:pgMar w:left="1440" w:top="582" w:right="239" w:bottom="1440" w:gutter="0" w:footer="0" w:header="0"/>
        </w:sectPr>
      </w:pPr>
    </w:p>
    <w:bookmarkStart w:id="57" w:name="page58"/>
    <w:bookmarkEnd w:id="57"/>
    <w:p>
      <w:pPr>
        <w:jc w:val="both"/>
        <w:ind w:left="1960" w:firstLine="641"/>
        <w:spacing w:after="0" w:line="260" w:lineRule="auto"/>
        <w:tabs>
          <w:tab w:leader="none" w:pos="3162" w:val="left"/>
        </w:tabs>
        <w:numPr>
          <w:ilvl w:val="2"/>
          <w:numId w:val="31"/>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396" w:lineRule="exact"/>
        <w:rPr>
          <w:rFonts w:ascii="Arial" w:cs="Arial" w:eastAsia="Arial" w:hAnsi="Arial"/>
          <w:sz w:val="19"/>
          <w:szCs w:val="19"/>
          <w:color w:val="auto"/>
        </w:rPr>
      </w:pPr>
    </w:p>
    <w:p>
      <w:pPr>
        <w:jc w:val="both"/>
        <w:ind w:left="1960" w:firstLine="641"/>
        <w:spacing w:after="0" w:line="263" w:lineRule="auto"/>
        <w:tabs>
          <w:tab w:leader="none" w:pos="3204" w:val="left"/>
        </w:tabs>
        <w:numPr>
          <w:ilvl w:val="2"/>
          <w:numId w:val="31"/>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392" w:lineRule="exact"/>
        <w:rPr>
          <w:rFonts w:ascii="Arial" w:cs="Arial" w:eastAsia="Arial" w:hAnsi="Arial"/>
          <w:sz w:val="19"/>
          <w:szCs w:val="19"/>
          <w:color w:val="auto"/>
        </w:rPr>
      </w:pPr>
    </w:p>
    <w:p>
      <w:pPr>
        <w:jc w:val="both"/>
        <w:ind w:left="1960" w:firstLine="641"/>
        <w:spacing w:after="0" w:line="244" w:lineRule="auto"/>
        <w:tabs>
          <w:tab w:leader="none" w:pos="3196" w:val="left"/>
        </w:tabs>
        <w:numPr>
          <w:ilvl w:val="2"/>
          <w:numId w:val="31"/>
        </w:numPr>
        <w:rPr>
          <w:rFonts w:ascii="Arial" w:cs="Arial" w:eastAsia="Arial" w:hAnsi="Arial"/>
          <w:sz w:val="20"/>
          <w:szCs w:val="20"/>
          <w:color w:val="auto"/>
        </w:rPr>
      </w:pPr>
      <w:r>
        <w:rPr>
          <w:rFonts w:ascii="Arial" w:cs="Arial" w:eastAsia="Arial" w:hAnsi="Arial"/>
          <w:sz w:val="20"/>
          <w:szCs w:val="20"/>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Code, or both, with respect to the Loans, the Letters of Credit, the Commitments and this Agreement and is responsible for exercising independent judgment in evaluating the transactions hereunder, and</w:t>
      </w:r>
    </w:p>
    <w:p>
      <w:pPr>
        <w:spacing w:after="0" w:line="200" w:lineRule="exact"/>
        <w:rPr>
          <w:rFonts w:ascii="Arial" w:cs="Arial" w:eastAsia="Arial" w:hAnsi="Arial"/>
          <w:sz w:val="20"/>
          <w:szCs w:val="20"/>
          <w:color w:val="auto"/>
        </w:rPr>
      </w:pPr>
    </w:p>
    <w:p>
      <w:pPr>
        <w:spacing w:after="0" w:line="211" w:lineRule="exact"/>
        <w:rPr>
          <w:rFonts w:ascii="Arial" w:cs="Arial" w:eastAsia="Arial" w:hAnsi="Arial"/>
          <w:sz w:val="20"/>
          <w:szCs w:val="20"/>
          <w:color w:val="auto"/>
        </w:rPr>
      </w:pPr>
    </w:p>
    <w:p>
      <w:pPr>
        <w:jc w:val="both"/>
        <w:ind w:left="1960" w:firstLine="641"/>
        <w:spacing w:after="0" w:line="250" w:lineRule="auto"/>
        <w:tabs>
          <w:tab w:leader="none" w:pos="3117" w:val="left"/>
        </w:tabs>
        <w:numPr>
          <w:ilvl w:val="2"/>
          <w:numId w:val="31"/>
        </w:numPr>
        <w:rPr>
          <w:rFonts w:ascii="Arial" w:cs="Arial" w:eastAsia="Arial" w:hAnsi="Arial"/>
          <w:sz w:val="20"/>
          <w:szCs w:val="20"/>
          <w:color w:val="auto"/>
        </w:rPr>
      </w:pPr>
      <w:r>
        <w:rPr>
          <w:rFonts w:ascii="Arial" w:cs="Arial" w:eastAsia="Arial" w:hAnsi="Arial"/>
          <w:sz w:val="20"/>
          <w:szCs w:val="20"/>
          <w:color w:val="auto"/>
        </w:rPr>
        <w:t>no fee or other compensation is being paid directly to the Administrative Agent, or any Arranger or any their respective Affiliates for investment advice (as opposed to other services) in connection with the Loans, the Letters of Credit, the Commitments or this Agreement.</w:t>
      </w:r>
    </w:p>
    <w:p>
      <w:pPr>
        <w:spacing w:after="0" w:line="200" w:lineRule="exact"/>
        <w:rPr>
          <w:rFonts w:ascii="Arial" w:cs="Arial" w:eastAsia="Arial" w:hAnsi="Arial"/>
          <w:sz w:val="20"/>
          <w:szCs w:val="20"/>
          <w:color w:val="auto"/>
        </w:rPr>
      </w:pPr>
    </w:p>
    <w:p>
      <w:pPr>
        <w:spacing w:after="0" w:line="202" w:lineRule="exact"/>
        <w:rPr>
          <w:rFonts w:ascii="Arial" w:cs="Arial" w:eastAsia="Arial" w:hAnsi="Arial"/>
          <w:sz w:val="20"/>
          <w:szCs w:val="20"/>
          <w:color w:val="auto"/>
        </w:rPr>
      </w:pPr>
    </w:p>
    <w:p>
      <w:pPr>
        <w:jc w:val="both"/>
        <w:ind w:left="1300" w:firstLine="653"/>
        <w:spacing w:after="0" w:line="271" w:lineRule="auto"/>
        <w:tabs>
          <w:tab w:leader="none" w:pos="2645"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Administrative Agent and each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0" w:lineRule="exact"/>
        <w:rPr>
          <w:rFonts w:ascii="Arial" w:cs="Arial" w:eastAsia="Arial" w:hAnsi="Arial"/>
          <w:sz w:val="18"/>
          <w:szCs w:val="18"/>
          <w:color w:val="auto"/>
        </w:rPr>
      </w:pPr>
    </w:p>
    <w:p>
      <w:pPr>
        <w:ind w:right="20" w:firstLine="8"/>
        <w:spacing w:after="0" w:line="316" w:lineRule="auto"/>
        <w:tabs>
          <w:tab w:leader="none" w:pos="414"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Conditions to Effectiveness</w:t>
      </w:r>
      <w:r>
        <w:rPr>
          <w:rFonts w:ascii="Arial" w:cs="Arial" w:eastAsia="Arial" w:hAnsi="Arial"/>
          <w:sz w:val="18"/>
          <w:szCs w:val="18"/>
          <w:color w:val="auto"/>
        </w:rPr>
        <w:t>. This Amendment shall become effective as of the date set forth above upon receipt by the Administrative Agent of counterparts of this Amendment executed by the Loan Parties, the Required Lenders and the Administrative Agent.</w:t>
      </w:r>
    </w:p>
    <w:p>
      <w:pPr>
        <w:spacing w:after="0" w:line="143" w:lineRule="exact"/>
        <w:rPr>
          <w:rFonts w:ascii="Arial" w:cs="Arial" w:eastAsia="Arial" w:hAnsi="Arial"/>
          <w:sz w:val="18"/>
          <w:szCs w:val="18"/>
          <w:color w:val="auto"/>
        </w:rPr>
      </w:pPr>
    </w:p>
    <w:p>
      <w:pPr>
        <w:ind w:right="20" w:firstLine="8"/>
        <w:spacing w:after="0" w:line="260" w:lineRule="auto"/>
        <w:tabs>
          <w:tab w:leader="none" w:pos="387" w:val="left"/>
        </w:tabs>
        <w:numPr>
          <w:ilvl w:val="0"/>
          <w:numId w:val="33"/>
        </w:numPr>
        <w:rPr>
          <w:rFonts w:ascii="Arial" w:cs="Arial" w:eastAsia="Arial" w:hAnsi="Arial"/>
          <w:sz w:val="20"/>
          <w:szCs w:val="20"/>
          <w:color w:val="auto"/>
        </w:rPr>
      </w:pPr>
      <w:r>
        <w:rPr>
          <w:rFonts w:ascii="Arial" w:cs="Arial" w:eastAsia="Arial" w:hAnsi="Arial"/>
          <w:sz w:val="20"/>
          <w:szCs w:val="20"/>
          <w:u w:val="single" w:color="auto"/>
          <w:color w:val="auto"/>
        </w:rPr>
        <w:t>No Other Changes</w:t>
      </w:r>
      <w:r>
        <w:rPr>
          <w:rFonts w:ascii="Arial" w:cs="Arial" w:eastAsia="Arial" w:hAnsi="Arial"/>
          <w:sz w:val="20"/>
          <w:szCs w:val="20"/>
          <w:color w:val="auto"/>
        </w:rPr>
        <w:t>. Except as specifically amended hereby, all other terms of the Credit Agreement and the other Loan Documents shall remain in full force and effect according to its terms.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828282"/>
        </w:rPr>
        <w:t>4</w:t>
      </w:r>
    </w:p>
    <w:p>
      <w:pPr>
        <w:sectPr>
          <w:pgSz w:w="11900" w:h="16838" w:orient="portrait"/>
          <w:cols w:equalWidth="0" w:num="1">
            <w:col w:w="11420"/>
          </w:cols>
          <w:pgMar w:left="240" w:top="582" w:right="239" w:bottom="1440" w:gutter="0" w:footer="0" w:header="0"/>
        </w:sectPr>
      </w:pPr>
    </w:p>
    <w:bookmarkStart w:id="58" w:name="page59"/>
    <w:bookmarkEnd w:id="58"/>
    <w:p>
      <w:pPr>
        <w:jc w:val="both"/>
        <w:ind w:firstLine="8"/>
        <w:spacing w:after="0" w:line="250" w:lineRule="auto"/>
        <w:tabs>
          <w:tab w:leader="none" w:pos="387"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Reaffirmation of Obligations</w:t>
      </w:r>
      <w:r>
        <w:rPr>
          <w:rFonts w:ascii="Arial" w:cs="Arial" w:eastAsia="Arial" w:hAnsi="Arial"/>
          <w:sz w:val="20"/>
          <w:szCs w:val="20"/>
          <w:color w:val="auto"/>
        </w:rPr>
        <w:t>. Each Loan Party (a) acknowledges and consents to all of the terms and conditions of this Amendment, (b) affirms all of its obligations under the Loan Documents and (c) agrees that this Amendment does not operate to reduce or discharge its obligations under the Loan Documents.</w:t>
      </w:r>
    </w:p>
    <w:p>
      <w:pPr>
        <w:spacing w:after="0" w:line="199" w:lineRule="exact"/>
        <w:rPr>
          <w:rFonts w:ascii="Arial" w:cs="Arial" w:eastAsia="Arial" w:hAnsi="Arial"/>
          <w:sz w:val="20"/>
          <w:szCs w:val="20"/>
          <w:color w:val="auto"/>
        </w:rPr>
      </w:pPr>
    </w:p>
    <w:p>
      <w:pPr>
        <w:jc w:val="both"/>
        <w:ind w:firstLine="8"/>
        <w:spacing w:after="0" w:line="250" w:lineRule="auto"/>
        <w:tabs>
          <w:tab w:leader="none" w:pos="387"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Reaffirmation of Security Interests</w:t>
      </w:r>
      <w:r>
        <w:rPr>
          <w:rFonts w:ascii="Arial" w:cs="Arial" w:eastAsia="Arial" w:hAnsi="Arial"/>
          <w:sz w:val="20"/>
          <w:szCs w:val="20"/>
          <w:color w:val="auto"/>
        </w:rPr>
        <w:t>. Each Loan Party (a) affirms that each of the Liens granted in or pursuant to the Loan Documents are valid and subsisting and (b) agrees that this Amendment shall in no manner impair or otherwise adversely affect any of the Liens granted by it in or pursuant to the Loan Documents.</w:t>
      </w:r>
    </w:p>
    <w:p>
      <w:pPr>
        <w:spacing w:after="0" w:line="199" w:lineRule="exact"/>
        <w:rPr>
          <w:rFonts w:ascii="Arial" w:cs="Arial" w:eastAsia="Arial" w:hAnsi="Arial"/>
          <w:sz w:val="20"/>
          <w:szCs w:val="20"/>
          <w:color w:val="auto"/>
        </w:rPr>
      </w:pPr>
    </w:p>
    <w:p>
      <w:pPr>
        <w:ind w:left="360" w:hanging="35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This Amendment is a Loan Document</w:t>
      </w:r>
      <w:r>
        <w:rPr>
          <w:rFonts w:ascii="Arial" w:cs="Arial" w:eastAsia="Arial" w:hAnsi="Arial"/>
          <w:sz w:val="18"/>
          <w:szCs w:val="18"/>
          <w:color w:val="auto"/>
        </w:rPr>
        <w:t>. This Amendment shall constitute a Loan Document under the terms of the Credit Agreement.</w:t>
      </w:r>
    </w:p>
    <w:p>
      <w:pPr>
        <w:spacing w:after="0" w:line="252" w:lineRule="exact"/>
        <w:rPr>
          <w:rFonts w:ascii="Arial" w:cs="Arial" w:eastAsia="Arial" w:hAnsi="Arial"/>
          <w:sz w:val="18"/>
          <w:szCs w:val="18"/>
          <w:color w:val="auto"/>
        </w:rPr>
      </w:pPr>
    </w:p>
    <w:p>
      <w:pPr>
        <w:jc w:val="both"/>
        <w:ind w:firstLine="8"/>
        <w:spacing w:after="0" w:line="278" w:lineRule="auto"/>
        <w:tabs>
          <w:tab w:leader="none" w:pos="37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Counterparts; Delivery</w:t>
      </w:r>
      <w:r>
        <w:rPr>
          <w:rFonts w:ascii="Arial" w:cs="Arial" w:eastAsia="Arial" w:hAnsi="Arial"/>
          <w:sz w:val="18"/>
          <w:szCs w:val="18"/>
          <w:color w:val="auto"/>
        </w:rPr>
        <w:t>. This Amendment may be executed in any number of counterparts, each of which when so executed and delivered shall be an original, but all of which shall constitute one and the same instrument. Delivery of an executed counterpart of a signature page of this Amendment or any other document required to be delivered hereunder, by fax transmission or e-mail transmission (e.g. “pdf” or “tif”) shall be effective as delivery of a manually executed counterpart of this Agreement. Without limiting the foregoing, upon the request of any party, such fax transmission or e-mail transmission shall be promptly followed by such manually executed counterpart.</w:t>
      </w:r>
    </w:p>
    <w:p>
      <w:pPr>
        <w:spacing w:after="0" w:line="178" w:lineRule="exact"/>
        <w:rPr>
          <w:rFonts w:ascii="Arial" w:cs="Arial" w:eastAsia="Arial" w:hAnsi="Arial"/>
          <w:sz w:val="18"/>
          <w:szCs w:val="18"/>
          <w:color w:val="auto"/>
        </w:rPr>
      </w:pPr>
    </w:p>
    <w:p>
      <w:pPr>
        <w:ind w:firstLine="8"/>
        <w:spacing w:after="0" w:line="260" w:lineRule="auto"/>
        <w:tabs>
          <w:tab w:leader="none" w:pos="454" w:val="left"/>
        </w:tabs>
        <w:numPr>
          <w:ilvl w:val="0"/>
          <w:numId w:val="34"/>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SHALL BE CONSTRUED AND ENFORCED IN ACCORDANCE WITH THE LAWS OF THE STATE OF NEW YORK.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828282"/>
        </w:rPr>
        <w:t>5</w:t>
      </w:r>
    </w:p>
    <w:p>
      <w:pPr>
        <w:sectPr>
          <w:pgSz w:w="11900" w:h="16838" w:orient="portrait"/>
          <w:cols w:equalWidth="0" w:num="1">
            <w:col w:w="11420"/>
          </w:cols>
          <w:pgMar w:left="240" w:top="595" w:right="239"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parties hereto have caused this Amendment to be duly executed on the date first above written.</w:t>
      </w:r>
    </w:p>
    <w:p>
      <w:pPr>
        <w:spacing w:after="0" w:line="241" w:lineRule="exact"/>
        <w:rPr>
          <w:sz w:val="20"/>
          <w:szCs w:val="20"/>
          <w:color w:val="auto"/>
        </w:rPr>
      </w:pPr>
    </w:p>
    <w:p>
      <w:pPr>
        <w:spacing w:after="0"/>
        <w:tabs>
          <w:tab w:leader="none" w:pos="2060" w:val="left"/>
        </w:tabs>
        <w:rPr>
          <w:sz w:val="20"/>
          <w:szCs w:val="20"/>
          <w:color w:val="auto"/>
        </w:rPr>
      </w:pPr>
      <w:r>
        <w:rPr>
          <w:rFonts w:ascii="Arial" w:cs="Arial" w:eastAsia="Arial" w:hAnsi="Arial"/>
          <w:sz w:val="20"/>
          <w:szCs w:val="20"/>
          <w:u w:val="single" w:color="auto"/>
          <w:color w:val="auto"/>
        </w:rPr>
        <w:t>BORROWERS</w:t>
      </w:r>
      <w:r>
        <w:rPr>
          <w:rFonts w:ascii="Arial" w:cs="Arial" w:eastAsia="Arial" w:hAnsi="Arial"/>
          <w:sz w:val="20"/>
          <w:szCs w:val="20"/>
          <w:color w:val="auto"/>
        </w:rPr>
        <w:t>:</w:t>
      </w:r>
      <w:r>
        <w:rPr>
          <w:sz w:val="20"/>
          <w:szCs w:val="20"/>
          <w:color w:val="auto"/>
        </w:rPr>
        <w:tab/>
      </w:r>
      <w:r>
        <w:rPr>
          <w:rFonts w:ascii="Arial" w:cs="Arial" w:eastAsia="Arial" w:hAnsi="Arial"/>
          <w:sz w:val="19"/>
          <w:szCs w:val="19"/>
          <w:color w:val="auto"/>
        </w:rPr>
        <w:t>ABM INDUSTRIES INCORPORATED</w:t>
      </w:r>
    </w:p>
    <w:p>
      <w:pPr>
        <w:spacing w:after="0" w:line="200" w:lineRule="exact"/>
        <w:rPr>
          <w:sz w:val="20"/>
          <w:szCs w:val="20"/>
          <w:color w:val="auto"/>
        </w:rPr>
      </w:pPr>
    </w:p>
    <w:p>
      <w:pPr>
        <w:spacing w:after="0" w:line="235" w:lineRule="exact"/>
        <w:rPr>
          <w:sz w:val="20"/>
          <w:szCs w:val="20"/>
          <w:color w:val="auto"/>
        </w:rPr>
      </w:pPr>
    </w:p>
    <w:tbl>
      <w:tblPr>
        <w:tblLayout w:type="fixed"/>
        <w:tblInd w:w="324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20"/>
                <w:szCs w:val="20"/>
                <w:color w:val="auto"/>
              </w:rPr>
              <w:t>By:/s/</w:t>
            </w:r>
          </w:p>
        </w:tc>
        <w:tc>
          <w:tcPr>
            <w:tcW w:w="2080" w:type="dxa"/>
            <w:vAlign w:val="bottom"/>
            <w:gridSpan w:val="2"/>
          </w:tcPr>
          <w:p>
            <w:pPr>
              <w:ind w:left="120"/>
              <w:spacing w:after="0"/>
              <w:rPr>
                <w:sz w:val="20"/>
                <w:szCs w:val="20"/>
                <w:color w:val="auto"/>
              </w:rPr>
            </w:pPr>
            <w:r>
              <w:rPr>
                <w:rFonts w:ascii="Arial" w:cs="Arial" w:eastAsia="Arial" w:hAnsi="Arial"/>
                <w:sz w:val="20"/>
                <w:szCs w:val="20"/>
                <w:color w:val="auto"/>
              </w:rPr>
              <w:t>Tom Gallo</w:t>
            </w:r>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3"/>
        </w:trPr>
        <w:tc>
          <w:tcPr>
            <w:tcW w:w="600" w:type="dxa"/>
            <w:vAlign w:val="bottom"/>
            <w:gridSpan w:val="2"/>
          </w:tcPr>
          <w:p>
            <w:pPr>
              <w:spacing w:after="0"/>
              <w:rPr>
                <w:sz w:val="20"/>
                <w:szCs w:val="20"/>
                <w:color w:val="auto"/>
              </w:rPr>
            </w:pPr>
            <w:r>
              <w:rPr>
                <w:rFonts w:ascii="Arial" w:cs="Arial" w:eastAsia="Arial" w:hAnsi="Arial"/>
                <w:sz w:val="20"/>
                <w:szCs w:val="20"/>
                <w:color w:val="auto"/>
                <w:w w:val="98"/>
              </w:rPr>
              <w:t>Name:</w:t>
            </w:r>
          </w:p>
        </w:tc>
        <w:tc>
          <w:tcPr>
            <w:tcW w:w="2080" w:type="dxa"/>
            <w:vAlign w:val="bottom"/>
            <w:gridSpan w:val="2"/>
          </w:tcPr>
          <w:p>
            <w:pPr>
              <w:ind w:left="140"/>
              <w:spacing w:after="0"/>
              <w:rPr>
                <w:sz w:val="20"/>
                <w:szCs w:val="20"/>
                <w:color w:val="auto"/>
              </w:rPr>
            </w:pPr>
            <w:r>
              <w:rPr>
                <w:rFonts w:ascii="Arial" w:cs="Arial" w:eastAsia="Arial" w:hAnsi="Arial"/>
                <w:sz w:val="20"/>
                <w:szCs w:val="20"/>
                <w:color w:val="auto"/>
              </w:rPr>
              <w:t>Tom Gallo</w:t>
            </w:r>
          </w:p>
        </w:tc>
      </w:tr>
      <w:tr>
        <w:trPr>
          <w:trHeight w:val="250"/>
        </w:trPr>
        <w:tc>
          <w:tcPr>
            <w:tcW w:w="600" w:type="dxa"/>
            <w:vAlign w:val="bottom"/>
            <w:gridSpan w:val="2"/>
          </w:tcPr>
          <w:p>
            <w:pPr>
              <w:spacing w:after="0"/>
              <w:rPr>
                <w:sz w:val="20"/>
                <w:szCs w:val="20"/>
                <w:color w:val="auto"/>
              </w:rPr>
            </w:pPr>
            <w:r>
              <w:rPr>
                <w:rFonts w:ascii="Arial" w:cs="Arial" w:eastAsia="Arial" w:hAnsi="Arial"/>
                <w:sz w:val="20"/>
                <w:szCs w:val="20"/>
                <w:color w:val="auto"/>
              </w:rPr>
              <w:t>Title:</w:t>
            </w:r>
          </w:p>
        </w:tc>
        <w:tc>
          <w:tcPr>
            <w:tcW w:w="2080" w:type="dxa"/>
            <w:vAlign w:val="bottom"/>
            <w:gridSpan w:val="2"/>
          </w:tcPr>
          <w:p>
            <w:pPr>
              <w:ind w:left="80"/>
              <w:spacing w:after="0"/>
              <w:rPr>
                <w:sz w:val="20"/>
                <w:szCs w:val="20"/>
                <w:color w:val="auto"/>
              </w:rPr>
            </w:pPr>
            <w:r>
              <w:rPr>
                <w:rFonts w:ascii="Arial" w:cs="Arial" w:eastAsia="Arial" w:hAnsi="Arial"/>
                <w:sz w:val="20"/>
                <w:szCs w:val="20"/>
                <w:color w:val="auto"/>
                <w:w w:val="87"/>
              </w:rPr>
              <w:t>Vice President, Treasurer</w:t>
            </w:r>
          </w:p>
        </w:tc>
      </w:tr>
    </w:tbl>
    <w:p>
      <w:pPr>
        <w:spacing w:after="0" w:line="200" w:lineRule="exact"/>
        <w:rPr>
          <w:sz w:val="20"/>
          <w:szCs w:val="20"/>
          <w:color w:val="auto"/>
        </w:rPr>
      </w:pPr>
    </w:p>
    <w:p>
      <w:pPr>
        <w:spacing w:after="0" w:line="238"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OMNI SERV LIMITED</w:t>
      </w:r>
    </w:p>
    <w:p>
      <w:pPr>
        <w:spacing w:after="0" w:line="200" w:lineRule="exact"/>
        <w:rPr>
          <w:sz w:val="20"/>
          <w:szCs w:val="20"/>
          <w:color w:val="auto"/>
        </w:rPr>
      </w:pPr>
    </w:p>
    <w:p>
      <w:pPr>
        <w:spacing w:after="0" w:line="235" w:lineRule="exact"/>
        <w:rPr>
          <w:sz w:val="20"/>
          <w:szCs w:val="20"/>
          <w:color w:val="auto"/>
        </w:rPr>
      </w:pPr>
    </w:p>
    <w:tbl>
      <w:tblPr>
        <w:tblLayout w:type="fixed"/>
        <w:tblInd w:w="324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20"/>
                <w:szCs w:val="20"/>
                <w:color w:val="auto"/>
              </w:rPr>
              <w:t>By:/s/</w:t>
            </w:r>
          </w:p>
        </w:tc>
        <w:tc>
          <w:tcPr>
            <w:tcW w:w="1940" w:type="dxa"/>
            <w:vAlign w:val="bottom"/>
          </w:tcPr>
          <w:p>
            <w:pPr>
              <w:ind w:left="120"/>
              <w:spacing w:after="0"/>
              <w:rPr>
                <w:sz w:val="20"/>
                <w:szCs w:val="20"/>
                <w:color w:val="auto"/>
              </w:rPr>
            </w:pPr>
            <w:r>
              <w:rPr>
                <w:rFonts w:ascii="Arial" w:cs="Arial" w:eastAsia="Arial" w:hAnsi="Arial"/>
                <w:sz w:val="20"/>
                <w:szCs w:val="20"/>
                <w:color w:val="auto"/>
              </w:rPr>
              <w:t>John King</w:t>
            </w:r>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r>
      <w:tr>
        <w:trPr>
          <w:trHeight w:val="233"/>
        </w:trPr>
        <w:tc>
          <w:tcPr>
            <w:tcW w:w="600" w:type="dxa"/>
            <w:vAlign w:val="bottom"/>
            <w:gridSpan w:val="2"/>
          </w:tcPr>
          <w:p>
            <w:pPr>
              <w:spacing w:after="0"/>
              <w:rPr>
                <w:sz w:val="20"/>
                <w:szCs w:val="20"/>
                <w:color w:val="auto"/>
              </w:rPr>
            </w:pPr>
            <w:r>
              <w:rPr>
                <w:rFonts w:ascii="Arial" w:cs="Arial" w:eastAsia="Arial" w:hAnsi="Arial"/>
                <w:sz w:val="20"/>
                <w:szCs w:val="20"/>
                <w:color w:val="auto"/>
                <w:w w:val="98"/>
              </w:rPr>
              <w:t>Name:</w:t>
            </w:r>
          </w:p>
        </w:tc>
        <w:tc>
          <w:tcPr>
            <w:tcW w:w="1940" w:type="dxa"/>
            <w:vAlign w:val="bottom"/>
          </w:tcPr>
          <w:p>
            <w:pPr>
              <w:ind w:left="140"/>
              <w:spacing w:after="0"/>
              <w:rPr>
                <w:sz w:val="20"/>
                <w:szCs w:val="20"/>
                <w:color w:val="auto"/>
              </w:rPr>
            </w:pPr>
            <w:r>
              <w:rPr>
                <w:rFonts w:ascii="Arial" w:cs="Arial" w:eastAsia="Arial" w:hAnsi="Arial"/>
                <w:sz w:val="20"/>
                <w:szCs w:val="20"/>
                <w:color w:val="auto"/>
              </w:rPr>
              <w:t>John King</w:t>
            </w:r>
          </w:p>
        </w:tc>
      </w:tr>
      <w:tr>
        <w:trPr>
          <w:trHeight w:val="250"/>
        </w:trPr>
        <w:tc>
          <w:tcPr>
            <w:tcW w:w="600" w:type="dxa"/>
            <w:vAlign w:val="bottom"/>
            <w:gridSpan w:val="2"/>
          </w:tcPr>
          <w:p>
            <w:pPr>
              <w:spacing w:after="0"/>
              <w:rPr>
                <w:sz w:val="20"/>
                <w:szCs w:val="20"/>
                <w:color w:val="auto"/>
              </w:rPr>
            </w:pPr>
            <w:r>
              <w:rPr>
                <w:rFonts w:ascii="Arial" w:cs="Arial" w:eastAsia="Arial" w:hAnsi="Arial"/>
                <w:sz w:val="20"/>
                <w:szCs w:val="20"/>
                <w:color w:val="auto"/>
              </w:rPr>
              <w:t>Title:</w:t>
            </w:r>
          </w:p>
        </w:tc>
        <w:tc>
          <w:tcPr>
            <w:tcW w:w="1940" w:type="dxa"/>
            <w:vAlign w:val="bottom"/>
          </w:tcPr>
          <w:p>
            <w:pPr>
              <w:ind w:left="80"/>
              <w:spacing w:after="0"/>
              <w:rPr>
                <w:sz w:val="20"/>
                <w:szCs w:val="20"/>
                <w:color w:val="auto"/>
              </w:rPr>
            </w:pPr>
            <w:r>
              <w:rPr>
                <w:rFonts w:ascii="Arial" w:cs="Arial" w:eastAsia="Arial" w:hAnsi="Arial"/>
                <w:sz w:val="20"/>
                <w:szCs w:val="20"/>
                <w:color w:val="auto"/>
              </w:rPr>
              <w:t>Finance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1440" w:right="2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30"/>
        </w:trPr>
        <w:tc>
          <w:tcPr>
            <w:tcW w:w="5320" w:type="dxa"/>
            <w:vAlign w:val="bottom"/>
            <w:gridSpan w:val="5"/>
          </w:tcPr>
          <w:p>
            <w:pPr>
              <w:spacing w:after="0"/>
              <w:rPr>
                <w:sz w:val="20"/>
                <w:szCs w:val="20"/>
                <w:color w:val="auto"/>
              </w:rPr>
            </w:pPr>
            <w:r>
              <w:rPr>
                <w:rFonts w:ascii="Arial" w:cs="Arial" w:eastAsia="Arial" w:hAnsi="Arial"/>
                <w:sz w:val="20"/>
                <w:szCs w:val="20"/>
                <w:color w:val="auto"/>
              </w:rPr>
              <w:t>GUARANTORS:</w:t>
            </w:r>
          </w:p>
        </w:tc>
        <w:tc>
          <w:tcPr>
            <w:tcW w:w="6000" w:type="dxa"/>
            <w:vAlign w:val="bottom"/>
          </w:tcPr>
          <w:p>
            <w:pPr>
              <w:spacing w:after="0"/>
              <w:rPr>
                <w:sz w:val="19"/>
                <w:szCs w:val="19"/>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646"/>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AVIATION,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ENERGY SERVICES,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BUILDING &amp; ENERGY SOLUTIONS, LLC</w:t>
            </w:r>
          </w:p>
        </w:tc>
        <w:tc>
          <w:tcPr>
            <w:tcW w:w="6000" w:type="dxa"/>
            <w:vAlign w:val="bottom"/>
          </w:tcPr>
          <w:p>
            <w:pPr>
              <w:ind w:left="420"/>
              <w:spacing w:after="0"/>
              <w:rPr>
                <w:sz w:val="20"/>
                <w:szCs w:val="20"/>
                <w:color w:val="auto"/>
              </w:rPr>
            </w:pPr>
            <w:r>
              <w:rPr>
                <w:rFonts w:ascii="Arial" w:cs="Arial" w:eastAsia="Arial" w:hAnsi="Arial"/>
                <w:sz w:val="20"/>
                <w:szCs w:val="20"/>
                <w:color w:val="auto"/>
                <w:w w:val="95"/>
              </w:rPr>
              <w:t>GCA FACILITY OPERATIONS MAINTENANCE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BUILDING SERVICES,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INTERMEDIATE HOLDING CORP.</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BUILDING SOLUTIONS,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INTERNATIONAL MANAGEMENT SERVICES,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ELECTRICAL &amp; LIGHTING SERVICES,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K12 EDUCATION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ELECTRICAL &amp; LIGHTING SOLUTIONS,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NUCLEAR FACILITY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ELECTRICAL NETWORK,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PRODUCTION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ELECTRICAL POWER SERVICES,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GROUP MOUNTAIN STATES, L.P.</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ELECTRICAL POWER SOLUTIONS,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GROUP OF CALIFORNIA,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FACILITY SUPPORT SERVICES,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GROUP OF COLORADO,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FRANCHISING GROUP,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GROUP OF NORTH CAROLINA,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GENERAL SERVICES, INC.</w:t>
            </w:r>
          </w:p>
        </w:tc>
        <w:tc>
          <w:tcPr>
            <w:tcW w:w="6000" w:type="dxa"/>
            <w:vAlign w:val="bottom"/>
          </w:tcPr>
          <w:p>
            <w:pPr>
              <w:ind w:left="420"/>
              <w:spacing w:after="0"/>
              <w:rPr>
                <w:sz w:val="20"/>
                <w:szCs w:val="20"/>
                <w:color w:val="auto"/>
              </w:rPr>
            </w:pPr>
            <w:r>
              <w:rPr>
                <w:rFonts w:ascii="Arial" w:cs="Arial" w:eastAsia="Arial" w:hAnsi="Arial"/>
                <w:sz w:val="20"/>
                <w:szCs w:val="20"/>
                <w:color w:val="auto"/>
                <w:w w:val="96"/>
              </w:rPr>
              <w:t>GCA SERVICES GROUP OF NORTHWESTERN STATES,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HEALTHCARE SUPPORT SERVICES,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GROUP,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INDUSTRIAL SERVICES,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INDUSTRY GROUPS,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SPECIALTY SERVICES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TEXAS GENERAL SERVICES,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STAFFING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ASSOCIATED FACILITY VENTURES,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GRADE SUB TWO,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ERIE ACQUISITION HOLDINGS, INC.</w:t>
            </w:r>
          </w:p>
        </w:tc>
        <w:tc>
          <w:tcPr>
            <w:tcW w:w="6000" w:type="dxa"/>
            <w:vAlign w:val="bottom"/>
          </w:tcPr>
          <w:p>
            <w:pPr>
              <w:ind w:left="420"/>
              <w:spacing w:after="0"/>
              <w:rPr>
                <w:sz w:val="20"/>
                <w:szCs w:val="20"/>
                <w:color w:val="auto"/>
              </w:rPr>
            </w:pPr>
            <w:r>
              <w:rPr>
                <w:rFonts w:ascii="Arial" w:cs="Arial" w:eastAsia="Arial" w:hAnsi="Arial"/>
                <w:sz w:val="20"/>
                <w:szCs w:val="20"/>
                <w:color w:val="auto"/>
              </w:rPr>
              <w:t>GREENHOMES AMERICA,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ERIE MERGER HOLDINGS, LLC</w:t>
            </w:r>
          </w:p>
        </w:tc>
        <w:tc>
          <w:tcPr>
            <w:tcW w:w="6000" w:type="dxa"/>
            <w:vAlign w:val="bottom"/>
          </w:tcPr>
          <w:p>
            <w:pPr>
              <w:ind w:left="420"/>
              <w:spacing w:after="0"/>
              <w:rPr>
                <w:sz w:val="20"/>
                <w:szCs w:val="20"/>
                <w:color w:val="auto"/>
              </w:rPr>
            </w:pPr>
            <w:r>
              <w:rPr>
                <w:rFonts w:ascii="Arial" w:cs="Arial" w:eastAsia="Arial" w:hAnsi="Arial"/>
                <w:sz w:val="20"/>
                <w:szCs w:val="20"/>
                <w:color w:val="auto"/>
              </w:rPr>
              <w:t>LINC FACILITY SERVICES IRAQ,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CLEANING SPECIALITIES, L.P.</w:t>
            </w:r>
          </w:p>
        </w:tc>
        <w:tc>
          <w:tcPr>
            <w:tcW w:w="6000" w:type="dxa"/>
            <w:vAlign w:val="bottom"/>
          </w:tcPr>
          <w:p>
            <w:pPr>
              <w:ind w:left="420"/>
              <w:spacing w:after="0"/>
              <w:rPr>
                <w:sz w:val="20"/>
                <w:szCs w:val="20"/>
                <w:color w:val="auto"/>
              </w:rPr>
            </w:pPr>
            <w:r>
              <w:rPr>
                <w:rFonts w:ascii="Arial" w:cs="Arial" w:eastAsia="Arial" w:hAnsi="Arial"/>
                <w:sz w:val="20"/>
                <w:szCs w:val="20"/>
                <w:color w:val="auto"/>
              </w:rPr>
              <w:t>LINC FACILITY SERVICES ME,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COMERCIAL SERVICES OF MIDWEST, LLC</w:t>
            </w:r>
          </w:p>
        </w:tc>
        <w:tc>
          <w:tcPr>
            <w:tcW w:w="6000" w:type="dxa"/>
            <w:vAlign w:val="bottom"/>
          </w:tcPr>
          <w:p>
            <w:pPr>
              <w:ind w:left="420"/>
              <w:spacing w:after="0"/>
              <w:rPr>
                <w:sz w:val="20"/>
                <w:szCs w:val="20"/>
                <w:color w:val="auto"/>
              </w:rPr>
            </w:pPr>
            <w:r>
              <w:rPr>
                <w:rFonts w:ascii="Arial" w:cs="Arial" w:eastAsia="Arial" w:hAnsi="Arial"/>
                <w:sz w:val="20"/>
                <w:szCs w:val="20"/>
                <w:color w:val="auto"/>
              </w:rPr>
              <w:t>LINC INTERNATIONAL,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EDUCATION SERVICES CENTRAL STATES, INC.</w:t>
            </w:r>
          </w:p>
        </w:tc>
        <w:tc>
          <w:tcPr>
            <w:tcW w:w="6000" w:type="dxa"/>
            <w:vAlign w:val="bottom"/>
          </w:tcPr>
          <w:p>
            <w:pPr>
              <w:ind w:left="420"/>
              <w:spacing w:after="0"/>
              <w:rPr>
                <w:sz w:val="20"/>
                <w:szCs w:val="20"/>
                <w:color w:val="auto"/>
              </w:rPr>
            </w:pPr>
            <w:r>
              <w:rPr>
                <w:rFonts w:ascii="Arial" w:cs="Arial" w:eastAsia="Arial" w:hAnsi="Arial"/>
                <w:sz w:val="20"/>
                <w:szCs w:val="20"/>
                <w:color w:val="auto"/>
              </w:rPr>
              <w:t>MECHANICAL SOLUTIONS,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EDUCATION SERVICES OF MIDWEST, LLC</w:t>
            </w:r>
          </w:p>
        </w:tc>
        <w:tc>
          <w:tcPr>
            <w:tcW w:w="6000" w:type="dxa"/>
            <w:vAlign w:val="bottom"/>
          </w:tcPr>
          <w:p>
            <w:pPr>
              <w:ind w:left="420"/>
              <w:spacing w:after="0"/>
              <w:rPr>
                <w:sz w:val="20"/>
                <w:szCs w:val="20"/>
                <w:color w:val="auto"/>
              </w:rPr>
            </w:pPr>
            <w:r>
              <w:rPr>
                <w:rFonts w:ascii="Arial" w:cs="Arial" w:eastAsia="Arial" w:hAnsi="Arial"/>
                <w:sz w:val="20"/>
                <w:szCs w:val="20"/>
                <w:color w:val="auto"/>
              </w:rPr>
              <w:t>NATIONAL BUILDING MAINTENANCE CORP.</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EDUCATION SERVICES OF NEW ENGLAND, LLC</w:t>
            </w:r>
          </w:p>
        </w:tc>
        <w:tc>
          <w:tcPr>
            <w:tcW w:w="6000" w:type="dxa"/>
            <w:vAlign w:val="bottom"/>
          </w:tcPr>
          <w:p>
            <w:pPr>
              <w:ind w:left="420"/>
              <w:spacing w:after="0"/>
              <w:rPr>
                <w:sz w:val="20"/>
                <w:szCs w:val="20"/>
                <w:color w:val="auto"/>
              </w:rPr>
            </w:pPr>
            <w:r>
              <w:rPr>
                <w:rFonts w:ascii="Arial" w:cs="Arial" w:eastAsia="Arial" w:hAnsi="Arial"/>
                <w:sz w:val="20"/>
                <w:szCs w:val="20"/>
                <w:color w:val="auto"/>
              </w:rPr>
              <w:t>ONESOURCE FACILITY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EDUCATION SERVICES, INC.</w:t>
            </w:r>
          </w:p>
        </w:tc>
        <w:tc>
          <w:tcPr>
            <w:tcW w:w="6000" w:type="dxa"/>
            <w:vAlign w:val="bottom"/>
          </w:tcPr>
          <w:p>
            <w:pPr>
              <w:ind w:left="420"/>
              <w:spacing w:after="0"/>
              <w:rPr>
                <w:sz w:val="20"/>
                <w:szCs w:val="20"/>
                <w:color w:val="auto"/>
              </w:rPr>
            </w:pPr>
            <w:r>
              <w:rPr>
                <w:rFonts w:ascii="Arial" w:cs="Arial" w:eastAsia="Arial" w:hAnsi="Arial"/>
                <w:sz w:val="20"/>
                <w:szCs w:val="20"/>
                <w:color w:val="auto"/>
              </w:rPr>
              <w:t>ONESOURCE HOLDINGS, LLC</w:t>
            </w:r>
          </w:p>
        </w:tc>
      </w:tr>
      <w:tr>
        <w:trPr>
          <w:trHeight w:val="284"/>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6000" w:type="dxa"/>
            <w:vAlign w:val="bottom"/>
          </w:tcPr>
          <w:p>
            <w:pPr>
              <w:ind w:left="420"/>
              <w:spacing w:after="0"/>
              <w:rPr>
                <w:sz w:val="20"/>
                <w:szCs w:val="20"/>
                <w:color w:val="auto"/>
              </w:rPr>
            </w:pPr>
            <w:r>
              <w:rPr>
                <w:rFonts w:ascii="Arial" w:cs="Arial" w:eastAsia="Arial" w:hAnsi="Arial"/>
                <w:sz w:val="20"/>
                <w:szCs w:val="20"/>
                <w:color w:val="auto"/>
              </w:rPr>
              <w:t>ONESOURCE SERVICES LLC</w:t>
            </w:r>
          </w:p>
        </w:tc>
      </w:tr>
      <w:tr>
        <w:trPr>
          <w:trHeight w:val="442"/>
        </w:trPr>
        <w:tc>
          <w:tcPr>
            <w:tcW w:w="1000" w:type="dxa"/>
            <w:vAlign w:val="bottom"/>
            <w:gridSpan w:val="2"/>
          </w:tcPr>
          <w:p>
            <w:pPr>
              <w:ind w:left="420"/>
              <w:spacing w:after="0"/>
              <w:rPr>
                <w:sz w:val="20"/>
                <w:szCs w:val="20"/>
                <w:color w:val="auto"/>
              </w:rPr>
            </w:pPr>
            <w:r>
              <w:rPr>
                <w:rFonts w:ascii="Arial" w:cs="Arial" w:eastAsia="Arial" w:hAnsi="Arial"/>
                <w:sz w:val="20"/>
                <w:szCs w:val="20"/>
                <w:color w:val="auto"/>
              </w:rPr>
              <w:t>By:/s/</w:t>
            </w:r>
          </w:p>
        </w:tc>
        <w:tc>
          <w:tcPr>
            <w:tcW w:w="4320" w:type="dxa"/>
            <w:vAlign w:val="bottom"/>
            <w:gridSpan w:val="3"/>
          </w:tcPr>
          <w:p>
            <w:pPr>
              <w:ind w:left="140"/>
              <w:spacing w:after="0"/>
              <w:rPr>
                <w:sz w:val="20"/>
                <w:szCs w:val="20"/>
                <w:color w:val="auto"/>
              </w:rPr>
            </w:pPr>
            <w:r>
              <w:rPr>
                <w:rFonts w:ascii="Arial" w:cs="Arial" w:eastAsia="Arial" w:hAnsi="Arial"/>
                <w:sz w:val="20"/>
                <w:szCs w:val="20"/>
                <w:color w:val="auto"/>
              </w:rPr>
              <w:t>Tom Gallo</w:t>
            </w:r>
          </w:p>
        </w:tc>
        <w:tc>
          <w:tcPr>
            <w:tcW w:w="60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gridSpan w:val="2"/>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33"/>
        </w:trPr>
        <w:tc>
          <w:tcPr>
            <w:tcW w:w="1000" w:type="dxa"/>
            <w:vAlign w:val="bottom"/>
            <w:gridSpan w:val="2"/>
          </w:tcPr>
          <w:p>
            <w:pPr>
              <w:ind w:left="420"/>
              <w:spacing w:after="0"/>
              <w:rPr>
                <w:sz w:val="20"/>
                <w:szCs w:val="20"/>
                <w:color w:val="auto"/>
              </w:rPr>
            </w:pPr>
            <w:r>
              <w:rPr>
                <w:rFonts w:ascii="Arial" w:cs="Arial" w:eastAsia="Arial" w:hAnsi="Arial"/>
                <w:sz w:val="20"/>
                <w:szCs w:val="20"/>
                <w:color w:val="auto"/>
                <w:w w:val="94"/>
              </w:rPr>
              <w:t>Name:</w:t>
            </w:r>
          </w:p>
        </w:tc>
        <w:tc>
          <w:tcPr>
            <w:tcW w:w="4320" w:type="dxa"/>
            <w:vAlign w:val="bottom"/>
            <w:gridSpan w:val="3"/>
          </w:tcPr>
          <w:p>
            <w:pPr>
              <w:ind w:left="140"/>
              <w:spacing w:after="0"/>
              <w:rPr>
                <w:sz w:val="20"/>
                <w:szCs w:val="20"/>
                <w:color w:val="auto"/>
              </w:rPr>
            </w:pPr>
            <w:r>
              <w:rPr>
                <w:rFonts w:ascii="Arial" w:cs="Arial" w:eastAsia="Arial" w:hAnsi="Arial"/>
                <w:sz w:val="20"/>
                <w:szCs w:val="20"/>
                <w:color w:val="auto"/>
              </w:rPr>
              <w:t>Tom Gallo</w:t>
            </w:r>
          </w:p>
        </w:tc>
        <w:tc>
          <w:tcPr>
            <w:tcW w:w="6000" w:type="dxa"/>
            <w:vAlign w:val="bottom"/>
          </w:tcPr>
          <w:p>
            <w:pPr>
              <w:spacing w:after="0"/>
              <w:rPr>
                <w:sz w:val="20"/>
                <w:szCs w:val="20"/>
                <w:color w:val="auto"/>
              </w:rPr>
            </w:pPr>
          </w:p>
        </w:tc>
      </w:tr>
      <w:tr>
        <w:trPr>
          <w:trHeight w:val="250"/>
        </w:trPr>
        <w:tc>
          <w:tcPr>
            <w:tcW w:w="1000" w:type="dxa"/>
            <w:vAlign w:val="bottom"/>
            <w:gridSpan w:val="2"/>
          </w:tcPr>
          <w:p>
            <w:pPr>
              <w:ind w:left="420"/>
              <w:spacing w:after="0"/>
              <w:rPr>
                <w:sz w:val="20"/>
                <w:szCs w:val="20"/>
                <w:color w:val="auto"/>
              </w:rPr>
            </w:pPr>
            <w:r>
              <w:rPr>
                <w:rFonts w:ascii="Arial" w:cs="Arial" w:eastAsia="Arial" w:hAnsi="Arial"/>
                <w:sz w:val="20"/>
                <w:szCs w:val="20"/>
                <w:color w:val="auto"/>
              </w:rPr>
              <w:t>Title:</w:t>
            </w:r>
          </w:p>
        </w:tc>
        <w:tc>
          <w:tcPr>
            <w:tcW w:w="4320" w:type="dxa"/>
            <w:vAlign w:val="bottom"/>
            <w:gridSpan w:val="3"/>
          </w:tcPr>
          <w:p>
            <w:pPr>
              <w:ind w:left="80"/>
              <w:spacing w:after="0"/>
              <w:rPr>
                <w:sz w:val="20"/>
                <w:szCs w:val="20"/>
                <w:color w:val="auto"/>
              </w:rPr>
            </w:pPr>
            <w:r>
              <w:rPr>
                <w:rFonts w:ascii="Arial" w:cs="Arial" w:eastAsia="Arial" w:hAnsi="Arial"/>
                <w:sz w:val="20"/>
                <w:szCs w:val="20"/>
                <w:color w:val="auto"/>
              </w:rPr>
              <w:t>Vice President, Treasurer</w:t>
            </w:r>
          </w:p>
        </w:tc>
        <w:tc>
          <w:tcPr>
            <w:tcW w:w="60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61" w:name="page62"/>
    <w:bookmarkEnd w:id="61"/>
    <w:p>
      <w:pPr>
        <w:spacing w:after="0"/>
        <w:rPr>
          <w:sz w:val="20"/>
          <w:szCs w:val="20"/>
          <w:color w:val="auto"/>
        </w:rPr>
      </w:pPr>
      <w:r>
        <w:rPr>
          <w:rFonts w:ascii="Arial" w:cs="Arial" w:eastAsia="Arial" w:hAnsi="Arial"/>
          <w:sz w:val="20"/>
          <w:szCs w:val="20"/>
          <w:color w:val="auto"/>
        </w:rPr>
        <w:t>ASSOCIATED FACILITY MANAGEMENT,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GCA SERVICES GROUP OF TEXAS, L.P.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20"/>
                <w:szCs w:val="20"/>
                <w:color w:val="auto"/>
              </w:rPr>
              <w:t>By:/s/</w:t>
            </w:r>
          </w:p>
        </w:tc>
        <w:tc>
          <w:tcPr>
            <w:tcW w:w="2080" w:type="dxa"/>
            <w:vAlign w:val="bottom"/>
            <w:gridSpan w:val="2"/>
          </w:tcPr>
          <w:p>
            <w:pPr>
              <w:ind w:left="120"/>
              <w:spacing w:after="0"/>
              <w:rPr>
                <w:sz w:val="20"/>
                <w:szCs w:val="20"/>
                <w:color w:val="auto"/>
              </w:rPr>
            </w:pPr>
            <w:r>
              <w:rPr>
                <w:rFonts w:ascii="Arial" w:cs="Arial" w:eastAsia="Arial" w:hAnsi="Arial"/>
                <w:sz w:val="20"/>
                <w:szCs w:val="20"/>
                <w:color w:val="auto"/>
              </w:rPr>
              <w:t>Tom Gallo</w:t>
            </w:r>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3"/>
        </w:trPr>
        <w:tc>
          <w:tcPr>
            <w:tcW w:w="600" w:type="dxa"/>
            <w:vAlign w:val="bottom"/>
            <w:gridSpan w:val="2"/>
          </w:tcPr>
          <w:p>
            <w:pPr>
              <w:spacing w:after="0"/>
              <w:rPr>
                <w:sz w:val="20"/>
                <w:szCs w:val="20"/>
                <w:color w:val="auto"/>
              </w:rPr>
            </w:pPr>
            <w:r>
              <w:rPr>
                <w:rFonts w:ascii="Arial" w:cs="Arial" w:eastAsia="Arial" w:hAnsi="Arial"/>
                <w:sz w:val="20"/>
                <w:szCs w:val="20"/>
                <w:color w:val="auto"/>
                <w:w w:val="98"/>
              </w:rPr>
              <w:t>Name:</w:t>
            </w:r>
          </w:p>
        </w:tc>
        <w:tc>
          <w:tcPr>
            <w:tcW w:w="2080" w:type="dxa"/>
            <w:vAlign w:val="bottom"/>
            <w:gridSpan w:val="2"/>
          </w:tcPr>
          <w:p>
            <w:pPr>
              <w:ind w:left="140"/>
              <w:spacing w:after="0"/>
              <w:rPr>
                <w:sz w:val="20"/>
                <w:szCs w:val="20"/>
                <w:color w:val="auto"/>
              </w:rPr>
            </w:pPr>
            <w:r>
              <w:rPr>
                <w:rFonts w:ascii="Arial" w:cs="Arial" w:eastAsia="Arial" w:hAnsi="Arial"/>
                <w:sz w:val="20"/>
                <w:szCs w:val="20"/>
                <w:color w:val="auto"/>
              </w:rPr>
              <w:t>Tom Gallo</w:t>
            </w:r>
          </w:p>
        </w:tc>
      </w:tr>
      <w:tr>
        <w:trPr>
          <w:trHeight w:val="250"/>
        </w:trPr>
        <w:tc>
          <w:tcPr>
            <w:tcW w:w="600" w:type="dxa"/>
            <w:vAlign w:val="bottom"/>
            <w:gridSpan w:val="2"/>
          </w:tcPr>
          <w:p>
            <w:pPr>
              <w:spacing w:after="0"/>
              <w:rPr>
                <w:sz w:val="20"/>
                <w:szCs w:val="20"/>
                <w:color w:val="auto"/>
              </w:rPr>
            </w:pPr>
            <w:r>
              <w:rPr>
                <w:rFonts w:ascii="Arial" w:cs="Arial" w:eastAsia="Arial" w:hAnsi="Arial"/>
                <w:sz w:val="20"/>
                <w:szCs w:val="20"/>
                <w:color w:val="auto"/>
              </w:rPr>
              <w:t>Title:</w:t>
            </w:r>
          </w:p>
        </w:tc>
        <w:tc>
          <w:tcPr>
            <w:tcW w:w="2080" w:type="dxa"/>
            <w:vAlign w:val="bottom"/>
            <w:gridSpan w:val="2"/>
          </w:tcPr>
          <w:p>
            <w:pPr>
              <w:ind w:left="80"/>
              <w:spacing w:after="0"/>
              <w:rPr>
                <w:sz w:val="20"/>
                <w:szCs w:val="20"/>
                <w:color w:val="auto"/>
              </w:rPr>
            </w:pPr>
            <w:r>
              <w:rPr>
                <w:rFonts w:ascii="Arial" w:cs="Arial" w:eastAsia="Arial" w:hAnsi="Arial"/>
                <w:sz w:val="20"/>
                <w:szCs w:val="20"/>
                <w:color w:val="auto"/>
                <w:w w:val="87"/>
              </w:rPr>
              <w:t>Vice President,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66"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2860" w:type="dxa"/>
            <w:vAlign w:val="bottom"/>
            <w:gridSpan w:val="2"/>
          </w:tcPr>
          <w:p>
            <w:pPr>
              <w:spacing w:after="0"/>
              <w:rPr>
                <w:sz w:val="20"/>
                <w:szCs w:val="20"/>
                <w:color w:val="auto"/>
              </w:rPr>
            </w:pPr>
            <w:r>
              <w:rPr>
                <w:rFonts w:ascii="Arial" w:cs="Arial" w:eastAsia="Arial" w:hAnsi="Arial"/>
                <w:sz w:val="20"/>
                <w:szCs w:val="20"/>
                <w:color w:val="auto"/>
              </w:rPr>
              <w:t>ADMINISTRATIVE AGENT:</w:t>
            </w:r>
          </w:p>
        </w:tc>
        <w:tc>
          <w:tcPr>
            <w:tcW w:w="3480" w:type="dxa"/>
            <w:vAlign w:val="bottom"/>
            <w:gridSpan w:val="4"/>
          </w:tcPr>
          <w:p>
            <w:pPr>
              <w:ind w:left="380"/>
              <w:spacing w:after="0"/>
              <w:rPr>
                <w:sz w:val="20"/>
                <w:szCs w:val="20"/>
                <w:color w:val="auto"/>
              </w:rPr>
            </w:pPr>
            <w:r>
              <w:rPr>
                <w:rFonts w:ascii="Arial" w:cs="Arial" w:eastAsia="Arial" w:hAnsi="Arial"/>
                <w:sz w:val="20"/>
                <w:szCs w:val="20"/>
                <w:color w:val="auto"/>
              </w:rPr>
              <w:t>BANK OF AMERICA, N.A.,</w:t>
            </w:r>
          </w:p>
        </w:tc>
      </w:tr>
      <w:tr>
        <w:trPr>
          <w:trHeight w:val="254"/>
        </w:trPr>
        <w:tc>
          <w:tcPr>
            <w:tcW w:w="240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3480" w:type="dxa"/>
            <w:vAlign w:val="bottom"/>
            <w:gridSpan w:val="4"/>
          </w:tcPr>
          <w:p>
            <w:pPr>
              <w:ind w:left="380"/>
              <w:spacing w:after="0"/>
              <w:rPr>
                <w:sz w:val="20"/>
                <w:szCs w:val="20"/>
                <w:color w:val="auto"/>
              </w:rPr>
            </w:pPr>
            <w:r>
              <w:rPr>
                <w:rFonts w:ascii="Arial" w:cs="Arial" w:eastAsia="Arial" w:hAnsi="Arial"/>
                <w:sz w:val="20"/>
                <w:szCs w:val="20"/>
                <w:color w:val="auto"/>
                <w:w w:val="91"/>
              </w:rPr>
              <w:t>in its capacity as Administrative Agent</w:t>
            </w:r>
          </w:p>
        </w:tc>
      </w:tr>
      <w:tr>
        <w:trPr>
          <w:trHeight w:val="644"/>
        </w:trPr>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ind w:left="380"/>
              <w:spacing w:after="0"/>
              <w:rPr>
                <w:sz w:val="20"/>
                <w:szCs w:val="20"/>
                <w:color w:val="auto"/>
              </w:rPr>
            </w:pPr>
            <w:r>
              <w:rPr>
                <w:rFonts w:ascii="Arial" w:cs="Arial" w:eastAsia="Arial" w:hAnsi="Arial"/>
                <w:sz w:val="20"/>
                <w:szCs w:val="20"/>
                <w:color w:val="auto"/>
              </w:rPr>
              <w:t>By:/s/</w:t>
            </w:r>
          </w:p>
        </w:tc>
        <w:tc>
          <w:tcPr>
            <w:tcW w:w="2500" w:type="dxa"/>
            <w:vAlign w:val="bottom"/>
            <w:gridSpan w:val="2"/>
          </w:tcPr>
          <w:p>
            <w:pPr>
              <w:ind w:left="120"/>
              <w:spacing w:after="0"/>
              <w:rPr>
                <w:sz w:val="20"/>
                <w:szCs w:val="20"/>
                <w:color w:val="auto"/>
              </w:rPr>
            </w:pPr>
            <w:r>
              <w:rPr>
                <w:rFonts w:ascii="Arial" w:cs="Arial" w:eastAsia="Arial" w:hAnsi="Arial"/>
                <w:sz w:val="20"/>
                <w:szCs w:val="20"/>
                <w:color w:val="auto"/>
              </w:rPr>
              <w:t>Elizabeth Uribe</w:t>
            </w:r>
          </w:p>
        </w:tc>
      </w:tr>
      <w:tr>
        <w:trPr>
          <w:trHeight w:val="20"/>
        </w:trPr>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3"/>
        </w:trPr>
        <w:tc>
          <w:tcPr>
            <w:tcW w:w="2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ind w:left="380"/>
              <w:spacing w:after="0"/>
              <w:rPr>
                <w:sz w:val="20"/>
                <w:szCs w:val="20"/>
                <w:color w:val="auto"/>
              </w:rPr>
            </w:pPr>
            <w:r>
              <w:rPr>
                <w:rFonts w:ascii="Arial" w:cs="Arial" w:eastAsia="Arial" w:hAnsi="Arial"/>
                <w:sz w:val="20"/>
                <w:szCs w:val="20"/>
                <w:color w:val="auto"/>
                <w:w w:val="98"/>
              </w:rPr>
              <w:t>Name:</w:t>
            </w:r>
          </w:p>
        </w:tc>
        <w:tc>
          <w:tcPr>
            <w:tcW w:w="2500" w:type="dxa"/>
            <w:vAlign w:val="bottom"/>
            <w:gridSpan w:val="2"/>
          </w:tcPr>
          <w:p>
            <w:pPr>
              <w:ind w:left="140"/>
              <w:spacing w:after="0"/>
              <w:rPr>
                <w:sz w:val="20"/>
                <w:szCs w:val="20"/>
                <w:color w:val="auto"/>
              </w:rPr>
            </w:pPr>
            <w:r>
              <w:rPr>
                <w:rFonts w:ascii="Arial" w:cs="Arial" w:eastAsia="Arial" w:hAnsi="Arial"/>
                <w:sz w:val="20"/>
                <w:szCs w:val="20"/>
                <w:color w:val="auto"/>
              </w:rPr>
              <w:t>Elizabeth Uribe</w:t>
            </w:r>
          </w:p>
        </w:tc>
      </w:tr>
      <w:tr>
        <w:trPr>
          <w:trHeight w:val="250"/>
        </w:trPr>
        <w:tc>
          <w:tcPr>
            <w:tcW w:w="2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ind w:left="380"/>
              <w:spacing w:after="0"/>
              <w:rPr>
                <w:sz w:val="20"/>
                <w:szCs w:val="20"/>
                <w:color w:val="auto"/>
              </w:rPr>
            </w:pPr>
            <w:r>
              <w:rPr>
                <w:rFonts w:ascii="Arial" w:cs="Arial" w:eastAsia="Arial" w:hAnsi="Arial"/>
                <w:sz w:val="20"/>
                <w:szCs w:val="20"/>
                <w:color w:val="auto"/>
              </w:rPr>
              <w:t>Title:</w:t>
            </w:r>
          </w:p>
        </w:tc>
        <w:tc>
          <w:tcPr>
            <w:tcW w:w="2500" w:type="dxa"/>
            <w:vAlign w:val="bottom"/>
            <w:gridSpan w:val="2"/>
          </w:tcPr>
          <w:p>
            <w:pPr>
              <w:ind w:left="60"/>
              <w:spacing w:after="0"/>
              <w:rPr>
                <w:sz w:val="20"/>
                <w:szCs w:val="20"/>
                <w:color w:val="auto"/>
              </w:rPr>
            </w:pPr>
            <w:r>
              <w:rPr>
                <w:rFonts w:ascii="Arial" w:cs="Arial" w:eastAsia="Arial" w:hAnsi="Arial"/>
                <w:sz w:val="20"/>
                <w:szCs w:val="20"/>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3960" w:type="dxa"/>
            <w:vAlign w:val="bottom"/>
            <w:gridSpan w:val="3"/>
          </w:tcPr>
          <w:p>
            <w:pPr>
              <w:ind w:left="1140"/>
              <w:spacing w:after="0"/>
              <w:rPr>
                <w:sz w:val="20"/>
                <w:szCs w:val="20"/>
                <w:color w:val="auto"/>
              </w:rPr>
            </w:pPr>
            <w:r>
              <w:rPr>
                <w:rFonts w:ascii="Arial" w:cs="Arial" w:eastAsia="Arial" w:hAnsi="Arial"/>
                <w:sz w:val="20"/>
                <w:szCs w:val="20"/>
                <w:color w:val="auto"/>
              </w:rPr>
              <w:t>BANK OF AMERICA, N.A.,</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396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220" w:type="dxa"/>
            <w:vAlign w:val="bottom"/>
          </w:tcPr>
          <w:p>
            <w:pPr>
              <w:ind w:left="120"/>
              <w:spacing w:after="0"/>
              <w:rPr>
                <w:sz w:val="20"/>
                <w:szCs w:val="20"/>
                <w:color w:val="auto"/>
              </w:rPr>
            </w:pPr>
            <w:r>
              <w:rPr>
                <w:rFonts w:ascii="Arial" w:cs="Arial" w:eastAsia="Arial" w:hAnsi="Arial"/>
                <w:sz w:val="20"/>
                <w:szCs w:val="20"/>
                <w:color w:val="auto"/>
              </w:rPr>
              <w:t>Jana L. Baker</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220" w:type="dxa"/>
            <w:vAlign w:val="bottom"/>
          </w:tcPr>
          <w:p>
            <w:pPr>
              <w:ind w:left="140"/>
              <w:spacing w:after="0"/>
              <w:rPr>
                <w:sz w:val="20"/>
                <w:szCs w:val="20"/>
                <w:color w:val="auto"/>
              </w:rPr>
            </w:pPr>
            <w:r>
              <w:rPr>
                <w:rFonts w:ascii="Arial" w:cs="Arial" w:eastAsia="Arial" w:hAnsi="Arial"/>
                <w:sz w:val="20"/>
                <w:szCs w:val="20"/>
                <w:color w:val="auto"/>
              </w:rPr>
              <w:t>Jana L. Baker</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220" w:type="dxa"/>
            <w:vAlign w:val="bottom"/>
          </w:tcPr>
          <w:p>
            <w:pPr>
              <w:ind w:left="8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060" w:type="dxa"/>
            <w:vAlign w:val="bottom"/>
            <w:gridSpan w:val="4"/>
          </w:tcPr>
          <w:p>
            <w:pPr>
              <w:ind w:left="1140"/>
              <w:spacing w:after="0"/>
              <w:rPr>
                <w:sz w:val="20"/>
                <w:szCs w:val="20"/>
                <w:color w:val="auto"/>
              </w:rPr>
            </w:pPr>
            <w:r>
              <w:rPr>
                <w:rFonts w:ascii="Arial" w:cs="Arial" w:eastAsia="Arial" w:hAnsi="Arial"/>
                <w:sz w:val="20"/>
                <w:szCs w:val="20"/>
                <w:color w:val="auto"/>
                <w:w w:val="95"/>
              </w:rPr>
              <w:t>JPMORGAN CHASE BANK, N.A.,</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06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320" w:type="dxa"/>
            <w:vAlign w:val="bottom"/>
            <w:gridSpan w:val="2"/>
          </w:tcPr>
          <w:p>
            <w:pPr>
              <w:jc w:val="center"/>
              <w:ind w:right="720"/>
              <w:spacing w:after="0"/>
              <w:rPr>
                <w:sz w:val="20"/>
                <w:szCs w:val="20"/>
                <w:color w:val="auto"/>
              </w:rPr>
            </w:pPr>
            <w:r>
              <w:rPr>
                <w:rFonts w:ascii="Arial" w:cs="Arial" w:eastAsia="Arial" w:hAnsi="Arial"/>
                <w:sz w:val="20"/>
                <w:szCs w:val="20"/>
                <w:color w:val="auto"/>
                <w:w w:val="90"/>
              </w:rPr>
              <w:t>Devin Roccisano</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320" w:type="dxa"/>
            <w:vAlign w:val="bottom"/>
            <w:gridSpan w:val="2"/>
          </w:tcPr>
          <w:p>
            <w:pPr>
              <w:jc w:val="center"/>
              <w:ind w:right="680"/>
              <w:spacing w:after="0"/>
              <w:rPr>
                <w:sz w:val="20"/>
                <w:szCs w:val="20"/>
                <w:color w:val="auto"/>
              </w:rPr>
            </w:pPr>
            <w:r>
              <w:rPr>
                <w:rFonts w:ascii="Arial" w:cs="Arial" w:eastAsia="Arial" w:hAnsi="Arial"/>
                <w:sz w:val="20"/>
                <w:szCs w:val="20"/>
                <w:color w:val="auto"/>
                <w:w w:val="90"/>
              </w:rPr>
              <w:t>Devin Roccisano</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320" w:type="dxa"/>
            <w:vAlign w:val="bottom"/>
            <w:gridSpan w:val="2"/>
          </w:tcPr>
          <w:p>
            <w:pPr>
              <w:jc w:val="center"/>
              <w:ind w:right="660"/>
              <w:spacing w:after="0"/>
              <w:rPr>
                <w:sz w:val="20"/>
                <w:szCs w:val="20"/>
                <w:color w:val="auto"/>
              </w:rPr>
            </w:pPr>
            <w:r>
              <w:rPr>
                <w:rFonts w:ascii="Arial" w:cs="Arial" w:eastAsia="Arial" w:hAnsi="Arial"/>
                <w:sz w:val="20"/>
                <w:szCs w:val="20"/>
                <w:color w:val="auto"/>
                <w:w w:val="92"/>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3640" w:type="dxa"/>
            <w:vAlign w:val="bottom"/>
            <w:gridSpan w:val="3"/>
          </w:tcPr>
          <w:p>
            <w:pPr>
              <w:ind w:left="1140"/>
              <w:spacing w:after="0"/>
              <w:rPr>
                <w:sz w:val="20"/>
                <w:szCs w:val="20"/>
                <w:color w:val="auto"/>
              </w:rPr>
            </w:pPr>
            <w:r>
              <w:rPr>
                <w:rFonts w:ascii="Arial" w:cs="Arial" w:eastAsia="Arial" w:hAnsi="Arial"/>
                <w:sz w:val="20"/>
                <w:szCs w:val="20"/>
                <w:color w:val="auto"/>
              </w:rPr>
              <w:t>MUFG Bank Ltd.,</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364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1900" w:type="dxa"/>
            <w:vAlign w:val="bottom"/>
          </w:tcPr>
          <w:p>
            <w:pPr>
              <w:ind w:left="120"/>
              <w:spacing w:after="0"/>
              <w:rPr>
                <w:sz w:val="20"/>
                <w:szCs w:val="20"/>
                <w:color w:val="auto"/>
              </w:rPr>
            </w:pPr>
            <w:r>
              <w:rPr>
                <w:rFonts w:ascii="Arial" w:cs="Arial" w:eastAsia="Arial" w:hAnsi="Arial"/>
                <w:sz w:val="20"/>
                <w:szCs w:val="20"/>
                <w:color w:val="auto"/>
              </w:rPr>
              <w:t>Liwei Liu</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1900" w:type="dxa"/>
            <w:vAlign w:val="bottom"/>
          </w:tcPr>
          <w:p>
            <w:pPr>
              <w:ind w:left="140"/>
              <w:spacing w:after="0"/>
              <w:rPr>
                <w:sz w:val="20"/>
                <w:szCs w:val="20"/>
                <w:color w:val="auto"/>
              </w:rPr>
            </w:pPr>
            <w:r>
              <w:rPr>
                <w:rFonts w:ascii="Arial" w:cs="Arial" w:eastAsia="Arial" w:hAnsi="Arial"/>
                <w:sz w:val="20"/>
                <w:szCs w:val="20"/>
                <w:color w:val="auto"/>
              </w:rPr>
              <w:t>Liwei Liu</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1900" w:type="dxa"/>
            <w:vAlign w:val="bottom"/>
          </w:tcPr>
          <w:p>
            <w:pPr>
              <w:ind w:left="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3640" w:type="dxa"/>
            <w:vAlign w:val="bottom"/>
            <w:gridSpan w:val="3"/>
          </w:tcPr>
          <w:p>
            <w:pPr>
              <w:ind w:left="1140"/>
              <w:spacing w:after="0"/>
              <w:rPr>
                <w:sz w:val="20"/>
                <w:szCs w:val="20"/>
                <w:color w:val="auto"/>
              </w:rPr>
            </w:pPr>
            <w:r>
              <w:rPr>
                <w:rFonts w:ascii="Arial" w:cs="Arial" w:eastAsia="Arial" w:hAnsi="Arial"/>
                <w:sz w:val="20"/>
                <w:szCs w:val="20"/>
                <w:color w:val="auto"/>
              </w:rPr>
              <w:t>Bank of the West,</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364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1900" w:type="dxa"/>
            <w:vAlign w:val="bottom"/>
          </w:tcPr>
          <w:p>
            <w:pPr>
              <w:ind w:left="120"/>
              <w:spacing w:after="0"/>
              <w:rPr>
                <w:sz w:val="20"/>
                <w:szCs w:val="20"/>
                <w:color w:val="auto"/>
              </w:rPr>
            </w:pPr>
            <w:r>
              <w:rPr>
                <w:rFonts w:ascii="Arial" w:cs="Arial" w:eastAsia="Arial" w:hAnsi="Arial"/>
                <w:sz w:val="20"/>
                <w:szCs w:val="20"/>
                <w:color w:val="auto"/>
              </w:rPr>
              <w:t>Rob Kido</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1900" w:type="dxa"/>
            <w:vAlign w:val="bottom"/>
          </w:tcPr>
          <w:p>
            <w:pPr>
              <w:ind w:left="140"/>
              <w:spacing w:after="0"/>
              <w:rPr>
                <w:sz w:val="20"/>
                <w:szCs w:val="20"/>
                <w:color w:val="auto"/>
              </w:rPr>
            </w:pPr>
            <w:r>
              <w:rPr>
                <w:rFonts w:ascii="Arial" w:cs="Arial" w:eastAsia="Arial" w:hAnsi="Arial"/>
                <w:sz w:val="20"/>
                <w:szCs w:val="20"/>
                <w:color w:val="auto"/>
              </w:rPr>
              <w:t>Rob Kido</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1900" w:type="dxa"/>
            <w:vAlign w:val="bottom"/>
          </w:tcPr>
          <w:p>
            <w:pPr>
              <w:ind w:left="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3920" w:type="dxa"/>
            <w:vAlign w:val="bottom"/>
            <w:gridSpan w:val="4"/>
          </w:tcPr>
          <w:p>
            <w:pPr>
              <w:ind w:left="1140"/>
              <w:spacing w:after="0"/>
              <w:rPr>
                <w:sz w:val="20"/>
                <w:szCs w:val="20"/>
                <w:color w:val="auto"/>
              </w:rPr>
            </w:pPr>
            <w:r>
              <w:rPr>
                <w:rFonts w:ascii="Arial" w:cs="Arial" w:eastAsia="Arial" w:hAnsi="Arial"/>
                <w:sz w:val="20"/>
                <w:szCs w:val="20"/>
                <w:color w:val="auto"/>
                <w:w w:val="90"/>
              </w:rPr>
              <w:t>Capital One, National Association,</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392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180" w:type="dxa"/>
            <w:vAlign w:val="bottom"/>
            <w:gridSpan w:val="2"/>
          </w:tcPr>
          <w:p>
            <w:pPr>
              <w:ind w:left="120"/>
              <w:spacing w:after="0"/>
              <w:rPr>
                <w:sz w:val="20"/>
                <w:szCs w:val="20"/>
                <w:color w:val="auto"/>
              </w:rPr>
            </w:pPr>
            <w:r>
              <w:rPr>
                <w:rFonts w:ascii="Arial" w:cs="Arial" w:eastAsia="Arial" w:hAnsi="Arial"/>
                <w:sz w:val="20"/>
                <w:szCs w:val="20"/>
                <w:color w:val="auto"/>
              </w:rPr>
              <w:t>Paul Darrigo</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180" w:type="dxa"/>
            <w:vAlign w:val="bottom"/>
            <w:gridSpan w:val="2"/>
          </w:tcPr>
          <w:p>
            <w:pPr>
              <w:ind w:left="140"/>
              <w:spacing w:after="0"/>
              <w:rPr>
                <w:sz w:val="20"/>
                <w:szCs w:val="20"/>
                <w:color w:val="auto"/>
              </w:rPr>
            </w:pPr>
            <w:r>
              <w:rPr>
                <w:rFonts w:ascii="Arial" w:cs="Arial" w:eastAsia="Arial" w:hAnsi="Arial"/>
                <w:sz w:val="20"/>
                <w:szCs w:val="20"/>
                <w:color w:val="auto"/>
              </w:rPr>
              <w:t>Paul Darrigo</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180" w:type="dxa"/>
            <w:vAlign w:val="bottom"/>
            <w:gridSpan w:val="2"/>
          </w:tcPr>
          <w:p>
            <w:pPr>
              <w:ind w:left="8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560" w:type="dxa"/>
            <w:vAlign w:val="bottom"/>
            <w:gridSpan w:val="4"/>
          </w:tcPr>
          <w:p>
            <w:pPr>
              <w:ind w:left="1140"/>
              <w:spacing w:after="0"/>
              <w:rPr>
                <w:sz w:val="20"/>
                <w:szCs w:val="20"/>
                <w:color w:val="auto"/>
              </w:rPr>
            </w:pPr>
            <w:r>
              <w:rPr>
                <w:rFonts w:ascii="Arial" w:cs="Arial" w:eastAsia="Arial" w:hAnsi="Arial"/>
                <w:sz w:val="20"/>
                <w:szCs w:val="20"/>
                <w:color w:val="auto"/>
                <w:w w:val="96"/>
              </w:rPr>
              <w:t>U.S. BANK NATIONAL ASSOCIATION,</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56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rPr>
              <w:t>Paul F. Johnson</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820" w:type="dxa"/>
            <w:vAlign w:val="bottom"/>
            <w:gridSpan w:val="2"/>
          </w:tcPr>
          <w:p>
            <w:pPr>
              <w:ind w:left="140"/>
              <w:spacing w:after="0"/>
              <w:rPr>
                <w:sz w:val="20"/>
                <w:szCs w:val="20"/>
                <w:color w:val="auto"/>
              </w:rPr>
            </w:pPr>
            <w:r>
              <w:rPr>
                <w:rFonts w:ascii="Arial" w:cs="Arial" w:eastAsia="Arial" w:hAnsi="Arial"/>
                <w:sz w:val="20"/>
                <w:szCs w:val="20"/>
                <w:color w:val="auto"/>
              </w:rPr>
              <w:t>Paul F. Johnson</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820" w:type="dxa"/>
            <w:vAlign w:val="bottom"/>
            <w:gridSpan w:val="2"/>
          </w:tcPr>
          <w:p>
            <w:pPr>
              <w:ind w:left="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380" w:type="dxa"/>
            <w:vAlign w:val="bottom"/>
            <w:gridSpan w:val="4"/>
          </w:tcPr>
          <w:p>
            <w:pPr>
              <w:ind w:left="1140"/>
              <w:spacing w:after="0"/>
              <w:rPr>
                <w:sz w:val="20"/>
                <w:szCs w:val="20"/>
                <w:color w:val="auto"/>
              </w:rPr>
            </w:pPr>
            <w:r>
              <w:rPr>
                <w:rFonts w:ascii="Arial" w:cs="Arial" w:eastAsia="Arial" w:hAnsi="Arial"/>
                <w:sz w:val="20"/>
                <w:szCs w:val="20"/>
                <w:color w:val="auto"/>
                <w:w w:val="90"/>
              </w:rPr>
              <w:t>Wells Fargo Bank, National Association,</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38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640" w:type="dxa"/>
            <w:vAlign w:val="bottom"/>
            <w:gridSpan w:val="2"/>
          </w:tcPr>
          <w:p>
            <w:pPr>
              <w:ind w:left="120"/>
              <w:spacing w:after="0"/>
              <w:rPr>
                <w:sz w:val="20"/>
                <w:szCs w:val="20"/>
                <w:color w:val="auto"/>
              </w:rPr>
            </w:pPr>
            <w:r>
              <w:rPr>
                <w:rFonts w:ascii="Arial" w:cs="Arial" w:eastAsia="Arial" w:hAnsi="Arial"/>
                <w:sz w:val="20"/>
                <w:szCs w:val="20"/>
                <w:color w:val="auto"/>
              </w:rPr>
              <w:t>Emma Clifford</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640" w:type="dxa"/>
            <w:vAlign w:val="bottom"/>
            <w:gridSpan w:val="2"/>
          </w:tcPr>
          <w:p>
            <w:pPr>
              <w:ind w:left="140"/>
              <w:spacing w:after="0"/>
              <w:rPr>
                <w:sz w:val="20"/>
                <w:szCs w:val="20"/>
                <w:color w:val="auto"/>
              </w:rPr>
            </w:pPr>
            <w:r>
              <w:rPr>
                <w:rFonts w:ascii="Arial" w:cs="Arial" w:eastAsia="Arial" w:hAnsi="Arial"/>
                <w:sz w:val="20"/>
                <w:szCs w:val="20"/>
                <w:color w:val="auto"/>
              </w:rPr>
              <w:t>Emma Clifford</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640" w:type="dxa"/>
            <w:vAlign w:val="bottom"/>
            <w:gridSpan w:val="2"/>
          </w:tcPr>
          <w:p>
            <w:pPr>
              <w:ind w:left="80"/>
              <w:spacing w:after="0"/>
              <w:rPr>
                <w:sz w:val="20"/>
                <w:szCs w:val="20"/>
                <w:color w:val="auto"/>
              </w:rPr>
            </w:pPr>
            <w:r>
              <w:rPr>
                <w:rFonts w:ascii="Arial" w:cs="Arial" w:eastAsia="Arial" w:hAnsi="Arial"/>
                <w:sz w:val="20"/>
                <w:szCs w:val="20"/>
                <w:color w:val="auto"/>
              </w:rPr>
              <w:t>Director &amp; Portfolio Manager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060" w:type="dxa"/>
            <w:vAlign w:val="bottom"/>
            <w:gridSpan w:val="3"/>
          </w:tcPr>
          <w:p>
            <w:pPr>
              <w:ind w:left="1140"/>
              <w:spacing w:after="0"/>
              <w:rPr>
                <w:sz w:val="20"/>
                <w:szCs w:val="20"/>
                <w:color w:val="auto"/>
              </w:rPr>
            </w:pPr>
            <w:r>
              <w:rPr>
                <w:rFonts w:ascii="Arial" w:cs="Arial" w:eastAsia="Arial" w:hAnsi="Arial"/>
                <w:sz w:val="20"/>
                <w:szCs w:val="20"/>
                <w:color w:val="auto"/>
              </w:rPr>
              <w:t>SunTrust Bank,</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06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320" w:type="dxa"/>
            <w:vAlign w:val="bottom"/>
          </w:tcPr>
          <w:p>
            <w:pPr>
              <w:ind w:left="120"/>
              <w:spacing w:after="0"/>
              <w:rPr>
                <w:sz w:val="20"/>
                <w:szCs w:val="20"/>
                <w:color w:val="auto"/>
              </w:rPr>
            </w:pPr>
            <w:r>
              <w:rPr>
                <w:rFonts w:ascii="Arial" w:cs="Arial" w:eastAsia="Arial" w:hAnsi="Arial"/>
                <w:sz w:val="20"/>
                <w:szCs w:val="20"/>
                <w:color w:val="auto"/>
              </w:rPr>
              <w:t>Katherine Bass</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320" w:type="dxa"/>
            <w:vAlign w:val="bottom"/>
          </w:tcPr>
          <w:p>
            <w:pPr>
              <w:ind w:left="140"/>
              <w:spacing w:after="0"/>
              <w:rPr>
                <w:sz w:val="20"/>
                <w:szCs w:val="20"/>
                <w:color w:val="auto"/>
              </w:rPr>
            </w:pPr>
            <w:r>
              <w:rPr>
                <w:rFonts w:ascii="Arial" w:cs="Arial" w:eastAsia="Arial" w:hAnsi="Arial"/>
                <w:sz w:val="20"/>
                <w:szCs w:val="20"/>
                <w:color w:val="auto"/>
              </w:rPr>
              <w:t>Katherine Bass</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320" w:type="dxa"/>
            <w:vAlign w:val="bottom"/>
          </w:tcPr>
          <w:p>
            <w:pPr>
              <w:ind w:left="8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3960" w:type="dxa"/>
            <w:vAlign w:val="bottom"/>
            <w:gridSpan w:val="3"/>
          </w:tcPr>
          <w:p>
            <w:pPr>
              <w:ind w:left="1140"/>
              <w:spacing w:after="0"/>
              <w:rPr>
                <w:sz w:val="20"/>
                <w:szCs w:val="20"/>
                <w:color w:val="auto"/>
              </w:rPr>
            </w:pPr>
            <w:r>
              <w:rPr>
                <w:rFonts w:ascii="Arial" w:cs="Arial" w:eastAsia="Arial" w:hAnsi="Arial"/>
                <w:sz w:val="20"/>
                <w:szCs w:val="20"/>
                <w:color w:val="auto"/>
              </w:rPr>
              <w:t>Citizens Bank, N.A.,</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396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220" w:type="dxa"/>
            <w:vAlign w:val="bottom"/>
          </w:tcPr>
          <w:p>
            <w:pPr>
              <w:ind w:left="120"/>
              <w:spacing w:after="0"/>
              <w:rPr>
                <w:sz w:val="20"/>
                <w:szCs w:val="20"/>
                <w:color w:val="auto"/>
              </w:rPr>
            </w:pPr>
            <w:r>
              <w:rPr>
                <w:rFonts w:ascii="Arial" w:cs="Arial" w:eastAsia="Arial" w:hAnsi="Arial"/>
                <w:sz w:val="20"/>
                <w:szCs w:val="20"/>
                <w:color w:val="auto"/>
              </w:rPr>
              <w:t>Angela Reilly</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220" w:type="dxa"/>
            <w:vAlign w:val="bottom"/>
          </w:tcPr>
          <w:p>
            <w:pPr>
              <w:ind w:left="120"/>
              <w:spacing w:after="0"/>
              <w:rPr>
                <w:sz w:val="20"/>
                <w:szCs w:val="20"/>
                <w:color w:val="auto"/>
              </w:rPr>
            </w:pPr>
            <w:r>
              <w:rPr>
                <w:rFonts w:ascii="Arial" w:cs="Arial" w:eastAsia="Arial" w:hAnsi="Arial"/>
                <w:sz w:val="20"/>
                <w:szCs w:val="20"/>
                <w:color w:val="auto"/>
              </w:rPr>
              <w:t>Angela Reilly</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220" w:type="dxa"/>
            <w:vAlign w:val="bottom"/>
          </w:tcPr>
          <w:p>
            <w:pPr>
              <w:ind w:left="8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200" w:type="dxa"/>
            <w:vAlign w:val="bottom"/>
            <w:gridSpan w:val="3"/>
          </w:tcPr>
          <w:p>
            <w:pPr>
              <w:ind w:left="1140"/>
              <w:spacing w:after="0"/>
              <w:rPr>
                <w:sz w:val="20"/>
                <w:szCs w:val="20"/>
                <w:color w:val="auto"/>
              </w:rPr>
            </w:pPr>
            <w:r>
              <w:rPr>
                <w:rFonts w:ascii="Arial" w:cs="Arial" w:eastAsia="Arial" w:hAnsi="Arial"/>
                <w:sz w:val="20"/>
                <w:szCs w:val="20"/>
                <w:color w:val="auto"/>
              </w:rPr>
              <w:t>FIFTH THIRD BANK,</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20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460" w:type="dxa"/>
            <w:vAlign w:val="bottom"/>
          </w:tcPr>
          <w:p>
            <w:pPr>
              <w:ind w:left="120"/>
              <w:spacing w:after="0"/>
              <w:rPr>
                <w:sz w:val="20"/>
                <w:szCs w:val="20"/>
                <w:color w:val="auto"/>
              </w:rPr>
            </w:pPr>
            <w:r>
              <w:rPr>
                <w:rFonts w:ascii="Arial" w:cs="Arial" w:eastAsia="Arial" w:hAnsi="Arial"/>
                <w:sz w:val="20"/>
                <w:szCs w:val="20"/>
                <w:color w:val="auto"/>
              </w:rPr>
              <w:t>Christopher Griffin</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460" w:type="dxa"/>
            <w:vAlign w:val="bottom"/>
          </w:tcPr>
          <w:p>
            <w:pPr>
              <w:ind w:left="140"/>
              <w:spacing w:after="0"/>
              <w:rPr>
                <w:sz w:val="20"/>
                <w:szCs w:val="20"/>
                <w:color w:val="auto"/>
              </w:rPr>
            </w:pPr>
            <w:r>
              <w:rPr>
                <w:rFonts w:ascii="Arial" w:cs="Arial" w:eastAsia="Arial" w:hAnsi="Arial"/>
                <w:sz w:val="20"/>
                <w:szCs w:val="20"/>
                <w:color w:val="auto"/>
              </w:rPr>
              <w:t>Christopher Griffin</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460" w:type="dxa"/>
            <w:vAlign w:val="bottom"/>
          </w:tcPr>
          <w:p>
            <w:pPr>
              <w:ind w:left="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280" w:type="dxa"/>
            <w:vAlign w:val="bottom"/>
            <w:gridSpan w:val="4"/>
          </w:tcPr>
          <w:p>
            <w:pPr>
              <w:ind w:left="1140"/>
              <w:spacing w:after="0"/>
              <w:rPr>
                <w:sz w:val="20"/>
                <w:szCs w:val="20"/>
                <w:color w:val="auto"/>
              </w:rPr>
            </w:pPr>
            <w:r>
              <w:rPr>
                <w:rFonts w:ascii="Arial" w:cs="Arial" w:eastAsia="Arial" w:hAnsi="Arial"/>
                <w:sz w:val="20"/>
                <w:szCs w:val="20"/>
                <w:color w:val="auto"/>
                <w:w w:val="89"/>
              </w:rPr>
              <w:t>Goldman Sachs Lending Partners LLC,</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28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540" w:type="dxa"/>
            <w:vAlign w:val="bottom"/>
            <w:gridSpan w:val="2"/>
          </w:tcPr>
          <w:p>
            <w:pPr>
              <w:ind w:left="120"/>
              <w:spacing w:after="0"/>
              <w:rPr>
                <w:sz w:val="20"/>
                <w:szCs w:val="20"/>
                <w:color w:val="auto"/>
              </w:rPr>
            </w:pPr>
            <w:r>
              <w:rPr>
                <w:rFonts w:ascii="Arial" w:cs="Arial" w:eastAsia="Arial" w:hAnsi="Arial"/>
                <w:sz w:val="20"/>
                <w:szCs w:val="20"/>
                <w:color w:val="auto"/>
              </w:rPr>
              <w:t>Chris Lam</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540" w:type="dxa"/>
            <w:vAlign w:val="bottom"/>
            <w:gridSpan w:val="2"/>
          </w:tcPr>
          <w:p>
            <w:pPr>
              <w:ind w:left="140"/>
              <w:spacing w:after="0"/>
              <w:rPr>
                <w:sz w:val="20"/>
                <w:szCs w:val="20"/>
                <w:color w:val="auto"/>
              </w:rPr>
            </w:pPr>
            <w:r>
              <w:rPr>
                <w:rFonts w:ascii="Arial" w:cs="Arial" w:eastAsia="Arial" w:hAnsi="Arial"/>
                <w:sz w:val="20"/>
                <w:szCs w:val="20"/>
                <w:color w:val="auto"/>
              </w:rPr>
              <w:t>Chris Lam</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540" w:type="dxa"/>
            <w:vAlign w:val="bottom"/>
            <w:gridSpan w:val="2"/>
          </w:tcPr>
          <w:p>
            <w:pPr>
              <w:ind w:left="6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5220" w:type="dxa"/>
            <w:vAlign w:val="bottom"/>
            <w:gridSpan w:val="4"/>
          </w:tcPr>
          <w:p>
            <w:pPr>
              <w:ind w:left="1140"/>
              <w:spacing w:after="0"/>
              <w:rPr>
                <w:sz w:val="20"/>
                <w:szCs w:val="20"/>
                <w:color w:val="auto"/>
              </w:rPr>
            </w:pPr>
            <w:r>
              <w:rPr>
                <w:rFonts w:ascii="Arial" w:cs="Arial" w:eastAsia="Arial" w:hAnsi="Arial"/>
                <w:sz w:val="20"/>
                <w:szCs w:val="20"/>
                <w:color w:val="auto"/>
                <w:w w:val="96"/>
              </w:rPr>
              <w:t>HSBC BANK USA, NATIONAL ASSOCIATION,</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522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3500" w:type="dxa"/>
            <w:vAlign w:val="bottom"/>
            <w:gridSpan w:val="2"/>
          </w:tcPr>
          <w:p>
            <w:pPr>
              <w:ind w:left="140"/>
              <w:spacing w:after="0"/>
              <w:rPr>
                <w:sz w:val="20"/>
                <w:szCs w:val="20"/>
                <w:color w:val="auto"/>
              </w:rPr>
            </w:pPr>
            <w:r>
              <w:rPr>
                <w:rFonts w:ascii="Arial" w:cs="Arial" w:eastAsia="Arial" w:hAnsi="Arial"/>
                <w:sz w:val="20"/>
                <w:szCs w:val="20"/>
                <w:color w:val="auto"/>
              </w:rPr>
              <w:t>Robert J. Levins</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20" w:type="dxa"/>
            <w:vAlign w:val="bottom"/>
            <w:gridSpan w:val="2"/>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20" w:type="dxa"/>
            <w:vAlign w:val="bottom"/>
            <w:gridSpan w:val="4"/>
          </w:tcPr>
          <w:p>
            <w:pPr>
              <w:ind w:left="1140"/>
              <w:spacing w:after="0"/>
              <w:rPr>
                <w:sz w:val="20"/>
                <w:szCs w:val="20"/>
                <w:color w:val="auto"/>
              </w:rPr>
            </w:pPr>
            <w:r>
              <w:rPr>
                <w:rFonts w:ascii="Arial" w:cs="Arial" w:eastAsia="Arial" w:hAnsi="Arial"/>
                <w:sz w:val="20"/>
                <w:szCs w:val="20"/>
                <w:color w:val="auto"/>
              </w:rPr>
              <w:t>Name:  Robert J. Levins #21435</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3500" w:type="dxa"/>
            <w:vAlign w:val="bottom"/>
            <w:gridSpan w:val="2"/>
          </w:tcPr>
          <w:p>
            <w:pPr>
              <w:ind w:left="10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3980" w:type="dxa"/>
            <w:vAlign w:val="bottom"/>
            <w:gridSpan w:val="3"/>
          </w:tcPr>
          <w:p>
            <w:pPr>
              <w:ind w:left="1140"/>
              <w:spacing w:after="0"/>
              <w:rPr>
                <w:sz w:val="20"/>
                <w:szCs w:val="20"/>
                <w:color w:val="auto"/>
              </w:rPr>
            </w:pPr>
            <w:r>
              <w:rPr>
                <w:rFonts w:ascii="Arial" w:cs="Arial" w:eastAsia="Arial" w:hAnsi="Arial"/>
                <w:sz w:val="20"/>
                <w:szCs w:val="20"/>
                <w:color w:val="auto"/>
              </w:rPr>
              <w:t>PNC BANK N.A.,</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398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240" w:type="dxa"/>
            <w:vAlign w:val="bottom"/>
          </w:tcPr>
          <w:p>
            <w:pPr>
              <w:ind w:left="120"/>
              <w:spacing w:after="0"/>
              <w:rPr>
                <w:sz w:val="20"/>
                <w:szCs w:val="20"/>
                <w:color w:val="auto"/>
              </w:rPr>
            </w:pPr>
            <w:r>
              <w:rPr>
                <w:rFonts w:ascii="Arial" w:cs="Arial" w:eastAsia="Arial" w:hAnsi="Arial"/>
                <w:sz w:val="20"/>
                <w:szCs w:val="20"/>
                <w:color w:val="auto"/>
              </w:rPr>
              <w:t>Eleanor Orlando</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240" w:type="dxa"/>
            <w:vAlign w:val="bottom"/>
          </w:tcPr>
          <w:p>
            <w:pPr>
              <w:ind w:left="140"/>
              <w:spacing w:after="0"/>
              <w:rPr>
                <w:sz w:val="20"/>
                <w:szCs w:val="20"/>
                <w:color w:val="auto"/>
              </w:rPr>
            </w:pPr>
            <w:r>
              <w:rPr>
                <w:rFonts w:ascii="Arial" w:cs="Arial" w:eastAsia="Arial" w:hAnsi="Arial"/>
                <w:sz w:val="20"/>
                <w:szCs w:val="20"/>
                <w:color w:val="auto"/>
              </w:rPr>
              <w:t>Eleanor Orlando</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240" w:type="dxa"/>
            <w:vAlign w:val="bottom"/>
          </w:tcPr>
          <w:p>
            <w:pPr>
              <w:ind w:left="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060" w:type="dxa"/>
            <w:vAlign w:val="bottom"/>
            <w:gridSpan w:val="3"/>
          </w:tcPr>
          <w:p>
            <w:pPr>
              <w:ind w:left="1140"/>
              <w:spacing w:after="0"/>
              <w:rPr>
                <w:sz w:val="20"/>
                <w:szCs w:val="20"/>
                <w:color w:val="auto"/>
              </w:rPr>
            </w:pPr>
            <w:r>
              <w:rPr>
                <w:rFonts w:ascii="Arial" w:cs="Arial" w:eastAsia="Arial" w:hAnsi="Arial"/>
                <w:sz w:val="20"/>
                <w:szCs w:val="20"/>
                <w:color w:val="auto"/>
              </w:rPr>
              <w:t>BankUnited N.A.,</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06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320" w:type="dxa"/>
            <w:vAlign w:val="bottom"/>
          </w:tcPr>
          <w:p>
            <w:pPr>
              <w:ind w:left="120"/>
              <w:spacing w:after="0"/>
              <w:rPr>
                <w:sz w:val="20"/>
                <w:szCs w:val="20"/>
                <w:color w:val="auto"/>
              </w:rPr>
            </w:pPr>
            <w:r>
              <w:rPr>
                <w:rFonts w:ascii="Arial" w:cs="Arial" w:eastAsia="Arial" w:hAnsi="Arial"/>
                <w:sz w:val="20"/>
                <w:szCs w:val="20"/>
                <w:color w:val="auto"/>
              </w:rPr>
              <w:t>Matthew Gallo</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320" w:type="dxa"/>
            <w:vAlign w:val="bottom"/>
          </w:tcPr>
          <w:p>
            <w:pPr>
              <w:ind w:left="140"/>
              <w:spacing w:after="0"/>
              <w:rPr>
                <w:sz w:val="20"/>
                <w:szCs w:val="20"/>
                <w:color w:val="auto"/>
              </w:rPr>
            </w:pPr>
            <w:r>
              <w:rPr>
                <w:rFonts w:ascii="Arial" w:cs="Arial" w:eastAsia="Arial" w:hAnsi="Arial"/>
                <w:sz w:val="20"/>
                <w:szCs w:val="20"/>
                <w:color w:val="auto"/>
              </w:rPr>
              <w:t>Matthew Gallo</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320" w:type="dxa"/>
            <w:vAlign w:val="bottom"/>
          </w:tcPr>
          <w:p>
            <w:pPr>
              <w:ind w:left="8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380" w:type="dxa"/>
            <w:vAlign w:val="bottom"/>
            <w:gridSpan w:val="4"/>
          </w:tcPr>
          <w:p>
            <w:pPr>
              <w:ind w:left="1140"/>
              <w:spacing w:after="0"/>
              <w:rPr>
                <w:sz w:val="20"/>
                <w:szCs w:val="20"/>
                <w:color w:val="auto"/>
              </w:rPr>
            </w:pPr>
            <w:r>
              <w:rPr>
                <w:rFonts w:ascii="Arial" w:cs="Arial" w:eastAsia="Arial" w:hAnsi="Arial"/>
                <w:sz w:val="20"/>
                <w:szCs w:val="20"/>
                <w:color w:val="auto"/>
                <w:w w:val="93"/>
              </w:rPr>
              <w:t>THE NORTHERN TRUST COMPANY,</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38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640" w:type="dxa"/>
            <w:vAlign w:val="bottom"/>
            <w:gridSpan w:val="2"/>
          </w:tcPr>
          <w:p>
            <w:pPr>
              <w:ind w:left="120"/>
              <w:spacing w:after="0"/>
              <w:rPr>
                <w:sz w:val="20"/>
                <w:szCs w:val="20"/>
                <w:color w:val="auto"/>
              </w:rPr>
            </w:pPr>
            <w:r>
              <w:rPr>
                <w:rFonts w:ascii="Arial" w:cs="Arial" w:eastAsia="Arial" w:hAnsi="Arial"/>
                <w:sz w:val="20"/>
                <w:szCs w:val="20"/>
                <w:color w:val="auto"/>
              </w:rPr>
              <w:t>Peter J. Hallan</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640" w:type="dxa"/>
            <w:vAlign w:val="bottom"/>
            <w:gridSpan w:val="2"/>
          </w:tcPr>
          <w:p>
            <w:pPr>
              <w:ind w:left="140"/>
              <w:spacing w:after="0"/>
              <w:rPr>
                <w:sz w:val="20"/>
                <w:szCs w:val="20"/>
                <w:color w:val="auto"/>
              </w:rPr>
            </w:pPr>
            <w:r>
              <w:rPr>
                <w:rFonts w:ascii="Arial" w:cs="Arial" w:eastAsia="Arial" w:hAnsi="Arial"/>
                <w:sz w:val="20"/>
                <w:szCs w:val="20"/>
                <w:color w:val="auto"/>
              </w:rPr>
              <w:t>Peter J. Hallan</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640" w:type="dxa"/>
            <w:vAlign w:val="bottom"/>
            <w:gridSpan w:val="2"/>
          </w:tcPr>
          <w:p>
            <w:pPr>
              <w:ind w:left="8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560" w:type="dxa"/>
            <w:vAlign w:val="bottom"/>
            <w:gridSpan w:val="4"/>
          </w:tcPr>
          <w:p>
            <w:pPr>
              <w:ind w:left="1140"/>
              <w:spacing w:after="0"/>
              <w:rPr>
                <w:sz w:val="20"/>
                <w:szCs w:val="20"/>
                <w:color w:val="auto"/>
              </w:rPr>
            </w:pPr>
            <w:r>
              <w:rPr>
                <w:rFonts w:ascii="Arial" w:cs="Arial" w:eastAsia="Arial" w:hAnsi="Arial"/>
                <w:sz w:val="20"/>
                <w:szCs w:val="20"/>
                <w:color w:val="auto"/>
                <w:w w:val="97"/>
              </w:rPr>
              <w:t>KEYBANK NATIONAL ASSOCIATION,</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56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820" w:type="dxa"/>
            <w:vAlign w:val="bottom"/>
            <w:gridSpan w:val="2"/>
          </w:tcPr>
          <w:p>
            <w:pPr>
              <w:ind w:left="120"/>
              <w:spacing w:after="0"/>
              <w:rPr>
                <w:sz w:val="20"/>
                <w:szCs w:val="20"/>
                <w:color w:val="auto"/>
              </w:rPr>
            </w:pPr>
            <w:r>
              <w:rPr>
                <w:rFonts w:ascii="Arial" w:cs="Arial" w:eastAsia="Arial" w:hAnsi="Arial"/>
                <w:sz w:val="20"/>
                <w:szCs w:val="20"/>
                <w:color w:val="auto"/>
              </w:rPr>
              <w:t>Geoff Smith</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820" w:type="dxa"/>
            <w:vAlign w:val="bottom"/>
            <w:gridSpan w:val="2"/>
          </w:tcPr>
          <w:p>
            <w:pPr>
              <w:ind w:left="140"/>
              <w:spacing w:after="0"/>
              <w:rPr>
                <w:sz w:val="20"/>
                <w:szCs w:val="20"/>
                <w:color w:val="auto"/>
              </w:rPr>
            </w:pPr>
            <w:r>
              <w:rPr>
                <w:rFonts w:ascii="Arial" w:cs="Arial" w:eastAsia="Arial" w:hAnsi="Arial"/>
                <w:sz w:val="20"/>
                <w:szCs w:val="20"/>
                <w:color w:val="auto"/>
              </w:rPr>
              <w:t>Geoff Smith</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820" w:type="dxa"/>
            <w:vAlign w:val="bottom"/>
            <w:gridSpan w:val="2"/>
          </w:tcPr>
          <w:p>
            <w:pPr>
              <w:ind w:left="8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50"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FIRST AMENDMENT TO CREDIT AGREEMENT</w:t>
      </w:r>
    </w:p>
    <w:p>
      <w:pPr>
        <w:sectPr>
          <w:pgSz w:w="11900" w:h="16838" w:orient="portrait"/>
          <w:cols w:equalWidth="0" w:num="1">
            <w:col w:w="11420"/>
          </w:cols>
          <w:pgMar w:left="240" w:top="342" w:right="239" w:bottom="1440" w:gutter="0" w:footer="0" w:header="0"/>
        </w:sectPr>
      </w:pPr>
    </w:p>
    <w:bookmarkStart w:id="79" w:name="page80"/>
    <w:bookmarkEnd w:id="79"/>
    <w:p>
      <w:pPr>
        <w:spacing w:after="0"/>
        <w:rPr>
          <w:sz w:val="20"/>
          <w:szCs w:val="20"/>
          <w:color w:val="auto"/>
        </w:rPr>
      </w:pPr>
      <w:r>
        <w:rPr>
          <w:rFonts w:ascii="Arial" w:cs="Arial" w:eastAsia="Arial" w:hAnsi="Arial"/>
          <w:sz w:val="20"/>
          <w:szCs w:val="20"/>
          <w:b w:val="1"/>
          <w:bCs w:val="1"/>
          <w:color w:val="auto"/>
        </w:rPr>
        <w:t>EXHIBIT 10.2</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20"/>
          <w:szCs w:val="20"/>
          <w:color w:val="828282"/>
        </w:rPr>
        <w:t>EXECUTION COPY</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SECOND AMENDMENT</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THIS SECOND AMENDMENT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September 5, 2018 to the Credit Agreement referred to below is by and among ABM INDUSTRIES INCORPORATED, a Delaware corporation (the “</w:t>
      </w:r>
      <w:r>
        <w:rPr>
          <w:rFonts w:ascii="Arial" w:cs="Arial" w:eastAsia="Arial" w:hAnsi="Arial"/>
          <w:sz w:val="19"/>
          <w:szCs w:val="19"/>
          <w:u w:val="single" w:color="auto"/>
          <w:color w:val="auto"/>
        </w:rPr>
        <w:t>Company</w:t>
      </w:r>
      <w:r>
        <w:rPr>
          <w:rFonts w:ascii="Arial" w:cs="Arial" w:eastAsia="Arial" w:hAnsi="Arial"/>
          <w:sz w:val="19"/>
          <w:szCs w:val="19"/>
          <w:color w:val="auto"/>
        </w:rPr>
        <w:t>”), the Designated Borrowers identified on the signature pages hereto, the Guarantors identified on the signature pages hereto, the Lenders identified on the signature pages hereto and Bank of America, N.A.,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 I T N E S S E T H</w:t>
      </w:r>
    </w:p>
    <w:p>
      <w:pPr>
        <w:spacing w:after="0" w:line="22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the Company, the Designated Borrowers identified therein, the Lenders identified therein and the Administrative Agent are parties to the Credit Agreement dated as of September 1, 2017 (as amended, modified, supplemented, increased and extended from time to time, the “</w:t>
      </w:r>
      <w:r>
        <w:rPr>
          <w:rFonts w:ascii="Arial" w:cs="Arial" w:eastAsia="Arial" w:hAnsi="Arial"/>
          <w:sz w:val="20"/>
          <w:szCs w:val="20"/>
          <w:u w:val="single" w:color="auto"/>
          <w:color w:val="auto"/>
        </w:rPr>
        <w:t>Credit Agreement</w:t>
      </w:r>
      <w:r>
        <w:rPr>
          <w:rFonts w:ascii="Arial" w:cs="Arial" w:eastAsia="Arial" w:hAnsi="Arial"/>
          <w:sz w:val="20"/>
          <w:szCs w:val="20"/>
          <w:color w:val="auto"/>
        </w:rPr>
        <w:t>”); and</w:t>
      </w:r>
    </w:p>
    <w:p>
      <w:pPr>
        <w:spacing w:after="0" w:line="20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WHEREAS, the Loan Parties have requested that the Required Lenders amend certain provisions of the Credit Agreement and the Required Lenders have agreed to such amendments on the terms and conditions set forth herein.</w:t>
      </w:r>
    </w:p>
    <w:p>
      <w:pPr>
        <w:spacing w:after="0" w:line="19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NOW, THEREFORE, in consideration of the agreements hereinafter set forth, and for other good and valuable consideration, the receipt and adequacy of which are hereby acknowledged, the parties hereto agree as follows:</w:t>
      </w:r>
    </w:p>
    <w:p>
      <w:pPr>
        <w:spacing w:after="0" w:line="190" w:lineRule="exact"/>
        <w:rPr>
          <w:sz w:val="20"/>
          <w:szCs w:val="20"/>
          <w:color w:val="auto"/>
        </w:rPr>
      </w:pPr>
    </w:p>
    <w:p>
      <w:pPr>
        <w:ind w:firstLine="8"/>
        <w:spacing w:after="0" w:line="260" w:lineRule="auto"/>
        <w:tabs>
          <w:tab w:leader="none" w:pos="427"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Capitalized terms used herein but not otherwise defined herein shall have the meanings provided to such terms in the Credit Agreement.</w:t>
      </w:r>
    </w:p>
    <w:p>
      <w:pPr>
        <w:spacing w:after="0" w:line="190" w:lineRule="exact"/>
        <w:rPr>
          <w:rFonts w:ascii="Arial" w:cs="Arial" w:eastAsia="Arial" w:hAnsi="Arial"/>
          <w:sz w:val="20"/>
          <w:szCs w:val="20"/>
          <w:color w:val="auto"/>
        </w:rPr>
      </w:pPr>
    </w:p>
    <w:p>
      <w:pPr>
        <w:ind w:left="360" w:hanging="352"/>
        <w:spacing w:after="0"/>
        <w:tabs>
          <w:tab w:leader="none" w:pos="360"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Amendments</w:t>
      </w:r>
      <w:r>
        <w:rPr>
          <w:rFonts w:ascii="Arial" w:cs="Arial" w:eastAsia="Arial" w:hAnsi="Arial"/>
          <w:sz w:val="20"/>
          <w:szCs w:val="20"/>
          <w:color w:val="auto"/>
        </w:rPr>
        <w:t>. The Credit Agreement is amended as follows:</w:t>
      </w:r>
    </w:p>
    <w:p>
      <w:pPr>
        <w:spacing w:after="0" w:line="229"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6"/>
          <w:szCs w:val="16"/>
          <w:color w:val="auto"/>
        </w:rPr>
        <w:t>Section 6.13(a) of the Credit Agreement is amended and restated in its entirety as follows:</w:t>
      </w:r>
    </w:p>
    <w:p>
      <w:pPr>
        <w:spacing w:after="0" w:line="216" w:lineRule="exact"/>
        <w:rPr>
          <w:sz w:val="20"/>
          <w:szCs w:val="20"/>
          <w:color w:val="auto"/>
        </w:rPr>
      </w:pPr>
    </w:p>
    <w:p>
      <w:pPr>
        <w:ind w:left="1300" w:firstLine="5"/>
        <w:spacing w:after="0" w:line="260" w:lineRule="auto"/>
        <w:tabs>
          <w:tab w:leader="none" w:pos="1745"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Maximum Total Leverage Ratio</w:t>
      </w:r>
      <w:r>
        <w:rPr>
          <w:rFonts w:ascii="Arial" w:cs="Arial" w:eastAsia="Arial" w:hAnsi="Arial"/>
          <w:sz w:val="20"/>
          <w:szCs w:val="20"/>
          <w:color w:val="auto"/>
        </w:rPr>
        <w:t>. The Company shall not permit the Total Leverage Ratio as of the last day of any fiscal quarter of the Company set forth below to be greater than the ratio set forth below opposite such period:</w:t>
      </w:r>
    </w:p>
    <w:p>
      <w:pPr>
        <w:sectPr>
          <w:pgSz w:w="11900" w:h="16838" w:orient="portrait"/>
          <w:cols w:equalWidth="0" w:num="1">
            <w:col w:w="11420"/>
          </w:cols>
          <w:pgMar w:left="240" w:top="116" w:right="239" w:bottom="1440" w:gutter="0" w:footer="0" w:header="0"/>
        </w:sectPr>
      </w:pPr>
    </w:p>
    <w:bookmarkStart w:id="80" w:name="page81"/>
    <w:bookmarkEnd w:id="80"/>
    <w:tbl>
      <w:tblPr>
        <w:tblLayout w:type="fixed"/>
        <w:tblInd w:w="1850" w:type="dxa"/>
        <w:tblCellMar>
          <w:top w:w="0" w:type="dxa"/>
          <w:left w:w="0" w:type="dxa"/>
          <w:bottom w:w="0" w:type="dxa"/>
          <w:right w:w="0" w:type="dxa"/>
        </w:tblCellMar>
      </w:tblPr>
      <w:tr>
        <w:trPr>
          <w:trHeight w:val="274"/>
        </w:trPr>
        <w:tc>
          <w:tcPr>
            <w:tcW w:w="4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Fiscal Quarter Ending</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1"/>
              </w:rPr>
              <w:t>Maximum Total Leverage Ratio</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2017</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4.75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2018</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4.75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2018</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4.75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2018</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4.50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2018</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4.50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2019</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4.50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2019</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4.50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2019</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4.00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2019</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4.00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4.00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4.00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0"/>
              </w:rPr>
              <w:t>July 31, 2020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3.75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October 31, 2020</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3.75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January 31, 2021</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3.75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3"/>
              </w:rPr>
              <w:t>April 30, 2021</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3.75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r>
        <w:trPr>
          <w:trHeight w:val="254"/>
        </w:trPr>
        <w:tc>
          <w:tcPr>
            <w:tcW w:w="4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July 31, 2021 and each fiscal quarter thereafter</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8"/>
              </w:rPr>
              <w:t>3.50 to 1.00</w:t>
            </w:r>
          </w:p>
        </w:tc>
      </w:tr>
      <w:tr>
        <w:trPr>
          <w:trHeight w:val="23"/>
        </w:trPr>
        <w:tc>
          <w:tcPr>
            <w:tcW w:w="4980" w:type="dxa"/>
            <w:vAlign w:val="bottom"/>
            <w:tcBorders>
              <w:left w:val="single" w:sz="8" w:color="auto"/>
              <w:bottom w:val="single" w:sz="8" w:color="auto"/>
              <w:right w:val="single" w:sz="8" w:color="auto"/>
            </w:tcBorders>
          </w:tcPr>
          <w:p>
            <w:pPr>
              <w:spacing w:after="0"/>
              <w:rPr>
                <w:sz w:val="2"/>
                <w:szCs w:val="2"/>
                <w:color w:val="auto"/>
              </w:rPr>
            </w:pPr>
          </w:p>
        </w:tc>
        <w:tc>
          <w:tcPr>
            <w:tcW w:w="2800" w:type="dxa"/>
            <w:vAlign w:val="bottom"/>
            <w:tcBorders>
              <w:bottom w:val="single" w:sz="8" w:color="auto"/>
              <w:right w:val="single" w:sz="8" w:color="auto"/>
            </w:tcBorders>
          </w:tcPr>
          <w:p>
            <w:pPr>
              <w:spacing w:after="0"/>
              <w:rPr>
                <w:sz w:val="2"/>
                <w:szCs w:val="2"/>
                <w:color w:val="auto"/>
              </w:rPr>
            </w:pPr>
          </w:p>
        </w:tc>
      </w:tr>
    </w:tbl>
    <w:p>
      <w:pPr>
        <w:spacing w:after="0" w:line="199" w:lineRule="exact"/>
        <w:rPr>
          <w:sz w:val="20"/>
          <w:szCs w:val="20"/>
          <w:color w:val="auto"/>
        </w:rPr>
      </w:pPr>
    </w:p>
    <w:p>
      <w:pPr>
        <w:jc w:val="both"/>
        <w:ind w:left="1300"/>
        <w:spacing w:after="0" w:line="270"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the foregoing, (i) upon the occurrence of the Collateral Release Event, the maximum permitted Total Leverage Ratio for the first fiscal quarter ending after the occurrence of the Collateral Release Event and each subsequent fiscal quarter shall be 3.50 to 1.00 and (ii) at any time during which the maximum permitted Total Leverage Ratio is not greater than 3.50 to 1.00, if the Company makes a Permitted Acquisition (the “</w:t>
      </w:r>
      <w:r>
        <w:rPr>
          <w:rFonts w:ascii="Arial" w:cs="Arial" w:eastAsia="Arial" w:hAnsi="Arial"/>
          <w:sz w:val="18"/>
          <w:szCs w:val="18"/>
          <w:u w:val="single" w:color="auto"/>
          <w:color w:val="auto"/>
        </w:rPr>
        <w:t>Specified Acquisition</w:t>
      </w:r>
      <w:r>
        <w:rPr>
          <w:rFonts w:ascii="Arial" w:cs="Arial" w:eastAsia="Arial" w:hAnsi="Arial"/>
          <w:sz w:val="18"/>
          <w:szCs w:val="18"/>
          <w:color w:val="auto"/>
        </w:rPr>
        <w:t>”) for consideration (including assumed liabilities) in excess of $50,000,000 in a fiscal quarter, then the Company may elect to increase the maximum Total Leverage Ratio to 3.75 to 1.00 for such fiscal quarter and the three (3) immediately following fiscal quarters (such period, the “</w:t>
      </w:r>
      <w:r>
        <w:rPr>
          <w:rFonts w:ascii="Arial" w:cs="Arial" w:eastAsia="Arial" w:hAnsi="Arial"/>
          <w:sz w:val="18"/>
          <w:szCs w:val="18"/>
          <w:u w:val="single" w:color="auto"/>
          <w:color w:val="auto"/>
        </w:rPr>
        <w:t>Adjusted Covenant Period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(x) the Company may not elect to have an Adjusted Covenant Period commence unless at least two (2) full fiscal quarters have ended following the end of the most recently completed Adjusted Covenant Period (if any), (y) the Company shall provide notice in writing to the Administrative Agent of the commencement of an Adjusted Covenant Period and a transaction description of the applicable Specified Acquisition (regarding the name of the Person or assets being acquired and the approximate purchase price) and (z) at the end of the Adjusted Covenant Period, the maximum permitted Total Leverage Ratio permitted shall revert to 3.50 to 1.00.</w:t>
      </w:r>
    </w:p>
    <w:p>
      <w:pPr>
        <w:spacing w:after="0" w:line="177" w:lineRule="exact"/>
        <w:rPr>
          <w:sz w:val="20"/>
          <w:szCs w:val="20"/>
          <w:color w:val="auto"/>
        </w:rPr>
      </w:pPr>
    </w:p>
    <w:p>
      <w:pPr>
        <w:jc w:val="both"/>
        <w:ind w:firstLine="8"/>
        <w:spacing w:after="0" w:line="250" w:lineRule="auto"/>
        <w:tabs>
          <w:tab w:leader="none" w:pos="414" w:val="left"/>
        </w:tabs>
        <w:numPr>
          <w:ilvl w:val="0"/>
          <w:numId w:val="37"/>
        </w:numPr>
        <w:rPr>
          <w:rFonts w:ascii="Arial" w:cs="Arial" w:eastAsia="Arial" w:hAnsi="Arial"/>
          <w:sz w:val="20"/>
          <w:szCs w:val="20"/>
          <w:color w:val="auto"/>
        </w:rPr>
      </w:pPr>
      <w:r>
        <w:rPr>
          <w:rFonts w:ascii="Arial" w:cs="Arial" w:eastAsia="Arial" w:hAnsi="Arial"/>
          <w:sz w:val="20"/>
          <w:szCs w:val="20"/>
          <w:u w:val="single" w:color="auto"/>
          <w:color w:val="auto"/>
        </w:rPr>
        <w:t>Conditions to Effectiveness</w:t>
      </w:r>
      <w:r>
        <w:rPr>
          <w:rFonts w:ascii="Arial" w:cs="Arial" w:eastAsia="Arial" w:hAnsi="Arial"/>
          <w:sz w:val="20"/>
          <w:szCs w:val="20"/>
          <w:color w:val="auto"/>
        </w:rPr>
        <w:t>. This Amendment shall become effective as of the date set forth above (the “</w:t>
      </w:r>
      <w:r>
        <w:rPr>
          <w:rFonts w:ascii="Arial" w:cs="Arial" w:eastAsia="Arial" w:hAnsi="Arial"/>
          <w:sz w:val="20"/>
          <w:szCs w:val="20"/>
          <w:u w:val="single" w:color="auto"/>
          <w:color w:val="auto"/>
        </w:rPr>
        <w:t>Second Amendment Effective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Date</w:t>
      </w:r>
      <w:r>
        <w:rPr>
          <w:rFonts w:ascii="Arial" w:cs="Arial" w:eastAsia="Arial" w:hAnsi="Arial"/>
          <w:sz w:val="20"/>
          <w:szCs w:val="20"/>
          <w:color w:val="auto"/>
        </w:rPr>
        <w:t>”) upon receipt by the Administrative Agent of counterparts of this Amendment executed by the Loan Parties, the Required Lenders and the Administrative Agent.</w:t>
      </w:r>
    </w:p>
    <w:p>
      <w:pPr>
        <w:spacing w:after="0" w:line="199" w:lineRule="exact"/>
        <w:rPr>
          <w:rFonts w:ascii="Arial" w:cs="Arial" w:eastAsia="Arial" w:hAnsi="Arial"/>
          <w:sz w:val="20"/>
          <w:szCs w:val="20"/>
          <w:color w:val="auto"/>
        </w:rPr>
      </w:pPr>
    </w:p>
    <w:p>
      <w:pPr>
        <w:jc w:val="both"/>
        <w:ind w:firstLine="8"/>
        <w:spacing w:after="0" w:line="263" w:lineRule="auto"/>
        <w:tabs>
          <w:tab w:leader="none" w:pos="387" w:val="left"/>
        </w:tabs>
        <w:numPr>
          <w:ilvl w:val="0"/>
          <w:numId w:val="3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 No Default</w:t>
      </w:r>
      <w:r>
        <w:rPr>
          <w:rFonts w:ascii="Arial" w:cs="Arial" w:eastAsia="Arial" w:hAnsi="Arial"/>
          <w:sz w:val="19"/>
          <w:szCs w:val="19"/>
          <w:color w:val="auto"/>
        </w:rPr>
        <w:t xml:space="preserve">. Each Loan Party represents and warrants to the Administrative Agent and each Lender that after giving effect to this Amendment (a) the representations and warranties of such Loan Party contained in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of the Credit Agreement and each other Loan Document and in each other document furnished at any time under or in connection with the Credit Agreement or any other Loan Document, shall be true and correct in all material respects as of the date hereof, except to the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828282"/>
        </w:rPr>
        <w:t>2</w:t>
      </w:r>
    </w:p>
    <w:p>
      <w:pPr>
        <w:sectPr>
          <w:pgSz w:w="11900" w:h="16838" w:orient="portrait"/>
          <w:cols w:equalWidth="0" w:num="1">
            <w:col w:w="11420"/>
          </w:cols>
          <w:pgMar w:left="240" w:top="498" w:right="239" w:bottom="1440" w:gutter="0" w:footer="0" w:header="0"/>
        </w:sectPr>
      </w:pPr>
    </w:p>
    <w:bookmarkStart w:id="81" w:name="page82"/>
    <w:bookmarkEnd w:id="81"/>
    <w:p>
      <w:pPr>
        <w:spacing w:after="0" w:line="260" w:lineRule="auto"/>
        <w:rPr>
          <w:sz w:val="20"/>
          <w:szCs w:val="20"/>
          <w:color w:val="auto"/>
        </w:rPr>
      </w:pPr>
      <w:r>
        <w:rPr>
          <w:rFonts w:ascii="Arial" w:cs="Arial" w:eastAsia="Arial" w:hAnsi="Arial"/>
          <w:sz w:val="20"/>
          <w:szCs w:val="20"/>
          <w:color w:val="auto"/>
        </w:rPr>
        <w:t>extent that such representations and warranties specifically refer to an earlier date, in which case they shall be true and correct in all material respects as of such earlier date and (b) no Default exists as of the date hereof.</w:t>
      </w:r>
    </w:p>
    <w:p>
      <w:pPr>
        <w:spacing w:after="0" w:line="190" w:lineRule="exact"/>
        <w:rPr>
          <w:sz w:val="20"/>
          <w:szCs w:val="20"/>
          <w:color w:val="auto"/>
        </w:rPr>
      </w:pPr>
    </w:p>
    <w:p>
      <w:pPr>
        <w:ind w:right="20" w:firstLine="8"/>
        <w:spacing w:after="0" w:line="260" w:lineRule="auto"/>
        <w:tabs>
          <w:tab w:leader="none" w:pos="387"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No Other Changes</w:t>
      </w:r>
      <w:r>
        <w:rPr>
          <w:rFonts w:ascii="Arial" w:cs="Arial" w:eastAsia="Arial" w:hAnsi="Arial"/>
          <w:sz w:val="20"/>
          <w:szCs w:val="20"/>
          <w:color w:val="auto"/>
        </w:rPr>
        <w:t>. Except as specifically amended hereby, all other terms of the Credit Agreement and the other Loan Documents shall remain in full force and effect according to its terms.</w:t>
      </w:r>
    </w:p>
    <w:p>
      <w:pPr>
        <w:spacing w:after="0" w:line="190" w:lineRule="exact"/>
        <w:rPr>
          <w:rFonts w:ascii="Arial" w:cs="Arial" w:eastAsia="Arial" w:hAnsi="Arial"/>
          <w:sz w:val="20"/>
          <w:szCs w:val="20"/>
          <w:color w:val="auto"/>
        </w:rPr>
      </w:pPr>
    </w:p>
    <w:p>
      <w:pPr>
        <w:jc w:val="both"/>
        <w:ind w:firstLine="8"/>
        <w:spacing w:after="0" w:line="250" w:lineRule="auto"/>
        <w:tabs>
          <w:tab w:leader="none" w:pos="387"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Reaffirmation of Obligations</w:t>
      </w:r>
      <w:r>
        <w:rPr>
          <w:rFonts w:ascii="Arial" w:cs="Arial" w:eastAsia="Arial" w:hAnsi="Arial"/>
          <w:sz w:val="20"/>
          <w:szCs w:val="20"/>
          <w:color w:val="auto"/>
        </w:rPr>
        <w:t>. Each Loan Party (a) acknowledges and consents to all of the terms and conditions of this Amendment, (b) affirms all of its obligations under the Loan Documents and (c) agrees that this Amendment does not operate to reduce or discharge its obligations under the Loan Documents.</w:t>
      </w:r>
    </w:p>
    <w:p>
      <w:pPr>
        <w:spacing w:after="0" w:line="199" w:lineRule="exact"/>
        <w:rPr>
          <w:rFonts w:ascii="Arial" w:cs="Arial" w:eastAsia="Arial" w:hAnsi="Arial"/>
          <w:sz w:val="20"/>
          <w:szCs w:val="20"/>
          <w:color w:val="auto"/>
        </w:rPr>
      </w:pPr>
    </w:p>
    <w:p>
      <w:pPr>
        <w:jc w:val="both"/>
        <w:ind w:firstLine="8"/>
        <w:spacing w:after="0" w:line="250" w:lineRule="auto"/>
        <w:tabs>
          <w:tab w:leader="none" w:pos="387"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Reaffirmation of Security Interests</w:t>
      </w:r>
      <w:r>
        <w:rPr>
          <w:rFonts w:ascii="Arial" w:cs="Arial" w:eastAsia="Arial" w:hAnsi="Arial"/>
          <w:sz w:val="20"/>
          <w:szCs w:val="20"/>
          <w:color w:val="auto"/>
        </w:rPr>
        <w:t>. Each Loan Party (a) affirms that each of the Liens granted in or pursuant to the Loan Documents are valid and subsisting and (b) agrees that this Amendment shall in no manner impair or otherwise adversely affect any of the Liens granted by it in or pursuant to the Loan Documents.</w:t>
      </w:r>
    </w:p>
    <w:p>
      <w:pPr>
        <w:spacing w:after="0" w:line="199" w:lineRule="exact"/>
        <w:rPr>
          <w:rFonts w:ascii="Arial" w:cs="Arial" w:eastAsia="Arial" w:hAnsi="Arial"/>
          <w:sz w:val="20"/>
          <w:szCs w:val="20"/>
          <w:color w:val="auto"/>
        </w:rPr>
      </w:pPr>
    </w:p>
    <w:p>
      <w:pPr>
        <w:jc w:val="both"/>
        <w:ind w:firstLine="8"/>
        <w:spacing w:after="0" w:line="250" w:lineRule="auto"/>
        <w:tabs>
          <w:tab w:leader="none" w:pos="427"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This Amendment is a Loan Document</w:t>
      </w:r>
      <w:r>
        <w:rPr>
          <w:rFonts w:ascii="Arial" w:cs="Arial" w:eastAsia="Arial" w:hAnsi="Arial"/>
          <w:sz w:val="20"/>
          <w:szCs w:val="20"/>
          <w:color w:val="auto"/>
        </w:rPr>
        <w:t>. This Amendment is a Loan Document and all references to a “Loan Document” in the Credit Agreement and the other Loan Documents (including all such references in the representations and warranties in the Credit Agreement and the other Loan Documents) shall be deemed to include this Amendment.</w:t>
      </w:r>
    </w:p>
    <w:p>
      <w:pPr>
        <w:spacing w:after="0" w:line="199" w:lineRule="exact"/>
        <w:rPr>
          <w:rFonts w:ascii="Arial" w:cs="Arial" w:eastAsia="Arial" w:hAnsi="Arial"/>
          <w:sz w:val="20"/>
          <w:szCs w:val="20"/>
          <w:color w:val="auto"/>
        </w:rPr>
      </w:pPr>
    </w:p>
    <w:p>
      <w:pPr>
        <w:jc w:val="both"/>
        <w:ind w:firstLine="8"/>
        <w:spacing w:after="0" w:line="278" w:lineRule="auto"/>
        <w:tabs>
          <w:tab w:leader="none" w:pos="37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Counterparts; Delivery</w:t>
      </w:r>
      <w:r>
        <w:rPr>
          <w:rFonts w:ascii="Arial" w:cs="Arial" w:eastAsia="Arial" w:hAnsi="Arial"/>
          <w:sz w:val="18"/>
          <w:szCs w:val="18"/>
          <w:color w:val="auto"/>
        </w:rPr>
        <w:t>. This Amendment may be executed in any number of counterparts, each of which when so executed and delivered shall be an original, but all of which shall constitute one and the same instrument. Delivery of an executed counterpart of a signature page of this Amendment or any other document required to be delivered hereunder, by fax transmission or e-mail transmission (e.g. “pdf” or “tif”) shall be effective as delivery of a manually executed counterpart of this Agreement. Without limiting the foregoing, upon the request of any party, such fax transmission or e-mail transmission shall be promptly followed by such manually executed counterpart.</w:t>
      </w:r>
    </w:p>
    <w:p>
      <w:pPr>
        <w:spacing w:after="0" w:line="178" w:lineRule="exact"/>
        <w:rPr>
          <w:rFonts w:ascii="Arial" w:cs="Arial" w:eastAsia="Arial" w:hAnsi="Arial"/>
          <w:sz w:val="18"/>
          <w:szCs w:val="18"/>
          <w:color w:val="auto"/>
        </w:rPr>
      </w:pPr>
    </w:p>
    <w:p>
      <w:pPr>
        <w:ind w:firstLine="8"/>
        <w:spacing w:after="0" w:line="260" w:lineRule="auto"/>
        <w:tabs>
          <w:tab w:leader="none" w:pos="526" w:val="left"/>
        </w:tabs>
        <w:numPr>
          <w:ilvl w:val="0"/>
          <w:numId w:val="3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AMENDMENT SHALL BE GOVERNED BY, AND SHALL BE CONSTRUED AND ENFORCED IN ACCORDANCE WITH THE LAWS OF THE STATE OF NEW YORK.</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[REMAINDER OF PAGE INTENTIONALLY LEFT BLANK]</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color w:val="828282"/>
        </w:rPr>
        <w:t>3</w:t>
      </w:r>
    </w:p>
    <w:p>
      <w:pPr>
        <w:sectPr>
          <w:pgSz w:w="11900" w:h="16838" w:orient="portrait"/>
          <w:cols w:equalWidth="0" w:num="1">
            <w:col w:w="11420"/>
          </w:cols>
          <w:pgMar w:left="240" w:top="366" w:right="239" w:bottom="1440" w:gutter="0" w:footer="0" w:header="0"/>
        </w:sectPr>
      </w:pPr>
    </w:p>
    <w:bookmarkStart w:id="82" w:name="page83"/>
    <w:bookmarkEnd w:id="82"/>
    <w:p>
      <w:pPr>
        <w:ind w:left="660"/>
        <w:spacing w:after="0"/>
        <w:rPr>
          <w:sz w:val="20"/>
          <w:szCs w:val="20"/>
          <w:color w:val="auto"/>
        </w:rPr>
      </w:pPr>
      <w:r>
        <w:rPr>
          <w:rFonts w:ascii="Arial" w:cs="Arial" w:eastAsia="Arial" w:hAnsi="Arial"/>
          <w:sz w:val="19"/>
          <w:szCs w:val="19"/>
          <w:color w:val="auto"/>
        </w:rPr>
        <w:t>IN WITNESS WHEREOF the parties hereto have caused this Amendment to be duly executed on the date first above written.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280" w:type="dxa"/>
            <w:vAlign w:val="bottom"/>
            <w:gridSpan w:val="2"/>
          </w:tcPr>
          <w:p>
            <w:pPr>
              <w:spacing w:after="0"/>
              <w:rPr>
                <w:sz w:val="20"/>
                <w:szCs w:val="20"/>
                <w:color w:val="auto"/>
              </w:rPr>
            </w:pPr>
            <w:r>
              <w:rPr>
                <w:rFonts w:ascii="Arial" w:cs="Arial" w:eastAsia="Arial" w:hAnsi="Arial"/>
                <w:sz w:val="20"/>
                <w:szCs w:val="20"/>
                <w:color w:val="auto"/>
              </w:rPr>
              <w:t>BORROWERS:</w:t>
            </w:r>
          </w:p>
        </w:tc>
        <w:tc>
          <w:tcPr>
            <w:tcW w:w="4240" w:type="dxa"/>
            <w:vAlign w:val="bottom"/>
            <w:gridSpan w:val="4"/>
          </w:tcPr>
          <w:p>
            <w:pPr>
              <w:ind w:left="960"/>
              <w:spacing w:after="0"/>
              <w:rPr>
                <w:sz w:val="20"/>
                <w:szCs w:val="20"/>
                <w:color w:val="auto"/>
              </w:rPr>
            </w:pPr>
            <w:r>
              <w:rPr>
                <w:rFonts w:ascii="Arial" w:cs="Arial" w:eastAsia="Arial" w:hAnsi="Arial"/>
                <w:sz w:val="20"/>
                <w:szCs w:val="20"/>
                <w:color w:val="auto"/>
                <w:w w:val="96"/>
              </w:rPr>
              <w:t>ABM INDUSTRIES INCORPORATED</w:t>
            </w:r>
          </w:p>
        </w:tc>
      </w:tr>
      <w:tr>
        <w:trPr>
          <w:trHeight w:val="642"/>
        </w:trPr>
        <w:tc>
          <w:tcPr>
            <w:tcW w:w="12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gridSpan w:val="2"/>
          </w:tcPr>
          <w:p>
            <w:pPr>
              <w:ind w:left="960"/>
              <w:spacing w:after="0"/>
              <w:rPr>
                <w:sz w:val="20"/>
                <w:szCs w:val="20"/>
                <w:color w:val="auto"/>
              </w:rPr>
            </w:pPr>
            <w:r>
              <w:rPr>
                <w:rFonts w:ascii="Arial" w:cs="Arial" w:eastAsia="Arial" w:hAnsi="Arial"/>
                <w:sz w:val="20"/>
                <w:szCs w:val="20"/>
                <w:color w:val="auto"/>
              </w:rPr>
              <w:t>By:/s/</w:t>
            </w:r>
          </w:p>
        </w:tc>
        <w:tc>
          <w:tcPr>
            <w:tcW w:w="2680" w:type="dxa"/>
            <w:vAlign w:val="bottom"/>
            <w:gridSpan w:val="2"/>
          </w:tcPr>
          <w:p>
            <w:pPr>
              <w:ind w:left="120"/>
              <w:spacing w:after="0"/>
              <w:rPr>
                <w:sz w:val="20"/>
                <w:szCs w:val="20"/>
                <w:color w:val="auto"/>
              </w:rPr>
            </w:pPr>
            <w:r>
              <w:rPr>
                <w:rFonts w:ascii="Arial" w:cs="Arial" w:eastAsia="Arial" w:hAnsi="Arial"/>
                <w:sz w:val="20"/>
                <w:szCs w:val="20"/>
                <w:color w:val="auto"/>
              </w:rPr>
              <w:t>D. Anthony Scaglione</w:t>
            </w:r>
          </w:p>
        </w:tc>
      </w:tr>
      <w:tr>
        <w:trPr>
          <w:trHeight w:val="20"/>
        </w:trPr>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33"/>
        </w:trPr>
        <w:tc>
          <w:tcPr>
            <w:tcW w:w="1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gridSpan w:val="2"/>
          </w:tcPr>
          <w:p>
            <w:pPr>
              <w:ind w:left="960"/>
              <w:spacing w:after="0"/>
              <w:rPr>
                <w:sz w:val="20"/>
                <w:szCs w:val="20"/>
                <w:color w:val="auto"/>
              </w:rPr>
            </w:pPr>
            <w:r>
              <w:rPr>
                <w:rFonts w:ascii="Arial" w:cs="Arial" w:eastAsia="Arial" w:hAnsi="Arial"/>
                <w:sz w:val="20"/>
                <w:szCs w:val="20"/>
                <w:color w:val="auto"/>
                <w:w w:val="98"/>
              </w:rPr>
              <w:t>Name:</w:t>
            </w:r>
          </w:p>
        </w:tc>
        <w:tc>
          <w:tcPr>
            <w:tcW w:w="2680" w:type="dxa"/>
            <w:vAlign w:val="bottom"/>
            <w:gridSpan w:val="2"/>
          </w:tcPr>
          <w:p>
            <w:pPr>
              <w:ind w:left="120"/>
              <w:spacing w:after="0"/>
              <w:rPr>
                <w:sz w:val="20"/>
                <w:szCs w:val="20"/>
                <w:color w:val="auto"/>
              </w:rPr>
            </w:pPr>
            <w:r>
              <w:rPr>
                <w:rFonts w:ascii="Arial" w:cs="Arial" w:eastAsia="Arial" w:hAnsi="Arial"/>
                <w:sz w:val="20"/>
                <w:szCs w:val="20"/>
                <w:color w:val="auto"/>
              </w:rPr>
              <w:t>D. Anthony Scaglione</w:t>
            </w:r>
          </w:p>
        </w:tc>
      </w:tr>
      <w:tr>
        <w:trPr>
          <w:trHeight w:val="250"/>
        </w:trPr>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gridSpan w:val="2"/>
          </w:tcPr>
          <w:p>
            <w:pPr>
              <w:ind w:left="960"/>
              <w:spacing w:after="0"/>
              <w:rPr>
                <w:sz w:val="20"/>
                <w:szCs w:val="20"/>
                <w:color w:val="auto"/>
              </w:rPr>
            </w:pPr>
            <w:r>
              <w:rPr>
                <w:rFonts w:ascii="Arial" w:cs="Arial" w:eastAsia="Arial" w:hAnsi="Arial"/>
                <w:sz w:val="20"/>
                <w:szCs w:val="20"/>
                <w:color w:val="auto"/>
              </w:rPr>
              <w:t>Title:</w:t>
            </w:r>
          </w:p>
        </w:tc>
        <w:tc>
          <w:tcPr>
            <w:tcW w:w="2680" w:type="dxa"/>
            <w:vAlign w:val="bottom"/>
            <w:gridSpan w:val="2"/>
          </w:tcPr>
          <w:p>
            <w:pPr>
              <w:ind w:left="60"/>
              <w:spacing w:after="0"/>
              <w:rPr>
                <w:sz w:val="20"/>
                <w:szCs w:val="20"/>
                <w:color w:val="auto"/>
              </w:rPr>
            </w:pPr>
            <w:r>
              <w:rPr>
                <w:rFonts w:ascii="Arial" w:cs="Arial" w:eastAsia="Arial" w:hAnsi="Arial"/>
                <w:sz w:val="20"/>
                <w:szCs w:val="20"/>
                <w:color w:val="auto"/>
              </w:rPr>
              <w:t>Chief Financial Officer</w:t>
            </w:r>
          </w:p>
        </w:tc>
      </w:tr>
      <w:tr>
        <w:trPr>
          <w:trHeight w:val="662"/>
        </w:trPr>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40" w:type="dxa"/>
            <w:vAlign w:val="bottom"/>
            <w:gridSpan w:val="4"/>
          </w:tcPr>
          <w:p>
            <w:pPr>
              <w:ind w:left="960"/>
              <w:spacing w:after="0"/>
              <w:rPr>
                <w:sz w:val="20"/>
                <w:szCs w:val="20"/>
                <w:color w:val="auto"/>
              </w:rPr>
            </w:pPr>
            <w:r>
              <w:rPr>
                <w:rFonts w:ascii="Arial" w:cs="Arial" w:eastAsia="Arial" w:hAnsi="Arial"/>
                <w:sz w:val="20"/>
                <w:szCs w:val="20"/>
                <w:color w:val="auto"/>
              </w:rPr>
              <w:t>OMNI SERV LIMITED</w:t>
            </w:r>
          </w:p>
        </w:tc>
      </w:tr>
      <w:tr>
        <w:trPr>
          <w:trHeight w:val="617"/>
        </w:trPr>
        <w:tc>
          <w:tcPr>
            <w:tcW w:w="1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60" w:type="dxa"/>
            <w:vAlign w:val="bottom"/>
            <w:gridSpan w:val="2"/>
          </w:tcPr>
          <w:p>
            <w:pPr>
              <w:ind w:left="960"/>
              <w:spacing w:after="0"/>
              <w:rPr>
                <w:sz w:val="20"/>
                <w:szCs w:val="20"/>
                <w:color w:val="auto"/>
              </w:rPr>
            </w:pPr>
            <w:r>
              <w:rPr>
                <w:rFonts w:ascii="Arial" w:cs="Arial" w:eastAsia="Arial" w:hAnsi="Arial"/>
                <w:sz w:val="20"/>
                <w:szCs w:val="20"/>
                <w:color w:val="auto"/>
              </w:rPr>
              <w:t>By:/s/</w:t>
            </w:r>
          </w:p>
        </w:tc>
        <w:tc>
          <w:tcPr>
            <w:tcW w:w="2680" w:type="dxa"/>
            <w:vAlign w:val="bottom"/>
            <w:gridSpan w:val="2"/>
          </w:tcPr>
          <w:p>
            <w:pPr>
              <w:ind w:left="120"/>
              <w:spacing w:after="0"/>
              <w:rPr>
                <w:sz w:val="20"/>
                <w:szCs w:val="20"/>
                <w:color w:val="auto"/>
              </w:rPr>
            </w:pPr>
            <w:r>
              <w:rPr>
                <w:rFonts w:ascii="Arial" w:cs="Arial" w:eastAsia="Arial" w:hAnsi="Arial"/>
                <w:sz w:val="20"/>
                <w:szCs w:val="20"/>
                <w:color w:val="auto"/>
              </w:rPr>
              <w:t>John King</w:t>
            </w:r>
          </w:p>
        </w:tc>
      </w:tr>
      <w:tr>
        <w:trPr>
          <w:trHeight w:val="20"/>
        </w:trPr>
        <w:tc>
          <w:tcPr>
            <w:tcW w:w="1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33"/>
        </w:trPr>
        <w:tc>
          <w:tcPr>
            <w:tcW w:w="1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gridSpan w:val="2"/>
          </w:tcPr>
          <w:p>
            <w:pPr>
              <w:ind w:left="960"/>
              <w:spacing w:after="0"/>
              <w:rPr>
                <w:sz w:val="20"/>
                <w:szCs w:val="20"/>
                <w:color w:val="auto"/>
              </w:rPr>
            </w:pPr>
            <w:r>
              <w:rPr>
                <w:rFonts w:ascii="Arial" w:cs="Arial" w:eastAsia="Arial" w:hAnsi="Arial"/>
                <w:sz w:val="20"/>
                <w:szCs w:val="20"/>
                <w:color w:val="auto"/>
                <w:w w:val="98"/>
              </w:rPr>
              <w:t>Name:</w:t>
            </w:r>
          </w:p>
        </w:tc>
        <w:tc>
          <w:tcPr>
            <w:tcW w:w="2680" w:type="dxa"/>
            <w:vAlign w:val="bottom"/>
            <w:gridSpan w:val="2"/>
          </w:tcPr>
          <w:p>
            <w:pPr>
              <w:ind w:left="120"/>
              <w:spacing w:after="0"/>
              <w:rPr>
                <w:sz w:val="20"/>
                <w:szCs w:val="20"/>
                <w:color w:val="auto"/>
              </w:rPr>
            </w:pPr>
            <w:r>
              <w:rPr>
                <w:rFonts w:ascii="Arial" w:cs="Arial" w:eastAsia="Arial" w:hAnsi="Arial"/>
                <w:sz w:val="20"/>
                <w:szCs w:val="20"/>
                <w:color w:val="auto"/>
              </w:rPr>
              <w:t>John King</w:t>
            </w:r>
          </w:p>
        </w:tc>
      </w:tr>
      <w:tr>
        <w:trPr>
          <w:trHeight w:val="250"/>
        </w:trPr>
        <w:tc>
          <w:tcPr>
            <w:tcW w:w="1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560" w:type="dxa"/>
            <w:vAlign w:val="bottom"/>
            <w:gridSpan w:val="2"/>
          </w:tcPr>
          <w:p>
            <w:pPr>
              <w:ind w:left="960"/>
              <w:spacing w:after="0"/>
              <w:rPr>
                <w:sz w:val="20"/>
                <w:szCs w:val="20"/>
                <w:color w:val="auto"/>
              </w:rPr>
            </w:pPr>
            <w:r>
              <w:rPr>
                <w:rFonts w:ascii="Arial" w:cs="Arial" w:eastAsia="Arial" w:hAnsi="Arial"/>
                <w:sz w:val="20"/>
                <w:szCs w:val="20"/>
                <w:color w:val="auto"/>
              </w:rPr>
              <w:t>Title:</w:t>
            </w:r>
          </w:p>
        </w:tc>
        <w:tc>
          <w:tcPr>
            <w:tcW w:w="2680" w:type="dxa"/>
            <w:vAlign w:val="bottom"/>
            <w:gridSpan w:val="2"/>
          </w:tcPr>
          <w:p>
            <w:pPr>
              <w:ind w:left="60"/>
              <w:spacing w:after="0"/>
              <w:rPr>
                <w:sz w:val="20"/>
                <w:szCs w:val="20"/>
                <w:color w:val="auto"/>
              </w:rPr>
            </w:pPr>
            <w:r>
              <w:rPr>
                <w:rFonts w:ascii="Arial" w:cs="Arial" w:eastAsia="Arial" w:hAnsi="Arial"/>
                <w:sz w:val="20"/>
                <w:szCs w:val="20"/>
                <w:color w:val="auto"/>
              </w:rPr>
              <w:t>Finance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66"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0"/>
        </w:trPr>
        <w:tc>
          <w:tcPr>
            <w:tcW w:w="5320" w:type="dxa"/>
            <w:vAlign w:val="bottom"/>
            <w:gridSpan w:val="5"/>
          </w:tcPr>
          <w:p>
            <w:pPr>
              <w:spacing w:after="0"/>
              <w:rPr>
                <w:sz w:val="20"/>
                <w:szCs w:val="20"/>
                <w:color w:val="auto"/>
              </w:rPr>
            </w:pPr>
            <w:r>
              <w:rPr>
                <w:rFonts w:ascii="Arial" w:cs="Arial" w:eastAsia="Arial" w:hAnsi="Arial"/>
                <w:sz w:val="20"/>
                <w:szCs w:val="20"/>
                <w:color w:val="auto"/>
              </w:rPr>
              <w:t>GUARANTORS:</w:t>
            </w:r>
          </w:p>
        </w:tc>
        <w:tc>
          <w:tcPr>
            <w:tcW w:w="6000" w:type="dxa"/>
            <w:vAlign w:val="bottom"/>
          </w:tcPr>
          <w:p>
            <w:pPr>
              <w:spacing w:after="0"/>
              <w:rPr>
                <w:sz w:val="19"/>
                <w:szCs w:val="19"/>
                <w:color w:val="auto"/>
              </w:rPr>
            </w:pPr>
          </w:p>
        </w:tc>
      </w:tr>
      <w:tr>
        <w:trPr>
          <w:trHeight w:val="20"/>
        </w:trPr>
        <w:tc>
          <w:tcPr>
            <w:tcW w:w="70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632"/>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AVIATION,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ENERGY SERVICES,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BUILDING &amp; ENERGY SOLUTIONS, LLC</w:t>
            </w:r>
          </w:p>
        </w:tc>
        <w:tc>
          <w:tcPr>
            <w:tcW w:w="6000" w:type="dxa"/>
            <w:vAlign w:val="bottom"/>
          </w:tcPr>
          <w:p>
            <w:pPr>
              <w:ind w:left="420"/>
              <w:spacing w:after="0"/>
              <w:rPr>
                <w:sz w:val="20"/>
                <w:szCs w:val="20"/>
                <w:color w:val="auto"/>
              </w:rPr>
            </w:pPr>
            <w:r>
              <w:rPr>
                <w:rFonts w:ascii="Arial" w:cs="Arial" w:eastAsia="Arial" w:hAnsi="Arial"/>
                <w:sz w:val="20"/>
                <w:szCs w:val="20"/>
                <w:color w:val="auto"/>
                <w:w w:val="95"/>
              </w:rPr>
              <w:t>GCA FACILITY OPERATIONS MAINTENANCE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BUILDING SERVICES,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INTERMEDIATE HOLDING CORP.</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BUILDING SOLUTIONS,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INTERNATIONAL MANAGEMENT SERVICES,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ELECTRICAL &amp; LIGHTING SERVICES,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K12 EDUCATION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ELECTRICAL &amp; LIGHTING SOLUTIONS,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NUCLEAR FACILITY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ELECTRICAL NETWORK,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PRODUCTION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ELECTRICAL POWER SERVICES,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GROUP MOUNTAIN STATES, L.P.</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ELECTRICAL POWER SOLUTIONS,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GROUP OF CALIFORNIA,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FACILITY SUPPORT SERVICES,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GROUP OF COLORADO,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FRANCHISING GROUP,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GROUP OF NORTH CAROLINA,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GENERAL SERVICES, INC.</w:t>
            </w:r>
          </w:p>
        </w:tc>
        <w:tc>
          <w:tcPr>
            <w:tcW w:w="6000" w:type="dxa"/>
            <w:vAlign w:val="bottom"/>
          </w:tcPr>
          <w:p>
            <w:pPr>
              <w:ind w:left="420"/>
              <w:spacing w:after="0"/>
              <w:rPr>
                <w:sz w:val="20"/>
                <w:szCs w:val="20"/>
                <w:color w:val="auto"/>
              </w:rPr>
            </w:pPr>
            <w:r>
              <w:rPr>
                <w:rFonts w:ascii="Arial" w:cs="Arial" w:eastAsia="Arial" w:hAnsi="Arial"/>
                <w:sz w:val="20"/>
                <w:szCs w:val="20"/>
                <w:color w:val="auto"/>
                <w:w w:val="96"/>
              </w:rPr>
              <w:t>GCA SERVICES GROUP OF NORTHWESTERN STATES,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HEALTHCARE SUPPORT SERVICES,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GROUP,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INDUSTRIAL SERVICES,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INDUSTRY GROUPS,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SPECIALTY SERVICES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ABM TEXAS GENERAL SERVICES, INC.</w:t>
            </w:r>
          </w:p>
        </w:tc>
        <w:tc>
          <w:tcPr>
            <w:tcW w:w="6000" w:type="dxa"/>
            <w:vAlign w:val="bottom"/>
          </w:tcPr>
          <w:p>
            <w:pPr>
              <w:ind w:left="420"/>
              <w:spacing w:after="0"/>
              <w:rPr>
                <w:sz w:val="20"/>
                <w:szCs w:val="20"/>
                <w:color w:val="auto"/>
              </w:rPr>
            </w:pPr>
            <w:r>
              <w:rPr>
                <w:rFonts w:ascii="Arial" w:cs="Arial" w:eastAsia="Arial" w:hAnsi="Arial"/>
                <w:sz w:val="20"/>
                <w:szCs w:val="20"/>
                <w:color w:val="auto"/>
              </w:rPr>
              <w:t>GCA STAFFING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ASSOCIATED FACILITY VENTURES, LLC</w:t>
            </w:r>
          </w:p>
        </w:tc>
        <w:tc>
          <w:tcPr>
            <w:tcW w:w="6000" w:type="dxa"/>
            <w:vAlign w:val="bottom"/>
          </w:tcPr>
          <w:p>
            <w:pPr>
              <w:ind w:left="420"/>
              <w:spacing w:after="0"/>
              <w:rPr>
                <w:sz w:val="20"/>
                <w:szCs w:val="20"/>
                <w:color w:val="auto"/>
              </w:rPr>
            </w:pPr>
            <w:r>
              <w:rPr>
                <w:rFonts w:ascii="Arial" w:cs="Arial" w:eastAsia="Arial" w:hAnsi="Arial"/>
                <w:sz w:val="20"/>
                <w:szCs w:val="20"/>
                <w:color w:val="auto"/>
              </w:rPr>
              <w:t>GRADE SUB TWO,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ERIE ACQUISITION HOLDINGS, INC.</w:t>
            </w:r>
          </w:p>
        </w:tc>
        <w:tc>
          <w:tcPr>
            <w:tcW w:w="6000" w:type="dxa"/>
            <w:vAlign w:val="bottom"/>
          </w:tcPr>
          <w:p>
            <w:pPr>
              <w:ind w:left="420"/>
              <w:spacing w:after="0"/>
              <w:rPr>
                <w:sz w:val="20"/>
                <w:szCs w:val="20"/>
                <w:color w:val="auto"/>
              </w:rPr>
            </w:pPr>
            <w:r>
              <w:rPr>
                <w:rFonts w:ascii="Arial" w:cs="Arial" w:eastAsia="Arial" w:hAnsi="Arial"/>
                <w:sz w:val="20"/>
                <w:szCs w:val="20"/>
                <w:color w:val="auto"/>
              </w:rPr>
              <w:t>GREENHOMES AMERICA,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ERIE MERGER HOLDINGS, LLC</w:t>
            </w:r>
          </w:p>
        </w:tc>
        <w:tc>
          <w:tcPr>
            <w:tcW w:w="6000" w:type="dxa"/>
            <w:vAlign w:val="bottom"/>
          </w:tcPr>
          <w:p>
            <w:pPr>
              <w:ind w:left="420"/>
              <w:spacing w:after="0"/>
              <w:rPr>
                <w:sz w:val="20"/>
                <w:szCs w:val="20"/>
                <w:color w:val="auto"/>
              </w:rPr>
            </w:pPr>
            <w:r>
              <w:rPr>
                <w:rFonts w:ascii="Arial" w:cs="Arial" w:eastAsia="Arial" w:hAnsi="Arial"/>
                <w:sz w:val="20"/>
                <w:szCs w:val="20"/>
                <w:color w:val="auto"/>
              </w:rPr>
              <w:t>LINC FACILITY SERVICES IRAQ,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CLEANING SPECIALITIES, L.P.</w:t>
            </w:r>
          </w:p>
        </w:tc>
        <w:tc>
          <w:tcPr>
            <w:tcW w:w="6000" w:type="dxa"/>
            <w:vAlign w:val="bottom"/>
          </w:tcPr>
          <w:p>
            <w:pPr>
              <w:ind w:left="420"/>
              <w:spacing w:after="0"/>
              <w:rPr>
                <w:sz w:val="20"/>
                <w:szCs w:val="20"/>
                <w:color w:val="auto"/>
              </w:rPr>
            </w:pPr>
            <w:r>
              <w:rPr>
                <w:rFonts w:ascii="Arial" w:cs="Arial" w:eastAsia="Arial" w:hAnsi="Arial"/>
                <w:sz w:val="20"/>
                <w:szCs w:val="20"/>
                <w:color w:val="auto"/>
              </w:rPr>
              <w:t>LINC FACILITY SERVICES ME, LLC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COMERCIAL SERVICES OF MIDWEST, LLC</w:t>
            </w:r>
          </w:p>
        </w:tc>
        <w:tc>
          <w:tcPr>
            <w:tcW w:w="6000" w:type="dxa"/>
            <w:vAlign w:val="bottom"/>
          </w:tcPr>
          <w:p>
            <w:pPr>
              <w:ind w:left="420"/>
              <w:spacing w:after="0"/>
              <w:rPr>
                <w:sz w:val="20"/>
                <w:szCs w:val="20"/>
                <w:color w:val="auto"/>
              </w:rPr>
            </w:pPr>
            <w:r>
              <w:rPr>
                <w:rFonts w:ascii="Arial" w:cs="Arial" w:eastAsia="Arial" w:hAnsi="Arial"/>
                <w:sz w:val="20"/>
                <w:szCs w:val="20"/>
                <w:color w:val="auto"/>
              </w:rPr>
              <w:t>LINC INTERNATIONAL,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EDUCATION SERVICES CENTRAL STATES, INC.</w:t>
            </w:r>
          </w:p>
        </w:tc>
        <w:tc>
          <w:tcPr>
            <w:tcW w:w="6000" w:type="dxa"/>
            <w:vAlign w:val="bottom"/>
          </w:tcPr>
          <w:p>
            <w:pPr>
              <w:ind w:left="420"/>
              <w:spacing w:after="0"/>
              <w:rPr>
                <w:sz w:val="20"/>
                <w:szCs w:val="20"/>
                <w:color w:val="auto"/>
              </w:rPr>
            </w:pPr>
            <w:r>
              <w:rPr>
                <w:rFonts w:ascii="Arial" w:cs="Arial" w:eastAsia="Arial" w:hAnsi="Arial"/>
                <w:sz w:val="20"/>
                <w:szCs w:val="20"/>
                <w:color w:val="auto"/>
              </w:rPr>
              <w:t>MECHANICAL SOLUTIONS,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EDUCATION SERVICES OF MIDWEST, LLC</w:t>
            </w:r>
          </w:p>
        </w:tc>
        <w:tc>
          <w:tcPr>
            <w:tcW w:w="6000" w:type="dxa"/>
            <w:vAlign w:val="bottom"/>
          </w:tcPr>
          <w:p>
            <w:pPr>
              <w:ind w:left="420"/>
              <w:spacing w:after="0"/>
              <w:rPr>
                <w:sz w:val="20"/>
                <w:szCs w:val="20"/>
                <w:color w:val="auto"/>
              </w:rPr>
            </w:pPr>
            <w:r>
              <w:rPr>
                <w:rFonts w:ascii="Arial" w:cs="Arial" w:eastAsia="Arial" w:hAnsi="Arial"/>
                <w:sz w:val="20"/>
                <w:szCs w:val="20"/>
                <w:color w:val="auto"/>
              </w:rPr>
              <w:t>NATIONAL BUILDING MAINTENANCE CORP.</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EDUCATION SERVICES OF NEW ENGLAND, LLC</w:t>
            </w:r>
          </w:p>
        </w:tc>
        <w:tc>
          <w:tcPr>
            <w:tcW w:w="6000" w:type="dxa"/>
            <w:vAlign w:val="bottom"/>
          </w:tcPr>
          <w:p>
            <w:pPr>
              <w:ind w:left="420"/>
              <w:spacing w:after="0"/>
              <w:rPr>
                <w:sz w:val="20"/>
                <w:szCs w:val="20"/>
                <w:color w:val="auto"/>
              </w:rPr>
            </w:pPr>
            <w:r>
              <w:rPr>
                <w:rFonts w:ascii="Arial" w:cs="Arial" w:eastAsia="Arial" w:hAnsi="Arial"/>
                <w:sz w:val="20"/>
                <w:szCs w:val="20"/>
                <w:color w:val="auto"/>
              </w:rPr>
              <w:t>ONESOURCE FACILITY SERVICES, INC.</w:t>
            </w:r>
          </w:p>
        </w:tc>
      </w:tr>
      <w:tr>
        <w:trPr>
          <w:trHeight w:val="284"/>
        </w:trPr>
        <w:tc>
          <w:tcPr>
            <w:tcW w:w="5320" w:type="dxa"/>
            <w:vAlign w:val="bottom"/>
            <w:gridSpan w:val="5"/>
          </w:tcPr>
          <w:p>
            <w:pPr>
              <w:ind w:left="60"/>
              <w:spacing w:after="0"/>
              <w:rPr>
                <w:sz w:val="20"/>
                <w:szCs w:val="20"/>
                <w:color w:val="auto"/>
              </w:rPr>
            </w:pPr>
            <w:r>
              <w:rPr>
                <w:rFonts w:ascii="Arial" w:cs="Arial" w:eastAsia="Arial" w:hAnsi="Arial"/>
                <w:sz w:val="20"/>
                <w:szCs w:val="20"/>
                <w:color w:val="auto"/>
              </w:rPr>
              <w:t>GCA EDUCATION SERVICES, INC.</w:t>
            </w:r>
          </w:p>
        </w:tc>
        <w:tc>
          <w:tcPr>
            <w:tcW w:w="6000" w:type="dxa"/>
            <w:vAlign w:val="bottom"/>
          </w:tcPr>
          <w:p>
            <w:pPr>
              <w:ind w:left="420"/>
              <w:spacing w:after="0"/>
              <w:rPr>
                <w:sz w:val="20"/>
                <w:szCs w:val="20"/>
                <w:color w:val="auto"/>
              </w:rPr>
            </w:pPr>
            <w:r>
              <w:rPr>
                <w:rFonts w:ascii="Arial" w:cs="Arial" w:eastAsia="Arial" w:hAnsi="Arial"/>
                <w:sz w:val="20"/>
                <w:szCs w:val="20"/>
                <w:color w:val="auto"/>
              </w:rPr>
              <w:t>ONESOURCE HOLDINGS, LLC</w:t>
            </w:r>
          </w:p>
        </w:tc>
      </w:tr>
      <w:tr>
        <w:trPr>
          <w:trHeight w:val="284"/>
        </w:trPr>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0" w:type="dxa"/>
            <w:vAlign w:val="bottom"/>
          </w:tcPr>
          <w:p>
            <w:pPr>
              <w:ind w:left="420"/>
              <w:spacing w:after="0"/>
              <w:rPr>
                <w:sz w:val="20"/>
                <w:szCs w:val="20"/>
                <w:color w:val="auto"/>
              </w:rPr>
            </w:pPr>
            <w:r>
              <w:rPr>
                <w:rFonts w:ascii="Arial" w:cs="Arial" w:eastAsia="Arial" w:hAnsi="Arial"/>
                <w:sz w:val="20"/>
                <w:szCs w:val="20"/>
                <w:color w:val="auto"/>
              </w:rPr>
              <w:t>ONESOURCE SERVICES LLC</w:t>
            </w:r>
          </w:p>
        </w:tc>
      </w:tr>
      <w:tr>
        <w:trPr>
          <w:trHeight w:val="442"/>
        </w:trPr>
        <w:tc>
          <w:tcPr>
            <w:tcW w:w="1000" w:type="dxa"/>
            <w:vAlign w:val="bottom"/>
            <w:gridSpan w:val="2"/>
          </w:tcPr>
          <w:p>
            <w:pPr>
              <w:ind w:left="420"/>
              <w:spacing w:after="0"/>
              <w:rPr>
                <w:sz w:val="20"/>
                <w:szCs w:val="20"/>
                <w:color w:val="auto"/>
              </w:rPr>
            </w:pPr>
            <w:r>
              <w:rPr>
                <w:rFonts w:ascii="Arial" w:cs="Arial" w:eastAsia="Arial" w:hAnsi="Arial"/>
                <w:sz w:val="20"/>
                <w:szCs w:val="20"/>
                <w:color w:val="auto"/>
              </w:rPr>
              <w:t>By:/s/</w:t>
            </w:r>
          </w:p>
        </w:tc>
        <w:tc>
          <w:tcPr>
            <w:tcW w:w="4320" w:type="dxa"/>
            <w:vAlign w:val="bottom"/>
            <w:gridSpan w:val="3"/>
          </w:tcPr>
          <w:p>
            <w:pPr>
              <w:ind w:left="140"/>
              <w:spacing w:after="0"/>
              <w:rPr>
                <w:sz w:val="20"/>
                <w:szCs w:val="20"/>
                <w:color w:val="auto"/>
              </w:rPr>
            </w:pPr>
            <w:r>
              <w:rPr>
                <w:rFonts w:ascii="Arial" w:cs="Arial" w:eastAsia="Arial" w:hAnsi="Arial"/>
                <w:sz w:val="20"/>
                <w:szCs w:val="20"/>
                <w:color w:val="auto"/>
              </w:rPr>
              <w:t>Tom Gallo</w:t>
            </w:r>
          </w:p>
        </w:tc>
        <w:tc>
          <w:tcPr>
            <w:tcW w:w="6000" w:type="dxa"/>
            <w:vAlign w:val="bottom"/>
          </w:tcPr>
          <w:p>
            <w:pPr>
              <w:spacing w:after="0"/>
              <w:rPr>
                <w:sz w:val="24"/>
                <w:szCs w:val="24"/>
                <w:color w:val="auto"/>
              </w:rPr>
            </w:pPr>
          </w:p>
        </w:tc>
      </w:tr>
      <w:tr>
        <w:trPr>
          <w:trHeight w:val="20"/>
        </w:trPr>
        <w:tc>
          <w:tcPr>
            <w:tcW w:w="7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780" w:type="dxa"/>
            <w:vAlign w:val="bottom"/>
            <w:gridSpan w:val="2"/>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r>
      <w:tr>
        <w:trPr>
          <w:trHeight w:val="233"/>
        </w:trPr>
        <w:tc>
          <w:tcPr>
            <w:tcW w:w="1000" w:type="dxa"/>
            <w:vAlign w:val="bottom"/>
            <w:gridSpan w:val="2"/>
          </w:tcPr>
          <w:p>
            <w:pPr>
              <w:ind w:left="420"/>
              <w:spacing w:after="0"/>
              <w:rPr>
                <w:sz w:val="20"/>
                <w:szCs w:val="20"/>
                <w:color w:val="auto"/>
              </w:rPr>
            </w:pPr>
            <w:r>
              <w:rPr>
                <w:rFonts w:ascii="Arial" w:cs="Arial" w:eastAsia="Arial" w:hAnsi="Arial"/>
                <w:sz w:val="20"/>
                <w:szCs w:val="20"/>
                <w:color w:val="auto"/>
                <w:w w:val="94"/>
              </w:rPr>
              <w:t>Name:</w:t>
            </w:r>
          </w:p>
        </w:tc>
        <w:tc>
          <w:tcPr>
            <w:tcW w:w="4320" w:type="dxa"/>
            <w:vAlign w:val="bottom"/>
            <w:gridSpan w:val="3"/>
          </w:tcPr>
          <w:p>
            <w:pPr>
              <w:ind w:left="120"/>
              <w:spacing w:after="0"/>
              <w:rPr>
                <w:sz w:val="20"/>
                <w:szCs w:val="20"/>
                <w:color w:val="auto"/>
              </w:rPr>
            </w:pPr>
            <w:r>
              <w:rPr>
                <w:rFonts w:ascii="Arial" w:cs="Arial" w:eastAsia="Arial" w:hAnsi="Arial"/>
                <w:sz w:val="20"/>
                <w:szCs w:val="20"/>
                <w:color w:val="auto"/>
              </w:rPr>
              <w:t>Tom Gallo</w:t>
            </w:r>
          </w:p>
        </w:tc>
        <w:tc>
          <w:tcPr>
            <w:tcW w:w="6000" w:type="dxa"/>
            <w:vAlign w:val="bottom"/>
          </w:tcPr>
          <w:p>
            <w:pPr>
              <w:spacing w:after="0"/>
              <w:rPr>
                <w:sz w:val="20"/>
                <w:szCs w:val="20"/>
                <w:color w:val="auto"/>
              </w:rPr>
            </w:pPr>
          </w:p>
        </w:tc>
      </w:tr>
      <w:tr>
        <w:trPr>
          <w:trHeight w:val="250"/>
        </w:trPr>
        <w:tc>
          <w:tcPr>
            <w:tcW w:w="1000" w:type="dxa"/>
            <w:vAlign w:val="bottom"/>
            <w:gridSpan w:val="2"/>
          </w:tcPr>
          <w:p>
            <w:pPr>
              <w:ind w:left="420"/>
              <w:spacing w:after="0"/>
              <w:rPr>
                <w:sz w:val="20"/>
                <w:szCs w:val="20"/>
                <w:color w:val="auto"/>
              </w:rPr>
            </w:pPr>
            <w:r>
              <w:rPr>
                <w:rFonts w:ascii="Arial" w:cs="Arial" w:eastAsia="Arial" w:hAnsi="Arial"/>
                <w:sz w:val="20"/>
                <w:szCs w:val="20"/>
                <w:color w:val="auto"/>
              </w:rPr>
              <w:t>Title:</w:t>
            </w:r>
          </w:p>
        </w:tc>
        <w:tc>
          <w:tcPr>
            <w:tcW w:w="4320" w:type="dxa"/>
            <w:vAlign w:val="bottom"/>
            <w:gridSpan w:val="3"/>
          </w:tcPr>
          <w:p>
            <w:pPr>
              <w:ind w:left="60"/>
              <w:spacing w:after="0"/>
              <w:rPr>
                <w:sz w:val="20"/>
                <w:szCs w:val="20"/>
                <w:color w:val="auto"/>
              </w:rPr>
            </w:pPr>
            <w:r>
              <w:rPr>
                <w:rFonts w:ascii="Arial" w:cs="Arial" w:eastAsia="Arial" w:hAnsi="Arial"/>
                <w:sz w:val="20"/>
                <w:szCs w:val="20"/>
                <w:color w:val="auto"/>
              </w:rPr>
              <w:t>Vice President, Treasurer</w:t>
            </w:r>
          </w:p>
        </w:tc>
        <w:tc>
          <w:tcPr>
            <w:tcW w:w="60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84" w:name="page85"/>
    <w:bookmarkEnd w:id="84"/>
    <w:p>
      <w:pPr>
        <w:spacing w:after="0"/>
        <w:rPr>
          <w:sz w:val="20"/>
          <w:szCs w:val="20"/>
          <w:color w:val="auto"/>
        </w:rPr>
      </w:pPr>
      <w:r>
        <w:rPr>
          <w:rFonts w:ascii="Arial" w:cs="Arial" w:eastAsia="Arial" w:hAnsi="Arial"/>
          <w:sz w:val="20"/>
          <w:szCs w:val="20"/>
          <w:color w:val="auto"/>
        </w:rPr>
        <w:t>ASSOCIATED FACILITY MANAGEMENT, LLC</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GCA SERVICES GROUP OF TEXAS, L.P.</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Arial" w:cs="Arial" w:eastAsia="Arial" w:hAnsi="Arial"/>
                <w:sz w:val="20"/>
                <w:szCs w:val="20"/>
                <w:color w:val="auto"/>
              </w:rPr>
              <w:t>By:/s/</w:t>
            </w:r>
          </w:p>
        </w:tc>
        <w:tc>
          <w:tcPr>
            <w:tcW w:w="2080" w:type="dxa"/>
            <w:vAlign w:val="bottom"/>
            <w:gridSpan w:val="2"/>
          </w:tcPr>
          <w:p>
            <w:pPr>
              <w:ind w:left="120"/>
              <w:spacing w:after="0"/>
              <w:rPr>
                <w:sz w:val="20"/>
                <w:szCs w:val="20"/>
                <w:color w:val="auto"/>
              </w:rPr>
            </w:pPr>
            <w:r>
              <w:rPr>
                <w:rFonts w:ascii="Arial" w:cs="Arial" w:eastAsia="Arial" w:hAnsi="Arial"/>
                <w:sz w:val="20"/>
                <w:szCs w:val="20"/>
                <w:color w:val="auto"/>
              </w:rPr>
              <w:t>Tom Gallo</w:t>
            </w:r>
          </w:p>
        </w:tc>
      </w:tr>
      <w:tr>
        <w:trPr>
          <w:trHeight w:val="20"/>
        </w:trPr>
        <w:tc>
          <w:tcPr>
            <w:tcW w:w="3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3"/>
        </w:trPr>
        <w:tc>
          <w:tcPr>
            <w:tcW w:w="600" w:type="dxa"/>
            <w:vAlign w:val="bottom"/>
            <w:gridSpan w:val="2"/>
          </w:tcPr>
          <w:p>
            <w:pPr>
              <w:spacing w:after="0"/>
              <w:rPr>
                <w:sz w:val="20"/>
                <w:szCs w:val="20"/>
                <w:color w:val="auto"/>
              </w:rPr>
            </w:pPr>
            <w:r>
              <w:rPr>
                <w:rFonts w:ascii="Arial" w:cs="Arial" w:eastAsia="Arial" w:hAnsi="Arial"/>
                <w:sz w:val="20"/>
                <w:szCs w:val="20"/>
                <w:color w:val="auto"/>
                <w:w w:val="98"/>
              </w:rPr>
              <w:t>Name:</w:t>
            </w:r>
          </w:p>
        </w:tc>
        <w:tc>
          <w:tcPr>
            <w:tcW w:w="2080" w:type="dxa"/>
            <w:vAlign w:val="bottom"/>
            <w:gridSpan w:val="2"/>
          </w:tcPr>
          <w:p>
            <w:pPr>
              <w:ind w:left="140"/>
              <w:spacing w:after="0"/>
              <w:rPr>
                <w:sz w:val="20"/>
                <w:szCs w:val="20"/>
                <w:color w:val="auto"/>
              </w:rPr>
            </w:pPr>
            <w:r>
              <w:rPr>
                <w:rFonts w:ascii="Arial" w:cs="Arial" w:eastAsia="Arial" w:hAnsi="Arial"/>
                <w:sz w:val="20"/>
                <w:szCs w:val="20"/>
                <w:color w:val="auto"/>
              </w:rPr>
              <w:t>Tom Gallo</w:t>
            </w:r>
          </w:p>
        </w:tc>
      </w:tr>
      <w:tr>
        <w:trPr>
          <w:trHeight w:val="250"/>
        </w:trPr>
        <w:tc>
          <w:tcPr>
            <w:tcW w:w="600" w:type="dxa"/>
            <w:vAlign w:val="bottom"/>
            <w:gridSpan w:val="2"/>
          </w:tcPr>
          <w:p>
            <w:pPr>
              <w:spacing w:after="0"/>
              <w:rPr>
                <w:sz w:val="20"/>
                <w:szCs w:val="20"/>
                <w:color w:val="auto"/>
              </w:rPr>
            </w:pPr>
            <w:r>
              <w:rPr>
                <w:rFonts w:ascii="Arial" w:cs="Arial" w:eastAsia="Arial" w:hAnsi="Arial"/>
                <w:sz w:val="20"/>
                <w:szCs w:val="20"/>
                <w:color w:val="auto"/>
              </w:rPr>
              <w:t>Title:</w:t>
            </w:r>
          </w:p>
        </w:tc>
        <w:tc>
          <w:tcPr>
            <w:tcW w:w="2080" w:type="dxa"/>
            <w:vAlign w:val="bottom"/>
            <w:gridSpan w:val="2"/>
          </w:tcPr>
          <w:p>
            <w:pPr>
              <w:ind w:left="80"/>
              <w:spacing w:after="0"/>
              <w:rPr>
                <w:sz w:val="20"/>
                <w:szCs w:val="20"/>
                <w:color w:val="auto"/>
              </w:rPr>
            </w:pPr>
            <w:r>
              <w:rPr>
                <w:rFonts w:ascii="Arial" w:cs="Arial" w:eastAsia="Arial" w:hAnsi="Arial"/>
                <w:sz w:val="20"/>
                <w:szCs w:val="20"/>
                <w:color w:val="auto"/>
                <w:w w:val="87"/>
              </w:rPr>
              <w:t>Vice President,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66"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0"/>
        </w:trPr>
        <w:tc>
          <w:tcPr>
            <w:tcW w:w="2860" w:type="dxa"/>
            <w:vAlign w:val="bottom"/>
            <w:gridSpan w:val="2"/>
          </w:tcPr>
          <w:p>
            <w:pPr>
              <w:spacing w:after="0"/>
              <w:rPr>
                <w:sz w:val="20"/>
                <w:szCs w:val="20"/>
                <w:color w:val="auto"/>
              </w:rPr>
            </w:pPr>
            <w:r>
              <w:rPr>
                <w:rFonts w:ascii="Arial" w:cs="Arial" w:eastAsia="Arial" w:hAnsi="Arial"/>
                <w:sz w:val="20"/>
                <w:szCs w:val="20"/>
                <w:color w:val="auto"/>
              </w:rPr>
              <w:t>ADMINISTRATIVE AGENT:</w:t>
            </w:r>
          </w:p>
        </w:tc>
        <w:tc>
          <w:tcPr>
            <w:tcW w:w="3480" w:type="dxa"/>
            <w:vAlign w:val="bottom"/>
            <w:gridSpan w:val="4"/>
          </w:tcPr>
          <w:p>
            <w:pPr>
              <w:ind w:left="380"/>
              <w:spacing w:after="0"/>
              <w:rPr>
                <w:sz w:val="20"/>
                <w:szCs w:val="20"/>
                <w:color w:val="auto"/>
              </w:rPr>
            </w:pPr>
            <w:r>
              <w:rPr>
                <w:rFonts w:ascii="Arial" w:cs="Arial" w:eastAsia="Arial" w:hAnsi="Arial"/>
                <w:sz w:val="20"/>
                <w:szCs w:val="20"/>
                <w:color w:val="auto"/>
              </w:rPr>
              <w:t>BANK OF AMERICA, N.A.,</w:t>
            </w:r>
          </w:p>
        </w:tc>
      </w:tr>
      <w:tr>
        <w:trPr>
          <w:trHeight w:val="254"/>
        </w:trPr>
        <w:tc>
          <w:tcPr>
            <w:tcW w:w="240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3480" w:type="dxa"/>
            <w:vAlign w:val="bottom"/>
            <w:gridSpan w:val="4"/>
          </w:tcPr>
          <w:p>
            <w:pPr>
              <w:ind w:left="380"/>
              <w:spacing w:after="0"/>
              <w:rPr>
                <w:sz w:val="20"/>
                <w:szCs w:val="20"/>
                <w:color w:val="auto"/>
              </w:rPr>
            </w:pPr>
            <w:r>
              <w:rPr>
                <w:rFonts w:ascii="Arial" w:cs="Arial" w:eastAsia="Arial" w:hAnsi="Arial"/>
                <w:sz w:val="20"/>
                <w:szCs w:val="20"/>
                <w:color w:val="auto"/>
                <w:w w:val="91"/>
              </w:rPr>
              <w:t>in its capacity as Administrative Agent</w:t>
            </w:r>
          </w:p>
        </w:tc>
      </w:tr>
      <w:tr>
        <w:trPr>
          <w:trHeight w:val="644"/>
        </w:trPr>
        <w:tc>
          <w:tcPr>
            <w:tcW w:w="2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gridSpan w:val="2"/>
          </w:tcPr>
          <w:p>
            <w:pPr>
              <w:ind w:left="380"/>
              <w:spacing w:after="0"/>
              <w:rPr>
                <w:sz w:val="20"/>
                <w:szCs w:val="20"/>
                <w:color w:val="auto"/>
              </w:rPr>
            </w:pPr>
            <w:r>
              <w:rPr>
                <w:rFonts w:ascii="Arial" w:cs="Arial" w:eastAsia="Arial" w:hAnsi="Arial"/>
                <w:sz w:val="20"/>
                <w:szCs w:val="20"/>
                <w:color w:val="auto"/>
              </w:rPr>
              <w:t>By:/s/</w:t>
            </w:r>
          </w:p>
        </w:tc>
        <w:tc>
          <w:tcPr>
            <w:tcW w:w="2500" w:type="dxa"/>
            <w:vAlign w:val="bottom"/>
            <w:gridSpan w:val="2"/>
          </w:tcPr>
          <w:p>
            <w:pPr>
              <w:ind w:left="120"/>
              <w:spacing w:after="0"/>
              <w:rPr>
                <w:sz w:val="20"/>
                <w:szCs w:val="20"/>
                <w:color w:val="auto"/>
              </w:rPr>
            </w:pPr>
            <w:r>
              <w:rPr>
                <w:rFonts w:ascii="Arial" w:cs="Arial" w:eastAsia="Arial" w:hAnsi="Arial"/>
                <w:sz w:val="20"/>
                <w:szCs w:val="20"/>
                <w:color w:val="auto"/>
              </w:rPr>
              <w:t>Elizabeth Uribe</w:t>
            </w:r>
          </w:p>
        </w:tc>
      </w:tr>
      <w:tr>
        <w:trPr>
          <w:trHeight w:val="20"/>
        </w:trPr>
        <w:tc>
          <w:tcPr>
            <w:tcW w:w="2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3"/>
        </w:trPr>
        <w:tc>
          <w:tcPr>
            <w:tcW w:w="24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gridSpan w:val="2"/>
          </w:tcPr>
          <w:p>
            <w:pPr>
              <w:ind w:left="380"/>
              <w:spacing w:after="0"/>
              <w:rPr>
                <w:sz w:val="20"/>
                <w:szCs w:val="20"/>
                <w:color w:val="auto"/>
              </w:rPr>
            </w:pPr>
            <w:r>
              <w:rPr>
                <w:rFonts w:ascii="Arial" w:cs="Arial" w:eastAsia="Arial" w:hAnsi="Arial"/>
                <w:sz w:val="20"/>
                <w:szCs w:val="20"/>
                <w:color w:val="auto"/>
                <w:w w:val="98"/>
              </w:rPr>
              <w:t>Name:</w:t>
            </w:r>
          </w:p>
        </w:tc>
        <w:tc>
          <w:tcPr>
            <w:tcW w:w="2500" w:type="dxa"/>
            <w:vAlign w:val="bottom"/>
            <w:gridSpan w:val="2"/>
          </w:tcPr>
          <w:p>
            <w:pPr>
              <w:ind w:left="140"/>
              <w:spacing w:after="0"/>
              <w:rPr>
                <w:sz w:val="20"/>
                <w:szCs w:val="20"/>
                <w:color w:val="auto"/>
              </w:rPr>
            </w:pPr>
            <w:r>
              <w:rPr>
                <w:rFonts w:ascii="Arial" w:cs="Arial" w:eastAsia="Arial" w:hAnsi="Arial"/>
                <w:sz w:val="20"/>
                <w:szCs w:val="20"/>
                <w:color w:val="auto"/>
              </w:rPr>
              <w:t>Elizabeth Uribe</w:t>
            </w:r>
          </w:p>
        </w:tc>
      </w:tr>
      <w:tr>
        <w:trPr>
          <w:trHeight w:val="250"/>
        </w:trPr>
        <w:tc>
          <w:tcPr>
            <w:tcW w:w="2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80" w:type="dxa"/>
            <w:vAlign w:val="bottom"/>
            <w:gridSpan w:val="2"/>
          </w:tcPr>
          <w:p>
            <w:pPr>
              <w:ind w:left="380"/>
              <w:spacing w:after="0"/>
              <w:rPr>
                <w:sz w:val="20"/>
                <w:szCs w:val="20"/>
                <w:color w:val="auto"/>
              </w:rPr>
            </w:pPr>
            <w:r>
              <w:rPr>
                <w:rFonts w:ascii="Arial" w:cs="Arial" w:eastAsia="Arial" w:hAnsi="Arial"/>
                <w:sz w:val="20"/>
                <w:szCs w:val="20"/>
                <w:color w:val="auto"/>
              </w:rPr>
              <w:t>Title:</w:t>
            </w:r>
          </w:p>
        </w:tc>
        <w:tc>
          <w:tcPr>
            <w:tcW w:w="2500" w:type="dxa"/>
            <w:vAlign w:val="bottom"/>
            <w:gridSpan w:val="2"/>
          </w:tcPr>
          <w:p>
            <w:pPr>
              <w:ind w:left="60"/>
              <w:spacing w:after="0"/>
              <w:rPr>
                <w:sz w:val="20"/>
                <w:szCs w:val="20"/>
                <w:color w:val="auto"/>
              </w:rPr>
            </w:pPr>
            <w:r>
              <w:rPr>
                <w:rFonts w:ascii="Arial" w:cs="Arial" w:eastAsia="Arial" w:hAnsi="Arial"/>
                <w:sz w:val="20"/>
                <w:szCs w:val="20"/>
                <w:color w:val="auto"/>
              </w:rPr>
              <w:t>Assistant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3960" w:type="dxa"/>
            <w:vAlign w:val="bottom"/>
            <w:gridSpan w:val="3"/>
          </w:tcPr>
          <w:p>
            <w:pPr>
              <w:ind w:left="1140"/>
              <w:spacing w:after="0"/>
              <w:rPr>
                <w:sz w:val="20"/>
                <w:szCs w:val="20"/>
                <w:color w:val="auto"/>
              </w:rPr>
            </w:pPr>
            <w:r>
              <w:rPr>
                <w:rFonts w:ascii="Arial" w:cs="Arial" w:eastAsia="Arial" w:hAnsi="Arial"/>
                <w:sz w:val="20"/>
                <w:szCs w:val="20"/>
                <w:color w:val="auto"/>
              </w:rPr>
              <w:t>BANK OF AMERICA, N.A.,</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396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220" w:type="dxa"/>
            <w:vAlign w:val="bottom"/>
          </w:tcPr>
          <w:p>
            <w:pPr>
              <w:ind w:left="120"/>
              <w:spacing w:after="0"/>
              <w:rPr>
                <w:sz w:val="20"/>
                <w:szCs w:val="20"/>
                <w:color w:val="auto"/>
              </w:rPr>
            </w:pPr>
            <w:r>
              <w:rPr>
                <w:rFonts w:ascii="Arial" w:cs="Arial" w:eastAsia="Arial" w:hAnsi="Arial"/>
                <w:sz w:val="20"/>
                <w:szCs w:val="20"/>
                <w:color w:val="auto"/>
              </w:rPr>
              <w:t>Jana L. Baker</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220" w:type="dxa"/>
            <w:vAlign w:val="bottom"/>
          </w:tcPr>
          <w:p>
            <w:pPr>
              <w:ind w:left="140"/>
              <w:spacing w:after="0"/>
              <w:rPr>
                <w:sz w:val="20"/>
                <w:szCs w:val="20"/>
                <w:color w:val="auto"/>
              </w:rPr>
            </w:pPr>
            <w:r>
              <w:rPr>
                <w:rFonts w:ascii="Arial" w:cs="Arial" w:eastAsia="Arial" w:hAnsi="Arial"/>
                <w:sz w:val="20"/>
                <w:szCs w:val="20"/>
                <w:color w:val="auto"/>
              </w:rPr>
              <w:t>Jana L. Baker</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220" w:type="dxa"/>
            <w:vAlign w:val="bottom"/>
          </w:tcPr>
          <w:p>
            <w:pPr>
              <w:ind w:left="8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87" w:name="page88"/>
    <w:bookmarkEnd w:id="87"/>
    <w:p>
      <w:pPr>
        <w:spacing w:after="0"/>
        <w:tabs>
          <w:tab w:leader="none" w:pos="3220" w:val="left"/>
        </w:tabs>
        <w:rPr>
          <w:sz w:val="20"/>
          <w:szCs w:val="20"/>
          <w:color w:val="auto"/>
        </w:rPr>
      </w:pPr>
      <w:r>
        <w:rPr>
          <w:rFonts w:ascii="Arial" w:cs="Arial" w:eastAsia="Arial" w:hAnsi="Arial"/>
          <w:sz w:val="20"/>
          <w:szCs w:val="20"/>
          <w:u w:val="single" w:color="auto"/>
          <w:color w:val="auto"/>
        </w:rPr>
        <w:t>LENDERS</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MUFG Bank, Ltd. (f/k/a The Bank of Tokyo-Mitsubishi UFJ, Ltd.), in its capacity as Lender</w:t>
      </w:r>
    </w:p>
    <w:p>
      <w:pPr>
        <w:spacing w:after="0" w:line="200" w:lineRule="exact"/>
        <w:rPr>
          <w:sz w:val="20"/>
          <w:szCs w:val="20"/>
          <w:color w:val="auto"/>
        </w:rPr>
      </w:pPr>
    </w:p>
    <w:p>
      <w:pPr>
        <w:spacing w:after="0" w:line="232" w:lineRule="exact"/>
        <w:rPr>
          <w:sz w:val="20"/>
          <w:szCs w:val="20"/>
          <w:color w:val="auto"/>
        </w:rPr>
      </w:pPr>
    </w:p>
    <w:p>
      <w:pPr>
        <w:ind w:left="3240"/>
        <w:spacing w:after="0"/>
        <w:tabs>
          <w:tab w:leader="none" w:pos="3900" w:val="left"/>
        </w:tabs>
        <w:rPr>
          <w:sz w:val="20"/>
          <w:szCs w:val="20"/>
          <w:color w:val="auto"/>
        </w:rPr>
      </w:pPr>
      <w:r>
        <w:rPr>
          <w:rFonts w:ascii="Arial" w:cs="Arial" w:eastAsia="Arial" w:hAnsi="Arial"/>
          <w:sz w:val="20"/>
          <w:szCs w:val="20"/>
          <w:color w:val="auto"/>
        </w:rPr>
        <w:t>By:/s/</w:t>
        <w:tab/>
        <w:t>Liwei Liu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2244725</wp:posOffset>
            </wp:positionH>
            <wp:positionV relativeFrom="paragraph">
              <wp:posOffset>-14605</wp:posOffset>
            </wp:positionV>
            <wp:extent cx="137223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ind w:left="3240"/>
        <w:spacing w:after="0"/>
        <w:tabs>
          <w:tab w:leader="none" w:pos="3940" w:val="left"/>
        </w:tabs>
        <w:rPr>
          <w:sz w:val="20"/>
          <w:szCs w:val="20"/>
          <w:color w:val="auto"/>
        </w:rPr>
      </w:pPr>
      <w:r>
        <w:rPr>
          <w:rFonts w:ascii="Arial" w:cs="Arial" w:eastAsia="Arial" w:hAnsi="Arial"/>
          <w:sz w:val="20"/>
          <w:szCs w:val="20"/>
          <w:color w:val="auto"/>
        </w:rPr>
        <w:t>Name:</w:t>
        <w:tab/>
        <w:t>Liwei Liu</w:t>
      </w:r>
    </w:p>
    <w:p>
      <w:pPr>
        <w:ind w:left="3240"/>
        <w:spacing w:after="0"/>
        <w:tabs>
          <w:tab w:leader="none" w:pos="384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ABM INDUSTRIES INCORPORATED</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66"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060" w:type="dxa"/>
            <w:vAlign w:val="bottom"/>
            <w:gridSpan w:val="4"/>
          </w:tcPr>
          <w:p>
            <w:pPr>
              <w:ind w:left="1140"/>
              <w:spacing w:after="0"/>
              <w:rPr>
                <w:sz w:val="20"/>
                <w:szCs w:val="20"/>
                <w:color w:val="auto"/>
              </w:rPr>
            </w:pPr>
            <w:r>
              <w:rPr>
                <w:rFonts w:ascii="Arial" w:cs="Arial" w:eastAsia="Arial" w:hAnsi="Arial"/>
                <w:sz w:val="20"/>
                <w:szCs w:val="20"/>
                <w:color w:val="auto"/>
                <w:w w:val="95"/>
              </w:rPr>
              <w:t>JPMORGAN CHASE BANK, N.A.,</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06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44"/>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320" w:type="dxa"/>
            <w:vAlign w:val="bottom"/>
            <w:gridSpan w:val="2"/>
          </w:tcPr>
          <w:p>
            <w:pPr>
              <w:jc w:val="center"/>
              <w:ind w:right="720"/>
              <w:spacing w:after="0"/>
              <w:rPr>
                <w:sz w:val="20"/>
                <w:szCs w:val="20"/>
                <w:color w:val="auto"/>
              </w:rPr>
            </w:pPr>
            <w:r>
              <w:rPr>
                <w:rFonts w:ascii="Arial" w:cs="Arial" w:eastAsia="Arial" w:hAnsi="Arial"/>
                <w:sz w:val="20"/>
                <w:szCs w:val="20"/>
                <w:color w:val="auto"/>
                <w:w w:val="90"/>
              </w:rPr>
              <w:t>Devin Roccisano</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w w:val="98"/>
              </w:rPr>
              <w:t>Name:</w:t>
            </w:r>
          </w:p>
        </w:tc>
        <w:tc>
          <w:tcPr>
            <w:tcW w:w="2320" w:type="dxa"/>
            <w:vAlign w:val="bottom"/>
            <w:gridSpan w:val="2"/>
          </w:tcPr>
          <w:p>
            <w:pPr>
              <w:jc w:val="center"/>
              <w:ind w:right="680"/>
              <w:spacing w:after="0"/>
              <w:rPr>
                <w:sz w:val="20"/>
                <w:szCs w:val="20"/>
                <w:color w:val="auto"/>
              </w:rPr>
            </w:pPr>
            <w:r>
              <w:rPr>
                <w:rFonts w:ascii="Arial" w:cs="Arial" w:eastAsia="Arial" w:hAnsi="Arial"/>
                <w:sz w:val="20"/>
                <w:szCs w:val="20"/>
                <w:color w:val="auto"/>
                <w:w w:val="90"/>
              </w:rPr>
              <w:t>Devin Roccisano</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4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320" w:type="dxa"/>
            <w:vAlign w:val="bottom"/>
            <w:gridSpan w:val="2"/>
          </w:tcPr>
          <w:p>
            <w:pPr>
              <w:jc w:val="center"/>
              <w:ind w:right="660"/>
              <w:spacing w:after="0"/>
              <w:rPr>
                <w:sz w:val="20"/>
                <w:szCs w:val="20"/>
                <w:color w:val="auto"/>
              </w:rPr>
            </w:pPr>
            <w:r>
              <w:rPr>
                <w:rFonts w:ascii="Arial" w:cs="Arial" w:eastAsia="Arial" w:hAnsi="Arial"/>
                <w:sz w:val="20"/>
                <w:szCs w:val="20"/>
                <w:color w:val="auto"/>
                <w:w w:val="92"/>
              </w:rPr>
              <w:t>Executive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89" w:name="page90"/>
    <w:bookmarkEnd w:id="89"/>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380" w:type="dxa"/>
            <w:vAlign w:val="bottom"/>
            <w:gridSpan w:val="4"/>
          </w:tcPr>
          <w:p>
            <w:pPr>
              <w:ind w:left="1140"/>
              <w:spacing w:after="0"/>
              <w:rPr>
                <w:sz w:val="20"/>
                <w:szCs w:val="20"/>
                <w:color w:val="auto"/>
              </w:rPr>
            </w:pPr>
            <w:r>
              <w:rPr>
                <w:rFonts w:ascii="Arial" w:cs="Arial" w:eastAsia="Arial" w:hAnsi="Arial"/>
                <w:sz w:val="20"/>
                <w:szCs w:val="20"/>
                <w:color w:val="auto"/>
                <w:w w:val="93"/>
              </w:rPr>
              <w:t>THE NORTHERN TRUST COMPANY,</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38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660" w:type="dxa"/>
            <w:vAlign w:val="bottom"/>
            <w:gridSpan w:val="2"/>
          </w:tcPr>
          <w:p>
            <w:pPr>
              <w:jc w:val="center"/>
              <w:ind w:right="1480"/>
              <w:spacing w:after="0"/>
              <w:rPr>
                <w:sz w:val="20"/>
                <w:szCs w:val="20"/>
                <w:color w:val="auto"/>
              </w:rPr>
            </w:pPr>
            <w:r>
              <w:rPr>
                <w:rFonts w:ascii="Arial" w:cs="Arial" w:eastAsia="Arial" w:hAnsi="Arial"/>
                <w:sz w:val="20"/>
                <w:szCs w:val="20"/>
                <w:color w:val="auto"/>
                <w:w w:val="89"/>
              </w:rPr>
              <w:t>Peter Hallan</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2660" w:type="dxa"/>
            <w:vAlign w:val="bottom"/>
            <w:gridSpan w:val="2"/>
          </w:tcPr>
          <w:p>
            <w:pPr>
              <w:ind w:left="140"/>
              <w:spacing w:after="0"/>
              <w:rPr>
                <w:sz w:val="20"/>
                <w:szCs w:val="20"/>
                <w:color w:val="auto"/>
              </w:rPr>
            </w:pPr>
            <w:r>
              <w:rPr>
                <w:rFonts w:ascii="Arial" w:cs="Arial" w:eastAsia="Arial" w:hAnsi="Arial"/>
                <w:sz w:val="20"/>
                <w:szCs w:val="20"/>
                <w:color w:val="auto"/>
              </w:rPr>
              <w:t>Peter Hallan</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660" w:type="dxa"/>
            <w:vAlign w:val="bottom"/>
            <w:gridSpan w:val="2"/>
          </w:tcPr>
          <w:p>
            <w:pPr>
              <w:jc w:val="center"/>
              <w:ind w:right="1440"/>
              <w:spacing w:after="0"/>
              <w:rPr>
                <w:sz w:val="20"/>
                <w:szCs w:val="20"/>
                <w:color w:val="auto"/>
              </w:rPr>
            </w:pPr>
            <w:r>
              <w:rPr>
                <w:rFonts w:ascii="Arial" w:cs="Arial" w:eastAsia="Arial" w:hAnsi="Arial"/>
                <w:sz w:val="20"/>
                <w:szCs w:val="20"/>
                <w:color w:val="auto"/>
                <w:w w:val="88"/>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560" w:type="dxa"/>
            <w:vAlign w:val="bottom"/>
            <w:gridSpan w:val="4"/>
          </w:tcPr>
          <w:p>
            <w:pPr>
              <w:ind w:left="1140"/>
              <w:spacing w:after="0"/>
              <w:rPr>
                <w:sz w:val="20"/>
                <w:szCs w:val="20"/>
                <w:color w:val="auto"/>
              </w:rPr>
            </w:pPr>
            <w:r>
              <w:rPr>
                <w:rFonts w:ascii="Arial" w:cs="Arial" w:eastAsia="Arial" w:hAnsi="Arial"/>
                <w:sz w:val="20"/>
                <w:szCs w:val="20"/>
                <w:color w:val="auto"/>
                <w:w w:val="97"/>
              </w:rPr>
              <w:t>KEYBANK NATIONAL ASSOCIATION,</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56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840" w:type="dxa"/>
            <w:vAlign w:val="bottom"/>
            <w:gridSpan w:val="2"/>
          </w:tcPr>
          <w:p>
            <w:pPr>
              <w:ind w:left="100"/>
              <w:spacing w:after="0"/>
              <w:rPr>
                <w:sz w:val="20"/>
                <w:szCs w:val="20"/>
                <w:color w:val="auto"/>
              </w:rPr>
            </w:pPr>
            <w:r>
              <w:rPr>
                <w:rFonts w:ascii="Arial" w:cs="Arial" w:eastAsia="Arial" w:hAnsi="Arial"/>
                <w:sz w:val="20"/>
                <w:szCs w:val="20"/>
                <w:color w:val="auto"/>
              </w:rPr>
              <w:t>Geoff Smith</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2840" w:type="dxa"/>
            <w:vAlign w:val="bottom"/>
            <w:gridSpan w:val="2"/>
          </w:tcPr>
          <w:p>
            <w:pPr>
              <w:ind w:left="140"/>
              <w:spacing w:after="0"/>
              <w:rPr>
                <w:sz w:val="20"/>
                <w:szCs w:val="20"/>
                <w:color w:val="auto"/>
              </w:rPr>
            </w:pPr>
            <w:r>
              <w:rPr>
                <w:rFonts w:ascii="Arial" w:cs="Arial" w:eastAsia="Arial" w:hAnsi="Arial"/>
                <w:sz w:val="20"/>
                <w:szCs w:val="20"/>
                <w:color w:val="auto"/>
              </w:rPr>
              <w:t>Geoff Smith</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840" w:type="dxa"/>
            <w:vAlign w:val="bottom"/>
            <w:gridSpan w:val="2"/>
          </w:tcPr>
          <w:p>
            <w:pPr>
              <w:ind w:left="4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3920" w:type="dxa"/>
            <w:vAlign w:val="bottom"/>
            <w:gridSpan w:val="3"/>
          </w:tcPr>
          <w:p>
            <w:pPr>
              <w:ind w:left="1140"/>
              <w:spacing w:after="0"/>
              <w:rPr>
                <w:sz w:val="20"/>
                <w:szCs w:val="20"/>
                <w:color w:val="auto"/>
              </w:rPr>
            </w:pPr>
            <w:r>
              <w:rPr>
                <w:rFonts w:ascii="Arial" w:cs="Arial" w:eastAsia="Arial" w:hAnsi="Arial"/>
                <w:sz w:val="20"/>
                <w:szCs w:val="20"/>
                <w:color w:val="auto"/>
              </w:rPr>
              <w:t>PNC BANK N.A.,</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392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200" w:type="dxa"/>
            <w:vAlign w:val="bottom"/>
          </w:tcPr>
          <w:p>
            <w:pPr>
              <w:ind w:left="100"/>
              <w:spacing w:after="0"/>
              <w:rPr>
                <w:sz w:val="20"/>
                <w:szCs w:val="20"/>
                <w:color w:val="auto"/>
              </w:rPr>
            </w:pPr>
            <w:r>
              <w:rPr>
                <w:rFonts w:ascii="Arial" w:cs="Arial" w:eastAsia="Arial" w:hAnsi="Arial"/>
                <w:sz w:val="20"/>
                <w:szCs w:val="20"/>
                <w:color w:val="auto"/>
              </w:rPr>
              <w:t>Eleanor Orlando</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2200" w:type="dxa"/>
            <w:vAlign w:val="bottom"/>
          </w:tcPr>
          <w:p>
            <w:pPr>
              <w:ind w:left="140"/>
              <w:spacing w:after="0"/>
              <w:rPr>
                <w:sz w:val="20"/>
                <w:szCs w:val="20"/>
                <w:color w:val="auto"/>
              </w:rPr>
            </w:pPr>
            <w:r>
              <w:rPr>
                <w:rFonts w:ascii="Arial" w:cs="Arial" w:eastAsia="Arial" w:hAnsi="Arial"/>
                <w:sz w:val="20"/>
                <w:szCs w:val="20"/>
                <w:color w:val="auto"/>
              </w:rPr>
              <w:t>Eleanor Orlando</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200" w:type="dxa"/>
            <w:vAlign w:val="bottom"/>
          </w:tcPr>
          <w:p>
            <w:pPr>
              <w:ind w:left="4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5220" w:type="dxa"/>
            <w:vAlign w:val="bottom"/>
            <w:gridSpan w:val="4"/>
          </w:tcPr>
          <w:p>
            <w:pPr>
              <w:ind w:left="1140"/>
              <w:spacing w:after="0"/>
              <w:rPr>
                <w:sz w:val="20"/>
                <w:szCs w:val="20"/>
                <w:color w:val="auto"/>
              </w:rPr>
            </w:pPr>
            <w:r>
              <w:rPr>
                <w:rFonts w:ascii="Arial" w:cs="Arial" w:eastAsia="Arial" w:hAnsi="Arial"/>
                <w:sz w:val="20"/>
                <w:szCs w:val="20"/>
                <w:color w:val="auto"/>
                <w:w w:val="96"/>
              </w:rPr>
              <w:t>HSBC BANK USA, NATIONAL ASSOCIATION,</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522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8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3540" w:type="dxa"/>
            <w:vAlign w:val="bottom"/>
            <w:gridSpan w:val="2"/>
          </w:tcPr>
          <w:p>
            <w:pPr>
              <w:ind w:left="140"/>
              <w:spacing w:after="0"/>
              <w:rPr>
                <w:sz w:val="20"/>
                <w:szCs w:val="20"/>
                <w:color w:val="auto"/>
              </w:rPr>
            </w:pPr>
            <w:r>
              <w:rPr>
                <w:rFonts w:ascii="Arial" w:cs="Arial" w:eastAsia="Arial" w:hAnsi="Arial"/>
                <w:sz w:val="20"/>
                <w:szCs w:val="20"/>
                <w:color w:val="auto"/>
              </w:rPr>
              <w:t>Robert J. Levins</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480" w:type="dxa"/>
            <w:vAlign w:val="bottom"/>
            <w:gridSpan w:val="2"/>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220" w:type="dxa"/>
            <w:vAlign w:val="bottom"/>
            <w:gridSpan w:val="4"/>
          </w:tcPr>
          <w:p>
            <w:pPr>
              <w:ind w:left="1140"/>
              <w:spacing w:after="0"/>
              <w:rPr>
                <w:sz w:val="20"/>
                <w:szCs w:val="20"/>
                <w:color w:val="auto"/>
              </w:rPr>
            </w:pPr>
            <w:r>
              <w:rPr>
                <w:rFonts w:ascii="Arial" w:cs="Arial" w:eastAsia="Arial" w:hAnsi="Arial"/>
                <w:sz w:val="20"/>
                <w:szCs w:val="20"/>
                <w:color w:val="auto"/>
              </w:rPr>
              <w:t>Name:  Robert J. Levins #21435</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68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3540" w:type="dxa"/>
            <w:vAlign w:val="bottom"/>
            <w:gridSpan w:val="2"/>
          </w:tcPr>
          <w:p>
            <w:pPr>
              <w:ind w:left="8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5620" w:type="dxa"/>
            <w:vAlign w:val="bottom"/>
            <w:gridSpan w:val="4"/>
          </w:tcPr>
          <w:p>
            <w:pPr>
              <w:ind w:left="1140"/>
              <w:spacing w:after="0"/>
              <w:rPr>
                <w:sz w:val="20"/>
                <w:szCs w:val="20"/>
                <w:color w:val="auto"/>
              </w:rPr>
            </w:pPr>
            <w:r>
              <w:rPr>
                <w:rFonts w:ascii="Arial" w:cs="Arial" w:eastAsia="Arial" w:hAnsi="Arial"/>
                <w:sz w:val="20"/>
                <w:szCs w:val="20"/>
                <w:color w:val="auto"/>
                <w:w w:val="96"/>
              </w:rPr>
              <w:t>WELLS FARGO BANK, NATIONAL ASSOCIATION,</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562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3900" w:type="dxa"/>
            <w:vAlign w:val="bottom"/>
            <w:gridSpan w:val="2"/>
          </w:tcPr>
          <w:p>
            <w:pPr>
              <w:ind w:left="100"/>
              <w:spacing w:after="0"/>
              <w:rPr>
                <w:sz w:val="20"/>
                <w:szCs w:val="20"/>
                <w:color w:val="auto"/>
              </w:rPr>
            </w:pPr>
            <w:r>
              <w:rPr>
                <w:rFonts w:ascii="Arial" w:cs="Arial" w:eastAsia="Arial" w:hAnsi="Arial"/>
                <w:sz w:val="20"/>
                <w:szCs w:val="20"/>
                <w:color w:val="auto"/>
              </w:rPr>
              <w:t>Emma Clifford</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3900" w:type="dxa"/>
            <w:vAlign w:val="bottom"/>
            <w:gridSpan w:val="2"/>
          </w:tcPr>
          <w:p>
            <w:pPr>
              <w:ind w:left="140"/>
              <w:spacing w:after="0"/>
              <w:rPr>
                <w:sz w:val="20"/>
                <w:szCs w:val="20"/>
                <w:color w:val="auto"/>
              </w:rPr>
            </w:pPr>
            <w:r>
              <w:rPr>
                <w:rFonts w:ascii="Arial" w:cs="Arial" w:eastAsia="Arial" w:hAnsi="Arial"/>
                <w:sz w:val="20"/>
                <w:szCs w:val="20"/>
                <w:color w:val="auto"/>
              </w:rPr>
              <w:t>Emma Clifford</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3900" w:type="dxa"/>
            <w:vAlign w:val="bottom"/>
            <w:gridSpan w:val="2"/>
          </w:tcPr>
          <w:p>
            <w:pPr>
              <w:ind w:left="4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000" w:type="dxa"/>
            <w:vAlign w:val="bottom"/>
            <w:gridSpan w:val="3"/>
          </w:tcPr>
          <w:p>
            <w:pPr>
              <w:ind w:left="1140"/>
              <w:spacing w:after="0"/>
              <w:rPr>
                <w:sz w:val="20"/>
                <w:szCs w:val="20"/>
                <w:color w:val="auto"/>
              </w:rPr>
            </w:pPr>
            <w:r>
              <w:rPr>
                <w:rFonts w:ascii="Arial" w:cs="Arial" w:eastAsia="Arial" w:hAnsi="Arial"/>
                <w:sz w:val="20"/>
                <w:szCs w:val="20"/>
                <w:color w:val="auto"/>
              </w:rPr>
              <w:t>BANKUNITED, N.A.,</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00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280" w:type="dxa"/>
            <w:vAlign w:val="bottom"/>
          </w:tcPr>
          <w:p>
            <w:pPr>
              <w:ind w:left="100"/>
              <w:spacing w:after="0"/>
              <w:rPr>
                <w:sz w:val="20"/>
                <w:szCs w:val="20"/>
                <w:color w:val="auto"/>
              </w:rPr>
            </w:pPr>
            <w:r>
              <w:rPr>
                <w:rFonts w:ascii="Arial" w:cs="Arial" w:eastAsia="Arial" w:hAnsi="Arial"/>
                <w:sz w:val="20"/>
                <w:szCs w:val="20"/>
                <w:color w:val="auto"/>
              </w:rPr>
              <w:t>Matthew Gallo</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2280" w:type="dxa"/>
            <w:vAlign w:val="bottom"/>
          </w:tcPr>
          <w:p>
            <w:pPr>
              <w:ind w:left="140"/>
              <w:spacing w:after="0"/>
              <w:rPr>
                <w:sz w:val="20"/>
                <w:szCs w:val="20"/>
                <w:color w:val="auto"/>
              </w:rPr>
            </w:pPr>
            <w:r>
              <w:rPr>
                <w:rFonts w:ascii="Arial" w:cs="Arial" w:eastAsia="Arial" w:hAnsi="Arial"/>
                <w:sz w:val="20"/>
                <w:szCs w:val="20"/>
                <w:color w:val="auto"/>
              </w:rPr>
              <w:t>Matthew Gallo</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280" w:type="dxa"/>
            <w:vAlign w:val="bottom"/>
          </w:tcPr>
          <w:p>
            <w:pPr>
              <w:ind w:left="4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3580" w:type="dxa"/>
            <w:vAlign w:val="bottom"/>
            <w:gridSpan w:val="3"/>
          </w:tcPr>
          <w:p>
            <w:pPr>
              <w:ind w:left="1140"/>
              <w:spacing w:after="0"/>
              <w:rPr>
                <w:sz w:val="20"/>
                <w:szCs w:val="20"/>
                <w:color w:val="auto"/>
              </w:rPr>
            </w:pPr>
            <w:r>
              <w:rPr>
                <w:rFonts w:ascii="Arial" w:cs="Arial" w:eastAsia="Arial" w:hAnsi="Arial"/>
                <w:sz w:val="20"/>
                <w:szCs w:val="20"/>
                <w:color w:val="auto"/>
              </w:rPr>
              <w:t>BANK OF THE WEST,</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358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1860" w:type="dxa"/>
            <w:vAlign w:val="bottom"/>
          </w:tcPr>
          <w:p>
            <w:pPr>
              <w:ind w:left="100"/>
              <w:spacing w:after="0"/>
              <w:rPr>
                <w:sz w:val="20"/>
                <w:szCs w:val="20"/>
                <w:color w:val="auto"/>
              </w:rPr>
            </w:pPr>
            <w:r>
              <w:rPr>
                <w:rFonts w:ascii="Arial" w:cs="Arial" w:eastAsia="Arial" w:hAnsi="Arial"/>
                <w:sz w:val="20"/>
                <w:szCs w:val="20"/>
                <w:color w:val="auto"/>
              </w:rPr>
              <w:t>Rob Kido</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1860" w:type="dxa"/>
            <w:vAlign w:val="bottom"/>
          </w:tcPr>
          <w:p>
            <w:pPr>
              <w:ind w:left="140"/>
              <w:spacing w:after="0"/>
              <w:rPr>
                <w:sz w:val="20"/>
                <w:szCs w:val="20"/>
                <w:color w:val="auto"/>
              </w:rPr>
            </w:pPr>
            <w:r>
              <w:rPr>
                <w:rFonts w:ascii="Arial" w:cs="Arial" w:eastAsia="Arial" w:hAnsi="Arial"/>
                <w:sz w:val="20"/>
                <w:szCs w:val="20"/>
                <w:color w:val="auto"/>
              </w:rPr>
              <w:t>Rob Kido</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1860" w:type="dxa"/>
            <w:vAlign w:val="bottom"/>
          </w:tcPr>
          <w:p>
            <w:pPr>
              <w:ind w:left="4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3900" w:type="dxa"/>
            <w:vAlign w:val="bottom"/>
            <w:gridSpan w:val="3"/>
          </w:tcPr>
          <w:p>
            <w:pPr>
              <w:ind w:left="1140"/>
              <w:spacing w:after="0"/>
              <w:rPr>
                <w:sz w:val="20"/>
                <w:szCs w:val="20"/>
                <w:color w:val="auto"/>
              </w:rPr>
            </w:pPr>
            <w:r>
              <w:rPr>
                <w:rFonts w:ascii="Arial" w:cs="Arial" w:eastAsia="Arial" w:hAnsi="Arial"/>
                <w:sz w:val="20"/>
                <w:szCs w:val="20"/>
                <w:color w:val="auto"/>
              </w:rPr>
              <w:t>Citizens Bank, N.A.,</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390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180" w:type="dxa"/>
            <w:vAlign w:val="bottom"/>
          </w:tcPr>
          <w:p>
            <w:pPr>
              <w:ind w:left="80"/>
              <w:spacing w:after="0"/>
              <w:rPr>
                <w:sz w:val="20"/>
                <w:szCs w:val="20"/>
                <w:color w:val="auto"/>
              </w:rPr>
            </w:pPr>
            <w:r>
              <w:rPr>
                <w:rFonts w:ascii="Arial" w:cs="Arial" w:eastAsia="Arial" w:hAnsi="Arial"/>
                <w:sz w:val="20"/>
                <w:szCs w:val="20"/>
                <w:color w:val="auto"/>
              </w:rPr>
              <w:t>Angela Reilly</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2180" w:type="dxa"/>
            <w:vAlign w:val="bottom"/>
          </w:tcPr>
          <w:p>
            <w:pPr>
              <w:ind w:left="140"/>
              <w:spacing w:after="0"/>
              <w:rPr>
                <w:sz w:val="20"/>
                <w:szCs w:val="20"/>
                <w:color w:val="auto"/>
              </w:rPr>
            </w:pPr>
            <w:r>
              <w:rPr>
                <w:rFonts w:ascii="Arial" w:cs="Arial" w:eastAsia="Arial" w:hAnsi="Arial"/>
                <w:sz w:val="20"/>
                <w:szCs w:val="20"/>
                <w:color w:val="auto"/>
              </w:rPr>
              <w:t>Angela Reilly</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180" w:type="dxa"/>
            <w:vAlign w:val="bottom"/>
          </w:tcPr>
          <w:p>
            <w:pPr>
              <w:ind w:left="4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020" w:type="dxa"/>
            <w:vAlign w:val="bottom"/>
            <w:gridSpan w:val="3"/>
          </w:tcPr>
          <w:p>
            <w:pPr>
              <w:ind w:left="1140"/>
              <w:spacing w:after="0"/>
              <w:rPr>
                <w:sz w:val="20"/>
                <w:szCs w:val="20"/>
                <w:color w:val="auto"/>
              </w:rPr>
            </w:pPr>
            <w:r>
              <w:rPr>
                <w:rFonts w:ascii="Arial" w:cs="Arial" w:eastAsia="Arial" w:hAnsi="Arial"/>
                <w:sz w:val="20"/>
                <w:szCs w:val="20"/>
                <w:color w:val="auto"/>
              </w:rPr>
              <w:t>SunTrust Bank,</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02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300" w:type="dxa"/>
            <w:vAlign w:val="bottom"/>
          </w:tcPr>
          <w:p>
            <w:pPr>
              <w:ind w:left="100"/>
              <w:spacing w:after="0"/>
              <w:rPr>
                <w:sz w:val="20"/>
                <w:szCs w:val="20"/>
                <w:color w:val="auto"/>
              </w:rPr>
            </w:pPr>
            <w:r>
              <w:rPr>
                <w:rFonts w:ascii="Arial" w:cs="Arial" w:eastAsia="Arial" w:hAnsi="Arial"/>
                <w:sz w:val="20"/>
                <w:szCs w:val="20"/>
                <w:color w:val="auto"/>
              </w:rPr>
              <w:t>Katherine Bass</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0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2300" w:type="dxa"/>
            <w:vAlign w:val="bottom"/>
          </w:tcPr>
          <w:p>
            <w:pPr>
              <w:ind w:left="140"/>
              <w:spacing w:after="0"/>
              <w:rPr>
                <w:sz w:val="20"/>
                <w:szCs w:val="20"/>
                <w:color w:val="auto"/>
              </w:rPr>
            </w:pPr>
            <w:r>
              <w:rPr>
                <w:rFonts w:ascii="Arial" w:cs="Arial" w:eastAsia="Arial" w:hAnsi="Arial"/>
                <w:sz w:val="20"/>
                <w:szCs w:val="20"/>
                <w:color w:val="auto"/>
              </w:rPr>
              <w:t>Katherine Bass</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300" w:type="dxa"/>
            <w:vAlign w:val="bottom"/>
          </w:tcPr>
          <w:p>
            <w:pPr>
              <w:ind w:left="40"/>
              <w:spacing w:after="0"/>
              <w:rPr>
                <w:sz w:val="20"/>
                <w:szCs w:val="20"/>
                <w:color w:val="auto"/>
              </w:rPr>
            </w:pPr>
            <w:r>
              <w:rPr>
                <w:rFonts w:ascii="Arial" w:cs="Arial" w:eastAsia="Arial" w:hAnsi="Arial"/>
                <w:sz w:val="20"/>
                <w:szCs w:val="20"/>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040" w:type="dxa"/>
            <w:vAlign w:val="bottom"/>
            <w:gridSpan w:val="3"/>
          </w:tcPr>
          <w:p>
            <w:pPr>
              <w:ind w:left="1140"/>
              <w:spacing w:after="0"/>
              <w:rPr>
                <w:sz w:val="20"/>
                <w:szCs w:val="20"/>
                <w:color w:val="auto"/>
              </w:rPr>
            </w:pPr>
            <w:r>
              <w:rPr>
                <w:rFonts w:ascii="Arial" w:cs="Arial" w:eastAsia="Arial" w:hAnsi="Arial"/>
                <w:sz w:val="20"/>
                <w:szCs w:val="20"/>
                <w:color w:val="auto"/>
              </w:rPr>
              <w:t>FIFTH THIRD BANK,</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04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320" w:type="dxa"/>
            <w:vAlign w:val="bottom"/>
          </w:tcPr>
          <w:p>
            <w:pPr>
              <w:ind w:left="100"/>
              <w:spacing w:after="0"/>
              <w:rPr>
                <w:sz w:val="20"/>
                <w:szCs w:val="20"/>
                <w:color w:val="auto"/>
              </w:rPr>
            </w:pPr>
            <w:r>
              <w:rPr>
                <w:rFonts w:ascii="Arial" w:cs="Arial" w:eastAsia="Arial" w:hAnsi="Arial"/>
                <w:sz w:val="20"/>
                <w:szCs w:val="20"/>
                <w:color w:val="auto"/>
              </w:rPr>
              <w:t>Jose A. Rosado</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2320" w:type="dxa"/>
            <w:vAlign w:val="bottom"/>
          </w:tcPr>
          <w:p>
            <w:pPr>
              <w:ind w:left="140"/>
              <w:spacing w:after="0"/>
              <w:rPr>
                <w:sz w:val="20"/>
                <w:szCs w:val="20"/>
                <w:color w:val="auto"/>
              </w:rPr>
            </w:pPr>
            <w:r>
              <w:rPr>
                <w:rFonts w:ascii="Arial" w:cs="Arial" w:eastAsia="Arial" w:hAnsi="Arial"/>
                <w:sz w:val="20"/>
                <w:szCs w:val="20"/>
                <w:color w:val="auto"/>
              </w:rPr>
              <w:t>Jose A. Rosado</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320" w:type="dxa"/>
            <w:vAlign w:val="bottom"/>
          </w:tcPr>
          <w:p>
            <w:pPr>
              <w:ind w:left="40"/>
              <w:spacing w:after="0"/>
              <w:rPr>
                <w:sz w:val="20"/>
                <w:szCs w:val="20"/>
                <w:color w:val="auto"/>
              </w:rPr>
            </w:pPr>
            <w:r>
              <w:rPr>
                <w:rFonts w:ascii="Arial" w:cs="Arial" w:eastAsia="Arial" w:hAnsi="Arial"/>
                <w:sz w:val="20"/>
                <w:szCs w:val="20"/>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3920" w:type="dxa"/>
            <w:vAlign w:val="bottom"/>
            <w:gridSpan w:val="4"/>
          </w:tcPr>
          <w:p>
            <w:pPr>
              <w:ind w:left="1140"/>
              <w:spacing w:after="0"/>
              <w:rPr>
                <w:sz w:val="20"/>
                <w:szCs w:val="20"/>
                <w:color w:val="auto"/>
              </w:rPr>
            </w:pPr>
            <w:r>
              <w:rPr>
                <w:rFonts w:ascii="Arial" w:cs="Arial" w:eastAsia="Arial" w:hAnsi="Arial"/>
                <w:sz w:val="20"/>
                <w:szCs w:val="20"/>
                <w:color w:val="auto"/>
                <w:w w:val="90"/>
              </w:rPr>
              <w:t>Capital One, National Association,</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392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200" w:type="dxa"/>
            <w:vAlign w:val="bottom"/>
            <w:gridSpan w:val="2"/>
          </w:tcPr>
          <w:p>
            <w:pPr>
              <w:ind w:left="100"/>
              <w:spacing w:after="0"/>
              <w:rPr>
                <w:sz w:val="20"/>
                <w:szCs w:val="20"/>
                <w:color w:val="auto"/>
              </w:rPr>
            </w:pPr>
            <w:r>
              <w:rPr>
                <w:rFonts w:ascii="Arial" w:cs="Arial" w:eastAsia="Arial" w:hAnsi="Arial"/>
                <w:sz w:val="20"/>
                <w:szCs w:val="20"/>
                <w:color w:val="auto"/>
              </w:rPr>
              <w:t>Paul Darrigo</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2200" w:type="dxa"/>
            <w:vAlign w:val="bottom"/>
            <w:gridSpan w:val="2"/>
          </w:tcPr>
          <w:p>
            <w:pPr>
              <w:ind w:left="140"/>
              <w:spacing w:after="0"/>
              <w:rPr>
                <w:sz w:val="20"/>
                <w:szCs w:val="20"/>
                <w:color w:val="auto"/>
              </w:rPr>
            </w:pPr>
            <w:r>
              <w:rPr>
                <w:rFonts w:ascii="Arial" w:cs="Arial" w:eastAsia="Arial" w:hAnsi="Arial"/>
                <w:sz w:val="20"/>
                <w:szCs w:val="20"/>
                <w:color w:val="auto"/>
              </w:rPr>
              <w:t>Paul Darrigo</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200" w:type="dxa"/>
            <w:vAlign w:val="bottom"/>
            <w:gridSpan w:val="2"/>
          </w:tcPr>
          <w:p>
            <w:pPr>
              <w:ind w:left="40"/>
              <w:spacing w:after="0"/>
              <w:rPr>
                <w:sz w:val="20"/>
                <w:szCs w:val="20"/>
                <w:color w:val="auto"/>
              </w:rPr>
            </w:pPr>
            <w:r>
              <w:rPr>
                <w:rFonts w:ascii="Arial" w:cs="Arial" w:eastAsia="Arial" w:hAnsi="Arial"/>
                <w:sz w:val="20"/>
                <w:szCs w:val="20"/>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5280" w:type="dxa"/>
            <w:vAlign w:val="bottom"/>
            <w:gridSpan w:val="4"/>
          </w:tcPr>
          <w:p>
            <w:pPr>
              <w:ind w:left="1140"/>
              <w:spacing w:after="0"/>
              <w:rPr>
                <w:sz w:val="20"/>
                <w:szCs w:val="20"/>
                <w:color w:val="auto"/>
              </w:rPr>
            </w:pPr>
            <w:r>
              <w:rPr>
                <w:rFonts w:ascii="Arial" w:cs="Arial" w:eastAsia="Arial" w:hAnsi="Arial"/>
                <w:sz w:val="20"/>
                <w:szCs w:val="20"/>
                <w:color w:val="auto"/>
                <w:w w:val="95"/>
              </w:rPr>
              <w:t>GOLDMAN SACHS LENDING PARTNERS LLC,</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5280" w:type="dxa"/>
            <w:vAlign w:val="bottom"/>
            <w:gridSpan w:val="4"/>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3560" w:type="dxa"/>
            <w:vAlign w:val="bottom"/>
            <w:gridSpan w:val="2"/>
          </w:tcPr>
          <w:p>
            <w:pPr>
              <w:ind w:left="100"/>
              <w:spacing w:after="0"/>
              <w:rPr>
                <w:sz w:val="20"/>
                <w:szCs w:val="20"/>
                <w:color w:val="auto"/>
              </w:rPr>
            </w:pPr>
            <w:r>
              <w:rPr>
                <w:rFonts w:ascii="Arial" w:cs="Arial" w:eastAsia="Arial" w:hAnsi="Arial"/>
                <w:sz w:val="20"/>
                <w:szCs w:val="20"/>
                <w:color w:val="auto"/>
              </w:rPr>
              <w:t>Jamie Minieri</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3560" w:type="dxa"/>
            <w:vAlign w:val="bottom"/>
            <w:gridSpan w:val="2"/>
          </w:tcPr>
          <w:p>
            <w:pPr>
              <w:ind w:left="140"/>
              <w:spacing w:after="0"/>
              <w:rPr>
                <w:sz w:val="20"/>
                <w:szCs w:val="20"/>
                <w:color w:val="auto"/>
              </w:rPr>
            </w:pPr>
            <w:r>
              <w:rPr>
                <w:rFonts w:ascii="Arial" w:cs="Arial" w:eastAsia="Arial" w:hAnsi="Arial"/>
                <w:sz w:val="20"/>
                <w:szCs w:val="20"/>
                <w:color w:val="auto"/>
              </w:rPr>
              <w:t>Jamie Minieri</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3560" w:type="dxa"/>
            <w:vAlign w:val="bottom"/>
            <w:gridSpan w:val="2"/>
          </w:tcPr>
          <w:p>
            <w:pPr>
              <w:ind w:left="40"/>
              <w:spacing w:after="0"/>
              <w:rPr>
                <w:sz w:val="20"/>
                <w:szCs w:val="20"/>
                <w:color w:val="auto"/>
              </w:rPr>
            </w:pPr>
            <w:r>
              <w:rPr>
                <w:rFonts w:ascii="Arial" w:cs="Arial" w:eastAsia="Arial" w:hAnsi="Arial"/>
                <w:sz w:val="20"/>
                <w:szCs w:val="20"/>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0"/>
        </w:trPr>
        <w:tc>
          <w:tcPr>
            <w:tcW w:w="210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4060" w:type="dxa"/>
            <w:vAlign w:val="bottom"/>
            <w:gridSpan w:val="3"/>
          </w:tcPr>
          <w:p>
            <w:pPr>
              <w:ind w:left="1140"/>
              <w:spacing w:after="0"/>
              <w:rPr>
                <w:sz w:val="20"/>
                <w:szCs w:val="20"/>
                <w:color w:val="auto"/>
              </w:rPr>
            </w:pPr>
            <w:r>
              <w:rPr>
                <w:rFonts w:ascii="Arial" w:cs="Arial" w:eastAsia="Arial" w:hAnsi="Arial"/>
                <w:sz w:val="20"/>
                <w:szCs w:val="20"/>
                <w:color w:val="auto"/>
              </w:rPr>
              <w:t>U.S. Bank National Association,</w:t>
            </w:r>
          </w:p>
        </w:tc>
      </w:tr>
      <w:tr>
        <w:trPr>
          <w:trHeight w:val="254"/>
        </w:trPr>
        <w:tc>
          <w:tcPr>
            <w:tcW w:w="90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4060" w:type="dxa"/>
            <w:vAlign w:val="bottom"/>
            <w:gridSpan w:val="3"/>
          </w:tcPr>
          <w:p>
            <w:pPr>
              <w:ind w:left="1140"/>
              <w:spacing w:after="0"/>
              <w:rPr>
                <w:sz w:val="20"/>
                <w:szCs w:val="20"/>
                <w:color w:val="auto"/>
              </w:rPr>
            </w:pPr>
            <w:r>
              <w:rPr>
                <w:rFonts w:ascii="Arial" w:cs="Arial" w:eastAsia="Arial" w:hAnsi="Arial"/>
                <w:sz w:val="20"/>
                <w:szCs w:val="20"/>
                <w:color w:val="auto"/>
              </w:rPr>
              <w:t>in its capacity as Lender</w:t>
            </w:r>
          </w:p>
        </w:tc>
      </w:tr>
      <w:tr>
        <w:trPr>
          <w:trHeight w:val="617"/>
        </w:trPr>
        <w:tc>
          <w:tcPr>
            <w:tcW w:w="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By:/s/</w:t>
            </w:r>
          </w:p>
        </w:tc>
        <w:tc>
          <w:tcPr>
            <w:tcW w:w="2340" w:type="dxa"/>
            <w:vAlign w:val="bottom"/>
          </w:tcPr>
          <w:p>
            <w:pPr>
              <w:ind w:left="100"/>
              <w:spacing w:after="0"/>
              <w:rPr>
                <w:sz w:val="20"/>
                <w:szCs w:val="20"/>
                <w:color w:val="auto"/>
              </w:rPr>
            </w:pPr>
            <w:r>
              <w:rPr>
                <w:rFonts w:ascii="Arial" w:cs="Arial" w:eastAsia="Arial" w:hAnsi="Arial"/>
                <w:sz w:val="20"/>
                <w:szCs w:val="20"/>
                <w:color w:val="auto"/>
              </w:rPr>
              <w:t>Paul F. Johnson</w:t>
            </w:r>
          </w:p>
        </w:tc>
      </w:tr>
      <w:tr>
        <w:trPr>
          <w:trHeight w:val="20"/>
        </w:trPr>
        <w:tc>
          <w:tcPr>
            <w:tcW w:w="9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r>
      <w:tr>
        <w:trPr>
          <w:trHeight w:val="233"/>
        </w:trPr>
        <w:tc>
          <w:tcPr>
            <w:tcW w:w="9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w w:val="94"/>
              </w:rPr>
              <w:t>Name:</w:t>
            </w:r>
          </w:p>
        </w:tc>
        <w:tc>
          <w:tcPr>
            <w:tcW w:w="2340" w:type="dxa"/>
            <w:vAlign w:val="bottom"/>
          </w:tcPr>
          <w:p>
            <w:pPr>
              <w:ind w:left="140"/>
              <w:spacing w:after="0"/>
              <w:rPr>
                <w:sz w:val="20"/>
                <w:szCs w:val="20"/>
                <w:color w:val="auto"/>
              </w:rPr>
            </w:pPr>
            <w:r>
              <w:rPr>
                <w:rFonts w:ascii="Arial" w:cs="Arial" w:eastAsia="Arial" w:hAnsi="Arial"/>
                <w:sz w:val="20"/>
                <w:szCs w:val="20"/>
                <w:color w:val="auto"/>
              </w:rPr>
              <w:t>Paul F. Johnson</w:t>
            </w:r>
          </w:p>
        </w:tc>
      </w:tr>
      <w:tr>
        <w:trPr>
          <w:trHeight w:val="250"/>
        </w:trPr>
        <w:tc>
          <w:tcPr>
            <w:tcW w:w="9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720" w:type="dxa"/>
            <w:vAlign w:val="bottom"/>
            <w:gridSpan w:val="2"/>
          </w:tcPr>
          <w:p>
            <w:pPr>
              <w:ind w:left="1140"/>
              <w:spacing w:after="0"/>
              <w:rPr>
                <w:sz w:val="20"/>
                <w:szCs w:val="20"/>
                <w:color w:val="auto"/>
              </w:rPr>
            </w:pPr>
            <w:r>
              <w:rPr>
                <w:rFonts w:ascii="Arial" w:cs="Arial" w:eastAsia="Arial" w:hAnsi="Arial"/>
                <w:sz w:val="20"/>
                <w:szCs w:val="20"/>
                <w:color w:val="auto"/>
              </w:rPr>
              <w:t>Title:</w:t>
            </w:r>
          </w:p>
        </w:tc>
        <w:tc>
          <w:tcPr>
            <w:tcW w:w="2340" w:type="dxa"/>
            <w:vAlign w:val="bottom"/>
          </w:tcPr>
          <w:p>
            <w:pPr>
              <w:ind w:left="40"/>
              <w:spacing w:after="0"/>
              <w:rPr>
                <w:sz w:val="20"/>
                <w:szCs w:val="20"/>
                <w:color w:val="auto"/>
              </w:rPr>
            </w:pPr>
            <w:r>
              <w:rPr>
                <w:rFonts w:ascii="Arial" w:cs="Arial" w:eastAsia="Arial" w:hAnsi="Arial"/>
                <w:sz w:val="20"/>
                <w:szCs w:val="20"/>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9080"/>
        <w:spacing w:after="0"/>
        <w:rPr>
          <w:sz w:val="20"/>
          <w:szCs w:val="20"/>
          <w:color w:val="auto"/>
        </w:rPr>
      </w:pPr>
      <w:r>
        <w:rPr>
          <w:rFonts w:ascii="Arial" w:cs="Arial" w:eastAsia="Arial" w:hAnsi="Arial"/>
          <w:sz w:val="13"/>
          <w:szCs w:val="13"/>
          <w:color w:val="828282"/>
        </w:rPr>
        <w:t>ABM INDUSTRIES INCORPORATED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4"/>
          <w:szCs w:val="14"/>
          <w:color w:val="828282"/>
        </w:rPr>
        <w:t>SECOND AMENDMENT TO CREDIT AGREEMENT</w:t>
      </w:r>
    </w:p>
    <w:p>
      <w:pPr>
        <w:sectPr>
          <w:pgSz w:w="11900" w:h="16838" w:orient="portrait"/>
          <w:cols w:equalWidth="0" w:num="1">
            <w:col w:w="11420"/>
          </w:cols>
          <w:pgMar w:left="240" w:top="342"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Scott Salmirs, certify that:</w:t>
      </w:r>
    </w:p>
    <w:p>
      <w:pPr>
        <w:spacing w:after="0" w:line="225"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8" w:lineRule="exact"/>
        <w:rPr>
          <w:sz w:val="20"/>
          <w:szCs w:val="20"/>
          <w:color w:val="auto"/>
        </w:rPr>
      </w:pPr>
    </w:p>
    <w:p>
      <w:pPr>
        <w:ind w:left="1040"/>
        <w:spacing w:after="0"/>
        <w:tabs>
          <w:tab w:leader="none" w:pos="6800" w:val="left"/>
        </w:tabs>
        <w:rPr>
          <w:sz w:val="20"/>
          <w:szCs w:val="20"/>
          <w:color w:val="auto"/>
        </w:rPr>
      </w:pPr>
      <w:r>
        <w:rPr>
          <w:rFonts w:ascii="Arial" w:cs="Arial" w:eastAsia="Arial" w:hAnsi="Arial"/>
          <w:sz w:val="18"/>
          <w:szCs w:val="18"/>
          <w:color w:val="auto"/>
        </w:rPr>
        <w:t>September 7, 2018</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Scott Salmirs</w:t>
      </w:r>
    </w:p>
    <w:p>
      <w:pPr>
        <w:ind w:left="682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76"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OR 15d-14(a)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D. Anthony Scaglione, certify that:</w:t>
      </w:r>
    </w:p>
    <w:p>
      <w:pPr>
        <w:spacing w:after="0" w:line="22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660" w:hanging="328"/>
        <w:spacing w:after="0" w:line="256"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660" w:hanging="328"/>
        <w:spacing w:after="0" w:line="262"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2"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7, 2018</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76"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 PURSUANT TO SECURITIES EXCHANGE ACT OF 1934</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RULE 13a-14(b) OR 15d-14(b)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the Quarterly Report of ABM Industries Incorporated (the “Company”) for the quarter ended July 31, 2018, as filed with the Securities and Exchange Commission on the date hereof (the “Report”), Scott Salmirs, Chief Executive Officer of the Company, and D. Anthony Scaglione, Chief Financial Officer of the Company, each certifies for the purpose of complying with Rule 13a-14(b) or Rule 15d-14(b) of the Securities Exchange Act of 1934, as amended (the “Exchange Act”), and Section 1350 of Chapter 63 of Title 18 of the United States Code, that:</w:t>
      </w:r>
    </w:p>
    <w:p>
      <w:pPr>
        <w:spacing w:after="0" w:line="152" w:lineRule="exact"/>
        <w:rPr>
          <w:sz w:val="20"/>
          <w:szCs w:val="20"/>
          <w:color w:val="auto"/>
        </w:rPr>
      </w:pPr>
    </w:p>
    <w:p>
      <w:pPr>
        <w:ind w:left="1300" w:hanging="644"/>
        <w:spacing w:after="0"/>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71" w:lineRule="exact"/>
        <w:rPr>
          <w:rFonts w:ascii="Arial" w:cs="Arial" w:eastAsia="Arial" w:hAnsi="Arial"/>
          <w:sz w:val="18"/>
          <w:szCs w:val="18"/>
          <w:color w:val="auto"/>
        </w:rPr>
      </w:pPr>
    </w:p>
    <w:p>
      <w:pPr>
        <w:ind w:left="1300" w:hanging="644"/>
        <w:spacing w:after="0" w:line="262"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7, 2018</w:t>
      </w:r>
      <w:r>
        <w:rPr>
          <w:sz w:val="20"/>
          <w:szCs w:val="20"/>
          <w:color w:val="auto"/>
        </w:rPr>
        <w:tab/>
      </w:r>
      <w:r>
        <w:rPr>
          <w:rFonts w:ascii="Arial" w:cs="Arial" w:eastAsia="Arial" w:hAnsi="Arial"/>
          <w:sz w:val="17"/>
          <w:szCs w:val="17"/>
          <w:u w:val="single" w:color="auto"/>
          <w:color w:val="auto"/>
        </w:rPr>
        <w:t>/s/ Scott Salmirs</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Scott Salmirs</w:t>
      </w:r>
    </w:p>
    <w:p>
      <w:pPr>
        <w:ind w:left="6540"/>
        <w:spacing w:after="0" w:line="234" w:lineRule="auto"/>
        <w:rPr>
          <w:sz w:val="20"/>
          <w:szCs w:val="20"/>
          <w:color w:val="auto"/>
        </w:rPr>
      </w:pPr>
      <w:r>
        <w:rPr>
          <w:rFonts w:ascii="Arial" w:cs="Arial" w:eastAsia="Arial" w:hAnsi="Arial"/>
          <w:sz w:val="18"/>
          <w:szCs w:val="18"/>
          <w:color w:val="auto"/>
        </w:rPr>
        <w:t>Chief Executive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14" w:lineRule="exact"/>
        <w:rPr>
          <w:sz w:val="20"/>
          <w:szCs w:val="20"/>
          <w:color w:val="auto"/>
        </w:rPr>
      </w:pPr>
    </w:p>
    <w:p>
      <w:pPr>
        <w:ind w:left="520"/>
        <w:spacing w:after="0"/>
        <w:tabs>
          <w:tab w:leader="none" w:pos="6520" w:val="left"/>
        </w:tabs>
        <w:rPr>
          <w:sz w:val="20"/>
          <w:szCs w:val="20"/>
          <w:color w:val="auto"/>
        </w:rPr>
      </w:pPr>
      <w:r>
        <w:rPr>
          <w:rFonts w:ascii="Arial" w:cs="Arial" w:eastAsia="Arial" w:hAnsi="Arial"/>
          <w:sz w:val="18"/>
          <w:szCs w:val="18"/>
          <w:color w:val="auto"/>
        </w:rPr>
        <w:t>September 7, 2018</w:t>
      </w:r>
      <w:r>
        <w:rPr>
          <w:sz w:val="20"/>
          <w:szCs w:val="20"/>
          <w:color w:val="auto"/>
        </w:rPr>
        <w:tab/>
      </w:r>
      <w:r>
        <w:rPr>
          <w:rFonts w:ascii="Arial" w:cs="Arial" w:eastAsia="Arial" w:hAnsi="Arial"/>
          <w:sz w:val="18"/>
          <w:szCs w:val="18"/>
          <w:u w:val="single" w:color="auto"/>
          <w:color w:val="auto"/>
        </w:rPr>
        <w:t>/s/ D. Anthony Scaglione</w:t>
      </w:r>
    </w:p>
    <w:p>
      <w:pPr>
        <w:spacing w:after="0" w:line="45"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D. Anthony Scaglione</w:t>
      </w:r>
    </w:p>
    <w:p>
      <w:pPr>
        <w:ind w:left="6540"/>
        <w:spacing w:after="0" w:line="234" w:lineRule="auto"/>
        <w:rPr>
          <w:sz w:val="20"/>
          <w:szCs w:val="20"/>
          <w:color w:val="auto"/>
        </w:rPr>
      </w:pPr>
      <w:r>
        <w:rPr>
          <w:rFonts w:ascii="Arial" w:cs="Arial" w:eastAsia="Arial" w:hAnsi="Arial"/>
          <w:sz w:val="18"/>
          <w:szCs w:val="18"/>
          <w:color w:val="auto"/>
        </w:rPr>
        <w:t>Chief Financial Officer</w:t>
      </w:r>
    </w:p>
    <w:p>
      <w:pPr>
        <w:spacing w:after="0" w:line="1"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1)"/>
      <w:numFmt w:val="decimal"/>
      <w:start w:val="1"/>
    </w:lvl>
  </w:abstractNum>
  <w:abstractNum w:abstractNumId="6">
    <w:nsid w:val="75A2A8D4"/>
    <w:multiLevelType w:val="hybridMultilevel"/>
    <w:lvl w:ilvl="0">
      <w:lvlJc w:val="left"/>
      <w:lvlText w:val="(%1)"/>
      <w:numFmt w:val="decimal"/>
      <w:start w:val="1"/>
    </w:lvl>
  </w:abstractNum>
  <w:abstractNum w:abstractNumId="7">
    <w:nsid w:val="8EDBDAB"/>
    <w:multiLevelType w:val="hybridMultilevel"/>
    <w:lvl w:ilvl="0">
      <w:lvlJc w:val="left"/>
      <w:lvlText w:val="(%1)"/>
      <w:numFmt w:val="decimal"/>
      <w:start w:val="1"/>
    </w:lvl>
  </w:abstractNum>
  <w:abstractNum w:abstractNumId="8">
    <w:nsid w:val="79838CB2"/>
    <w:multiLevelType w:val="hybridMultilevel"/>
    <w:lvl w:ilvl="0">
      <w:lvlJc w:val="left"/>
      <w:lvlText w:val="(%1)"/>
      <w:numFmt w:val="decimal"/>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1."/>
      <w:numFmt w:val="decimal"/>
      <w:start w:val="1"/>
    </w:lvl>
  </w:abstractNum>
  <w:abstractNum w:abstractNumId="25">
    <w:nsid w:val="3006C83E"/>
    <w:multiLevelType w:val="hybridMultilevel"/>
    <w:lvl w:ilvl="0">
      <w:lvlJc w:val="left"/>
      <w:lvlText w:val="(%1)"/>
      <w:numFmt w:val="lowerLetter"/>
      <w:start w:val="4"/>
    </w:lvl>
  </w:abstractNum>
  <w:abstractNum w:abstractNumId="26">
    <w:nsid w:val="614FD4A1"/>
    <w:multiLevelType w:val="hybridMultilevel"/>
    <w:lvl w:ilvl="0">
      <w:lvlJc w:val="left"/>
      <w:lvlText w:val="(%1)"/>
      <w:numFmt w:val="lowerLetter"/>
      <w:start w:val="18"/>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lvl w:ilvl="1">
      <w:lvlJc w:val="left"/>
      <w:lvlText w:val="(%2)"/>
      <w:numFmt w:val="lowerRoman"/>
      <w:start w:val="1"/>
    </w:lvl>
  </w:abstractNum>
  <w:abstractNum w:abstractNumId="29">
    <w:nsid w:val="440BADFC"/>
    <w:multiLevelType w:val="hybridMultilevel"/>
    <w:lvl w:ilvl="0">
      <w:lvlJc w:val="left"/>
      <w:lvlText w:val="(%1)"/>
      <w:numFmt w:val="lowerLetter"/>
      <w:start w:val="2"/>
    </w:lvl>
    <w:lvl w:ilvl="1">
      <w:lvlJc w:val="left"/>
      <w:lvlText w:val="(%2)"/>
      <w:numFmt w:val="lowerRoman"/>
      <w:start w:val="1"/>
    </w:lvl>
  </w:abstractNum>
  <w:abstractNum w:abstractNumId="30">
    <w:nsid w:val="507236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1">
    <w:nsid w:val="3804823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32">
    <w:nsid w:val="77465F01"/>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33">
    <w:nsid w:val="7724C67E"/>
    <w:multiLevelType w:val="hybridMultilevel"/>
    <w:lvl w:ilvl="0">
      <w:lvlJc w:val="left"/>
      <w:lvlText w:val="%1."/>
      <w:numFmt w:val="decimal"/>
      <w:start w:val="5"/>
    </w:lvl>
  </w:abstractNum>
  <w:abstractNum w:abstractNumId="34">
    <w:nsid w:val="5C482A97"/>
    <w:multiLevelType w:val="hybridMultilevel"/>
    <w:lvl w:ilvl="0">
      <w:lvlJc w:val="left"/>
      <w:lvlText w:val="%1."/>
      <w:numFmt w:val="decimal"/>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decimal"/>
      <w:start w:val="3"/>
    </w:lvl>
  </w:abstractNum>
  <w:abstractNum w:abstractNumId="37">
    <w:nsid w:val="51EAD36B"/>
    <w:multiLevelType w:val="hybridMultilevel"/>
    <w:lvl w:ilvl="0">
      <w:lvlJc w:val="left"/>
      <w:lvlText w:val="%1."/>
      <w:numFmt w:val="decimal"/>
      <w:start w:val="5"/>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2019-12-28T19:28:55Z</dcterms:created>
  <dcterms:modified xsi:type="dcterms:W3CDTF">2019-12-28T19:28:55Z</dcterms:modified>
</cp:coreProperties>
</file>