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July 6, 2017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880" w:type="dxa"/>
            <w:vAlign w:val="bottom"/>
            <w:gridSpan w:val="3"/>
          </w:tcPr>
          <w:p>
            <w:pPr>
              <w:jc w:val="center"/>
              <w:ind w:right="240"/>
              <w:spacing w:after="0"/>
              <w:rPr>
                <w:sz w:val="20"/>
                <w:szCs w:val="20"/>
                <w:color w:val="auto"/>
              </w:rPr>
            </w:pPr>
            <w:r>
              <w:rPr>
                <w:rFonts w:ascii="Arial" w:cs="Arial" w:eastAsia="Arial" w:hAnsi="Arial"/>
                <w:sz w:val="22"/>
                <w:szCs w:val="22"/>
                <w:b w:val="1"/>
                <w:bCs w:val="1"/>
                <w:color w:val="auto"/>
                <w:w w:val="91"/>
              </w:rPr>
              <w:t>Delaware</w:t>
            </w:r>
          </w:p>
        </w:tc>
        <w:tc>
          <w:tcPr>
            <w:tcW w:w="2760" w:type="dxa"/>
            <w:vAlign w:val="bottom"/>
          </w:tcPr>
          <w:p>
            <w:pPr>
              <w:jc w:val="center"/>
              <w:ind w:left="804"/>
              <w:spacing w:after="0"/>
              <w:rPr>
                <w:sz w:val="20"/>
                <w:szCs w:val="20"/>
                <w:color w:val="auto"/>
              </w:rPr>
            </w:pPr>
            <w:r>
              <w:rPr>
                <w:rFonts w:ascii="Arial" w:cs="Arial" w:eastAsia="Arial" w:hAnsi="Arial"/>
                <w:sz w:val="22"/>
                <w:szCs w:val="22"/>
                <w:b w:val="1"/>
                <w:bCs w:val="1"/>
                <w:color w:val="auto"/>
                <w:w w:val="90"/>
              </w:rPr>
              <w:t>1-8929</w:t>
            </w:r>
          </w:p>
        </w:tc>
        <w:tc>
          <w:tcPr>
            <w:tcW w:w="4760" w:type="dxa"/>
            <w:vAlign w:val="bottom"/>
            <w:gridSpan w:val="4"/>
          </w:tcPr>
          <w:p>
            <w:pPr>
              <w:jc w:val="right"/>
              <w:ind w:right="1210"/>
              <w:spacing w:after="0"/>
              <w:rPr>
                <w:sz w:val="20"/>
                <w:szCs w:val="20"/>
                <w:color w:val="auto"/>
              </w:rPr>
            </w:pPr>
            <w:r>
              <w:rPr>
                <w:rFonts w:ascii="Arial" w:cs="Arial" w:eastAsia="Arial" w:hAnsi="Arial"/>
                <w:sz w:val="22"/>
                <w:szCs w:val="22"/>
                <w:b w:val="1"/>
                <w:bCs w:val="1"/>
                <w:color w:val="auto"/>
              </w:rPr>
              <w:t>94-1369354</w:t>
            </w:r>
          </w:p>
        </w:tc>
      </w:tr>
      <w:tr>
        <w:trPr>
          <w:trHeight w:val="199"/>
        </w:trPr>
        <w:tc>
          <w:tcPr>
            <w:tcW w:w="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1"/>
              </w:rPr>
              <w:t>(State or other jurisdiction</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60" w:type="dxa"/>
            <w:vAlign w:val="bottom"/>
            <w:tcBorders>
              <w:top w:val="single" w:sz="8" w:color="auto"/>
            </w:tcBorders>
          </w:tcPr>
          <w:p>
            <w:pPr>
              <w:jc w:val="center"/>
              <w:ind w:left="804"/>
              <w:spacing w:after="0" w:line="199" w:lineRule="exact"/>
              <w:rPr>
                <w:sz w:val="20"/>
                <w:szCs w:val="20"/>
                <w:color w:val="auto"/>
              </w:rPr>
            </w:pPr>
            <w:r>
              <w:rPr>
                <w:rFonts w:ascii="Arial" w:cs="Arial" w:eastAsia="Arial" w:hAnsi="Arial"/>
                <w:sz w:val="18"/>
                <w:szCs w:val="18"/>
                <w:color w:val="auto"/>
                <w:w w:val="93"/>
              </w:rPr>
              <w:t>(Commission File</w:t>
            </w: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388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of incorporation)</w:t>
            </w:r>
          </w:p>
        </w:tc>
        <w:tc>
          <w:tcPr>
            <w:tcW w:w="2760" w:type="dxa"/>
            <w:vAlign w:val="bottom"/>
          </w:tcPr>
          <w:p>
            <w:pPr>
              <w:jc w:val="center"/>
              <w:ind w:left="804"/>
              <w:spacing w:after="0"/>
              <w:rPr>
                <w:sz w:val="20"/>
                <w:szCs w:val="20"/>
                <w:color w:val="auto"/>
              </w:rPr>
            </w:pPr>
            <w:r>
              <w:rPr>
                <w:rFonts w:ascii="Arial" w:cs="Arial" w:eastAsia="Arial" w:hAnsi="Arial"/>
                <w:sz w:val="18"/>
                <w:szCs w:val="18"/>
                <w:color w:val="auto"/>
                <w:w w:val="94"/>
              </w:rPr>
              <w:t>Number)</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86"/>
        </w:trPr>
        <w:tc>
          <w:tcPr>
            <w:tcW w:w="3900" w:type="dxa"/>
            <w:vAlign w:val="bottom"/>
            <w:gridSpan w:val="4"/>
          </w:tcPr>
          <w:p>
            <w:pPr>
              <w:spacing w:after="0"/>
              <w:rPr>
                <w:sz w:val="20"/>
                <w:szCs w:val="20"/>
                <w:color w:val="auto"/>
              </w:rPr>
            </w:pPr>
            <w:r>
              <w:rPr>
                <w:rFonts w:ascii="Arial" w:cs="Arial" w:eastAsia="Arial" w:hAnsi="Arial"/>
                <w:sz w:val="22"/>
                <w:szCs w:val="22"/>
                <w:b w:val="1"/>
                <w:bCs w:val="1"/>
                <w:color w:val="auto"/>
              </w:rPr>
              <w:t>One Liberty Plaza, 7</w:t>
            </w:r>
            <w:r>
              <w:rPr>
                <w:rFonts w:ascii="Arial" w:cs="Arial" w:eastAsia="Arial" w:hAnsi="Arial"/>
                <w:sz w:val="36"/>
                <w:szCs w:val="36"/>
                <w:b w:val="1"/>
                <w:bCs w:val="1"/>
                <w:color w:val="auto"/>
                <w:vertAlign w:val="superscript"/>
              </w:rPr>
              <w:t>th</w:t>
            </w:r>
            <w:r>
              <w:rPr>
                <w:rFonts w:ascii="Arial" w:cs="Arial" w:eastAsia="Arial" w:hAnsi="Arial"/>
                <w:sz w:val="22"/>
                <w:szCs w:val="22"/>
                <w:b w:val="1"/>
                <w:bCs w:val="1"/>
                <w:color w:val="auto"/>
              </w:rPr>
              <w:t xml:space="preserve"> Floor</w:t>
            </w:r>
          </w:p>
        </w:tc>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81"/>
        </w:trPr>
        <w:tc>
          <w:tcPr>
            <w:tcW w:w="3900" w:type="dxa"/>
            <w:vAlign w:val="bottom"/>
            <w:gridSpan w:val="4"/>
          </w:tcPr>
          <w:p>
            <w:pPr>
              <w:spacing w:after="0"/>
              <w:rPr>
                <w:sz w:val="20"/>
                <w:szCs w:val="20"/>
                <w:color w:val="auto"/>
              </w:rPr>
            </w:pPr>
            <w:r>
              <w:rPr>
                <w:rFonts w:ascii="Arial" w:cs="Arial" w:eastAsia="Arial" w:hAnsi="Arial"/>
                <w:sz w:val="22"/>
                <w:szCs w:val="22"/>
                <w:b w:val="1"/>
                <w:bCs w:val="1"/>
                <w:color w:val="auto"/>
              </w:rPr>
              <w:t>New York, New York</w:t>
            </w:r>
          </w:p>
        </w:tc>
        <w:tc>
          <w:tcPr>
            <w:tcW w:w="2760" w:type="dxa"/>
            <w:vAlign w:val="bottom"/>
          </w:tcPr>
          <w:p>
            <w:pPr>
              <w:spacing w:after="0"/>
              <w:rPr>
                <w:sz w:val="24"/>
                <w:szCs w:val="24"/>
                <w:color w:val="auto"/>
              </w:rPr>
            </w:pPr>
          </w:p>
        </w:tc>
        <w:tc>
          <w:tcPr>
            <w:tcW w:w="4760" w:type="dxa"/>
            <w:vAlign w:val="bottom"/>
            <w:gridSpan w:val="4"/>
          </w:tcPr>
          <w:p>
            <w:pPr>
              <w:jc w:val="right"/>
              <w:ind w:right="1470"/>
              <w:spacing w:after="0"/>
              <w:rPr>
                <w:sz w:val="20"/>
                <w:szCs w:val="20"/>
                <w:color w:val="auto"/>
              </w:rPr>
            </w:pPr>
            <w:r>
              <w:rPr>
                <w:rFonts w:ascii="Arial" w:cs="Arial" w:eastAsia="Arial" w:hAnsi="Arial"/>
                <w:sz w:val="22"/>
                <w:szCs w:val="22"/>
                <w:b w:val="1"/>
                <w:bCs w:val="1"/>
                <w:color w:val="auto"/>
              </w:rPr>
              <w:t>10006</w:t>
            </w:r>
          </w:p>
        </w:tc>
      </w:tr>
      <w:tr>
        <w:trPr>
          <w:trHeight w:val="227"/>
        </w:trPr>
        <w:tc>
          <w:tcPr>
            <w:tcW w:w="20" w:type="dxa"/>
            <w:vAlign w:val="bottom"/>
          </w:tcPr>
          <w:p>
            <w:pPr>
              <w:spacing w:after="0"/>
              <w:rPr>
                <w:sz w:val="19"/>
                <w:szCs w:val="19"/>
                <w:color w:val="auto"/>
              </w:rPr>
            </w:pPr>
          </w:p>
        </w:tc>
        <w:tc>
          <w:tcPr>
            <w:tcW w:w="38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2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45"/>
        </w:trPr>
        <w:tc>
          <w:tcPr>
            <w:tcW w:w="3840" w:type="dxa"/>
            <w:vAlign w:val="bottom"/>
            <w:gridSpan w:val="3"/>
          </w:tcPr>
          <w:p>
            <w:pPr>
              <w:spacing w:after="0"/>
              <w:rPr>
                <w:sz w:val="20"/>
                <w:szCs w:val="20"/>
                <w:color w:val="auto"/>
              </w:rPr>
            </w:pPr>
            <w:r>
              <w:rPr>
                <w:rFonts w:ascii="Arial" w:cs="Arial" w:eastAsia="Arial" w:hAnsi="Arial"/>
                <w:sz w:val="18"/>
                <w:szCs w:val="18"/>
                <w:color w:val="auto"/>
                <w:w w:val="92"/>
              </w:rPr>
              <w:t>Registrant’s telephone number, including area code</w:t>
            </w: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4"/>
          </w:tcPr>
          <w:p>
            <w:pPr>
              <w:jc w:val="right"/>
              <w:ind w:right="3030"/>
              <w:spacing w:after="0"/>
              <w:rPr>
                <w:sz w:val="20"/>
                <w:szCs w:val="20"/>
                <w:color w:val="auto"/>
              </w:rPr>
            </w:pPr>
            <w:r>
              <w:rPr>
                <w:rFonts w:ascii="Arial" w:cs="Arial" w:eastAsia="Arial" w:hAnsi="Arial"/>
                <w:sz w:val="22"/>
                <w:szCs w:val="22"/>
                <w:b w:val="1"/>
                <w:bCs w:val="1"/>
                <w:color w:val="auto"/>
              </w:rPr>
              <w:t>(212) 297-0200</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July 6, 2017, the Superior Court of California, Los Angeles County (the “Superior Court”) granted final approval of the Class Action Settlement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Release Agreement with Plaintiffs Jennifer Augustus, Delores Hall, Emanuel Davis, and Carlton Anthony Waite, on behalf of themselves and the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class members (the “Settlement Agreement”) in connection with the previously disclosed </w:t>
      </w:r>
      <w:r>
        <w:rPr>
          <w:rFonts w:ascii="Arial" w:cs="Arial" w:eastAsia="Arial" w:hAnsi="Arial"/>
          <w:sz w:val="16"/>
          <w:szCs w:val="16"/>
          <w:i w:val="1"/>
          <w:iCs w:val="1"/>
          <w:color w:val="auto"/>
        </w:rPr>
        <w:t>Consolidated Cases of Augustus, Hall, and Davis, et al. v. American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Commercial Security Services, </w:t>
      </w:r>
      <w:r>
        <w:rPr>
          <w:rFonts w:ascii="Arial" w:cs="Arial" w:eastAsia="Arial" w:hAnsi="Arial"/>
          <w:sz w:val="16"/>
          <w:szCs w:val="16"/>
          <w:color w:val="auto"/>
        </w:rPr>
        <w:t>filed July 12, 2005, in the Superior Court of California, Los Angeles County (the “Augustus case”). The Settlement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provides for the settlement of the Augustus case on a class-wide basis for $110.0 million. In addition to the $110.0 million, the Company will also pay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estimated additional $6.3 million related to payroll taxes. Pursuant to the terms of the Settlement Agreement, the Company will fund the first payment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$55.0 million of the settlement by July 20, 2017 and fund the remaining $55.0 million and the payroll tax amount by September 1, 2017. We expect to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payments from operating cash flows and from our available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920" w:type="dxa"/>
            <w:vAlign w:val="bottom"/>
            <w:gridSpan w:val="3"/>
          </w:tcPr>
          <w:p>
            <w:pPr>
              <w:ind w:left="2080"/>
              <w:spacing w:after="0"/>
              <w:rPr>
                <w:sz w:val="20"/>
                <w:szCs w:val="20"/>
                <w:color w:val="auto"/>
              </w:rPr>
            </w:pPr>
            <w:r>
              <w:rPr>
                <w:rFonts w:ascii="Arial" w:cs="Arial" w:eastAsia="Arial" w:hAnsi="Arial"/>
                <w:sz w:val="18"/>
                <w:szCs w:val="18"/>
                <w:color w:val="auto"/>
              </w:rPr>
              <w:t>ABM INDUSTRIES INCORPORATED</w:t>
            </w:r>
          </w:p>
        </w:tc>
      </w:tr>
      <w:tr>
        <w:trPr>
          <w:trHeight w:val="608"/>
        </w:trPr>
        <w:tc>
          <w:tcPr>
            <w:tcW w:w="3500" w:type="dxa"/>
            <w:vAlign w:val="bottom"/>
            <w:gridSpan w:val="3"/>
          </w:tcPr>
          <w:p>
            <w:pPr>
              <w:spacing w:after="0"/>
              <w:rPr>
                <w:sz w:val="20"/>
                <w:szCs w:val="20"/>
                <w:color w:val="auto"/>
              </w:rPr>
            </w:pPr>
            <w:r>
              <w:rPr>
                <w:rFonts w:ascii="Arial" w:cs="Arial" w:eastAsia="Arial" w:hAnsi="Arial"/>
                <w:sz w:val="18"/>
                <w:szCs w:val="18"/>
                <w:color w:val="auto"/>
              </w:rPr>
              <w:t>Dated: July 7, 2017</w:t>
            </w:r>
          </w:p>
        </w:tc>
        <w:tc>
          <w:tcPr>
            <w:tcW w:w="7920" w:type="dxa"/>
            <w:vAlign w:val="bottom"/>
            <w:gridSpan w:val="3"/>
          </w:tcPr>
          <w:p>
            <w:pPr>
              <w:ind w:left="2080"/>
              <w:spacing w:after="0"/>
              <w:rPr>
                <w:sz w:val="20"/>
                <w:szCs w:val="20"/>
                <w:color w:val="auto"/>
              </w:rPr>
            </w:pPr>
            <w:r>
              <w:rPr>
                <w:rFonts w:ascii="Arial" w:cs="Arial" w:eastAsia="Arial" w:hAnsi="Arial"/>
                <w:sz w:val="18"/>
                <w:szCs w:val="18"/>
                <w:color w:val="auto"/>
              </w:rPr>
              <w:t>By: /s/ Barbara L. Smithers</w:t>
            </w:r>
          </w:p>
        </w:tc>
      </w:tr>
      <w:tr>
        <w:trPr>
          <w:trHeight w:val="222"/>
        </w:trPr>
        <w:tc>
          <w:tcPr>
            <w:tcW w:w="5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L. Smithers</w:t>
            </w:r>
          </w:p>
        </w:tc>
        <w:tc>
          <w:tcPr>
            <w:tcW w:w="382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Vice President, Deputy General</w:t>
            </w:r>
          </w:p>
        </w:tc>
      </w:tr>
      <w:tr>
        <w:trPr>
          <w:trHeight w:val="230"/>
        </w:trPr>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Counsel and Assistant Secretary</w:t>
            </w:r>
          </w:p>
        </w:tc>
      </w:tr>
      <w:tr>
        <w:trPr>
          <w:trHeight w:val="675"/>
        </w:trPr>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2019-12-05T12:38:43Z</dcterms:created>
  <dcterms:modified xsi:type="dcterms:W3CDTF">2019-12-05T12:38:43Z</dcterms:modified>
</cp:coreProperties>
</file>