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04/13/2017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1,970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42.3259</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131,763</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All sales reported on this Form 4 were effected pursuant to a Rule 10b5-1 trading plan entered into by the reporting person.</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$42.225 to $42.43, inclusive. The reporting person undertakes to provide to ABM Industries Incorporated, any security holder of ABM Industries Incorporated, or the staff of the Securities and Exchange Commission, upon request, full information regarding the number of shares sold at each separate price within the ranges set forth in footnote 2 of this Form 4.</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21,240 unvested RSUs, 82,825 vested RSUs, the receipt of which has been deferred and DERs relating to the RSUs, adjusted to reflect the cumulative effect of fractional shares, 10,165 performance shares earned but not vested with respect to TSR performance shares granted on 9/8/2014, 1,553 performance shares earned but not vested with respect to performance shares granted on 1/15/2015, 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04/13/2017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2019-12-23T21:48:24Z</dcterms:created>
  <dcterms:modified xsi:type="dcterms:W3CDTF">2019-12-23T21:48:24Z</dcterms:modified>
</cp:coreProperties>
</file>