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6120"/>
        <w:spacing w:after="0" w:line="238" w:lineRule="auto"/>
        <w:rPr>
          <w:sz w:val="20"/>
          <w:szCs w:val="20"/>
          <w:color w:val="auto"/>
        </w:rPr>
      </w:pPr>
      <w:r>
        <w:rPr>
          <w:rFonts w:ascii="Courier New" w:cs="Courier New" w:eastAsia="Courier New" w:hAnsi="Courier New"/>
          <w:sz w:val="18"/>
          <w:szCs w:val="18"/>
          <w:color w:val="auto"/>
        </w:rPr>
        <w:t>OMB APPROVAL</w:t>
      </w:r>
    </w:p>
    <w:p>
      <w:pPr>
        <w:ind w:left="5280"/>
        <w:spacing w:after="0"/>
        <w:rPr>
          <w:sz w:val="20"/>
          <w:szCs w:val="20"/>
          <w:color w:val="auto"/>
        </w:rPr>
      </w:pPr>
      <w:r>
        <w:rPr>
          <w:rFonts w:ascii="Courier New" w:cs="Courier New" w:eastAsia="Courier New" w:hAnsi="Courier New"/>
          <w:sz w:val="18"/>
          <w:szCs w:val="18"/>
          <w:color w:val="auto"/>
        </w:rPr>
        <w:t>-----------------------------</w:t>
      </w:r>
    </w:p>
    <w:tbl>
      <w:tblPr>
        <w:tblLayout w:type="fixed"/>
        <w:tblInd w:w="5280" w:type="dxa"/>
        <w:tblCellMar>
          <w:top w:w="0" w:type="dxa"/>
          <w:left w:w="0" w:type="dxa"/>
          <w:bottom w:w="0" w:type="dxa"/>
          <w:right w:w="0" w:type="dxa"/>
        </w:tblCellMar>
      </w:tblPr>
      <w:tr>
        <w:trPr>
          <w:trHeight w:val="202"/>
        </w:trPr>
        <w:tc>
          <w:tcPr>
            <w:tcW w:w="1300" w:type="dxa"/>
            <w:vAlign w:val="bottom"/>
          </w:tcPr>
          <w:p>
            <w:pPr>
              <w:spacing w:after="0" w:line="202" w:lineRule="exact"/>
              <w:rPr>
                <w:sz w:val="20"/>
                <w:szCs w:val="20"/>
                <w:color w:val="auto"/>
              </w:rPr>
            </w:pPr>
            <w:r>
              <w:rPr>
                <w:rFonts w:ascii="Courier New" w:cs="Courier New" w:eastAsia="Courier New" w:hAnsi="Courier New"/>
                <w:sz w:val="18"/>
                <w:szCs w:val="18"/>
                <w:color w:val="auto"/>
              </w:rPr>
              <w:t>OMB Number:</w:t>
            </w:r>
          </w:p>
        </w:tc>
        <w:tc>
          <w:tcPr>
            <w:tcW w:w="70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3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August 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Estimated average burden</w:t>
            </w:r>
          </w:p>
        </w:tc>
        <w:tc>
          <w:tcPr>
            <w:tcW w:w="520" w:type="dxa"/>
            <w:vAlign w:val="bottom"/>
          </w:tcPr>
          <w:p>
            <w:pPr>
              <w:spacing w:after="0"/>
              <w:rPr>
                <w:sz w:val="17"/>
                <w:szCs w:val="17"/>
                <w:color w:val="auto"/>
              </w:rPr>
            </w:pPr>
          </w:p>
        </w:tc>
      </w:tr>
      <w:tr>
        <w:trPr>
          <w:trHeight w:val="203"/>
        </w:trPr>
        <w:tc>
          <w:tcPr>
            <w:tcW w:w="20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hours per response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14.90</w:t>
            </w:r>
          </w:p>
        </w:tc>
      </w:tr>
    </w:tbl>
    <w:p>
      <w:pPr>
        <w:ind w:left="52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UNITED STATES</w:t>
      </w:r>
    </w:p>
    <w:p>
      <w:pPr>
        <w:jc w:val="center"/>
        <w:ind w:right="16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6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ABM IND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000957100</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DECEMBER 31, 1999</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2" w:lineRule="exact"/>
        <w:rPr>
          <w:sz w:val="24"/>
          <w:szCs w:val="24"/>
          <w:color w:val="auto"/>
        </w:rPr>
      </w:pPr>
    </w:p>
    <w:p>
      <w:pPr>
        <w:ind w:left="740" w:hanging="20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13d-1(b)</w:t>
      </w:r>
    </w:p>
    <w:p>
      <w:pPr>
        <w:spacing w:after="0" w:line="201" w:lineRule="exact"/>
        <w:rPr>
          <w:rFonts w:ascii="Courier New" w:cs="Courier New" w:eastAsia="Courier New" w:hAnsi="Courier New"/>
          <w:sz w:val="18"/>
          <w:szCs w:val="18"/>
          <w:color w:val="auto"/>
        </w:rPr>
      </w:pPr>
    </w:p>
    <w:p>
      <w:pPr>
        <w:ind w:left="740" w:hanging="20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spacing w:after="0" w:line="201" w:lineRule="exact"/>
        <w:rPr>
          <w:rFonts w:ascii="Courier New" w:cs="Courier New" w:eastAsia="Courier New" w:hAnsi="Courier New"/>
          <w:sz w:val="18"/>
          <w:szCs w:val="18"/>
          <w:color w:val="auto"/>
        </w:rPr>
      </w:pPr>
    </w:p>
    <w:p>
      <w:pPr>
        <w:ind w:left="740" w:hanging="206"/>
        <w:spacing w:after="0"/>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ind w:right="1819"/>
        <w:spacing w:after="0" w:line="236" w:lineRule="auto"/>
        <w:rPr>
          <w:sz w:val="20"/>
          <w:szCs w:val="20"/>
          <w:color w:val="auto"/>
        </w:rPr>
      </w:pPr>
      <w:r>
        <w:rPr>
          <w:rFonts w:ascii="Courier New" w:cs="Courier New" w:eastAsia="Courier New" w:hAnsi="Courier New"/>
          <w:sz w:val="18"/>
          <w:szCs w:val="18"/>
          <w:color w:val="auto"/>
        </w:rPr>
        <w:t>POTENTIAL PERSONS WHO ARE TO RESPOND TO THE COLLECTION OF INFORMATION CONTAINED IN THIS FORM ARE NOT REQUIRED TO RESPOND UNLESS THE FORM DISPLAYS A CURRENTLY VALID OMB CONTROL NUMBER.</w:t>
      </w:r>
    </w:p>
    <w:p>
      <w:pPr>
        <w:spacing w:after="0" w:line="200" w:lineRule="exact"/>
        <w:rPr>
          <w:sz w:val="24"/>
          <w:szCs w:val="24"/>
          <w:color w:val="auto"/>
        </w:rPr>
      </w:pPr>
    </w:p>
    <w:p>
      <w:pPr>
        <w:spacing w:after="0" w:line="205"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6 pages</w:t>
      </w:r>
    </w:p>
    <w:p>
      <w:pPr>
        <w:sectPr>
          <w:pgSz w:w="11900" w:h="16838" w:orient="portrait"/>
          <w:cols w:equalWidth="0" w:num="1">
            <w:col w:w="10139"/>
          </w:cols>
          <w:pgMar w:left="32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000957100</w:t>
      </w:r>
    </w:p>
    <w:p>
      <w:pPr>
        <w:ind w:left="96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line="203" w:lineRule="exact"/>
              <w:rPr>
                <w:sz w:val="20"/>
                <w:szCs w:val="20"/>
                <w:color w:val="auto"/>
              </w:rPr>
            </w:pPr>
            <w:r>
              <w:rPr>
                <w:rFonts w:ascii="Courier New" w:cs="Courier New" w:eastAsia="Courier New" w:hAnsi="Courier New"/>
                <w:sz w:val="18"/>
                <w:szCs w:val="18"/>
                <w:color w:val="auto"/>
              </w:rPr>
              <w:t>GEOCAPITAL, LLC</w:t>
            </w:r>
          </w:p>
        </w:tc>
        <w:tc>
          <w:tcPr>
            <w:tcW w:w="3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13-3964629</w:t>
            </w:r>
          </w:p>
        </w:tc>
      </w:tr>
    </w:tbl>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w:t>
      </w:r>
    </w:p>
    <w:p>
      <w:pPr>
        <w:ind w:left="74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(b)</w:t>
      </w:r>
    </w:p>
    <w:p>
      <w:pPr>
        <w:ind w:left="7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3.</w:t>
        <w:tab/>
        <w:t>SEC Use Only</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2"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64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 NONE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380" w:type="dxa"/>
            <w:vAlign w:val="bottom"/>
          </w:tcPr>
          <w:p>
            <w:pPr>
              <w:spacing w:after="0"/>
              <w:rPr>
                <w:sz w:val="17"/>
                <w:szCs w:val="17"/>
                <w:color w:val="auto"/>
              </w:rPr>
            </w:pPr>
          </w:p>
        </w:tc>
        <w:tc>
          <w:tcPr>
            <w:tcW w:w="6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ficially</w:t>
            </w:r>
          </w:p>
        </w:tc>
        <w:tc>
          <w:tcPr>
            <w:tcW w:w="6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________________________________________________________________</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64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6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 Voting Power NONE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17"/>
                <w:szCs w:val="17"/>
                <w:color w:val="auto"/>
              </w:rPr>
            </w:pPr>
          </w:p>
        </w:tc>
        <w:tc>
          <w:tcPr>
            <w:tcW w:w="6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80" w:type="dxa"/>
            <w:vAlign w:val="bottom"/>
          </w:tcPr>
          <w:p>
            <w:pPr>
              <w:spacing w:after="0"/>
              <w:rPr>
                <w:sz w:val="17"/>
                <w:szCs w:val="17"/>
                <w:color w:val="auto"/>
              </w:rPr>
            </w:pPr>
          </w:p>
        </w:tc>
        <w:tc>
          <w:tcPr>
            <w:tcW w:w="6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________________________________________________________________</w:t>
            </w:r>
          </w:p>
        </w:tc>
      </w:tr>
    </w:tbl>
    <w:p>
      <w:pPr>
        <w:spacing w:after="0" w:line="201" w:lineRule="exact"/>
        <w:rPr>
          <w:sz w:val="20"/>
          <w:szCs w:val="20"/>
          <w:color w:val="auto"/>
        </w:rPr>
      </w:pPr>
    </w:p>
    <w:p>
      <w:pPr>
        <w:ind w:left="1900" w:hanging="313"/>
        <w:spacing w:after="0"/>
        <w:tabs>
          <w:tab w:leader="none" w:pos="190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1,724,428</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5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w:t>
      </w:r>
    </w:p>
    <w:p>
      <w:pPr>
        <w:spacing w:after="0" w:line="202" w:lineRule="exact"/>
        <w:rPr>
          <w:sz w:val="20"/>
          <w:szCs w:val="20"/>
          <w:color w:val="auto"/>
        </w:rPr>
      </w:pPr>
    </w:p>
    <w:p>
      <w:pPr>
        <w:ind w:left="1900" w:hanging="313"/>
        <w:spacing w:after="0"/>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ind w:left="4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1" w:lineRule="exact"/>
        <w:rPr>
          <w:sz w:val="20"/>
          <w:szCs w:val="20"/>
          <w:color w:val="auto"/>
        </w:rPr>
      </w:pPr>
    </w:p>
    <w:p>
      <w:pPr>
        <w:spacing w:after="0"/>
        <w:tabs>
          <w:tab w:leader="none" w:pos="400" w:val="left"/>
          <w:tab w:leader="none" w:pos="7040" w:val="left"/>
        </w:tabs>
        <w:rPr>
          <w:sz w:val="20"/>
          <w:szCs w:val="20"/>
          <w:color w:val="auto"/>
        </w:rPr>
      </w:pPr>
      <w:r>
        <w:rPr>
          <w:rFonts w:ascii="Courier New" w:cs="Courier New" w:eastAsia="Courier New" w:hAnsi="Courier New"/>
          <w:sz w:val="18"/>
          <w:szCs w:val="18"/>
          <w:color w:val="auto"/>
        </w:rPr>
        <w:t>9.</w:t>
        <w:tab/>
        <w:t>Aggregate Amount Beneficially Owned by Each Reporting Person</w:t>
      </w:r>
      <w:r>
        <w:rPr>
          <w:sz w:val="20"/>
          <w:szCs w:val="20"/>
          <w:color w:val="auto"/>
        </w:rPr>
        <w:tab/>
      </w:r>
      <w:r>
        <w:rPr>
          <w:rFonts w:ascii="Courier New" w:cs="Courier New" w:eastAsia="Courier New" w:hAnsi="Courier New"/>
          <w:sz w:val="16"/>
          <w:szCs w:val="16"/>
          <w:color w:val="auto"/>
        </w:rPr>
        <w:t>1,724,428</w:t>
      </w:r>
    </w:p>
    <w:p>
      <w:pPr>
        <w:ind w:left="6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339" w:hanging="412"/>
        <w:spacing w:after="0" w:line="235" w:lineRule="auto"/>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1" w:lineRule="exact"/>
        <w:rPr>
          <w:rFonts w:ascii="Courier New" w:cs="Courier New" w:eastAsia="Courier New" w:hAnsi="Courier New"/>
          <w:sz w:val="18"/>
          <w:szCs w:val="18"/>
          <w:color w:val="auto"/>
        </w:rPr>
      </w:pPr>
    </w:p>
    <w:p>
      <w:pPr>
        <w:ind w:left="1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7.7187%</w:t>
      </w:r>
    </w:p>
    <w:p>
      <w:pPr>
        <w:ind w:left="5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_______________________________________________________________________________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(See Instructions)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_______________________________________________________________________________</w:t>
      </w:r>
    </w:p>
    <w:p>
      <w:pPr>
        <w:sectPr>
          <w:pgSz w:w="11900" w:h="16838" w:orient="portrait"/>
          <w:cols w:equalWidth="0" w:num="1">
            <w:col w:w="10139"/>
          </w:cols>
          <w:pgMar w:left="320" w:top="312" w:right="1440" w:bottom="1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2 of 6 pages</w:t>
      </w:r>
    </w:p>
    <w:p>
      <w:pPr>
        <w:sectPr>
          <w:pgSz w:w="11900" w:h="16838" w:orient="portrait"/>
          <w:cols w:equalWidth="0" w:num="1">
            <w:col w:w="10139"/>
          </w:cols>
          <w:pgMar w:left="320" w:top="312" w:right="1440" w:bottom="182" w:gutter="0" w:footer="0" w:header="0"/>
          <w:type w:val="continuous"/>
        </w:sectPr>
      </w:pPr>
    </w:p>
    <w:bookmarkStart w:id="2" w:name="page3"/>
    <w:bookmarkEnd w:id="2"/>
    <w:p>
      <w:pPr>
        <w:spacing w:after="0" w:line="10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3</w:t>
      </w:r>
    </w:p>
    <w:p>
      <w:pPr>
        <w:ind w:left="2640"/>
        <w:spacing w:after="0" w:line="238" w:lineRule="auto"/>
        <w:rPr>
          <w:sz w:val="20"/>
          <w:szCs w:val="20"/>
          <w:color w:val="auto"/>
        </w:rPr>
      </w:pPr>
      <w:r>
        <w:rPr>
          <w:rFonts w:ascii="Courier New" w:cs="Courier New" w:eastAsia="Courier New" w:hAnsi="Courier New"/>
          <w:sz w:val="18"/>
          <w:szCs w:val="18"/>
          <w:color w:val="auto"/>
        </w:rPr>
        <w:t>INSTRUCTIONS FOR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INSTRUCTIONS FOR COVER PAGE</w:t>
      </w:r>
    </w:p>
    <w:p>
      <w:pPr>
        <w:spacing w:after="0" w:line="207" w:lineRule="exact"/>
        <w:rPr>
          <w:sz w:val="20"/>
          <w:szCs w:val="20"/>
          <w:color w:val="auto"/>
        </w:rPr>
      </w:pPr>
    </w:p>
    <w:p>
      <w:pPr>
        <w:ind w:left="540" w:right="16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and I.R.S. Identification Numbers of Reporting Persons -- Furnish the full legal name of each person for whom the report is filed -- i.e., each person required to sign the schedule itself -- including each member of a group. Do not include the name of a person required to be identified in the report but who is not a reporting person. Reporting persons that are entities are also requested to furnish their I.R.S. identification numbers, although disclosure of such numbers is voluntary, not mandatory (see "SPECIAL INSTRUCTIONS FOR COMPLYING WITH SCHEDULE 13G" below).</w:t>
      </w:r>
    </w:p>
    <w:p>
      <w:pPr>
        <w:spacing w:after="0" w:line="211" w:lineRule="exact"/>
        <w:rPr>
          <w:rFonts w:ascii="Courier New" w:cs="Courier New" w:eastAsia="Courier New" w:hAnsi="Courier New"/>
          <w:sz w:val="18"/>
          <w:szCs w:val="18"/>
          <w:color w:val="auto"/>
        </w:rPr>
      </w:pPr>
    </w:p>
    <w:p>
      <w:pPr>
        <w:ind w:left="540" w:right="1699" w:hanging="532"/>
        <w:spacing w:after="0" w:line="237"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of the shares beneficially owned by a reporting person are held as a member of a group and that membership is expressly affirmed, please check row 2(a). If the reporting person disclaims membership in a group or describes a relationship with other persons but does not affirm the existence of a group, please check row 2(b) [unless a joint filing pursuant to Rule 13d-1(k)(1) in which case it may not be necessary to check row 2(b)].</w:t>
      </w: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row is for SEC internal use; please leave blank.</w:t>
      </w:r>
    </w:p>
    <w:p>
      <w:pPr>
        <w:spacing w:after="0" w:line="206" w:lineRule="exact"/>
        <w:rPr>
          <w:rFonts w:ascii="Courier New" w:cs="Courier New" w:eastAsia="Courier New" w:hAnsi="Courier New"/>
          <w:sz w:val="18"/>
          <w:szCs w:val="18"/>
          <w:color w:val="auto"/>
        </w:rPr>
      </w:pPr>
    </w:p>
    <w:p>
      <w:pPr>
        <w:ind w:left="540" w:right="2019" w:hanging="532"/>
        <w:spacing w:after="0" w:line="236"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 Furnish citizenship if the named reporting person is a natural person. Otherwise, furnish place of organization.</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(5)-(9), (11) Aggregate Amount Beneficially Owned By Each Reporting Person, Etc.</w:t>
      </w:r>
    </w:p>
    <w:p>
      <w:pPr>
        <w:spacing w:after="0" w:line="21" w:lineRule="exact"/>
        <w:rPr>
          <w:sz w:val="20"/>
          <w:szCs w:val="20"/>
          <w:color w:val="auto"/>
        </w:rPr>
      </w:pPr>
    </w:p>
    <w:p>
      <w:pPr>
        <w:ind w:left="540" w:right="1699"/>
        <w:spacing w:after="0" w:line="279" w:lineRule="auto"/>
        <w:rPr>
          <w:sz w:val="20"/>
          <w:szCs w:val="20"/>
          <w:color w:val="auto"/>
        </w:rPr>
      </w:pPr>
      <w:r>
        <w:rPr>
          <w:rFonts w:ascii="Courier New" w:cs="Courier New" w:eastAsia="Courier New" w:hAnsi="Courier New"/>
          <w:sz w:val="16"/>
          <w:szCs w:val="16"/>
          <w:color w:val="auto"/>
        </w:rPr>
        <w:t>-- Rows (5) through (9) inclusive, and (11) are to be completed in accordance with the provisions of Item 4 of Schedule 13G. All percentages are to be rounded off to the nearest tenth (one place after decimal point).</w:t>
      </w:r>
    </w:p>
    <w:p>
      <w:pPr>
        <w:spacing w:after="0" w:line="177" w:lineRule="exact"/>
        <w:rPr>
          <w:sz w:val="20"/>
          <w:szCs w:val="20"/>
          <w:color w:val="auto"/>
        </w:rPr>
      </w:pPr>
    </w:p>
    <w:p>
      <w:pPr>
        <w:ind w:left="540" w:right="169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reported as beneficially owned in row (9) does not include shares as to which beneficial ownership is disclaimed pursuant to Rule 13d-4 (17 CFR 240.13d-4) under the Securities Exchange Act of 1934.</w:t>
      </w:r>
    </w:p>
    <w:p>
      <w:pPr>
        <w:spacing w:after="0" w:line="207" w:lineRule="exact"/>
        <w:rPr>
          <w:sz w:val="20"/>
          <w:szCs w:val="20"/>
          <w:color w:val="auto"/>
        </w:rPr>
      </w:pPr>
    </w:p>
    <w:p>
      <w:pPr>
        <w:ind w:left="540" w:right="1699" w:hanging="532"/>
        <w:spacing w:after="0" w:line="236"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Please classify each "reporting person" according to the following breakdown (see Item 3 of Schedule 13G) and place the appropriate symbol on the form:</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rPr>
              <w:t>Category</w:t>
            </w:r>
          </w:p>
        </w:tc>
        <w:tc>
          <w:tcPr>
            <w:tcW w:w="200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8"/>
              </w:rPr>
              <w:t>Symbol</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rPr>
              <w:t>Broker Dealer</w:t>
            </w:r>
          </w:p>
        </w:tc>
        <w:tc>
          <w:tcPr>
            <w:tcW w:w="2000" w:type="dxa"/>
            <w:vAlign w:val="bottom"/>
          </w:tcPr>
          <w:p>
            <w:pPr>
              <w:jc w:val="center"/>
              <w:ind w:left="1272"/>
              <w:spacing w:after="0"/>
              <w:rPr>
                <w:sz w:val="20"/>
                <w:szCs w:val="20"/>
                <w:color w:val="auto"/>
              </w:rPr>
            </w:pPr>
            <w:r>
              <w:rPr>
                <w:rFonts w:ascii="Courier New" w:cs="Courier New" w:eastAsia="Courier New" w:hAnsi="Courier New"/>
                <w:sz w:val="18"/>
                <w:szCs w:val="18"/>
                <w:color w:val="auto"/>
                <w:w w:val="92"/>
              </w:rPr>
              <w:t>BD</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Bank</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BK</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 Company</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IC</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Company</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IV</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 Adviser</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IA</w:t>
            </w:r>
          </w:p>
        </w:tc>
      </w:tr>
      <w:tr>
        <w:trPr>
          <w:trHeight w:val="202"/>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 Benefit Plan, Pension Fund,</w:t>
            </w:r>
          </w:p>
        </w:tc>
        <w:tc>
          <w:tcPr>
            <w:tcW w:w="2000" w:type="dxa"/>
            <w:vAlign w:val="bottom"/>
          </w:tcPr>
          <w:p>
            <w:pPr>
              <w:spacing w:after="0"/>
              <w:rPr>
                <w:sz w:val="17"/>
                <w:szCs w:val="17"/>
                <w:color w:val="auto"/>
              </w:rPr>
            </w:pPr>
          </w:p>
        </w:tc>
      </w:tr>
      <w:tr>
        <w:trPr>
          <w:trHeight w:val="203"/>
        </w:trPr>
        <w:tc>
          <w:tcPr>
            <w:tcW w:w="52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 Endowment Fund</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EP</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 Holding Company/Control Person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HC</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Savings Association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SA</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Church Plan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CP</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CO</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Partnership</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PN</w:t>
            </w:r>
          </w:p>
        </w:tc>
      </w:tr>
      <w:tr>
        <w:trPr>
          <w:trHeight w:val="202"/>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Individual</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IN</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w:t>
            </w:r>
          </w:p>
        </w:tc>
        <w:tc>
          <w:tcPr>
            <w:tcW w:w="2000" w:type="dxa"/>
            <w:vAlign w:val="bottom"/>
          </w:tcPr>
          <w:p>
            <w:pPr>
              <w:jc w:val="center"/>
              <w:ind w:left="1272"/>
              <w:spacing w:after="0" w:line="203" w:lineRule="exact"/>
              <w:rPr>
                <w:sz w:val="20"/>
                <w:szCs w:val="20"/>
                <w:color w:val="auto"/>
              </w:rPr>
            </w:pPr>
            <w:r>
              <w:rPr>
                <w:rFonts w:ascii="Courier New" w:cs="Courier New" w:eastAsia="Courier New" w:hAnsi="Courier New"/>
                <w:sz w:val="18"/>
                <w:szCs w:val="18"/>
                <w:color w:val="auto"/>
                <w:w w:val="92"/>
              </w:rPr>
              <w:t>OO</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pacing w:after="0" w:line="207" w:lineRule="exact"/>
        <w:rPr>
          <w:sz w:val="20"/>
          <w:szCs w:val="20"/>
          <w:color w:val="auto"/>
        </w:rPr>
      </w:pPr>
    </w:p>
    <w:p>
      <w:pPr>
        <w:ind w:right="1919" w:firstLine="526"/>
        <w:spacing w:after="0" w:line="235" w:lineRule="auto"/>
        <w:rPr>
          <w:sz w:val="20"/>
          <w:szCs w:val="20"/>
          <w:color w:val="auto"/>
        </w:rPr>
      </w:pPr>
      <w:r>
        <w:rPr>
          <w:rFonts w:ascii="Courier New" w:cs="Courier New" w:eastAsia="Courier New" w:hAnsi="Courier New"/>
          <w:sz w:val="18"/>
          <w:szCs w:val="18"/>
          <w:color w:val="auto"/>
        </w:rPr>
        <w:t>Attach as many copies of the second part of the cover page as are needed, one reporting person per page.</w:t>
      </w:r>
    </w:p>
    <w:p>
      <w:pPr>
        <w:spacing w:after="0" w:line="208"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Filing persons may, in order to avoid unnecessary duplication, answer items on the schedules (Schedule 13D, 13G or 14D 1) by appropriate cross references to an item or items on the cover page(s). This approach may only be used where the cover page item or items provide all the disclosure required by the schedule item. Moreover, such a use of a cover page item will result in the item becoming a part of the schedule and accordingly being considered as "filed" for purposes of Section 18 of the Securities Exchange Act or otherwise subject to the liabilities of that section of the Act.</w:t>
      </w:r>
    </w:p>
    <w:p>
      <w:pPr>
        <w:spacing w:after="0" w:line="212" w:lineRule="exact"/>
        <w:rPr>
          <w:sz w:val="20"/>
          <w:szCs w:val="20"/>
          <w:color w:val="auto"/>
        </w:rPr>
      </w:pPr>
    </w:p>
    <w:p>
      <w:pPr>
        <w:ind w:right="1699" w:firstLine="526"/>
        <w:spacing w:after="0" w:line="273" w:lineRule="auto"/>
        <w:rPr>
          <w:sz w:val="20"/>
          <w:szCs w:val="20"/>
          <w:color w:val="auto"/>
        </w:rPr>
      </w:pPr>
      <w:r>
        <w:rPr>
          <w:rFonts w:ascii="Courier New" w:cs="Courier New" w:eastAsia="Courier New" w:hAnsi="Courier New"/>
          <w:sz w:val="16"/>
          <w:szCs w:val="16"/>
          <w:color w:val="auto"/>
        </w:rPr>
        <w:t>Reporting persons may comply with their cover page filing requirements by filing either completed copies of the blank forms available from the Commission, printed or typed facsimiles, or computer printed facsimiles, provided the documents filed have identical formats to the forms prescribed in the Commission's regulations and meet existing Securities Exchange Act rules as to</w:t>
      </w:r>
    </w:p>
    <w:p>
      <w:pPr>
        <w:sectPr>
          <w:pgSz w:w="11900" w:h="16939" w:orient="portrait"/>
          <w:cols w:equalWidth="0" w:num="1">
            <w:col w:w="10139"/>
          </w:cols>
          <w:pgMar w:left="320" w:top="312"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such matters as clarity and size (Securities Exchange Act Rule 12b-12).</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SPECIAL INSTRUCTIONS FOR COMPLYING WITH SCHEDULE 13G</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Under Sections 13(d), 13(g), and 23 of the Securities Exchange Act of 1934 and the rules and regulations thereunder, the Commission is authorized to solicit the information required to be supplied by this schedule by certain security holders of certain issuers.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6 pages</w:t>
      </w:r>
    </w:p>
    <w:p>
      <w:pPr>
        <w:sectPr>
          <w:pgSz w:w="11900" w:h="16838" w:orient="portrait"/>
          <w:cols w:equalWidth="0" w:num="1">
            <w:col w:w="10139"/>
          </w:cols>
          <w:pgMar w:left="320" w:top="136" w:right="1440" w:bottom="1440" w:gutter="0" w:footer="0" w:header="0"/>
        </w:sectPr>
      </w:pPr>
    </w:p>
    <w:bookmarkStart w:id="4" w:name="page5"/>
    <w:bookmarkEnd w:id="4"/>
    <w:p>
      <w:pPr>
        <w:spacing w:after="0" w:line="7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4</w:t>
      </w:r>
    </w:p>
    <w:p>
      <w:pPr>
        <w:spacing w:after="0" w:line="4" w:lineRule="exact"/>
        <w:rPr>
          <w:sz w:val="20"/>
          <w:szCs w:val="20"/>
          <w:color w:val="auto"/>
        </w:rPr>
      </w:pPr>
    </w:p>
    <w:p>
      <w:pPr>
        <w:ind w:right="1819" w:firstLine="526"/>
        <w:spacing w:after="0" w:line="272" w:lineRule="auto"/>
        <w:rPr>
          <w:sz w:val="20"/>
          <w:szCs w:val="20"/>
          <w:color w:val="auto"/>
        </w:rPr>
      </w:pPr>
      <w:r>
        <w:rPr>
          <w:rFonts w:ascii="Courier New" w:cs="Courier New" w:eastAsia="Courier New" w:hAnsi="Courier New"/>
          <w:sz w:val="16"/>
          <w:szCs w:val="16"/>
          <w:color w:val="auto"/>
        </w:rPr>
        <w:t>Disclosure of the information specified in this schedule is mandatory, except for I.R.S. identification numbers, disclosure of which is voluntary. The information will be used for the primary purpose of determining and disclosing the holdings of certain beneficial owners of certain equity securities. This statement will be made a matter of public record. Therefore, any information given will be available for inspection by any member of the public.</w:t>
      </w:r>
    </w:p>
    <w:p>
      <w:pPr>
        <w:spacing w:after="0" w:line="185"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Because of the public nature of the information, the Commission can utilize it for a variety of purposes, including referral to other governmental authorities or securities self-regulatory organizations for investigatory purposes or in connection with litigation involving the Federal securities laws or other civil, criminal or regulatory statutes or provisions. I.R.S. identification numbers, if furnished, will assist the Commission in identifying security holders and, therefore, in promptly processing statements of beneficial ownership of securities.</w:t>
      </w:r>
    </w:p>
    <w:p>
      <w:pPr>
        <w:spacing w:after="0" w:line="212"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Failure to disclose the information requested by this schedule, except for I.R.S. identification numbers, may result in civil or criminal action against the persons involved for violation of the Federal securities laws and rules promulgated thereunder.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INSTRUCTIONS</w:t>
      </w:r>
    </w:p>
    <w:p>
      <w:pPr>
        <w:spacing w:after="0" w:line="207" w:lineRule="exact"/>
        <w:rPr>
          <w:sz w:val="20"/>
          <w:szCs w:val="20"/>
          <w:color w:val="auto"/>
        </w:rPr>
      </w:pPr>
    </w:p>
    <w:p>
      <w:pPr>
        <w:ind w:left="420" w:right="2019" w:hanging="412"/>
        <w:spacing w:after="0" w:line="268" w:lineRule="auto"/>
        <w:tabs>
          <w:tab w:leader="none" w:pos="4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Statements filed pursuant to Rule 13d-1(b) containing the information required by this schedule shall be filed not later than February 14 following the calendar year covered by the statement or within the time specified in Rules 13d-1(b)(2) and 13d-2(c). Statements filed pursuant to Rule 13d-1(c) shall be filed within the time specified in Rules 13d-1(c),</w:t>
      </w:r>
    </w:p>
    <w:p>
      <w:pPr>
        <w:ind w:left="420" w:right="18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13d-2(b) and 13d-2(d). Statements filed pursuant to Rule 13d-1(d) shall be filed not later than February 14 following the calendar year covered by the statement pursuant to Rules 13d-1(d) and 13d-2(b).</w:t>
      </w:r>
    </w:p>
    <w:p>
      <w:pPr>
        <w:spacing w:after="0" w:line="208" w:lineRule="exact"/>
        <w:rPr>
          <w:rFonts w:ascii="Courier New" w:cs="Courier New" w:eastAsia="Courier New" w:hAnsi="Courier New"/>
          <w:sz w:val="16"/>
          <w:szCs w:val="16"/>
          <w:color w:val="auto"/>
        </w:rPr>
      </w:pPr>
    </w:p>
    <w:p>
      <w:pPr>
        <w:ind w:left="420" w:right="169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contained in a form which is required to be filed by rules under section 13(f) (15 U.S.C. 78m(f)) for the same calendar year as that covered by a statement on this schedule may be incorporated by reference in response to any of the items of this schedule. If such information is incorporated by reference in this schedule, copies of the relevant pages of such form shall be filed as an exhibit to this schedule.</w:t>
      </w:r>
    </w:p>
    <w:p>
      <w:pPr>
        <w:spacing w:after="0" w:line="209" w:lineRule="exact"/>
        <w:rPr>
          <w:rFonts w:ascii="Courier New" w:cs="Courier New" w:eastAsia="Courier New" w:hAnsi="Courier New"/>
          <w:sz w:val="18"/>
          <w:szCs w:val="18"/>
          <w:color w:val="auto"/>
        </w:rPr>
      </w:pPr>
    </w:p>
    <w:p>
      <w:pPr>
        <w:ind w:left="420" w:right="1699" w:hanging="412"/>
        <w:spacing w:after="0" w:line="237" w:lineRule="auto"/>
        <w:tabs>
          <w:tab w:leader="none" w:pos="4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numbers and captions of the items shall be included but the text of the items is to be omitted. The answers to the items shall be so prepared as to indicate clearly the coverage of the items without referring to the text of the items. Answer every item. If an item is inapplicable or the answer is in the negative, so state.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960" w:hanging="426"/>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 ABM INDS INC</w:t>
      </w:r>
    </w:p>
    <w:p>
      <w:pPr>
        <w:spacing w:after="0" w:line="206" w:lineRule="exact"/>
        <w:rPr>
          <w:rFonts w:ascii="Courier New" w:cs="Courier New" w:eastAsia="Courier New" w:hAnsi="Courier New"/>
          <w:sz w:val="18"/>
          <w:szCs w:val="18"/>
          <w:color w:val="auto"/>
        </w:rPr>
      </w:pPr>
    </w:p>
    <w:p>
      <w:pPr>
        <w:ind w:left="960" w:right="3699" w:hanging="426"/>
        <w:spacing w:after="0" w:line="290" w:lineRule="auto"/>
        <w:tabs>
          <w:tab w:leader="none" w:pos="96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Address of Issuer's Principal Executive Offices SUITE 222, 160 PACIFIC AVE., SAN FRANCISCO, CA 94111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6"/>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GEOCAPITAL LLC</w:t>
      </w:r>
    </w:p>
    <w:p>
      <w:pPr>
        <w:spacing w:after="0" w:line="206" w:lineRule="exact"/>
        <w:rPr>
          <w:rFonts w:ascii="Courier New" w:cs="Courier New" w:eastAsia="Courier New" w:hAnsi="Courier New"/>
          <w:sz w:val="18"/>
          <w:szCs w:val="18"/>
          <w:color w:val="auto"/>
        </w:rPr>
      </w:pPr>
    </w:p>
    <w:p>
      <w:pPr>
        <w:ind w:left="960" w:right="1919" w:hanging="426"/>
        <w:spacing w:after="0" w:line="235" w:lineRule="auto"/>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 767 FIFTH AVENUE, NEW YORK, NY 10153-4590</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000957100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IF THIS STATEMENT IS FILED PURSUANT TO SECTIONS 240.13d-1(b) OR</w:t>
      </w:r>
    </w:p>
    <w:p>
      <w:pPr>
        <w:ind w:left="86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1480" w:right="1699" w:hanging="946"/>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6" w:lineRule="exact"/>
        <w:rPr>
          <w:rFonts w:ascii="Courier New" w:cs="Courier New" w:eastAsia="Courier New" w:hAnsi="Courier New"/>
          <w:sz w:val="18"/>
          <w:szCs w:val="18"/>
          <w:color w:val="auto"/>
        </w:rPr>
      </w:pPr>
    </w:p>
    <w:p>
      <w:pPr>
        <w:ind w:left="1480" w:right="2019" w:hanging="946"/>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1480" w:right="2019" w:hanging="946"/>
        <w:spacing w:after="0" w:line="235" w:lineRule="auto"/>
        <w:tabs>
          <w:tab w:leader="none" w:pos="9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202"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w:t>
      </w:r>
    </w:p>
    <w:p>
      <w:pPr>
        <w:sectPr>
          <w:pgSz w:w="11900" w:h="16916" w:orient="portrait"/>
          <w:cols w:equalWidth="0" w:num="1">
            <w:col w:w="10139"/>
          </w:cols>
          <w:pgMar w:left="320" w:top="312" w:right="1440" w:bottom="0" w:gutter="0" w:footer="0" w:header="0"/>
        </w:sectPr>
      </w:pPr>
    </w:p>
    <w:bookmarkStart w:id="5" w:name="page6"/>
    <w:bookmarkEnd w:id="5"/>
    <w:p>
      <w:pPr>
        <w:ind w:left="946"/>
        <w:spacing w:after="0"/>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946" w:right="2239" w:hanging="946"/>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946" w:right="2239" w:hanging="946"/>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240.13d-1(b)(ii)(G);</w:t>
      </w:r>
    </w:p>
    <w:p>
      <w:pPr>
        <w:spacing w:after="0" w:line="208" w:lineRule="exact"/>
        <w:rPr>
          <w:rFonts w:ascii="Courier New" w:cs="Courier New" w:eastAsia="Courier New" w:hAnsi="Courier New"/>
          <w:sz w:val="18"/>
          <w:szCs w:val="18"/>
          <w:color w:val="auto"/>
        </w:rPr>
      </w:pPr>
    </w:p>
    <w:p>
      <w:pPr>
        <w:ind w:left="946" w:right="2019" w:hanging="946"/>
        <w:spacing w:after="0" w:line="235"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946" w:right="2439" w:hanging="946"/>
        <w:spacing w:after="0" w:line="236" w:lineRule="auto"/>
        <w:tabs>
          <w:tab w:leader="none" w:pos="41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0" w:lineRule="exact"/>
        <w:rPr>
          <w:sz w:val="20"/>
          <w:szCs w:val="20"/>
          <w:color w:val="auto"/>
        </w:rPr>
      </w:pPr>
    </w:p>
    <w:p>
      <w:pPr>
        <w:spacing w:after="0" w:line="205" w:lineRule="exact"/>
        <w:rPr>
          <w:sz w:val="20"/>
          <w:szCs w:val="20"/>
          <w:color w:val="auto"/>
        </w:rPr>
      </w:pPr>
    </w:p>
    <w:p>
      <w:pPr>
        <w:ind w:left="2746"/>
        <w:spacing w:after="0"/>
        <w:rPr>
          <w:sz w:val="20"/>
          <w:szCs w:val="20"/>
          <w:color w:val="auto"/>
        </w:rPr>
      </w:pPr>
      <w:r>
        <w:rPr>
          <w:rFonts w:ascii="Courier New" w:cs="Courier New" w:eastAsia="Courier New" w:hAnsi="Courier New"/>
          <w:sz w:val="18"/>
          <w:szCs w:val="18"/>
          <w:color w:val="auto"/>
        </w:rPr>
        <w:t>Page 4 of 6 pages</w:t>
      </w:r>
    </w:p>
    <w:p>
      <w:pPr>
        <w:sectPr>
          <w:pgSz w:w="11900" w:h="16838" w:orient="portrait"/>
          <w:cols w:equalWidth="0" w:num="1">
            <w:col w:w="9605"/>
          </w:cols>
          <w:pgMar w:left="854" w:top="136"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5</w:t>
      </w:r>
    </w:p>
    <w:p>
      <w:pPr>
        <w:ind w:left="960" w:hanging="426"/>
        <w:spacing w:after="0" w:line="238"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jc w:val="both"/>
        <w:ind w:right="2439" w:firstLine="526"/>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960" w:hanging="426"/>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1,724,428.</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7.7187%.</w:t>
      </w:r>
    </w:p>
    <w:p>
      <w:pPr>
        <w:spacing w:after="0" w:line="201" w:lineRule="exact"/>
        <w:rPr>
          <w:rFonts w:ascii="Courier New" w:cs="Courier New" w:eastAsia="Courier New" w:hAnsi="Courier New"/>
          <w:sz w:val="18"/>
          <w:szCs w:val="18"/>
          <w:color w:val="auto"/>
        </w:rPr>
      </w:pPr>
    </w:p>
    <w:p>
      <w:pPr>
        <w:ind w:left="960" w:hanging="426"/>
        <w:spacing w:after="0"/>
        <w:tabs>
          <w:tab w:leader="none" w:pos="9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1,724,428.</w:t>
      </w:r>
    </w:p>
    <w:p>
      <w:pPr>
        <w:spacing w:after="0" w:line="201" w:lineRule="exact"/>
        <w:rPr>
          <w:rFonts w:ascii="Courier New" w:cs="Courier New" w:eastAsia="Courier New" w:hAnsi="Courier New"/>
          <w:sz w:val="18"/>
          <w:szCs w:val="18"/>
          <w:color w:val="auto"/>
        </w:rPr>
      </w:pPr>
    </w:p>
    <w:p>
      <w:pPr>
        <w:ind w:left="1480" w:hanging="630"/>
        <w:spacing w:after="0"/>
        <w:tabs>
          <w:tab w:leader="none" w:pos="1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NONE.</w:t>
      </w:r>
    </w:p>
    <w:p>
      <w:pPr>
        <w:spacing w:after="0" w:line="207" w:lineRule="exact"/>
        <w:rPr>
          <w:sz w:val="20"/>
          <w:szCs w:val="20"/>
          <w:color w:val="auto"/>
        </w:rPr>
      </w:pPr>
    </w:p>
    <w:p>
      <w:pPr>
        <w:ind w:right="2019"/>
        <w:spacing w:after="0" w:line="235" w:lineRule="auto"/>
        <w:rPr>
          <w:sz w:val="20"/>
          <w:szCs w:val="20"/>
          <w:color w:val="auto"/>
        </w:rPr>
      </w:pPr>
      <w:r>
        <w:rPr>
          <w:rFonts w:ascii="Courier New" w:cs="Courier New" w:eastAsia="Courier New" w:hAnsi="Courier New"/>
          <w:sz w:val="18"/>
          <w:szCs w:val="18"/>
          <w:color w:val="auto"/>
        </w:rPr>
        <w:t>Instruction: For computations regarding securities which represent a right to acquire an underlying security see Section 240.13d-3(d)(1).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Instruction: Dissolution of a group requires a response to this item.</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699" w:firstLine="526"/>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60" w:right="1819" w:hanging="947"/>
        <w:spacing w:after="0" w:line="235"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8" w:lineRule="exact"/>
        <w:rPr>
          <w:sz w:val="20"/>
          <w:szCs w:val="20"/>
          <w:color w:val="auto"/>
        </w:rPr>
      </w:pPr>
    </w:p>
    <w:p>
      <w:pPr>
        <w:ind w:right="1919" w:firstLine="526"/>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a group has filed this schedule pursuant to Section</w:t>
      </w:r>
    </w:p>
    <w:p>
      <w:pPr>
        <w:spacing w:after="0" w:line="238" w:lineRule="auto"/>
        <w:rPr>
          <w:sz w:val="20"/>
          <w:szCs w:val="20"/>
          <w:color w:val="auto"/>
        </w:rPr>
      </w:pPr>
      <w:r>
        <w:rPr>
          <w:rFonts w:ascii="Courier New" w:cs="Courier New" w:eastAsia="Courier New" w:hAnsi="Courier New"/>
          <w:sz w:val="18"/>
          <w:szCs w:val="18"/>
          <w:color w:val="auto"/>
        </w:rPr>
        <w:t>240.13d-1(b)(1)(ii)(J), so indicate under Item 3(j) and attach an exhibit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stating the identity and Item 3 classification of each member of the group. If a</w:t>
      </w:r>
    </w:p>
    <w:p>
      <w:pPr>
        <w:spacing w:after="0" w:line="21" w:lineRule="exact"/>
        <w:rPr>
          <w:sz w:val="20"/>
          <w:szCs w:val="20"/>
          <w:color w:val="auto"/>
        </w:rPr>
      </w:pPr>
    </w:p>
    <w:p>
      <w:pPr>
        <w:ind w:right="2339"/>
        <w:spacing w:after="0" w:line="236" w:lineRule="auto"/>
        <w:rPr>
          <w:sz w:val="20"/>
          <w:szCs w:val="20"/>
          <w:color w:val="auto"/>
        </w:rPr>
      </w:pPr>
      <w:r>
        <w:rPr>
          <w:rFonts w:ascii="Courier New" w:cs="Courier New" w:eastAsia="Courier New" w:hAnsi="Courier New"/>
          <w:sz w:val="18"/>
          <w:szCs w:val="18"/>
          <w:color w:val="auto"/>
        </w:rPr>
        <w:t>group has filed this schedule pursuant to Section 240.13d-1(c) or Section 240.13d-1(d), attach an exhibit stating the identity of each member of the group.</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699" w:firstLine="526"/>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699" w:firstLine="534"/>
        <w:spacing w:after="0" w:line="235" w:lineRule="auto"/>
        <w:tabs>
          <w:tab w:leader="none" w:pos="94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240.13d-1(b):</w:t>
      </w:r>
    </w:p>
    <w:p>
      <w:pPr>
        <w:sectPr>
          <w:pgSz w:w="11900" w:h="16838" w:orient="portrait"/>
          <w:cols w:equalWidth="0" w:num="1">
            <w:col w:w="10139"/>
          </w:cols>
          <w:pgMar w:left="320" w:top="312" w:right="1440" w:bottom="38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Page 5 of 6 pages</w:t>
      </w:r>
    </w:p>
    <w:p>
      <w:pPr>
        <w:sectPr>
          <w:pgSz w:w="11900" w:h="16838" w:orient="portrait"/>
          <w:cols w:equalWidth="0" w:num="1">
            <w:col w:w="10139"/>
          </w:cols>
          <w:pgMar w:left="320" w:top="312" w:right="1440" w:bottom="385"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6</w:t>
      </w:r>
    </w:p>
    <w:p>
      <w:pPr>
        <w:spacing w:after="0" w:line="4"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0" w:lineRule="exact"/>
        <w:rPr>
          <w:sz w:val="20"/>
          <w:szCs w:val="20"/>
          <w:color w:val="auto"/>
        </w:rPr>
      </w:pPr>
    </w:p>
    <w:p>
      <w:pPr>
        <w:ind w:right="2119" w:firstLine="8"/>
        <w:spacing w:after="0" w:line="235" w:lineRule="auto"/>
        <w:tabs>
          <w:tab w:leader="none" w:pos="52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960" w:right="18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19" w:firstLine="526"/>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January 21, 2000</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IRWIN LIEBER</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0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4220"/>
        <w:spacing w:after="0"/>
        <w:tabs>
          <w:tab w:leader="none" w:pos="6720" w:val="left"/>
        </w:tabs>
        <w:rPr>
          <w:sz w:val="20"/>
          <w:szCs w:val="20"/>
          <w:color w:val="auto"/>
        </w:rPr>
      </w:pPr>
      <w:r>
        <w:rPr>
          <w:rFonts w:ascii="Courier New" w:cs="Courier New" w:eastAsia="Courier New" w:hAnsi="Courier New"/>
          <w:sz w:val="18"/>
          <w:szCs w:val="18"/>
          <w:color w:val="auto"/>
        </w:rPr>
        <w:t>Irwin Lieber</w:t>
      </w:r>
      <w:r>
        <w:rPr>
          <w:sz w:val="20"/>
          <w:szCs w:val="20"/>
          <w:color w:val="auto"/>
        </w:rPr>
        <w:tab/>
      </w:r>
      <w:r>
        <w:rPr>
          <w:rFonts w:ascii="Courier New" w:cs="Courier New" w:eastAsia="Courier New" w:hAnsi="Courier New"/>
          <w:sz w:val="16"/>
          <w:szCs w:val="16"/>
          <w:color w:val="auto"/>
        </w:rPr>
        <w:t>Chairman &amp; CIO</w:t>
      </w:r>
    </w:p>
    <w:p>
      <w:pPr>
        <w:spacing w:after="0" w:line="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Name/Title</w:t>
      </w:r>
    </w:p>
    <w:p>
      <w:pPr>
        <w:spacing w:after="0" w:line="207" w:lineRule="exact"/>
        <w:rPr>
          <w:sz w:val="20"/>
          <w:szCs w:val="20"/>
          <w:color w:val="auto"/>
        </w:rPr>
      </w:pPr>
    </w:p>
    <w:p>
      <w:pPr>
        <w:ind w:right="1819" w:firstLine="526"/>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3" w:lineRule="exact"/>
        <w:rPr>
          <w:sz w:val="20"/>
          <w:szCs w:val="20"/>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Section 240.13d-7 for other parties for whom copies are to be sent.</w:t>
      </w:r>
    </w:p>
    <w:p>
      <w:pPr>
        <w:spacing w:after="0" w:line="208"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6"/>
          <w:szCs w:val="16"/>
          <w:color w:val="auto"/>
        </w:rPr>
        <w:t>ATTENTION: INTENTIONAL MISSTATEMENTS OR OMISSIONS OF FACT CONSTITUTE FEDERAL</w:t>
      </w:r>
    </w:p>
    <w:p>
      <w:pPr>
        <w:spacing w:after="0" w:line="16" w:lineRule="exact"/>
        <w:rPr>
          <w:sz w:val="20"/>
          <w:szCs w:val="20"/>
          <w:color w:val="auto"/>
        </w:rPr>
      </w:pPr>
    </w:p>
    <w:p>
      <w:pPr>
        <w:jc w:val="center"/>
        <w:ind w:right="1699"/>
        <w:spacing w:after="0"/>
        <w:rPr>
          <w:sz w:val="20"/>
          <w:szCs w:val="20"/>
          <w:color w:val="auto"/>
        </w:rPr>
      </w:pPr>
      <w:r>
        <w:rPr>
          <w:rFonts w:ascii="Courier New" w:cs="Courier New" w:eastAsia="Courier New" w:hAnsi="Courier New"/>
          <w:sz w:val="18"/>
          <w:szCs w:val="18"/>
          <w:color w:val="auto"/>
        </w:rPr>
        <w:t>CRIMINAL VIOLATIONS (SEE 18 U.S.C. 1001)</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6 pages</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2"/>
    </w:lvl>
  </w:abstractNum>
  <w:abstractNum w:abstractNumId="7">
    <w:nsid w:val="6B68079A"/>
    <w:multiLevelType w:val="hybridMultilevel"/>
    <w:lvl w:ilvl="0">
      <w:lvlJc w:val="left"/>
      <w:lvlText w:val="%1."/>
      <w:numFmt w:val="decimal"/>
      <w:start w:val="4"/>
    </w:lvl>
  </w:abstractNum>
  <w:abstractNum w:abstractNumId="8">
    <w:nsid w:val="4E6AFB66"/>
    <w:multiLevelType w:val="hybridMultilevel"/>
    <w:lvl w:ilvl="0">
      <w:lvlJc w:val="left"/>
      <w:lvlText w:val="%1."/>
      <w:numFmt w:val="decimal"/>
      <w:start w:val="7"/>
    </w:lvl>
  </w:abstractNum>
  <w:abstractNum w:abstractNumId="9">
    <w:nsid w:val="25E45D32"/>
    <w:multiLevelType w:val="hybridMultilevel"/>
    <w:lvl w:ilvl="0">
      <w:lvlJc w:val="left"/>
      <w:lvlText w:val="%1."/>
      <w:numFmt w:val="decimal"/>
      <w:start w:val="8"/>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1)"/>
      <w:numFmt w:val="decimal"/>
      <w:start w:val="12"/>
    </w:lvl>
  </w:abstractNum>
  <w:abstractNum w:abstractNumId="15">
    <w:nsid w:val="62BBD95A"/>
    <w:multiLevelType w:val="hybridMultilevel"/>
    <w:lvl w:ilvl="0">
      <w:lvlJc w:val="left"/>
      <w:lvlText w:val="%1."/>
      <w:numFmt w:val="upperLetter"/>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lowerLetter"/>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6"/>
    </w:lvl>
  </w:abstractNum>
  <w:abstractNum w:abstractNumId="20">
    <w:nsid w:val="2443A858"/>
    <w:multiLevelType w:val="hybridMultilevel"/>
    <w:lvl w:ilvl="0">
      <w:lvlJc w:val="left"/>
      <w:lvlText w:val="(%1)"/>
      <w:numFmt w:val="lowerLetter"/>
      <w:start w:val="10"/>
    </w:lvl>
  </w:abstractNum>
  <w:abstractNum w:abstractNumId="21">
    <w:nsid w:val="2D1D5AE9"/>
    <w:multiLevelType w:val="hybridMultilevel"/>
    <w:lvl w:ilvl="0">
      <w:lvlJc w:val="left"/>
      <w:lvlText w:val="(%1)"/>
      <w:numFmt w:val="lowerLetter"/>
      <w:start w:val="1"/>
    </w:lvl>
    <w:lvl w:ilvl="1">
      <w:lvlJc w:val="left"/>
      <w:lvlText w:val="(%2)"/>
      <w:numFmt w:val="lowerRoman"/>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2020-10-06T20:57:33Z</dcterms:created>
  <dcterms:modified xsi:type="dcterms:W3CDTF">2020-10-06T20:57:33Z</dcterms:modified>
</cp:coreProperties>
</file>