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8"/>
          <w:szCs w:val="28"/>
          <w:color w:val="auto"/>
        </w:rPr>
        <w:drawing>
          <wp:anchor simplePos="0" relativeHeight="251657728" behindDoc="1" locked="0" layoutInCell="0" allowOverlap="1">
            <wp:simplePos x="0" y="0"/>
            <wp:positionH relativeFrom="page">
              <wp:posOffset>147320</wp:posOffset>
            </wp:positionH>
            <wp:positionV relativeFrom="page">
              <wp:posOffset>279400</wp:posOffset>
            </wp:positionV>
            <wp:extent cx="7266305" cy="222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6305" cy="22225"/>
                    </a:xfrm>
                    <a:prstGeom prst="rect">
                      <a:avLst/>
                    </a:prstGeom>
                    <a:noFill/>
                  </pic:spPr>
                </pic:pic>
              </a:graphicData>
            </a:graphic>
          </wp:anchor>
        </w:drawing>
        <w:drawing>
          <wp:anchor simplePos="0" relativeHeight="251657728" behindDoc="1" locked="0" layoutInCell="0" allowOverlap="1">
            <wp:simplePos x="0" y="0"/>
            <wp:positionH relativeFrom="page">
              <wp:posOffset>147320</wp:posOffset>
            </wp:positionH>
            <wp:positionV relativeFrom="page">
              <wp:posOffset>308610</wp:posOffset>
            </wp:positionV>
            <wp:extent cx="72663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6305" cy="7620"/>
                    </a:xfrm>
                    <a:prstGeom prst="rect">
                      <a:avLst/>
                    </a:prstGeom>
                    <a:noFill/>
                  </pic:spPr>
                </pic:pic>
              </a:graphicData>
            </a:graphic>
          </wp:anchor>
        </w:drawing>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8"/>
          <w:szCs w:val="28"/>
          <w:color w:val="auto"/>
        </w:rPr>
        <w:t>SECURITIES AND EXCHANGE COMMISSION</w:t>
      </w: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1811655</wp:posOffset>
            </wp:positionH>
            <wp:positionV relativeFrom="paragraph">
              <wp:posOffset>119380</wp:posOffset>
            </wp:positionV>
            <wp:extent cx="363347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33470" cy="7620"/>
                    </a:xfrm>
                    <a:prstGeom prst="rect">
                      <a:avLst/>
                    </a:prstGeom>
                    <a:noFill/>
                  </pic:spPr>
                </pic:pic>
              </a:graphicData>
            </a:graphic>
          </wp:anchor>
        </w:drawing>
      </w:r>
    </w:p>
    <w:p>
      <w:pPr>
        <w:spacing w:after="0" w:line="347" w:lineRule="exact"/>
        <w:rPr>
          <w:sz w:val="24"/>
          <w:szCs w:val="24"/>
          <w:color w:val="auto"/>
        </w:rPr>
      </w:pPr>
    </w:p>
    <w:p>
      <w:pPr>
        <w:jc w:val="center"/>
        <w:ind w:right="-19"/>
        <w:spacing w:after="0"/>
        <w:rPr>
          <w:sz w:val="20"/>
          <w:szCs w:val="20"/>
          <w:color w:val="auto"/>
        </w:rPr>
      </w:pPr>
      <w:r>
        <w:rPr>
          <w:rFonts w:ascii="Arial" w:cs="Arial" w:eastAsia="Arial" w:hAnsi="Arial"/>
          <w:sz w:val="28"/>
          <w:szCs w:val="28"/>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1811655</wp:posOffset>
            </wp:positionH>
            <wp:positionV relativeFrom="paragraph">
              <wp:posOffset>128270</wp:posOffset>
            </wp:positionV>
            <wp:extent cx="363347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33470" cy="7620"/>
                    </a:xfrm>
                    <a:prstGeom prst="rect">
                      <a:avLst/>
                    </a:prstGeom>
                    <a:noFill/>
                  </pic:spPr>
                </pic:pic>
              </a:graphicData>
            </a:graphic>
          </wp:anchor>
        </w:drawing>
      </w:r>
    </w:p>
    <w:p>
      <w:pPr>
        <w:spacing w:after="0" w:line="38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CURRENT REPORT</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PURSUANT TO SECTION 13 OR 15(d) OF THE</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EXCHANGE ACT OF 1934</w:t>
      </w:r>
    </w:p>
    <w:p>
      <w:pPr>
        <w:spacing w:after="0" w:line="16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u w:val="single" w:color="auto"/>
          <w:color w:val="auto"/>
        </w:rPr>
        <w:t>March 8,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1811655</wp:posOffset>
            </wp:positionH>
            <wp:positionV relativeFrom="paragraph">
              <wp:posOffset>129540</wp:posOffset>
            </wp:positionV>
            <wp:extent cx="363347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33470" cy="7620"/>
                    </a:xfrm>
                    <a:prstGeom prst="rect">
                      <a:avLst/>
                    </a:prstGeom>
                    <a:noFill/>
                  </pic:spPr>
                </pic:pic>
              </a:graphicData>
            </a:graphic>
          </wp:anchor>
        </w:drawing>
      </w:r>
    </w:p>
    <w:p>
      <w:pPr>
        <w:spacing w:after="0" w:line="365" w:lineRule="exact"/>
        <w:rPr>
          <w:sz w:val="24"/>
          <w:szCs w:val="24"/>
          <w:color w:val="auto"/>
        </w:rPr>
      </w:pPr>
    </w:p>
    <w:p>
      <w:pPr>
        <w:jc w:val="center"/>
        <w:ind w:right="-19"/>
        <w:spacing w:after="0"/>
        <w:rPr>
          <w:sz w:val="20"/>
          <w:szCs w:val="20"/>
          <w:color w:val="auto"/>
        </w:rPr>
      </w:pPr>
      <w:r>
        <w:rPr>
          <w:rFonts w:ascii="Arial" w:cs="Arial" w:eastAsia="Arial" w:hAnsi="Arial"/>
          <w:sz w:val="37"/>
          <w:szCs w:val="37"/>
          <w:color w:val="auto"/>
        </w:rPr>
        <w:t>ABM Industries Incorporated</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1811655</wp:posOffset>
            </wp:positionH>
            <wp:positionV relativeFrom="paragraph">
              <wp:posOffset>123825</wp:posOffset>
            </wp:positionV>
            <wp:extent cx="363347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33470" cy="7620"/>
                    </a:xfrm>
                    <a:prstGeom prst="rect">
                      <a:avLst/>
                    </a:prstGeom>
                    <a:noFill/>
                  </pic:spPr>
                </pic:pic>
              </a:graphicData>
            </a:graphic>
          </wp:anchor>
        </w:drawing>
      </w:r>
    </w:p>
    <w:p>
      <w:pPr>
        <w:spacing w:after="0" w:line="368" w:lineRule="exact"/>
        <w:rPr>
          <w:sz w:val="24"/>
          <w:szCs w:val="24"/>
          <w:color w:val="auto"/>
        </w:rPr>
      </w:pPr>
    </w:p>
    <w:tbl>
      <w:tblPr>
        <w:tblLayout w:type="fixed"/>
        <w:tblInd w:w="1240" w:type="dxa"/>
        <w:tblCellMar>
          <w:top w:w="0" w:type="dxa"/>
          <w:left w:w="0" w:type="dxa"/>
          <w:bottom w:w="0" w:type="dxa"/>
          <w:right w:w="0" w:type="dxa"/>
        </w:tblCellMar>
      </w:tblPr>
      <w:tr>
        <w:trPr>
          <w:trHeight w:val="183"/>
        </w:trPr>
        <w:tc>
          <w:tcPr>
            <w:tcW w:w="3360" w:type="dxa"/>
            <w:vAlign w:val="bottom"/>
          </w:tcPr>
          <w:p>
            <w:pPr>
              <w:jc w:val="center"/>
              <w:ind w:right="1991"/>
              <w:spacing w:after="0"/>
              <w:rPr>
                <w:sz w:val="20"/>
                <w:szCs w:val="20"/>
                <w:color w:val="auto"/>
              </w:rPr>
            </w:pPr>
            <w:r>
              <w:rPr>
                <w:rFonts w:ascii="Arial" w:cs="Arial" w:eastAsia="Arial" w:hAnsi="Arial"/>
                <w:sz w:val="15"/>
                <w:szCs w:val="15"/>
                <w:b w:val="1"/>
                <w:bCs w:val="1"/>
                <w:color w:val="auto"/>
                <w:w w:val="94"/>
              </w:rPr>
              <w:t>Delaware</w:t>
            </w:r>
          </w:p>
        </w:tc>
        <w:tc>
          <w:tcPr>
            <w:tcW w:w="2580" w:type="dxa"/>
            <w:vAlign w:val="bottom"/>
          </w:tcPr>
          <w:p>
            <w:pPr>
              <w:jc w:val="center"/>
              <w:ind w:right="273"/>
              <w:spacing w:after="0"/>
              <w:rPr>
                <w:sz w:val="20"/>
                <w:szCs w:val="20"/>
                <w:color w:val="auto"/>
              </w:rPr>
            </w:pPr>
            <w:r>
              <w:rPr>
                <w:rFonts w:ascii="Arial" w:cs="Arial" w:eastAsia="Arial" w:hAnsi="Arial"/>
                <w:sz w:val="15"/>
                <w:szCs w:val="15"/>
                <w:b w:val="1"/>
                <w:bCs w:val="1"/>
                <w:color w:val="auto"/>
                <w:w w:val="94"/>
              </w:rPr>
              <w:t>1-8929</w:t>
            </w:r>
          </w:p>
        </w:tc>
        <w:tc>
          <w:tcPr>
            <w:tcW w:w="2820" w:type="dxa"/>
            <w:vAlign w:val="bottom"/>
          </w:tcPr>
          <w:p>
            <w:pPr>
              <w:jc w:val="center"/>
              <w:ind w:left="1852"/>
              <w:spacing w:after="0"/>
              <w:rPr>
                <w:sz w:val="20"/>
                <w:szCs w:val="20"/>
                <w:color w:val="auto"/>
              </w:rPr>
            </w:pPr>
            <w:r>
              <w:rPr>
                <w:rFonts w:ascii="Arial" w:cs="Arial" w:eastAsia="Arial" w:hAnsi="Arial"/>
                <w:sz w:val="15"/>
                <w:szCs w:val="15"/>
                <w:b w:val="1"/>
                <w:bCs w:val="1"/>
                <w:color w:val="auto"/>
                <w:w w:val="92"/>
              </w:rPr>
              <w:t>94-1369354</w:t>
            </w:r>
          </w:p>
        </w:tc>
      </w:tr>
      <w:tr>
        <w:trPr>
          <w:trHeight w:val="127"/>
        </w:trPr>
        <w:tc>
          <w:tcPr>
            <w:tcW w:w="3360" w:type="dxa"/>
            <w:vAlign w:val="bottom"/>
          </w:tcPr>
          <w:p>
            <w:pPr>
              <w:jc w:val="center"/>
              <w:ind w:right="1991"/>
              <w:spacing w:after="0" w:line="127" w:lineRule="exact"/>
              <w:rPr>
                <w:sz w:val="20"/>
                <w:szCs w:val="20"/>
                <w:color w:val="auto"/>
              </w:rPr>
            </w:pPr>
            <w:r>
              <w:rPr>
                <w:rFonts w:ascii="Arial" w:cs="Arial" w:eastAsia="Arial" w:hAnsi="Arial"/>
                <w:sz w:val="12"/>
                <w:szCs w:val="12"/>
                <w:color w:val="auto"/>
                <w:w w:val="95"/>
              </w:rPr>
              <w:t>(State or other jurisdiction</w:t>
            </w:r>
          </w:p>
        </w:tc>
        <w:tc>
          <w:tcPr>
            <w:tcW w:w="2580" w:type="dxa"/>
            <w:vAlign w:val="bottom"/>
          </w:tcPr>
          <w:p>
            <w:pPr>
              <w:jc w:val="center"/>
              <w:ind w:right="273"/>
              <w:spacing w:after="0" w:line="127" w:lineRule="exact"/>
              <w:rPr>
                <w:sz w:val="20"/>
                <w:szCs w:val="20"/>
                <w:color w:val="auto"/>
              </w:rPr>
            </w:pPr>
            <w:r>
              <w:rPr>
                <w:rFonts w:ascii="Arial" w:cs="Arial" w:eastAsia="Arial" w:hAnsi="Arial"/>
                <w:sz w:val="12"/>
                <w:szCs w:val="12"/>
                <w:color w:val="auto"/>
                <w:w w:val="97"/>
              </w:rPr>
              <w:t>(Commission</w:t>
            </w:r>
          </w:p>
        </w:tc>
        <w:tc>
          <w:tcPr>
            <w:tcW w:w="2820" w:type="dxa"/>
            <w:vAlign w:val="bottom"/>
          </w:tcPr>
          <w:p>
            <w:pPr>
              <w:jc w:val="center"/>
              <w:ind w:left="1852"/>
              <w:spacing w:after="0" w:line="127" w:lineRule="exact"/>
              <w:rPr>
                <w:sz w:val="20"/>
                <w:szCs w:val="20"/>
                <w:color w:val="auto"/>
              </w:rPr>
            </w:pPr>
            <w:r>
              <w:rPr>
                <w:rFonts w:ascii="Arial" w:cs="Arial" w:eastAsia="Arial" w:hAnsi="Arial"/>
                <w:sz w:val="12"/>
                <w:szCs w:val="12"/>
                <w:color w:val="auto"/>
                <w:w w:val="94"/>
              </w:rPr>
              <w:t>(IRS Employer</w:t>
            </w:r>
          </w:p>
        </w:tc>
      </w:tr>
      <w:tr>
        <w:trPr>
          <w:trHeight w:val="156"/>
        </w:trPr>
        <w:tc>
          <w:tcPr>
            <w:tcW w:w="3360" w:type="dxa"/>
            <w:vAlign w:val="bottom"/>
          </w:tcPr>
          <w:p>
            <w:pPr>
              <w:jc w:val="center"/>
              <w:ind w:right="2011"/>
              <w:spacing w:after="0"/>
              <w:rPr>
                <w:sz w:val="20"/>
                <w:szCs w:val="20"/>
                <w:color w:val="auto"/>
              </w:rPr>
            </w:pPr>
            <w:r>
              <w:rPr>
                <w:rFonts w:ascii="Arial" w:cs="Arial" w:eastAsia="Arial" w:hAnsi="Arial"/>
                <w:sz w:val="12"/>
                <w:szCs w:val="12"/>
                <w:color w:val="auto"/>
                <w:w w:val="96"/>
              </w:rPr>
              <w:t>of incorporation)</w:t>
            </w:r>
          </w:p>
        </w:tc>
        <w:tc>
          <w:tcPr>
            <w:tcW w:w="2580" w:type="dxa"/>
            <w:vAlign w:val="bottom"/>
          </w:tcPr>
          <w:p>
            <w:pPr>
              <w:jc w:val="center"/>
              <w:ind w:right="273"/>
              <w:spacing w:after="0"/>
              <w:rPr>
                <w:sz w:val="20"/>
                <w:szCs w:val="20"/>
                <w:color w:val="auto"/>
              </w:rPr>
            </w:pPr>
            <w:r>
              <w:rPr>
                <w:rFonts w:ascii="Arial" w:cs="Arial" w:eastAsia="Arial" w:hAnsi="Arial"/>
                <w:sz w:val="12"/>
                <w:szCs w:val="12"/>
                <w:color w:val="auto"/>
                <w:w w:val="98"/>
              </w:rPr>
              <w:t>File Number)</w:t>
            </w:r>
          </w:p>
        </w:tc>
        <w:tc>
          <w:tcPr>
            <w:tcW w:w="2820" w:type="dxa"/>
            <w:vAlign w:val="bottom"/>
          </w:tcPr>
          <w:p>
            <w:pPr>
              <w:jc w:val="center"/>
              <w:ind w:left="1852"/>
              <w:spacing w:after="0"/>
              <w:rPr>
                <w:sz w:val="20"/>
                <w:szCs w:val="20"/>
                <w:color w:val="auto"/>
              </w:rPr>
            </w:pPr>
            <w:r>
              <w:rPr>
                <w:rFonts w:ascii="Arial" w:cs="Arial" w:eastAsia="Arial" w:hAnsi="Arial"/>
                <w:sz w:val="12"/>
                <w:szCs w:val="12"/>
                <w:color w:val="auto"/>
                <w:w w:val="96"/>
              </w:rPr>
              <w:t>Identification No.)</w:t>
            </w:r>
          </w:p>
        </w:tc>
      </w:tr>
      <w:tr>
        <w:trPr>
          <w:trHeight w:val="340"/>
        </w:trPr>
        <w:tc>
          <w:tcPr>
            <w:tcW w:w="3360" w:type="dxa"/>
            <w:vAlign w:val="bottom"/>
          </w:tcPr>
          <w:p>
            <w:pPr>
              <w:jc w:val="center"/>
              <w:ind w:right="51"/>
              <w:spacing w:after="0"/>
              <w:rPr>
                <w:sz w:val="20"/>
                <w:szCs w:val="20"/>
                <w:color w:val="auto"/>
              </w:rPr>
            </w:pPr>
            <w:r>
              <w:rPr>
                <w:rFonts w:ascii="Arial" w:cs="Arial" w:eastAsia="Arial" w:hAnsi="Arial"/>
                <w:sz w:val="15"/>
                <w:szCs w:val="15"/>
                <w:b w:val="1"/>
                <w:bCs w:val="1"/>
                <w:color w:val="auto"/>
                <w:w w:val="92"/>
              </w:rPr>
              <w:t>551 Fifth Avenue, Suite 300</w:t>
            </w:r>
          </w:p>
        </w:tc>
        <w:tc>
          <w:tcPr>
            <w:tcW w:w="2580" w:type="dxa"/>
            <w:vAlign w:val="bottom"/>
          </w:tcPr>
          <w:p>
            <w:pPr>
              <w:spacing w:after="0"/>
              <w:rPr>
                <w:sz w:val="24"/>
                <w:szCs w:val="24"/>
                <w:color w:val="auto"/>
              </w:rPr>
            </w:pPr>
          </w:p>
        </w:tc>
        <w:tc>
          <w:tcPr>
            <w:tcW w:w="2820" w:type="dxa"/>
            <w:vAlign w:val="bottom"/>
          </w:tcPr>
          <w:p>
            <w:pPr>
              <w:jc w:val="right"/>
              <w:ind w:right="1172"/>
              <w:spacing w:after="0"/>
              <w:rPr>
                <w:sz w:val="20"/>
                <w:szCs w:val="20"/>
                <w:color w:val="auto"/>
              </w:rPr>
            </w:pPr>
            <w:r>
              <w:rPr>
                <w:rFonts w:ascii="Arial" w:cs="Arial" w:eastAsia="Arial" w:hAnsi="Arial"/>
                <w:sz w:val="15"/>
                <w:szCs w:val="15"/>
                <w:b w:val="1"/>
                <w:bCs w:val="1"/>
                <w:color w:val="auto"/>
              </w:rPr>
              <w:t>10176</w:t>
            </w:r>
          </w:p>
        </w:tc>
      </w:tr>
      <w:tr>
        <w:trPr>
          <w:trHeight w:val="185"/>
        </w:trPr>
        <w:tc>
          <w:tcPr>
            <w:tcW w:w="3360" w:type="dxa"/>
            <w:vAlign w:val="bottom"/>
          </w:tcPr>
          <w:p>
            <w:pPr>
              <w:jc w:val="center"/>
              <w:ind w:right="71"/>
              <w:spacing w:after="0"/>
              <w:rPr>
                <w:sz w:val="20"/>
                <w:szCs w:val="20"/>
                <w:color w:val="auto"/>
              </w:rPr>
            </w:pPr>
            <w:r>
              <w:rPr>
                <w:rFonts w:ascii="Arial" w:cs="Arial" w:eastAsia="Arial" w:hAnsi="Arial"/>
                <w:sz w:val="15"/>
                <w:szCs w:val="15"/>
                <w:b w:val="1"/>
                <w:bCs w:val="1"/>
                <w:color w:val="auto"/>
                <w:w w:val="95"/>
              </w:rPr>
              <w:t>New York, New York</w:t>
            </w:r>
          </w:p>
        </w:tc>
        <w:tc>
          <w:tcPr>
            <w:tcW w:w="2580" w:type="dxa"/>
            <w:vAlign w:val="bottom"/>
          </w:tcPr>
          <w:p>
            <w:pPr>
              <w:spacing w:after="0"/>
              <w:rPr>
                <w:sz w:val="16"/>
                <w:szCs w:val="16"/>
                <w:color w:val="auto"/>
              </w:rPr>
            </w:pPr>
          </w:p>
        </w:tc>
        <w:tc>
          <w:tcPr>
            <w:tcW w:w="2820" w:type="dxa"/>
            <w:vAlign w:val="bottom"/>
          </w:tcPr>
          <w:p>
            <w:pPr>
              <w:jc w:val="center"/>
              <w:spacing w:after="0"/>
              <w:rPr>
                <w:sz w:val="20"/>
                <w:szCs w:val="20"/>
                <w:color w:val="auto"/>
              </w:rPr>
            </w:pPr>
            <w:r>
              <w:rPr>
                <w:rFonts w:ascii="Arial" w:cs="Arial" w:eastAsia="Arial" w:hAnsi="Arial"/>
                <w:sz w:val="12"/>
                <w:szCs w:val="12"/>
                <w:color w:val="auto"/>
                <w:w w:val="95"/>
              </w:rPr>
              <w:t>(Zip Code)</w:t>
            </w:r>
          </w:p>
        </w:tc>
      </w:tr>
      <w:tr>
        <w:trPr>
          <w:trHeight w:val="156"/>
        </w:trPr>
        <w:tc>
          <w:tcPr>
            <w:tcW w:w="3360" w:type="dxa"/>
            <w:vAlign w:val="bottom"/>
          </w:tcPr>
          <w:p>
            <w:pPr>
              <w:jc w:val="center"/>
              <w:ind w:right="71"/>
              <w:spacing w:after="0"/>
              <w:rPr>
                <w:sz w:val="20"/>
                <w:szCs w:val="20"/>
                <w:color w:val="auto"/>
              </w:rPr>
            </w:pPr>
            <w:r>
              <w:rPr>
                <w:rFonts w:ascii="Arial" w:cs="Arial" w:eastAsia="Arial" w:hAnsi="Arial"/>
                <w:sz w:val="12"/>
                <w:szCs w:val="12"/>
                <w:color w:val="auto"/>
                <w:w w:val="94"/>
              </w:rPr>
              <w:t>(Address of principal executive offices)</w:t>
            </w:r>
          </w:p>
        </w:tc>
        <w:tc>
          <w:tcPr>
            <w:tcW w:w="2580" w:type="dxa"/>
            <w:vAlign w:val="bottom"/>
          </w:tcPr>
          <w:p>
            <w:pPr>
              <w:spacing w:after="0"/>
              <w:rPr>
                <w:sz w:val="13"/>
                <w:szCs w:val="13"/>
                <w:color w:val="auto"/>
              </w:rPr>
            </w:pPr>
          </w:p>
        </w:tc>
        <w:tc>
          <w:tcPr>
            <w:tcW w:w="2820" w:type="dxa"/>
            <w:vAlign w:val="bottom"/>
          </w:tcPr>
          <w:p>
            <w:pPr>
              <w:spacing w:after="0"/>
              <w:rPr>
                <w:sz w:val="13"/>
                <w:szCs w:val="13"/>
                <w:color w:val="auto"/>
              </w:rPr>
            </w:pPr>
          </w:p>
        </w:tc>
      </w:tr>
    </w:tbl>
    <w:p>
      <w:pPr>
        <w:spacing w:after="0" w:line="15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 xml:space="preserve">Registrant's telephone number, including area code: </w:t>
      </w:r>
      <w:r>
        <w:rPr>
          <w:rFonts w:ascii="Arial" w:cs="Arial" w:eastAsia="Arial" w:hAnsi="Arial"/>
          <w:sz w:val="15"/>
          <w:szCs w:val="15"/>
          <w:b w:val="1"/>
          <w:bCs w:val="1"/>
          <w:color w:val="auto"/>
        </w:rPr>
        <w:t>(212) 297-0200</w:t>
      </w:r>
    </w:p>
    <w:p>
      <w:pPr>
        <w:spacing w:after="0" w:line="197"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u w:val="single" w:color="auto"/>
          <w:color w:val="auto"/>
        </w:rPr>
        <w:t>N/A</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2"/>
          <w:szCs w:val="12"/>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1811655</wp:posOffset>
            </wp:positionH>
            <wp:positionV relativeFrom="paragraph">
              <wp:posOffset>113665</wp:posOffset>
            </wp:positionV>
            <wp:extent cx="363347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33470" cy="7620"/>
                    </a:xfrm>
                    <a:prstGeom prst="rect">
                      <a:avLst/>
                    </a:prstGeom>
                    <a:noFill/>
                  </pic:spPr>
                </pic:pic>
              </a:graphicData>
            </a:graphic>
          </wp:anchor>
        </w:drawing>
      </w:r>
    </w:p>
    <w:p>
      <w:pPr>
        <w:spacing w:after="0" w:line="368" w:lineRule="exact"/>
        <w:rPr>
          <w:sz w:val="24"/>
          <w:szCs w:val="24"/>
          <w:color w:val="auto"/>
        </w:rPr>
      </w:pPr>
    </w:p>
    <w:p>
      <w:pPr>
        <w:ind w:firstLine="277"/>
        <w:spacing w:after="0" w:line="288" w:lineRule="auto"/>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 (</w:t>
      </w:r>
      <w:r>
        <w:rPr>
          <w:rFonts w:ascii="Arial" w:cs="Arial" w:eastAsia="Arial" w:hAnsi="Arial"/>
          <w:sz w:val="15"/>
          <w:szCs w:val="15"/>
          <w:u w:val="single" w:color="auto"/>
          <w:color w:val="auto"/>
        </w:rPr>
        <w:t>see</w:t>
      </w:r>
      <w:r>
        <w:rPr>
          <w:rFonts w:ascii="Arial" w:cs="Arial" w:eastAsia="Arial" w:hAnsi="Arial"/>
          <w:sz w:val="15"/>
          <w:szCs w:val="15"/>
          <w:color w:val="auto"/>
        </w:rPr>
        <w:t xml:space="preserve"> General Instruction A.2. below):</w:t>
      </w:r>
    </w:p>
    <w:p>
      <w:pPr>
        <w:spacing w:after="0" w:line="140" w:lineRule="exact"/>
        <w:rPr>
          <w:sz w:val="24"/>
          <w:szCs w:val="24"/>
          <w:color w:val="auto"/>
        </w:rPr>
      </w:pPr>
    </w:p>
    <w:p>
      <w:pPr>
        <w:ind w:left="540" w:hanging="271"/>
        <w:spacing w:after="0"/>
        <w:tabs>
          <w:tab w:leader="none" w:pos="54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Written communications pursuant to Rule 425 under the Securities Act (17 CFR 230.425)</w:t>
      </w:r>
    </w:p>
    <w:p>
      <w:pPr>
        <w:spacing w:after="0" w:line="196" w:lineRule="exact"/>
        <w:rPr>
          <w:rFonts w:ascii="MS PGothic" w:cs="MS PGothic" w:eastAsia="MS PGothic" w:hAnsi="MS PGothic"/>
          <w:sz w:val="15"/>
          <w:szCs w:val="15"/>
          <w:color w:val="auto"/>
        </w:rPr>
      </w:pPr>
    </w:p>
    <w:p>
      <w:pPr>
        <w:ind w:left="540" w:hanging="271"/>
        <w:spacing w:after="0"/>
        <w:tabs>
          <w:tab w:leader="none" w:pos="54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Soliciting material pursuant to Rule 14a-12 under the Exchange Act (17 CFR 240.14a-12)</w:t>
      </w:r>
    </w:p>
    <w:p>
      <w:pPr>
        <w:spacing w:after="0" w:line="196" w:lineRule="exact"/>
        <w:rPr>
          <w:rFonts w:ascii="MS PGothic" w:cs="MS PGothic" w:eastAsia="MS PGothic" w:hAnsi="MS PGothic"/>
          <w:sz w:val="15"/>
          <w:szCs w:val="15"/>
          <w:color w:val="auto"/>
        </w:rPr>
      </w:pPr>
    </w:p>
    <w:p>
      <w:pPr>
        <w:ind w:left="540" w:hanging="271"/>
        <w:spacing w:after="0"/>
        <w:tabs>
          <w:tab w:leader="none" w:pos="54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14d-2(b) under the Exchange Act (17 CFR 240.14d-2(b))</w:t>
      </w:r>
    </w:p>
    <w:p>
      <w:pPr>
        <w:spacing w:after="0" w:line="196" w:lineRule="exact"/>
        <w:rPr>
          <w:rFonts w:ascii="MS PGothic" w:cs="MS PGothic" w:eastAsia="MS PGothic" w:hAnsi="MS PGothic"/>
          <w:sz w:val="15"/>
          <w:szCs w:val="15"/>
          <w:color w:val="auto"/>
        </w:rPr>
      </w:pPr>
    </w:p>
    <w:p>
      <w:pPr>
        <w:ind w:left="540" w:hanging="271"/>
        <w:spacing w:after="0"/>
        <w:tabs>
          <w:tab w:leader="none" w:pos="54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131445</wp:posOffset>
            </wp:positionV>
            <wp:extent cx="726630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6305"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146050</wp:posOffset>
            </wp:positionV>
            <wp:extent cx="7266305" cy="222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6305" cy="2222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534670</wp:posOffset>
            </wp:positionV>
            <wp:extent cx="726630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ectPr>
          <w:pgSz w:w="11900" w:h="16838" w:orient="portrait"/>
          <w:cols w:equalWidth="0" w:num="1">
            <w:col w:w="11400"/>
          </w:cols>
          <w:pgMar w:left="240" w:top="676" w:right="259" w:bottom="1440" w:gutter="0" w:footer="0" w:header="0"/>
        </w:sectPr>
      </w:pPr>
    </w:p>
    <w:bookmarkStart w:id="1" w:name="page2"/>
    <w:bookmarkEnd w:id="1"/>
    <w:p>
      <w:pPr>
        <w:spacing w:after="0"/>
        <w:rPr>
          <w:sz w:val="20"/>
          <w:szCs w:val="20"/>
          <w:color w:val="auto"/>
        </w:rPr>
      </w:pPr>
      <w:r>
        <w:rPr>
          <w:rFonts w:ascii="Arial" w:cs="Arial" w:eastAsia="Arial" w:hAnsi="Arial"/>
          <w:sz w:val="15"/>
          <w:szCs w:val="15"/>
          <w:b w:val="1"/>
          <w:bCs w:val="1"/>
          <w:color w:val="auto"/>
        </w:rPr>
        <w:t>Item 2.02. Results of Operations and Financial Condition.</w:t>
      </w:r>
    </w:p>
    <w:p>
      <w:pPr>
        <w:spacing w:after="0" w:line="201"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On March 8, 2016, ABM Industries Incorporated (the “Company”) issued a press release announcing financial results related to the first quarter of fiscal year 2016. A copy of the press release is attached as Exhibit 99.1, which is incorporated into this item by reference.</w:t>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8.01. Other Events.</w:t>
      </w:r>
    </w:p>
    <w:p>
      <w:pPr>
        <w:spacing w:after="0" w:line="201" w:lineRule="exact"/>
        <w:rPr>
          <w:sz w:val="20"/>
          <w:szCs w:val="20"/>
          <w:color w:val="auto"/>
        </w:rPr>
      </w:pPr>
    </w:p>
    <w:p>
      <w:pPr>
        <w:ind w:right="100"/>
        <w:spacing w:after="0" w:line="325" w:lineRule="auto"/>
        <w:rPr>
          <w:sz w:val="20"/>
          <w:szCs w:val="20"/>
          <w:color w:val="auto"/>
        </w:rPr>
      </w:pPr>
      <w:r>
        <w:rPr>
          <w:rFonts w:ascii="Arial" w:cs="Arial" w:eastAsia="Arial" w:hAnsi="Arial"/>
          <w:sz w:val="14"/>
          <w:szCs w:val="14"/>
          <w:color w:val="auto"/>
        </w:rPr>
        <w:t>On March 8, 2016, the Company announced that the Board of Directors of the Company declared a quarterly dividend of $0.165 per share, payable on May 2, 2016 to stockholders of record on April 7, 2016. A copy of the press release announcing the declaration of the dividend is attached as Exhibit 99.1, which is incorporated into this item by reference.</w:t>
      </w:r>
    </w:p>
    <w:p>
      <w:pPr>
        <w:spacing w:after="0" w:line="118" w:lineRule="exact"/>
        <w:rPr>
          <w:sz w:val="20"/>
          <w:szCs w:val="20"/>
          <w:color w:val="auto"/>
        </w:rPr>
      </w:pPr>
    </w:p>
    <w:p>
      <w:pPr>
        <w:ind w:right="20"/>
        <w:spacing w:after="0" w:line="272" w:lineRule="auto"/>
        <w:rPr>
          <w:sz w:val="20"/>
          <w:szCs w:val="20"/>
          <w:color w:val="auto"/>
        </w:rPr>
      </w:pPr>
      <w:r>
        <w:rPr>
          <w:rFonts w:ascii="Arial" w:cs="Arial" w:eastAsia="Arial" w:hAnsi="Arial"/>
          <w:sz w:val="15"/>
          <w:szCs w:val="15"/>
          <w:color w:val="auto"/>
        </w:rPr>
        <w:t>As disclosed in the press release attached as Exhibit 99.1, the Company will hold a live web cast on March 9, 2016 relating to the Company’s financial results for the first quarter of fiscal year 2016. A copy of the slides to be presented at the Company’s web cast and discussed in the conference call relating to such financial results is being furnished as Exhibit 99.2 to this Form 8-K.</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9.01. Financial Statements and Exhibits.</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color w:val="auto"/>
        </w:rPr>
        <w:t>(c)  Exhibits.</w:t>
      </w:r>
    </w:p>
    <w:p>
      <w:pPr>
        <w:spacing w:after="0" w:line="197" w:lineRule="exact"/>
        <w:rPr>
          <w:sz w:val="20"/>
          <w:szCs w:val="20"/>
          <w:color w:val="auto"/>
        </w:rPr>
      </w:pPr>
    </w:p>
    <w:p>
      <w:pPr>
        <w:ind w:left="540" w:right="20" w:hanging="553"/>
        <w:spacing w:after="0" w:line="288" w:lineRule="auto"/>
        <w:tabs>
          <w:tab w:leader="none" w:pos="520" w:val="left"/>
        </w:tabs>
        <w:rPr>
          <w:sz w:val="20"/>
          <w:szCs w:val="20"/>
          <w:color w:val="auto"/>
        </w:rPr>
      </w:pPr>
      <w:r>
        <w:rPr>
          <w:rFonts w:ascii="Arial" w:cs="Arial" w:eastAsia="Arial" w:hAnsi="Arial"/>
          <w:sz w:val="15"/>
          <w:szCs w:val="15"/>
          <w:color w:val="auto"/>
        </w:rPr>
        <w:t>99.1</w:t>
      </w:r>
      <w:r>
        <w:rPr>
          <w:sz w:val="20"/>
          <w:szCs w:val="20"/>
          <w:color w:val="auto"/>
        </w:rPr>
        <w:tab/>
      </w:r>
      <w:r>
        <w:rPr>
          <w:rFonts w:ascii="Arial" w:cs="Arial" w:eastAsia="Arial" w:hAnsi="Arial"/>
          <w:sz w:val="15"/>
          <w:szCs w:val="15"/>
          <w:color w:val="auto"/>
        </w:rPr>
        <w:t>Press Release issued by ABM Industries Incorporated, dated March 8, 2016, announcing financial results related to the first quarter of fiscal year 2016 and the declaration of a dividend payable May 2, 2016 to stockholders of record on April 7, 2016.</w:t>
      </w:r>
    </w:p>
    <w:p>
      <w:pPr>
        <w:spacing w:after="0" w:line="140" w:lineRule="exact"/>
        <w:rPr>
          <w:sz w:val="20"/>
          <w:szCs w:val="20"/>
          <w:color w:val="auto"/>
        </w:rPr>
      </w:pPr>
    </w:p>
    <w:p>
      <w:pPr>
        <w:spacing w:after="0"/>
        <w:tabs>
          <w:tab w:leader="none" w:pos="520" w:val="left"/>
        </w:tabs>
        <w:rPr>
          <w:sz w:val="20"/>
          <w:szCs w:val="20"/>
          <w:color w:val="auto"/>
        </w:rPr>
      </w:pPr>
      <w:r>
        <w:rPr>
          <w:rFonts w:ascii="Arial" w:cs="Arial" w:eastAsia="Arial" w:hAnsi="Arial"/>
          <w:sz w:val="15"/>
          <w:szCs w:val="15"/>
          <w:color w:val="auto"/>
        </w:rPr>
        <w:t>99.2</w:t>
      </w:r>
      <w:r>
        <w:rPr>
          <w:sz w:val="20"/>
          <w:szCs w:val="20"/>
          <w:color w:val="auto"/>
        </w:rPr>
        <w:tab/>
      </w:r>
      <w:r>
        <w:rPr>
          <w:rFonts w:ascii="Arial" w:cs="Arial" w:eastAsia="Arial" w:hAnsi="Arial"/>
          <w:sz w:val="14"/>
          <w:szCs w:val="14"/>
          <w:color w:val="auto"/>
        </w:rPr>
        <w:t>Slides of ABM Industries Incorporated dated March 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380365</wp:posOffset>
            </wp:positionV>
            <wp:extent cx="726630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ectPr>
          <w:pgSz w:w="11900" w:h="16838" w:orient="portrait"/>
          <w:cols w:equalWidth="0" w:num="1">
            <w:col w:w="11300"/>
          </w:cols>
          <w:pgMar w:left="240" w:top="794"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5"/>
          <w:szCs w:val="15"/>
          <w:b w:val="1"/>
          <w:bCs w:val="1"/>
          <w:color w:val="auto"/>
        </w:rPr>
        <w:t>SIGNATURES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hereunto duly authorized.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7900" w:type="dxa"/>
            <w:vAlign w:val="bottom"/>
          </w:tcPr>
          <w:p>
            <w:pPr>
              <w:ind w:left="2180"/>
              <w:spacing w:after="0"/>
              <w:rPr>
                <w:sz w:val="20"/>
                <w:szCs w:val="20"/>
                <w:color w:val="auto"/>
              </w:rPr>
            </w:pPr>
            <w:r>
              <w:rPr>
                <w:rFonts w:ascii="Arial" w:cs="Arial" w:eastAsia="Arial" w:hAnsi="Arial"/>
                <w:sz w:val="15"/>
                <w:szCs w:val="15"/>
                <w:color w:val="auto"/>
              </w:rPr>
              <w:t>ABM INDUSTRIES INCORPORATED</w:t>
            </w:r>
          </w:p>
        </w:tc>
      </w:tr>
      <w:tr>
        <w:trPr>
          <w:trHeight w:val="335"/>
        </w:trPr>
        <w:tc>
          <w:tcPr>
            <w:tcW w:w="3540" w:type="dxa"/>
            <w:vAlign w:val="bottom"/>
            <w:gridSpan w:val="3"/>
          </w:tcPr>
          <w:p>
            <w:pPr>
              <w:spacing w:after="0"/>
              <w:rPr>
                <w:sz w:val="20"/>
                <w:szCs w:val="20"/>
                <w:color w:val="auto"/>
              </w:rPr>
            </w:pPr>
            <w:r>
              <w:rPr>
                <w:rFonts w:ascii="Arial" w:cs="Arial" w:eastAsia="Arial" w:hAnsi="Arial"/>
                <w:sz w:val="15"/>
                <w:szCs w:val="15"/>
                <w:color w:val="auto"/>
              </w:rPr>
              <w:t>Dated: March 8, 2016</w:t>
            </w:r>
          </w:p>
        </w:tc>
        <w:tc>
          <w:tcPr>
            <w:tcW w:w="7900" w:type="dxa"/>
            <w:vAlign w:val="bottom"/>
          </w:tcPr>
          <w:p>
            <w:pPr>
              <w:ind w:left="2180"/>
              <w:spacing w:after="0"/>
              <w:rPr>
                <w:sz w:val="20"/>
                <w:szCs w:val="20"/>
                <w:color w:val="auto"/>
              </w:rPr>
            </w:pPr>
            <w:r>
              <w:rPr>
                <w:rFonts w:ascii="Arial" w:cs="Arial" w:eastAsia="Arial" w:hAnsi="Arial"/>
                <w:sz w:val="15"/>
                <w:szCs w:val="15"/>
                <w:color w:val="auto"/>
              </w:rPr>
              <w:t>By:   /s/ Sarah H. McConnell</w:t>
            </w:r>
          </w:p>
        </w:tc>
      </w:tr>
      <w:tr>
        <w:trPr>
          <w:trHeight w:val="189"/>
        </w:trPr>
        <w:tc>
          <w:tcPr>
            <w:tcW w:w="44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0" w:type="dxa"/>
            <w:vAlign w:val="bottom"/>
          </w:tcPr>
          <w:p>
            <w:pPr>
              <w:spacing w:after="0"/>
              <w:rPr>
                <w:sz w:val="16"/>
                <w:szCs w:val="16"/>
                <w:color w:val="auto"/>
              </w:rPr>
            </w:pPr>
          </w:p>
        </w:tc>
        <w:tc>
          <w:tcPr>
            <w:tcW w:w="7900" w:type="dxa"/>
            <w:vAlign w:val="bottom"/>
          </w:tcPr>
          <w:p>
            <w:pPr>
              <w:ind w:left="2640"/>
              <w:spacing w:after="0"/>
              <w:rPr>
                <w:sz w:val="20"/>
                <w:szCs w:val="20"/>
                <w:color w:val="auto"/>
              </w:rPr>
            </w:pPr>
            <w:r>
              <w:rPr>
                <w:rFonts w:ascii="Arial" w:cs="Arial" w:eastAsia="Arial" w:hAnsi="Arial"/>
                <w:sz w:val="15"/>
                <w:szCs w:val="15"/>
                <w:color w:val="auto"/>
              </w:rPr>
              <w:t>Sarah H. McConnell</w:t>
            </w:r>
          </w:p>
        </w:tc>
      </w:tr>
      <w:tr>
        <w:trPr>
          <w:trHeight w:val="185"/>
        </w:trPr>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7900" w:type="dxa"/>
            <w:vAlign w:val="bottom"/>
          </w:tcPr>
          <w:p>
            <w:pPr>
              <w:ind w:left="2640"/>
              <w:spacing w:after="0"/>
              <w:rPr>
                <w:sz w:val="20"/>
                <w:szCs w:val="20"/>
                <w:color w:val="auto"/>
              </w:rPr>
            </w:pPr>
            <w:r>
              <w:rPr>
                <w:rFonts w:ascii="Arial" w:cs="Arial" w:eastAsia="Arial" w:hAnsi="Arial"/>
                <w:sz w:val="15"/>
                <w:szCs w:val="15"/>
                <w:color w:val="auto"/>
              </w:rPr>
              <w:t>Executive Vice President and</w:t>
            </w:r>
          </w:p>
        </w:tc>
      </w:tr>
      <w:tr>
        <w:trPr>
          <w:trHeight w:val="195"/>
        </w:trPr>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7900" w:type="dxa"/>
            <w:vAlign w:val="bottom"/>
          </w:tcPr>
          <w:p>
            <w:pPr>
              <w:ind w:left="2640"/>
              <w:spacing w:after="0"/>
              <w:rPr>
                <w:sz w:val="20"/>
                <w:szCs w:val="20"/>
                <w:color w:val="auto"/>
              </w:rPr>
            </w:pPr>
            <w:r>
              <w:rPr>
                <w:rFonts w:ascii="Arial" w:cs="Arial" w:eastAsia="Arial" w:hAnsi="Arial"/>
                <w:sz w:val="15"/>
                <w:szCs w:val="15"/>
                <w:color w:val="auto"/>
              </w:rPr>
              <w:t>General Counsel</w:t>
            </w:r>
          </w:p>
        </w:tc>
      </w:tr>
      <w:tr>
        <w:trPr>
          <w:trHeight w:val="577"/>
        </w:trPr>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790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794" w:right="219" w:bottom="1440" w:gutter="0" w:footer="0" w:header="0"/>
        </w:sectPr>
      </w:pPr>
    </w:p>
    <w:bookmarkStart w:id="3" w:name="page4"/>
    <w:bookmarkEnd w:id="3"/>
    <w:p>
      <w:pPr>
        <w:jc w:val="center"/>
        <w:ind w:right="-139"/>
        <w:spacing w:after="0"/>
        <w:rPr>
          <w:sz w:val="20"/>
          <w:szCs w:val="20"/>
          <w:color w:val="auto"/>
        </w:rPr>
      </w:pPr>
      <w:r>
        <w:rPr>
          <w:rFonts w:ascii="Arial" w:cs="Arial" w:eastAsia="Arial" w:hAnsi="Arial"/>
          <w:sz w:val="15"/>
          <w:szCs w:val="15"/>
          <w:b w:val="1"/>
          <w:bCs w:val="1"/>
          <w:color w:val="auto"/>
        </w:rPr>
        <w:t>EXHIBIT INDEX</w:t>
      </w:r>
    </w:p>
    <w:p>
      <w:pPr>
        <w:spacing w:after="0" w:line="201" w:lineRule="exact"/>
        <w:rPr>
          <w:sz w:val="20"/>
          <w:szCs w:val="20"/>
          <w:color w:val="auto"/>
        </w:rPr>
      </w:pPr>
    </w:p>
    <w:p>
      <w:pPr>
        <w:ind w:left="540" w:hanging="553"/>
        <w:spacing w:after="0" w:line="288" w:lineRule="auto"/>
        <w:tabs>
          <w:tab w:leader="none" w:pos="520" w:val="left"/>
        </w:tabs>
        <w:rPr>
          <w:sz w:val="20"/>
          <w:szCs w:val="20"/>
          <w:color w:val="auto"/>
        </w:rPr>
      </w:pPr>
      <w:r>
        <w:rPr>
          <w:rFonts w:ascii="Arial" w:cs="Arial" w:eastAsia="Arial" w:hAnsi="Arial"/>
          <w:sz w:val="15"/>
          <w:szCs w:val="15"/>
          <w:color w:val="auto"/>
        </w:rPr>
        <w:t>99.1</w:t>
      </w:r>
      <w:r>
        <w:rPr>
          <w:sz w:val="20"/>
          <w:szCs w:val="20"/>
          <w:color w:val="auto"/>
        </w:rPr>
        <w:tab/>
      </w:r>
      <w:r>
        <w:rPr>
          <w:rFonts w:ascii="Arial" w:cs="Arial" w:eastAsia="Arial" w:hAnsi="Arial"/>
          <w:sz w:val="15"/>
          <w:szCs w:val="15"/>
          <w:color w:val="auto"/>
        </w:rPr>
        <w:t>Press Release issued by ABM Industries Incorporated, dated March 8, 2016, announcing financial results related to the first quarter of fiscal year 2016 and the declaration of a dividend payable May 2, 2016 to stockholders of record on April 7, 2016.</w:t>
      </w:r>
    </w:p>
    <w:p>
      <w:pPr>
        <w:spacing w:after="0" w:line="140" w:lineRule="exact"/>
        <w:rPr>
          <w:sz w:val="20"/>
          <w:szCs w:val="20"/>
          <w:color w:val="auto"/>
        </w:rPr>
      </w:pPr>
    </w:p>
    <w:p>
      <w:pPr>
        <w:spacing w:after="0"/>
        <w:tabs>
          <w:tab w:leader="none" w:pos="520" w:val="left"/>
        </w:tabs>
        <w:rPr>
          <w:sz w:val="20"/>
          <w:szCs w:val="20"/>
          <w:color w:val="auto"/>
        </w:rPr>
      </w:pPr>
      <w:r>
        <w:rPr>
          <w:rFonts w:ascii="Arial" w:cs="Arial" w:eastAsia="Arial" w:hAnsi="Arial"/>
          <w:sz w:val="15"/>
          <w:szCs w:val="15"/>
          <w:color w:val="auto"/>
        </w:rPr>
        <w:t>99.2</w:t>
      </w:r>
      <w:r>
        <w:rPr>
          <w:sz w:val="20"/>
          <w:szCs w:val="20"/>
          <w:color w:val="auto"/>
        </w:rPr>
        <w:tab/>
      </w:r>
      <w:r>
        <w:rPr>
          <w:rFonts w:ascii="Arial" w:cs="Arial" w:eastAsia="Arial" w:hAnsi="Arial"/>
          <w:sz w:val="14"/>
          <w:szCs w:val="14"/>
          <w:color w:val="auto"/>
        </w:rPr>
        <w:t>Slides of ABM Industries Incorporated dated March 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380365</wp:posOffset>
            </wp:positionV>
            <wp:extent cx="726630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ectPr>
          <w:pgSz w:w="11900" w:h="16838" w:orient="portrait"/>
          <w:cols w:equalWidth="0" w:num="1">
            <w:col w:w="11280"/>
          </w:cols>
          <w:pgMar w:left="240" w:top="794"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15"/>
          <w:szCs w:val="1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133985</wp:posOffset>
            </wp:positionV>
            <wp:extent cx="1069340" cy="644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69340" cy="644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ABM INDUSTRIES ANNOUNCES RESULTS FOR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FIRST QUARTER FISCAL 2016</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Revenue Increase of 6.2% to $1.27 Billion; Organic Growth of 3.7%</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Adjusted Continuing EPS of $0.38; GAAP Continuing EPS of $0.24</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Full Year Guidance Outlook Update, Reflecting Benefit from WOTC Adjustment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Declaration of 200th Consecutive Quarterly Dividend</w:t>
      </w:r>
    </w:p>
    <w:p>
      <w:pPr>
        <w:spacing w:after="0" w:line="197"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auto"/>
        </w:rPr>
        <w:t>New York, NY - March 8, 2016 - ABM (NYSE:ABM), a leading provider of facility solutions, today announced financial results for the first quarter of fiscal 2016, and updated guidance for fiscal 2016.</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900" w:type="dxa"/>
            <w:vAlign w:val="bottom"/>
            <w:gridSpan w:val="2"/>
            <w:vMerge w:val="restart"/>
          </w:tcPr>
          <w:p>
            <w:pPr>
              <w:spacing w:after="0"/>
              <w:rPr>
                <w:sz w:val="20"/>
                <w:szCs w:val="20"/>
                <w:color w:val="auto"/>
              </w:rPr>
            </w:pPr>
            <w:r>
              <w:rPr>
                <w:rFonts w:ascii="Arial" w:cs="Arial" w:eastAsia="Arial" w:hAnsi="Arial"/>
                <w:sz w:val="12"/>
                <w:szCs w:val="12"/>
                <w:b w:val="1"/>
                <w:bCs w:val="1"/>
                <w:i w:val="1"/>
                <w:iCs w:val="1"/>
                <w:color w:val="auto"/>
              </w:rPr>
              <w:t>($ in millions, except per share amounts)</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80" w:type="dxa"/>
            <w:vAlign w:val="bottom"/>
            <w:gridSpan w:val="3"/>
          </w:tcPr>
          <w:p>
            <w:pPr>
              <w:jc w:val="right"/>
              <w:spacing w:after="0"/>
              <w:rPr>
                <w:sz w:val="20"/>
                <w:szCs w:val="20"/>
                <w:color w:val="auto"/>
              </w:rPr>
            </w:pPr>
            <w:r>
              <w:rPr>
                <w:rFonts w:ascii="Arial" w:cs="Arial" w:eastAsia="Arial" w:hAnsi="Arial"/>
                <w:sz w:val="12"/>
                <w:szCs w:val="12"/>
                <w:b w:val="1"/>
                <w:bCs w:val="1"/>
                <w:color w:val="auto"/>
              </w:rPr>
              <w:t>Three Months Ended</w:t>
            </w: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vMerge w:val="restart"/>
          </w:tcPr>
          <w:p>
            <w:pPr>
              <w:jc w:val="right"/>
              <w:ind w:right="600"/>
              <w:spacing w:after="0"/>
              <w:rPr>
                <w:sz w:val="20"/>
                <w:szCs w:val="20"/>
                <w:color w:val="auto"/>
              </w:rPr>
            </w:pPr>
            <w:r>
              <w:rPr>
                <w:rFonts w:ascii="Arial" w:cs="Arial" w:eastAsia="Arial" w:hAnsi="Arial"/>
                <w:sz w:val="12"/>
                <w:szCs w:val="12"/>
                <w:b w:val="1"/>
                <w:bCs w:val="1"/>
                <w:color w:val="auto"/>
              </w:rPr>
              <w:t>Increase/</w:t>
            </w:r>
          </w:p>
        </w:tc>
        <w:tc>
          <w:tcPr>
            <w:tcW w:w="0" w:type="dxa"/>
            <w:vAlign w:val="bottom"/>
          </w:tcPr>
          <w:p>
            <w:pPr>
              <w:spacing w:after="0"/>
              <w:rPr>
                <w:sz w:val="1"/>
                <w:szCs w:val="1"/>
                <w:color w:val="auto"/>
              </w:rPr>
            </w:pPr>
          </w:p>
        </w:tc>
      </w:tr>
      <w:tr>
        <w:trPr>
          <w:trHeight w:val="147"/>
        </w:trPr>
        <w:tc>
          <w:tcPr>
            <w:tcW w:w="6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3"/>
          </w:tcPr>
          <w:p>
            <w:pPr>
              <w:jc w:val="right"/>
              <w:ind w:right="203"/>
              <w:spacing w:after="0"/>
              <w:rPr>
                <w:sz w:val="20"/>
                <w:szCs w:val="20"/>
                <w:color w:val="auto"/>
              </w:rPr>
            </w:pPr>
            <w:r>
              <w:rPr>
                <w:rFonts w:ascii="Arial" w:cs="Arial" w:eastAsia="Arial" w:hAnsi="Arial"/>
                <w:sz w:val="12"/>
                <w:szCs w:val="12"/>
                <w:b w:val="1"/>
                <w:bCs w:val="1"/>
                <w:color w:val="auto"/>
              </w:rPr>
              <w:t>January 31,</w:t>
            </w:r>
          </w:p>
        </w:tc>
        <w:tc>
          <w:tcPr>
            <w:tcW w:w="7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6900" w:type="dxa"/>
            <w:vAlign w:val="bottom"/>
            <w:gridSpan w:val="2"/>
          </w:tcPr>
          <w:p>
            <w:pPr>
              <w:spacing w:after="0" w:line="130" w:lineRule="exact"/>
              <w:rPr>
                <w:sz w:val="20"/>
                <w:szCs w:val="20"/>
                <w:color w:val="auto"/>
              </w:rPr>
            </w:pPr>
            <w:r>
              <w:rPr>
                <w:rFonts w:ascii="Arial" w:cs="Arial" w:eastAsia="Arial" w:hAnsi="Arial"/>
                <w:sz w:val="12"/>
                <w:szCs w:val="12"/>
                <w:b w:val="1"/>
                <w:bCs w:val="1"/>
                <w:i w:val="1"/>
                <w:iCs w:val="1"/>
                <w:color w:val="auto"/>
              </w:rPr>
              <w:t>(unaudited)</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jc w:val="right"/>
              <w:ind w:right="426"/>
              <w:spacing w:after="0" w:line="130" w:lineRule="exact"/>
              <w:rPr>
                <w:sz w:val="20"/>
                <w:szCs w:val="20"/>
                <w:color w:val="auto"/>
              </w:rPr>
            </w:pPr>
            <w:r>
              <w:rPr>
                <w:rFonts w:ascii="Arial" w:cs="Arial" w:eastAsia="Arial" w:hAnsi="Arial"/>
                <w:sz w:val="12"/>
                <w:szCs w:val="12"/>
                <w:b w:val="1"/>
                <w:bCs w:val="1"/>
                <w:color w:val="auto"/>
              </w:rPr>
              <w:t>2016</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jc w:val="right"/>
              <w:ind w:right="424"/>
              <w:spacing w:after="0" w:line="130" w:lineRule="exact"/>
              <w:rPr>
                <w:sz w:val="20"/>
                <w:szCs w:val="20"/>
                <w:color w:val="auto"/>
              </w:rPr>
            </w:pPr>
            <w:r>
              <w:rPr>
                <w:rFonts w:ascii="Arial" w:cs="Arial" w:eastAsia="Arial" w:hAnsi="Arial"/>
                <w:sz w:val="12"/>
                <w:szCs w:val="12"/>
                <w:b w:val="1"/>
                <w:bCs w:val="1"/>
                <w:color w:val="auto"/>
                <w:w w:val="89"/>
              </w:rPr>
              <w:t>2015</w:t>
            </w:r>
          </w:p>
        </w:tc>
        <w:tc>
          <w:tcPr>
            <w:tcW w:w="260" w:type="dxa"/>
            <w:vAlign w:val="bottom"/>
          </w:tcPr>
          <w:p>
            <w:pPr>
              <w:spacing w:after="0"/>
              <w:rPr>
                <w:sz w:val="11"/>
                <w:szCs w:val="11"/>
                <w:color w:val="auto"/>
              </w:rPr>
            </w:pPr>
          </w:p>
        </w:tc>
        <w:tc>
          <w:tcPr>
            <w:tcW w:w="1460" w:type="dxa"/>
            <w:vAlign w:val="bottom"/>
            <w:gridSpan w:val="2"/>
          </w:tcPr>
          <w:p>
            <w:pPr>
              <w:jc w:val="right"/>
              <w:ind w:right="580"/>
              <w:spacing w:after="0" w:line="130" w:lineRule="exact"/>
              <w:rPr>
                <w:sz w:val="20"/>
                <w:szCs w:val="20"/>
                <w:color w:val="auto"/>
              </w:rPr>
            </w:pPr>
            <w:r>
              <w:rPr>
                <w:rFonts w:ascii="Arial" w:cs="Arial" w:eastAsia="Arial" w:hAnsi="Arial"/>
                <w:sz w:val="12"/>
                <w:szCs w:val="12"/>
                <w:b w:val="1"/>
                <w:bCs w:val="1"/>
                <w:color w:val="auto"/>
              </w:rPr>
              <w:t>(Decrease)</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6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5"/>
                <w:szCs w:val="15"/>
                <w:color w:val="auto"/>
              </w:rPr>
              <w:t>Revenues</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1,268.4</w:t>
            </w:r>
          </w:p>
        </w:tc>
        <w:tc>
          <w:tcPr>
            <w:tcW w:w="480" w:type="dxa"/>
            <w:vAlign w:val="bottom"/>
            <w:shd w:val="clear" w:color="auto" w:fill="CCEEFF"/>
          </w:tcPr>
          <w:p>
            <w:pPr>
              <w:jc w:val="right"/>
              <w:ind w:right="32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1,194.5</w:t>
            </w:r>
          </w:p>
        </w:tc>
        <w:tc>
          <w:tcPr>
            <w:tcW w:w="26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6.2%</w:t>
            </w: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6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5"/>
                <w:szCs w:val="15"/>
                <w:color w:val="auto"/>
              </w:rPr>
              <w:t>Operating profit</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13.6</w:t>
            </w:r>
          </w:p>
        </w:tc>
        <w:tc>
          <w:tcPr>
            <w:tcW w:w="480" w:type="dxa"/>
            <w:vAlign w:val="bottom"/>
            <w:shd w:val="clear" w:color="auto" w:fill="CCEEFF"/>
          </w:tcPr>
          <w:p>
            <w:pPr>
              <w:jc w:val="right"/>
              <w:ind w:right="32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16.8</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(19.0)%</w:t>
            </w: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6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5"/>
                <w:szCs w:val="15"/>
                <w:color w:val="auto"/>
              </w:rPr>
              <w:t>Income from continuing operations</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13.6</w:t>
            </w:r>
          </w:p>
        </w:tc>
        <w:tc>
          <w:tcPr>
            <w:tcW w:w="480" w:type="dxa"/>
            <w:vAlign w:val="bottom"/>
            <w:shd w:val="clear" w:color="auto" w:fill="CCEEFF"/>
          </w:tcPr>
          <w:p>
            <w:pPr>
              <w:jc w:val="right"/>
              <w:ind w:right="32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14.3</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(4.9)%</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80" w:type="dxa"/>
            <w:vAlign w:val="bottom"/>
          </w:tcPr>
          <w:p>
            <w:pPr>
              <w:spacing w:after="0"/>
              <w:rPr>
                <w:sz w:val="20"/>
                <w:szCs w:val="20"/>
                <w:color w:val="auto"/>
              </w:rPr>
            </w:pPr>
            <w:r>
              <w:rPr>
                <w:rFonts w:ascii="Arial" w:cs="Arial" w:eastAsia="Arial" w:hAnsi="Arial"/>
                <w:sz w:val="15"/>
                <w:szCs w:val="15"/>
                <w:color w:val="auto"/>
              </w:rPr>
              <w:t>Income from continuing operations per diluted share</w:t>
            </w:r>
          </w:p>
        </w:tc>
        <w:tc>
          <w:tcPr>
            <w:tcW w:w="3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5"/>
                <w:szCs w:val="15"/>
                <w:color w:val="auto"/>
              </w:rPr>
              <w:t>0.24</w:t>
            </w:r>
          </w:p>
        </w:tc>
        <w:tc>
          <w:tcPr>
            <w:tcW w:w="480" w:type="dxa"/>
            <w:vAlign w:val="bottom"/>
          </w:tcPr>
          <w:p>
            <w:pPr>
              <w:jc w:val="right"/>
              <w:ind w:right="32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60"/>
              <w:spacing w:after="0"/>
              <w:rPr>
                <w:sz w:val="20"/>
                <w:szCs w:val="20"/>
                <w:color w:val="auto"/>
              </w:rPr>
            </w:pPr>
            <w:r>
              <w:rPr>
                <w:rFonts w:ascii="Arial" w:cs="Arial" w:eastAsia="Arial" w:hAnsi="Arial"/>
                <w:sz w:val="15"/>
                <w:szCs w:val="15"/>
                <w:color w:val="auto"/>
              </w:rPr>
              <w:t>0.25</w:t>
            </w:r>
          </w:p>
        </w:tc>
        <w:tc>
          <w:tcPr>
            <w:tcW w:w="1460" w:type="dxa"/>
            <w:vAlign w:val="bottom"/>
            <w:gridSpan w:val="2"/>
          </w:tcPr>
          <w:p>
            <w:pPr>
              <w:jc w:val="right"/>
              <w:ind w:right="40"/>
              <w:spacing w:after="0"/>
              <w:rPr>
                <w:sz w:val="20"/>
                <w:szCs w:val="20"/>
                <w:color w:val="auto"/>
              </w:rPr>
            </w:pPr>
            <w:r>
              <w:rPr>
                <w:rFonts w:ascii="Arial" w:cs="Arial" w:eastAsia="Arial" w:hAnsi="Arial"/>
                <w:sz w:val="15"/>
                <w:szCs w:val="15"/>
                <w:color w:val="auto"/>
              </w:rPr>
              <w:t>(4.0)%</w:t>
            </w: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6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6880" w:type="dxa"/>
            <w:vAlign w:val="bottom"/>
          </w:tcPr>
          <w:p>
            <w:pPr>
              <w:spacing w:after="0"/>
              <w:rPr>
                <w:sz w:val="20"/>
                <w:szCs w:val="20"/>
                <w:color w:val="auto"/>
              </w:rPr>
            </w:pPr>
            <w:r>
              <w:rPr>
                <w:rFonts w:ascii="Arial" w:cs="Arial" w:eastAsia="Arial" w:hAnsi="Arial"/>
                <w:sz w:val="15"/>
                <w:szCs w:val="15"/>
                <w:color w:val="auto"/>
              </w:rPr>
              <w:t>Adjusted income from continuing operations</w:t>
            </w:r>
          </w:p>
        </w:tc>
        <w:tc>
          <w:tcPr>
            <w:tcW w:w="3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5"/>
                <w:szCs w:val="15"/>
                <w:color w:val="auto"/>
              </w:rPr>
              <w:t>21.6</w:t>
            </w:r>
          </w:p>
        </w:tc>
        <w:tc>
          <w:tcPr>
            <w:tcW w:w="480" w:type="dxa"/>
            <w:vAlign w:val="bottom"/>
          </w:tcPr>
          <w:p>
            <w:pPr>
              <w:jc w:val="right"/>
              <w:ind w:right="32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60"/>
              <w:spacing w:after="0"/>
              <w:rPr>
                <w:sz w:val="20"/>
                <w:szCs w:val="20"/>
                <w:color w:val="auto"/>
              </w:rPr>
            </w:pPr>
            <w:r>
              <w:rPr>
                <w:rFonts w:ascii="Arial" w:cs="Arial" w:eastAsia="Arial" w:hAnsi="Arial"/>
                <w:sz w:val="15"/>
                <w:szCs w:val="15"/>
                <w:color w:val="auto"/>
              </w:rPr>
              <w:t>18.2</w:t>
            </w:r>
          </w:p>
        </w:tc>
        <w:tc>
          <w:tcPr>
            <w:tcW w:w="1460" w:type="dxa"/>
            <w:vAlign w:val="bottom"/>
            <w:gridSpan w:val="2"/>
          </w:tcPr>
          <w:p>
            <w:pPr>
              <w:jc w:val="right"/>
              <w:ind w:right="100"/>
              <w:spacing w:after="0"/>
              <w:rPr>
                <w:sz w:val="20"/>
                <w:szCs w:val="20"/>
                <w:color w:val="auto"/>
              </w:rPr>
            </w:pPr>
            <w:r>
              <w:rPr>
                <w:rFonts w:ascii="Arial" w:cs="Arial" w:eastAsia="Arial" w:hAnsi="Arial"/>
                <w:sz w:val="15"/>
                <w:szCs w:val="15"/>
                <w:color w:val="auto"/>
              </w:rPr>
              <w:t>18.7%</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5"/>
                <w:szCs w:val="15"/>
                <w:color w:val="auto"/>
              </w:rPr>
              <w:t>Adjusted income from continuing operations per diluted share</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0.38</w:t>
            </w:r>
          </w:p>
        </w:tc>
        <w:tc>
          <w:tcPr>
            <w:tcW w:w="480" w:type="dxa"/>
            <w:vAlign w:val="bottom"/>
            <w:shd w:val="clear" w:color="auto" w:fill="CCEEFF"/>
          </w:tcPr>
          <w:p>
            <w:pPr>
              <w:jc w:val="right"/>
              <w:ind w:right="32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0.32</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18.8%</w:t>
            </w: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6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5"/>
                <w:szCs w:val="15"/>
                <w:color w:val="auto"/>
              </w:rPr>
              <w:t>Net income</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14.0</w:t>
            </w:r>
          </w:p>
        </w:tc>
        <w:tc>
          <w:tcPr>
            <w:tcW w:w="480" w:type="dxa"/>
            <w:vAlign w:val="bottom"/>
            <w:shd w:val="clear" w:color="auto" w:fill="CCEEFF"/>
          </w:tcPr>
          <w:p>
            <w:pPr>
              <w:jc w:val="right"/>
              <w:ind w:right="32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17.7</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(20.9)%</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80" w:type="dxa"/>
            <w:vAlign w:val="bottom"/>
          </w:tcPr>
          <w:p>
            <w:pPr>
              <w:spacing w:after="0"/>
              <w:rPr>
                <w:sz w:val="20"/>
                <w:szCs w:val="20"/>
                <w:color w:val="auto"/>
              </w:rPr>
            </w:pPr>
            <w:r>
              <w:rPr>
                <w:rFonts w:ascii="Arial" w:cs="Arial" w:eastAsia="Arial" w:hAnsi="Arial"/>
                <w:sz w:val="15"/>
                <w:szCs w:val="15"/>
                <w:color w:val="auto"/>
              </w:rPr>
              <w:t>Net income per diluted share</w:t>
            </w:r>
          </w:p>
        </w:tc>
        <w:tc>
          <w:tcPr>
            <w:tcW w:w="3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5"/>
                <w:szCs w:val="15"/>
                <w:color w:val="auto"/>
              </w:rPr>
              <w:t>0.24</w:t>
            </w:r>
          </w:p>
        </w:tc>
        <w:tc>
          <w:tcPr>
            <w:tcW w:w="480" w:type="dxa"/>
            <w:vAlign w:val="bottom"/>
          </w:tcPr>
          <w:p>
            <w:pPr>
              <w:jc w:val="right"/>
              <w:ind w:right="32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60"/>
              <w:spacing w:after="0"/>
              <w:rPr>
                <w:sz w:val="20"/>
                <w:szCs w:val="20"/>
                <w:color w:val="auto"/>
              </w:rPr>
            </w:pPr>
            <w:r>
              <w:rPr>
                <w:rFonts w:ascii="Arial" w:cs="Arial" w:eastAsia="Arial" w:hAnsi="Arial"/>
                <w:sz w:val="15"/>
                <w:szCs w:val="15"/>
                <w:color w:val="auto"/>
              </w:rPr>
              <w:t>0.31</w:t>
            </w:r>
          </w:p>
        </w:tc>
        <w:tc>
          <w:tcPr>
            <w:tcW w:w="1460" w:type="dxa"/>
            <w:vAlign w:val="bottom"/>
            <w:gridSpan w:val="2"/>
          </w:tcPr>
          <w:p>
            <w:pPr>
              <w:jc w:val="right"/>
              <w:ind w:right="40"/>
              <w:spacing w:after="0"/>
              <w:rPr>
                <w:sz w:val="20"/>
                <w:szCs w:val="20"/>
                <w:color w:val="auto"/>
              </w:rPr>
            </w:pPr>
            <w:r>
              <w:rPr>
                <w:rFonts w:ascii="Arial" w:cs="Arial" w:eastAsia="Arial" w:hAnsi="Arial"/>
                <w:sz w:val="15"/>
                <w:szCs w:val="15"/>
                <w:color w:val="auto"/>
              </w:rPr>
              <w:t>(22.6)%</w:t>
            </w: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6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6880" w:type="dxa"/>
            <w:vAlign w:val="bottom"/>
          </w:tcPr>
          <w:p>
            <w:pPr>
              <w:spacing w:after="0"/>
              <w:rPr>
                <w:sz w:val="20"/>
                <w:szCs w:val="20"/>
                <w:color w:val="auto"/>
              </w:rPr>
            </w:pPr>
            <w:r>
              <w:rPr>
                <w:rFonts w:ascii="Arial" w:cs="Arial" w:eastAsia="Arial" w:hAnsi="Arial"/>
                <w:sz w:val="15"/>
                <w:szCs w:val="15"/>
                <w:color w:val="auto"/>
              </w:rPr>
              <w:t>Net cash used in operating activities of continuing operations</w:t>
            </w:r>
          </w:p>
        </w:tc>
        <w:tc>
          <w:tcPr>
            <w:tcW w:w="3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5"/>
                <w:szCs w:val="15"/>
                <w:color w:val="auto"/>
              </w:rPr>
              <w:t>(8.2)</w:t>
            </w:r>
          </w:p>
        </w:tc>
        <w:tc>
          <w:tcPr>
            <w:tcW w:w="480" w:type="dxa"/>
            <w:vAlign w:val="bottom"/>
          </w:tcPr>
          <w:p>
            <w:pPr>
              <w:jc w:val="right"/>
              <w:ind w:right="32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0"/>
              <w:spacing w:after="0"/>
              <w:rPr>
                <w:sz w:val="20"/>
                <w:szCs w:val="20"/>
                <w:color w:val="auto"/>
              </w:rPr>
            </w:pPr>
            <w:r>
              <w:rPr>
                <w:rFonts w:ascii="Arial" w:cs="Arial" w:eastAsia="Arial" w:hAnsi="Arial"/>
                <w:sz w:val="15"/>
                <w:szCs w:val="15"/>
                <w:color w:val="auto"/>
              </w:rPr>
              <w:t>(26.7)</w:t>
            </w:r>
          </w:p>
        </w:tc>
        <w:tc>
          <w:tcPr>
            <w:tcW w:w="1460" w:type="dxa"/>
            <w:vAlign w:val="bottom"/>
            <w:gridSpan w:val="2"/>
          </w:tcPr>
          <w:p>
            <w:pPr>
              <w:jc w:val="right"/>
              <w:ind w:right="40"/>
              <w:spacing w:after="0"/>
              <w:rPr>
                <w:sz w:val="20"/>
                <w:szCs w:val="20"/>
                <w:color w:val="auto"/>
              </w:rPr>
            </w:pPr>
            <w:r>
              <w:rPr>
                <w:rFonts w:ascii="Arial" w:cs="Arial" w:eastAsia="Arial" w:hAnsi="Arial"/>
                <w:sz w:val="15"/>
                <w:szCs w:val="15"/>
                <w:color w:val="auto"/>
              </w:rPr>
              <w:t>(69.3)%</w:t>
            </w: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6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6880" w:type="dxa"/>
            <w:vAlign w:val="bottom"/>
          </w:tcPr>
          <w:p>
            <w:pPr>
              <w:spacing w:after="0"/>
              <w:rPr>
                <w:sz w:val="20"/>
                <w:szCs w:val="20"/>
                <w:color w:val="auto"/>
              </w:rPr>
            </w:pPr>
            <w:r>
              <w:rPr>
                <w:rFonts w:ascii="Arial" w:cs="Arial" w:eastAsia="Arial" w:hAnsi="Arial"/>
                <w:sz w:val="15"/>
                <w:szCs w:val="15"/>
                <w:color w:val="auto"/>
              </w:rPr>
              <w:t>Adjusted EBITDA</w:t>
            </w:r>
          </w:p>
        </w:tc>
        <w:tc>
          <w:tcPr>
            <w:tcW w:w="3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5"/>
                <w:szCs w:val="15"/>
                <w:color w:val="auto"/>
              </w:rPr>
              <w:t>43.7</w:t>
            </w:r>
          </w:p>
        </w:tc>
        <w:tc>
          <w:tcPr>
            <w:tcW w:w="480" w:type="dxa"/>
            <w:vAlign w:val="bottom"/>
          </w:tcPr>
          <w:p>
            <w:pPr>
              <w:jc w:val="right"/>
              <w:ind w:right="32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60"/>
              <w:spacing w:after="0"/>
              <w:rPr>
                <w:sz w:val="20"/>
                <w:szCs w:val="20"/>
                <w:color w:val="auto"/>
              </w:rPr>
            </w:pPr>
            <w:r>
              <w:rPr>
                <w:rFonts w:ascii="Arial" w:cs="Arial" w:eastAsia="Arial" w:hAnsi="Arial"/>
                <w:sz w:val="15"/>
                <w:szCs w:val="15"/>
                <w:color w:val="auto"/>
              </w:rPr>
              <w:t>38.7</w:t>
            </w:r>
          </w:p>
        </w:tc>
        <w:tc>
          <w:tcPr>
            <w:tcW w:w="1460" w:type="dxa"/>
            <w:vAlign w:val="bottom"/>
            <w:gridSpan w:val="2"/>
          </w:tcPr>
          <w:p>
            <w:pPr>
              <w:jc w:val="right"/>
              <w:ind w:right="100"/>
              <w:spacing w:after="0"/>
              <w:rPr>
                <w:sz w:val="20"/>
                <w:szCs w:val="20"/>
                <w:color w:val="auto"/>
              </w:rPr>
            </w:pPr>
            <w:r>
              <w:rPr>
                <w:rFonts w:ascii="Arial" w:cs="Arial" w:eastAsia="Arial" w:hAnsi="Arial"/>
                <w:sz w:val="15"/>
                <w:szCs w:val="15"/>
                <w:color w:val="auto"/>
              </w:rPr>
              <w:t>12.9%</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5"/>
                <w:szCs w:val="15"/>
                <w:color w:val="auto"/>
              </w:rPr>
              <w:t>Adjusted EBITDA margin</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3.4%</w:t>
            </w:r>
          </w:p>
        </w:tc>
        <w:tc>
          <w:tcPr>
            <w:tcW w:w="4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3.2%</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20bps</w:t>
            </w: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spacing w:after="0" w:line="272" w:lineRule="auto"/>
        <w:rPr>
          <w:sz w:val="20"/>
          <w:szCs w:val="20"/>
          <w:color w:val="auto"/>
        </w:rPr>
      </w:pPr>
      <w:r>
        <w:rPr>
          <w:rFonts w:ascii="Arial" w:cs="Arial" w:eastAsia="Arial" w:hAnsi="Arial"/>
          <w:sz w:val="15"/>
          <w:szCs w:val="15"/>
          <w:i w:val="1"/>
          <w:iCs w:val="1"/>
          <w:color w:val="auto"/>
        </w:rPr>
        <w:t>(This release refers to non-GAAP financial measures described as “Adjusted EBITDA”, “Adjusted income from continuing operations” and “Adjusted income from continuing operations per diluted share” (or “Adjusted continuing EPS”). Refer to the accompanying financial schedules for supplemental financial data and corresponding reconciliation of these non-GAAP financial measures to certain GAAP financial measures.)</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First Quarter Performance</w:t>
      </w:r>
    </w:p>
    <w:p>
      <w:pPr>
        <w:spacing w:after="0" w:line="201" w:lineRule="exact"/>
        <w:rPr>
          <w:sz w:val="20"/>
          <w:szCs w:val="20"/>
          <w:color w:val="auto"/>
        </w:rPr>
      </w:pPr>
    </w:p>
    <w:p>
      <w:pPr>
        <w:jc w:val="both"/>
        <w:ind w:right="20"/>
        <w:spacing w:after="0" w:line="288" w:lineRule="auto"/>
        <w:rPr>
          <w:sz w:val="20"/>
          <w:szCs w:val="20"/>
          <w:color w:val="auto"/>
        </w:rPr>
      </w:pPr>
      <w:r>
        <w:rPr>
          <w:rFonts w:ascii="Arial" w:cs="Arial" w:eastAsia="Arial" w:hAnsi="Arial"/>
          <w:sz w:val="15"/>
          <w:szCs w:val="15"/>
          <w:color w:val="auto"/>
        </w:rPr>
        <w:t>For the first quarter of fiscal 2016, revenues of approximately $1.27 billion increased 6.2% compared to the first quarter of fiscal 2015. This growth was driven primarily by increased Work Order (tag) sales, and the Company's ABES (Technical Services) business. Organic revenue increased 3.7% compared to the year ago period.</w:t>
      </w:r>
    </w:p>
    <w:p>
      <w:pPr>
        <w:spacing w:after="0" w:line="140"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auto"/>
        </w:rPr>
        <w:t>Adjusted income from continuing operations for the first quarter of 2016 increased 18.7% to $21.6 million, or $0.38 per diluted share, driven by higher contribution of revenue and the benefit from the 2016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329565</wp:posOffset>
            </wp:positionV>
            <wp:extent cx="726630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5" w:name="page6"/>
    <w:bookmarkEnd w:id="5"/>
    <w:p>
      <w:pPr>
        <w:jc w:val="both"/>
        <w:spacing w:after="0" w:line="272" w:lineRule="auto"/>
        <w:rPr>
          <w:sz w:val="20"/>
          <w:szCs w:val="20"/>
          <w:color w:val="auto"/>
        </w:rPr>
      </w:pPr>
      <w:r>
        <w:rPr>
          <w:rFonts w:ascii="Arial" w:cs="Arial" w:eastAsia="Arial" w:hAnsi="Arial"/>
          <w:sz w:val="15"/>
          <w:szCs w:val="15"/>
          <w:color w:val="auto"/>
        </w:rPr>
        <w:t>Opportunity Tax Credit (WOTC), primarily offset by higher insurance-related expenses. This compares to $18.2 million, or $0.32 per diluted share for the first quarter of fiscal 2015. On a GAAP basis, income from continuing operations was $13.6 million, or $0.24 per diluted share, compared to income from continuing operations of $14.3 million, or $0.25 per diluted share last year.</w:t>
      </w:r>
    </w:p>
    <w:p>
      <w:pPr>
        <w:spacing w:after="0" w:line="152"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Total net income for the first quarter of 2016 was $14.0 million, or $0.24 per diluted share, compared to net income of $17.7 million, or $0.31 per diluted share last year. Total net income for the first quarter of 2015 included income from discontinued operations of $3.4 million, or $0.06 per diluted share, related to the Company's previous Security segment, divested during the fourth quarter of fiscal 2015.</w:t>
      </w:r>
    </w:p>
    <w:p>
      <w:pPr>
        <w:spacing w:after="0" w:line="152" w:lineRule="exact"/>
        <w:rPr>
          <w:sz w:val="20"/>
          <w:szCs w:val="20"/>
          <w:color w:val="auto"/>
        </w:rPr>
      </w:pPr>
    </w:p>
    <w:p>
      <w:pPr>
        <w:jc w:val="both"/>
        <w:ind w:right="20"/>
        <w:spacing w:after="0" w:line="288" w:lineRule="auto"/>
        <w:rPr>
          <w:sz w:val="20"/>
          <w:szCs w:val="20"/>
          <w:color w:val="auto"/>
        </w:rPr>
      </w:pPr>
      <w:r>
        <w:rPr>
          <w:rFonts w:ascii="Arial" w:cs="Arial" w:eastAsia="Arial" w:hAnsi="Arial"/>
          <w:sz w:val="15"/>
          <w:szCs w:val="15"/>
          <w:color w:val="auto"/>
        </w:rPr>
        <w:t>Adjusted EBITDA for the quarter increased 12.9% to $43.7 million compared to $38.7 million in the first quarter of fiscal 2015. Adjusted EBITDA margin for the quarter increased to 3.4% versus 3.2% last year.</w:t>
      </w:r>
    </w:p>
    <w:p>
      <w:pPr>
        <w:spacing w:after="0" w:line="140"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auto"/>
        </w:rPr>
        <w:t>Scott Salmirs, President and Chief Executive Officer of ABM Industries, commented, "We are pleased to begin the new fiscal year with good revenue momentum that continues to demonstrate our ability to manage our 2020 Vision transformation and to grow our business, simultaneously.”</w:t>
      </w:r>
    </w:p>
    <w:p>
      <w:pPr>
        <w:spacing w:after="0" w:line="140" w:lineRule="exact"/>
        <w:rPr>
          <w:sz w:val="20"/>
          <w:szCs w:val="20"/>
          <w:color w:val="auto"/>
        </w:rPr>
      </w:pPr>
    </w:p>
    <w:p>
      <w:pPr>
        <w:jc w:val="both"/>
        <w:ind w:right="20"/>
        <w:spacing w:after="0" w:line="288" w:lineRule="auto"/>
        <w:rPr>
          <w:sz w:val="20"/>
          <w:szCs w:val="20"/>
          <w:color w:val="auto"/>
        </w:rPr>
      </w:pPr>
      <w:r>
        <w:rPr>
          <w:rFonts w:ascii="Arial" w:cs="Arial" w:eastAsia="Arial" w:hAnsi="Arial"/>
          <w:sz w:val="15"/>
          <w:szCs w:val="15"/>
          <w:color w:val="auto"/>
        </w:rPr>
        <w:t>Mr. Salmirs continued, "We have made substantial progress on our organizational design this quarter and have begun making the structural changes to the organization that will support our 2020 Vision transformation. In addition, we are on track to deliver 2020 Vision savings, as promised."</w:t>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Operating Results</w:t>
      </w:r>
    </w:p>
    <w:p>
      <w:pPr>
        <w:spacing w:after="0" w:line="201" w:lineRule="exact"/>
        <w:rPr>
          <w:sz w:val="20"/>
          <w:szCs w:val="20"/>
          <w:color w:val="auto"/>
        </w:rPr>
      </w:pPr>
    </w:p>
    <w:p>
      <w:pPr>
        <w:jc w:val="both"/>
        <w:spacing w:after="0" w:line="267" w:lineRule="auto"/>
        <w:rPr>
          <w:sz w:val="20"/>
          <w:szCs w:val="20"/>
          <w:color w:val="auto"/>
        </w:rPr>
      </w:pPr>
      <w:r>
        <w:rPr>
          <w:rFonts w:ascii="Arial" w:cs="Arial" w:eastAsia="Arial" w:hAnsi="Arial"/>
          <w:sz w:val="15"/>
          <w:szCs w:val="15"/>
          <w:color w:val="auto"/>
        </w:rPr>
        <w:t>For the first quarter of fiscal 2016, revenues increased by $73.9 million compared to the first quarter of fiscal 2015. This increase in revenues was driven by organic growth stemming from tag sales, higher technical services revenues due to a strong backlog from the fourth quarter and continued sales execution, and the Company's Air Serv operations (Other). In addition, acquisitions provided $29.3 million of incremental revenues during the quarter, primarily related to the ABES business, which is reflected in our Building &amp; Energy Solutions segment.</w:t>
      </w:r>
    </w:p>
    <w:p>
      <w:pPr>
        <w:spacing w:after="0" w:line="155"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Operating profit for the quarter was $13.6 million compared to $16.8 million in the year ago period. Higher revenues from tag sales in the Company's Janitorial segment and contracts from the Company's ABES business partially offset the decline in operating profit for the first quarter of fiscal 2016. Operating profit was adversely impacted by higher insurance related expenses, and certain operational, segment-specific factors.</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Liquidity &amp; Capital Structure</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color w:val="auto"/>
        </w:rPr>
        <w:t>The Company ended the quarter with total debt, including standby letters of credit, of $415.5 million. Total debt to proforma adjusted EBITDA was approximately 1.9x.</w:t>
      </w:r>
    </w:p>
    <w:p>
      <w:pPr>
        <w:spacing w:after="0" w:line="197"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auto"/>
        </w:rPr>
        <w:t>During the quarter, the Company repurchased approximately 0.4 million shares of common stock for $11.3 million. As of January 31, 2016, the Company had $177.3 million of remaining buyback availability under the $200.0 million share repurchase program.</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auto"/>
        </w:rPr>
        <w:t>In addition, the Company paid a quarterly cash dividend of $0.165 per common share for a total distribution of $9.2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365760</wp:posOffset>
            </wp:positionV>
            <wp:extent cx="726630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ectPr>
          <w:pgSz w:w="11900" w:h="16838" w:orient="portrait"/>
          <w:cols w:equalWidth="0" w:num="1">
            <w:col w:w="11440"/>
          </w:cols>
          <w:pgMar w:left="240" w:top="798" w:right="219" w:bottom="1440" w:gutter="0" w:footer="0" w:header="0"/>
        </w:sectPr>
      </w:pPr>
    </w:p>
    <w:bookmarkStart w:id="6" w:name="page7"/>
    <w:bookmarkEnd w:id="6"/>
    <w:p>
      <w:pPr>
        <w:spacing w:after="0"/>
        <w:rPr>
          <w:sz w:val="20"/>
          <w:szCs w:val="20"/>
          <w:color w:val="auto"/>
        </w:rPr>
      </w:pPr>
      <w:r>
        <w:rPr>
          <w:rFonts w:ascii="Arial" w:cs="Arial" w:eastAsia="Arial" w:hAnsi="Arial"/>
          <w:sz w:val="15"/>
          <w:szCs w:val="15"/>
          <w:b w:val="1"/>
          <w:bCs w:val="1"/>
          <w:color w:val="auto"/>
        </w:rPr>
        <w:t>Declaration of Quarterly Cash Dividend</w:t>
      </w:r>
    </w:p>
    <w:p>
      <w:pPr>
        <w:spacing w:after="0" w:line="201"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auto"/>
        </w:rPr>
        <w:t>The Company also announced that the Board of Directors has declared a cash dividend of $0.165 per common share for the second quarter of fiscal 2016 payable on May 2, 2016 to shareholders of record on April 7, 2016. This will be the Company's 200th consecutive quarterly cash dividend.</w:t>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Fiscal 2016 Guidance</w:t>
      </w:r>
    </w:p>
    <w:p>
      <w:pPr>
        <w:spacing w:after="0" w:line="201" w:lineRule="exact"/>
        <w:rPr>
          <w:sz w:val="20"/>
          <w:szCs w:val="20"/>
          <w:color w:val="auto"/>
        </w:rPr>
      </w:pPr>
    </w:p>
    <w:p>
      <w:pPr>
        <w:jc w:val="both"/>
        <w:ind w:right="20"/>
        <w:spacing w:after="0" w:line="272" w:lineRule="auto"/>
        <w:rPr>
          <w:sz w:val="20"/>
          <w:szCs w:val="20"/>
          <w:color w:val="auto"/>
        </w:rPr>
      </w:pPr>
      <w:r>
        <w:rPr>
          <w:rFonts w:ascii="Arial" w:cs="Arial" w:eastAsia="Arial" w:hAnsi="Arial"/>
          <w:sz w:val="15"/>
          <w:szCs w:val="15"/>
          <w:color w:val="auto"/>
        </w:rPr>
        <w:t>Based on the retroactive reinstatement of the calendar 2015 Work Opportunity Tax Credit (WOTC), and the impact of the 2016 WOTC, the Company now expects adjusted income from continuing operations of $1.50 to $1.60 for fiscal year 2016. The guidance excludes any potential, additional benefits associated with other certain discrete tax items that would impact the Company's effective tax rate.</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Conference Call Information</w:t>
      </w:r>
    </w:p>
    <w:p>
      <w:pPr>
        <w:spacing w:after="0" w:line="201"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auto"/>
        </w:rPr>
        <w:t>ABM will host its quarterly conference call for all interested parties on Wednesday, March 9, 2016 at 8:30 AM (ET). The live conference call can be accessed via audio webcast at the ‘Investors' section of the Company's website, located at www.abm.com, or by dialing (877) 664-7395 approximately 15 minutes prior to the scheduled time.</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auto"/>
        </w:rPr>
        <w:t>A supplemental presentation will accompany the webcast on the Company's website.</w:t>
      </w:r>
    </w:p>
    <w:p>
      <w:pPr>
        <w:spacing w:after="0" w:line="197"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auto"/>
        </w:rPr>
        <w:t>A replay will be available approximately two hours after the recording through March 18, 2016 and can be accessed by dialing (855) 859-2056 and then entering ID #54539418. An archive will also be available on the ABM website for 90 days.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auto"/>
        </w:rPr>
        <w:t>About ABM</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ABM (</w:t>
      </w:r>
      <w:r>
        <w:rPr>
          <w:rFonts w:ascii="Arial" w:cs="Arial" w:eastAsia="Arial" w:hAnsi="Arial"/>
          <w:sz w:val="15"/>
          <w:szCs w:val="15"/>
          <w:u w:val="single" w:color="auto"/>
          <w:color w:val="auto"/>
        </w:rPr>
        <w:t>NYSE: ABM</w:t>
      </w:r>
      <w:r>
        <w:rPr>
          <w:rFonts w:ascii="Arial" w:cs="Arial" w:eastAsia="Arial" w:hAnsi="Arial"/>
          <w:sz w:val="15"/>
          <w:szCs w:val="15"/>
          <w:color w:val="auto"/>
        </w:rPr>
        <w:t xml:space="preserve">) is a leading provider of facility solutions with revenues of approximately $4.9 billion and over 100,000 employees in 300+ offices deployed throughout the United States and various international locations. ABM’s comprehensive capabilities include electrical &amp; lighting, energy solutions, facilities engineering, HVAC &amp; mechanical, janitorial, landscape &amp; turf, mission critical solutions and parking, provided through stand-alone or integrated solutions. ABM provides custom facility solutions in urban, suburban and rural areas to properties of all sizes - from schools and commercial buildings to hospitals, data centers manufacturing plants and airports. ABM Industries Incorporated, which operates through its subsidiaries, was founded in 1909. For more information, visit </w:t>
      </w:r>
      <w:r>
        <w:rPr>
          <w:rFonts w:ascii="Arial" w:cs="Arial" w:eastAsia="Arial" w:hAnsi="Arial"/>
          <w:sz w:val="15"/>
          <w:szCs w:val="15"/>
          <w:u w:val="single" w:color="auto"/>
          <w:color w:val="auto"/>
        </w:rPr>
        <w:t>www.abm.com</w:t>
      </w:r>
      <w:r>
        <w:rPr>
          <w:rFonts w:ascii="Arial" w:cs="Arial" w:eastAsia="Arial" w:hAnsi="Arial"/>
          <w:sz w:val="15"/>
          <w:szCs w:val="15"/>
          <w:color w:val="auto"/>
        </w:rPr>
        <w:t>.</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Cautionary Statement under the Private Securities Litigation Reform Act of 1995</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4"/>
          <w:szCs w:val="14"/>
          <w:i w:val="1"/>
          <w:iCs w:val="1"/>
          <w:color w:val="auto"/>
        </w:rPr>
        <w:t>This press release contains both historical and forward-looking statements. Forward-looking statements are not based on historical facts but instead reflect the current expectations, estimates, or projections of ABM Industries Incorporated (“ABM”), and its subsidiaries (collectively referred to as “ABM,” “we,” “us,” “our,” or the “Company”), concerning future results or events. These statements generally can be identified by the use of forward-looking words or phrases, such as “anticipate,” “believe,” “could,” “estimate,” “expect,” “forecast,” “intend,” “likely,” “may,” “outlook,” “plan,” “predict,” “should,” “target,” or other similar words or phrases. These statements are not guarantees of future performance and are inherently subject to known and unknown risks, uncertainties and assumptions that are difficult to predict and could cause our actual results to differ materially from those indicated by these statements. We cannot assure you that any of our expectations, estimates, or projections will be achieved. Numerous factors could cause our actual results and events to differ materially from those expressed or implied by forward-looking statements. These factors include, but are not limited to the following: (1) changes to our businesses, operating structure, capital structure, or personnel relating to the implementation of our 2020 Vision strategic transformation initiative may not have the desired effects on our financial condition and results of operations; (2) we have high deductibles for certain insurable risks, and therefore we are subject to volatility associated with those risks, including the possibility that our risk management and safety programs may not have the intended effect of allowing us to reduce our insurance costs for casualty programs and that our insurance reserves may need to be materially adjusted from time to time; (3) our business success depends on our ability to preserve our long-term relationships with clients; (4) our business success depends on retaining senior management and attracting and retaining qualified personnel; (5) our acquisition strategy may adversely impact our results of operations; (6) our captive insurance company may not generate the benefits that we expect; (7) we are subject to intense competition that can constrain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337185</wp:posOffset>
            </wp:positionV>
            <wp:extent cx="726630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ectPr>
          <w:pgSz w:w="11900" w:h="16838" w:orient="portrait"/>
          <w:cols w:equalWidth="0" w:num="1">
            <w:col w:w="11440"/>
          </w:cols>
          <w:pgMar w:left="240" w:top="794" w:right="219" w:bottom="1440" w:gutter="0" w:footer="0" w:header="0"/>
        </w:sectPr>
      </w:pPr>
    </w:p>
    <w:bookmarkStart w:id="7" w:name="page8"/>
    <w:bookmarkEnd w:id="7"/>
    <w:p>
      <w:pPr>
        <w:jc w:val="both"/>
        <w:spacing w:after="0" w:line="277" w:lineRule="auto"/>
        <w:rPr>
          <w:sz w:val="20"/>
          <w:szCs w:val="20"/>
          <w:color w:val="auto"/>
        </w:rPr>
      </w:pPr>
      <w:r>
        <w:rPr>
          <w:rFonts w:ascii="Arial" w:cs="Arial" w:eastAsia="Arial" w:hAnsi="Arial"/>
          <w:sz w:val="14"/>
          <w:szCs w:val="14"/>
          <w:i w:val="1"/>
          <w:iCs w:val="1"/>
          <w:color w:val="auto"/>
        </w:rPr>
        <w:t>ability to gain business as well as our profitability; (8) increases in costs that we cannot pass on to clients could affect our profitability; (9) we are at risk of losses stemming from accidents or other incidents at facilities in which we operate, which could cause significant damage to our reputation and financial loss; (10) negative or unexpected tax consequences could adversely affect our results of operations; (11) changes in energy prices and government regulations could adversely impact the results of operations of our Building &amp; Energy Solutions business; (12) significant delays or reductions in appropriations for our government contracts may negatively affect our business and could have an adverse effect on our financial position, results of operations, and cash flows; (13) we conduct some of our operations through joint ventures, and our ability to do business may be affected by the failure of our joint venture partners to perform their obligations; (14) our business may be negatively affected by adverse weather conditions; (15) federal health care reform legislation may adversely affect our business and results of operations; (16) we are subject to business continuity risks associated with centralization of certain administrative functions; (17) our services in areas of military conflict expose us to additional risks; (18) we are subject to cyber-security risks arising out of breaches of security relating to sensitive company, client, and employee information and to the technology that manages our operations and other business processes; (19) a decline in commercial office building occupancy and rental rates could affect our revenues and profitability; (20) deterioration in general economic conditions could reduce the demand for facility services and, as a result, reduce our earnings and adversely affect our financial condition; (21) financial difficulties or bankruptcy of one or more of our clients could adversely affect our results; (22) any future increase in the level of our debt or in interest rates could affect our results of operations; (23) our ability to operate and pay our debt obligations depends upon our access to cash; (24) goodwill impairment charges could have a material adverse effect on our financial condition and results of operations; (25) impairment of long-lived assets may adversely affect our operating results; (26) we are defendants in class and representative actions and other lawsuits alleging various claims that could cause us to incur substantial liabilities; (27) changes in immigration laws or enforcement actions or investigations under such laws could significantly adversely affect our labor force, operations, and financial results; (28) labor disputes could lead to loss of revenues or expense variations; (29) we participate in multiemployer pension plans that under certain circumstances could result in material liabilities being incurred; (30) actions of activist investors could be disruptive and costly and could cause uncertainty about the strategic direction of our business; and (31) disasters or acts of terrorism could disrupt services. The list of factors above is illustrative and by no means exhaustive. Additional information regarding these and other risks and uncertainties we face is contained in our Annual Report on Form 10-K for the year ended October 31, 2015 and in other reports we file from time to time with the Securities and Exchange Commission (including all amendments to those reports). We urge readers to consider these risks and uncertainties in evaluating our forward-looking statements. We caution readers not to place undue reliance upon any such forward-looking statements, which speak only as of the date made. We undertake no obligation to publicly update any forward-looking statements, whether as a result of new information, future events, or otherwise, except as required by law.</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Use of Non-GAAP Financial Information</w:t>
      </w:r>
    </w:p>
    <w:p>
      <w:pPr>
        <w:spacing w:after="0" w:line="201" w:lineRule="exact"/>
        <w:rPr>
          <w:sz w:val="20"/>
          <w:szCs w:val="20"/>
          <w:color w:val="auto"/>
        </w:rPr>
      </w:pPr>
    </w:p>
    <w:p>
      <w:pPr>
        <w:jc w:val="both"/>
        <w:spacing w:after="0" w:line="283" w:lineRule="auto"/>
        <w:rPr>
          <w:sz w:val="20"/>
          <w:szCs w:val="20"/>
          <w:color w:val="auto"/>
        </w:rPr>
      </w:pPr>
      <w:r>
        <w:rPr>
          <w:rFonts w:ascii="Arial" w:cs="Arial" w:eastAsia="Arial" w:hAnsi="Arial"/>
          <w:sz w:val="14"/>
          <w:szCs w:val="14"/>
          <w:i w:val="1"/>
          <w:iCs w:val="1"/>
          <w:color w:val="auto"/>
        </w:rPr>
        <w:t>To supplement ABM’s consolidated financial information, the Company has presented income from continuing operations as adjusted for items impacting comparability, for the first quarter of fiscal years 2016 and 2015. These adjustments have been made with the intent of providing financial measures that give management and investors a better understanding of the underlying operational results and trends as well as ABM’s marketplace performance. In addition, the Company has presented earnings before income from discontinued operations, net of income tax benefit, interest, taxes, depreciation and amortization and excluding items impacting comparability (adjusted EBITDA) for the first quarter of fiscal years 2016 and 2015. Adjusted EBITDA is among the indicators management uses as a basis for planning and forecasting future periods. The presentation of these non-GAAP financial measures is not meant to be considered in isolation or as a substitute for financial statements prepared in accordance with accounting principles generally accepted in the United States of America. (See accompanying financial tables for supplemental financial data and corresponding reconciliations to certain GAAP financial measures.)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160" w:type="dxa"/>
            <w:vAlign w:val="bottom"/>
            <w:gridSpan w:val="2"/>
          </w:tcPr>
          <w:p>
            <w:pPr>
              <w:spacing w:after="0"/>
              <w:rPr>
                <w:sz w:val="20"/>
                <w:szCs w:val="20"/>
                <w:color w:val="auto"/>
              </w:rPr>
            </w:pPr>
            <w:r>
              <w:rPr>
                <w:rFonts w:ascii="Arial" w:cs="Arial" w:eastAsia="Arial" w:hAnsi="Arial"/>
                <w:sz w:val="15"/>
                <w:szCs w:val="15"/>
                <w:b w:val="1"/>
                <w:bCs w:val="1"/>
                <w:color w:val="auto"/>
              </w:rPr>
              <w:t>Contact:</w:t>
            </w:r>
          </w:p>
        </w:tc>
        <w:tc>
          <w:tcPr>
            <w:tcW w:w="9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89"/>
        </w:trPr>
        <w:tc>
          <w:tcPr>
            <w:tcW w:w="2160" w:type="dxa"/>
            <w:vAlign w:val="bottom"/>
            <w:gridSpan w:val="2"/>
          </w:tcPr>
          <w:p>
            <w:pPr>
              <w:spacing w:after="0"/>
              <w:rPr>
                <w:sz w:val="20"/>
                <w:szCs w:val="20"/>
                <w:color w:val="auto"/>
              </w:rPr>
            </w:pPr>
            <w:r>
              <w:rPr>
                <w:rFonts w:ascii="Arial" w:cs="Arial" w:eastAsia="Arial" w:hAnsi="Arial"/>
                <w:sz w:val="15"/>
                <w:szCs w:val="15"/>
                <w:color w:val="auto"/>
              </w:rPr>
              <w:t>Investors Relations:</w:t>
            </w:r>
          </w:p>
        </w:tc>
        <w:tc>
          <w:tcPr>
            <w:tcW w:w="3020" w:type="dxa"/>
            <w:vAlign w:val="bottom"/>
            <w:gridSpan w:val="3"/>
          </w:tcPr>
          <w:p>
            <w:pPr>
              <w:ind w:left="920"/>
              <w:spacing w:after="0"/>
              <w:rPr>
                <w:sz w:val="20"/>
                <w:szCs w:val="20"/>
                <w:color w:val="auto"/>
              </w:rPr>
            </w:pPr>
            <w:r>
              <w:rPr>
                <w:rFonts w:ascii="Arial" w:cs="Arial" w:eastAsia="Arial" w:hAnsi="Arial"/>
                <w:sz w:val="15"/>
                <w:szCs w:val="15"/>
                <w:color w:val="auto"/>
              </w:rPr>
              <w:t>Susie Choi</w:t>
            </w:r>
          </w:p>
        </w:tc>
        <w:tc>
          <w:tcPr>
            <w:tcW w:w="2360" w:type="dxa"/>
            <w:vAlign w:val="bottom"/>
          </w:tcPr>
          <w:p>
            <w:pPr>
              <w:ind w:left="760"/>
              <w:spacing w:after="0"/>
              <w:rPr>
                <w:sz w:val="20"/>
                <w:szCs w:val="20"/>
                <w:color w:val="auto"/>
              </w:rPr>
            </w:pPr>
            <w:r>
              <w:rPr>
                <w:rFonts w:ascii="Arial" w:cs="Arial" w:eastAsia="Arial" w:hAnsi="Arial"/>
                <w:sz w:val="15"/>
                <w:szCs w:val="15"/>
                <w:color w:val="auto"/>
              </w:rPr>
              <w:t>Media:</w:t>
            </w:r>
          </w:p>
        </w:tc>
        <w:tc>
          <w:tcPr>
            <w:tcW w:w="3900" w:type="dxa"/>
            <w:vAlign w:val="bottom"/>
            <w:gridSpan w:val="3"/>
          </w:tcPr>
          <w:p>
            <w:pPr>
              <w:ind w:left="1160"/>
              <w:spacing w:after="0"/>
              <w:rPr>
                <w:sz w:val="20"/>
                <w:szCs w:val="20"/>
                <w:color w:val="auto"/>
              </w:rPr>
            </w:pPr>
            <w:r>
              <w:rPr>
                <w:rFonts w:ascii="Arial" w:cs="Arial" w:eastAsia="Arial" w:hAnsi="Arial"/>
                <w:sz w:val="15"/>
                <w:szCs w:val="15"/>
                <w:color w:val="auto"/>
              </w:rPr>
              <w:t>Chas Strong</w:t>
            </w:r>
          </w:p>
        </w:tc>
      </w:tr>
      <w:tr>
        <w:trPr>
          <w:trHeight w:val="185"/>
        </w:trPr>
        <w:tc>
          <w:tcPr>
            <w:tcW w:w="5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240" w:type="dxa"/>
            <w:vAlign w:val="bottom"/>
            <w:gridSpan w:val="2"/>
          </w:tcPr>
          <w:p>
            <w:pPr>
              <w:ind w:left="920"/>
              <w:spacing w:after="0"/>
              <w:rPr>
                <w:sz w:val="20"/>
                <w:szCs w:val="20"/>
                <w:color w:val="auto"/>
              </w:rPr>
            </w:pPr>
            <w:r>
              <w:rPr>
                <w:rFonts w:ascii="Arial" w:cs="Arial" w:eastAsia="Arial" w:hAnsi="Arial"/>
                <w:sz w:val="15"/>
                <w:szCs w:val="15"/>
                <w:color w:val="auto"/>
              </w:rPr>
              <w:t>(212) 297-9791</w:t>
            </w:r>
          </w:p>
        </w:tc>
        <w:tc>
          <w:tcPr>
            <w:tcW w:w="7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560" w:type="dxa"/>
            <w:vAlign w:val="bottom"/>
            <w:gridSpan w:val="2"/>
          </w:tcPr>
          <w:p>
            <w:pPr>
              <w:ind w:left="1160"/>
              <w:spacing w:after="0"/>
              <w:rPr>
                <w:sz w:val="20"/>
                <w:szCs w:val="20"/>
                <w:color w:val="auto"/>
              </w:rPr>
            </w:pPr>
            <w:r>
              <w:rPr>
                <w:rFonts w:ascii="Arial" w:cs="Arial" w:eastAsia="Arial" w:hAnsi="Arial"/>
                <w:sz w:val="15"/>
                <w:szCs w:val="15"/>
                <w:color w:val="auto"/>
              </w:rPr>
              <w:t>(770) 953-5072</w:t>
            </w:r>
          </w:p>
        </w:tc>
        <w:tc>
          <w:tcPr>
            <w:tcW w:w="1340" w:type="dxa"/>
            <w:vAlign w:val="bottom"/>
          </w:tcPr>
          <w:p>
            <w:pPr>
              <w:spacing w:after="0"/>
              <w:rPr>
                <w:sz w:val="16"/>
                <w:szCs w:val="16"/>
                <w:color w:val="auto"/>
              </w:rPr>
            </w:pPr>
          </w:p>
        </w:tc>
      </w:tr>
      <w:tr>
        <w:trPr>
          <w:trHeight w:val="161"/>
        </w:trPr>
        <w:tc>
          <w:tcPr>
            <w:tcW w:w="5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3020" w:type="dxa"/>
            <w:vAlign w:val="bottom"/>
            <w:gridSpan w:val="3"/>
          </w:tcPr>
          <w:p>
            <w:pPr>
              <w:ind w:left="920"/>
              <w:spacing w:after="0" w:line="161" w:lineRule="exact"/>
              <w:rPr>
                <w:sz w:val="20"/>
                <w:szCs w:val="20"/>
                <w:color w:val="auto"/>
              </w:rPr>
            </w:pPr>
            <w:r>
              <w:rPr>
                <w:rFonts w:ascii="Arial" w:cs="Arial" w:eastAsia="Arial" w:hAnsi="Arial"/>
                <w:sz w:val="15"/>
                <w:szCs w:val="15"/>
                <w:color w:val="auto"/>
              </w:rPr>
              <w:t>susie.choi@abm.com</w:t>
            </w:r>
          </w:p>
        </w:tc>
        <w:tc>
          <w:tcPr>
            <w:tcW w:w="2360" w:type="dxa"/>
            <w:vAlign w:val="bottom"/>
          </w:tcPr>
          <w:p>
            <w:pPr>
              <w:spacing w:after="0"/>
              <w:rPr>
                <w:sz w:val="13"/>
                <w:szCs w:val="13"/>
                <w:color w:val="auto"/>
              </w:rPr>
            </w:pPr>
          </w:p>
        </w:tc>
        <w:tc>
          <w:tcPr>
            <w:tcW w:w="3900" w:type="dxa"/>
            <w:vAlign w:val="bottom"/>
            <w:gridSpan w:val="3"/>
          </w:tcPr>
          <w:p>
            <w:pPr>
              <w:ind w:left="1160"/>
              <w:spacing w:after="0" w:line="161" w:lineRule="exact"/>
              <w:rPr>
                <w:sz w:val="20"/>
                <w:szCs w:val="20"/>
                <w:color w:val="auto"/>
              </w:rPr>
            </w:pPr>
            <w:r>
              <w:rPr>
                <w:rFonts w:ascii="Arial" w:cs="Arial" w:eastAsia="Arial" w:hAnsi="Arial"/>
                <w:sz w:val="15"/>
                <w:szCs w:val="15"/>
                <w:color w:val="auto"/>
              </w:rPr>
              <w:t>chas.strong@abm.com</w:t>
            </w:r>
          </w:p>
        </w:tc>
      </w:tr>
      <w:tr>
        <w:trPr>
          <w:trHeight w:val="568"/>
        </w:trPr>
        <w:tc>
          <w:tcPr>
            <w:tcW w:w="5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400" w:type="dxa"/>
            <w:vAlign w:val="bottom"/>
            <w:tcBorders>
              <w:top w:val="single" w:sz="8" w:color="auto"/>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798" w:right="219" w:bottom="1440" w:gutter="0" w:footer="0" w:header="0"/>
        </w:sectPr>
      </w:pPr>
    </w:p>
    <w:bookmarkStart w:id="8" w:name="page9"/>
    <w:bookmarkEnd w:id="8"/>
    <w:p>
      <w:pPr>
        <w:spacing w:after="0"/>
        <w:rPr>
          <w:sz w:val="20"/>
          <w:szCs w:val="20"/>
          <w:color w:val="auto"/>
        </w:rPr>
      </w:pPr>
      <w:r>
        <w:rPr>
          <w:rFonts w:ascii="Arial" w:cs="Arial" w:eastAsia="Arial" w:hAnsi="Arial"/>
          <w:sz w:val="15"/>
          <w:szCs w:val="15"/>
          <w:b w:val="1"/>
          <w:bCs w:val="1"/>
          <w:color w:val="auto"/>
        </w:rPr>
        <w:t>Financial Schedules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ABM INDUSTRIES INCORPORATED AND SUBSIDIARIES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CONSOLIDATED INCOME STATEMENT INFORMATION (UNAUDITED)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4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Three Months Ended January 31,</w:t>
            </w:r>
          </w:p>
        </w:tc>
        <w:tc>
          <w:tcPr>
            <w:tcW w:w="4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2"/>
                <w:szCs w:val="12"/>
                <w:b w:val="1"/>
                <w:bCs w:val="1"/>
                <w:color w:val="auto"/>
              </w:rPr>
              <w:t>Increase /</w:t>
            </w:r>
          </w:p>
        </w:tc>
        <w:tc>
          <w:tcPr>
            <w:tcW w:w="0" w:type="dxa"/>
            <w:vAlign w:val="bottom"/>
          </w:tcPr>
          <w:p>
            <w:pPr>
              <w:spacing w:after="0"/>
              <w:rPr>
                <w:sz w:val="1"/>
                <w:szCs w:val="1"/>
                <w:color w:val="auto"/>
              </w:rPr>
            </w:pPr>
          </w:p>
        </w:tc>
      </w:tr>
      <w:tr>
        <w:trPr>
          <w:trHeight w:val="130"/>
        </w:trPr>
        <w:tc>
          <w:tcPr>
            <w:tcW w:w="6980" w:type="dxa"/>
            <w:vAlign w:val="bottom"/>
            <w:tcBorders>
              <w:bottom w:val="single" w:sz="8" w:color="auto"/>
            </w:tcBorders>
          </w:tcPr>
          <w:p>
            <w:pPr>
              <w:spacing w:after="0" w:line="130" w:lineRule="exact"/>
              <w:rPr>
                <w:sz w:val="20"/>
                <w:szCs w:val="20"/>
                <w:color w:val="auto"/>
              </w:rPr>
            </w:pPr>
            <w:r>
              <w:rPr>
                <w:rFonts w:ascii="Arial" w:cs="Arial" w:eastAsia="Arial" w:hAnsi="Arial"/>
                <w:sz w:val="12"/>
                <w:szCs w:val="12"/>
                <w:b w:val="1"/>
                <w:bCs w:val="1"/>
                <w:i w:val="1"/>
                <w:iCs w:val="1"/>
                <w:color w:val="auto"/>
              </w:rPr>
              <w:t>($ in millions, except per share amounts)</w:t>
            </w:r>
          </w:p>
        </w:tc>
        <w:tc>
          <w:tcPr>
            <w:tcW w:w="12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jc w:val="right"/>
              <w:spacing w:after="0" w:line="130" w:lineRule="exact"/>
              <w:rPr>
                <w:sz w:val="20"/>
                <w:szCs w:val="20"/>
                <w:color w:val="auto"/>
              </w:rPr>
            </w:pPr>
            <w:r>
              <w:rPr>
                <w:rFonts w:ascii="Arial" w:cs="Arial" w:eastAsia="Arial" w:hAnsi="Arial"/>
                <w:sz w:val="12"/>
                <w:szCs w:val="12"/>
                <w:b w:val="1"/>
                <w:bCs w:val="1"/>
                <w:color w:val="auto"/>
              </w:rPr>
              <w:t>2016</w:t>
            </w:r>
          </w:p>
        </w:tc>
        <w:tc>
          <w:tcPr>
            <w:tcW w:w="48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jc w:val="right"/>
              <w:spacing w:after="0" w:line="130" w:lineRule="exact"/>
              <w:rPr>
                <w:sz w:val="20"/>
                <w:szCs w:val="20"/>
                <w:color w:val="auto"/>
              </w:rPr>
            </w:pPr>
            <w:r>
              <w:rPr>
                <w:rFonts w:ascii="Arial" w:cs="Arial" w:eastAsia="Arial" w:hAnsi="Arial"/>
                <w:sz w:val="12"/>
                <w:szCs w:val="12"/>
                <w:b w:val="1"/>
                <w:bCs w:val="1"/>
                <w:color w:val="auto"/>
              </w:rPr>
              <w:t>2015</w:t>
            </w:r>
          </w:p>
        </w:tc>
        <w:tc>
          <w:tcPr>
            <w:tcW w:w="460" w:type="dxa"/>
            <w:vAlign w:val="bottom"/>
            <w:tcBorders>
              <w:bottom w:val="single" w:sz="8" w:color="auto"/>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260" w:type="dxa"/>
            <w:vAlign w:val="bottom"/>
            <w:tcBorders>
              <w:bottom w:val="single" w:sz="8" w:color="auto"/>
            </w:tcBorders>
          </w:tcPr>
          <w:p>
            <w:pPr>
              <w:jc w:val="right"/>
              <w:ind w:right="285"/>
              <w:spacing w:after="0" w:line="130" w:lineRule="exact"/>
              <w:rPr>
                <w:sz w:val="20"/>
                <w:szCs w:val="20"/>
                <w:color w:val="auto"/>
              </w:rPr>
            </w:pPr>
            <w:r>
              <w:rPr>
                <w:rFonts w:ascii="Arial" w:cs="Arial" w:eastAsia="Arial" w:hAnsi="Arial"/>
                <w:sz w:val="12"/>
                <w:szCs w:val="12"/>
                <w:b w:val="1"/>
                <w:bCs w:val="1"/>
                <w:color w:val="auto"/>
              </w:rPr>
              <w:t>(Decrease)</w:t>
            </w:r>
          </w:p>
        </w:tc>
        <w:tc>
          <w:tcPr>
            <w:tcW w:w="1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69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Revenues</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609"/>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1"/>
              </w:rPr>
              <w:t>1,268.4</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669"/>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1,194.5</w:t>
            </w:r>
          </w:p>
        </w:tc>
        <w:tc>
          <w:tcPr>
            <w:tcW w:w="2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6.2%</w:t>
            </w:r>
          </w:p>
        </w:tc>
        <w:tc>
          <w:tcPr>
            <w:tcW w:w="0" w:type="dxa"/>
            <w:vAlign w:val="bottom"/>
          </w:tcPr>
          <w:p>
            <w:pPr>
              <w:spacing w:after="0"/>
              <w:rPr>
                <w:sz w:val="1"/>
                <w:szCs w:val="1"/>
                <w:color w:val="auto"/>
              </w:rPr>
            </w:pPr>
          </w:p>
        </w:tc>
      </w:tr>
      <w:tr>
        <w:trPr>
          <w:trHeight w:val="185"/>
        </w:trPr>
        <w:tc>
          <w:tcPr>
            <w:tcW w:w="6980" w:type="dxa"/>
            <w:vAlign w:val="bottom"/>
          </w:tcPr>
          <w:p>
            <w:pPr>
              <w:spacing w:after="0"/>
              <w:rPr>
                <w:sz w:val="20"/>
                <w:szCs w:val="20"/>
                <w:color w:val="auto"/>
              </w:rPr>
            </w:pPr>
            <w:r>
              <w:rPr>
                <w:rFonts w:ascii="Arial" w:cs="Arial" w:eastAsia="Arial" w:hAnsi="Arial"/>
                <w:sz w:val="15"/>
                <w:szCs w:val="15"/>
                <w:b w:val="1"/>
                <w:bCs w:val="1"/>
                <w:color w:val="auto"/>
              </w:rPr>
              <w:t>Expenses</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9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Operating</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91"/>
              </w:rPr>
              <w:t>1,146.4</w:t>
            </w:r>
          </w:p>
        </w:tc>
        <w:tc>
          <w:tcPr>
            <w:tcW w:w="7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1,073.0</w:t>
            </w:r>
          </w:p>
        </w:tc>
        <w:tc>
          <w:tcPr>
            <w:tcW w:w="2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6.8%</w:t>
            </w:r>
          </w:p>
        </w:tc>
        <w:tc>
          <w:tcPr>
            <w:tcW w:w="0" w:type="dxa"/>
            <w:vAlign w:val="bottom"/>
          </w:tcPr>
          <w:p>
            <w:pPr>
              <w:spacing w:after="0"/>
              <w:rPr>
                <w:sz w:val="1"/>
                <w:szCs w:val="1"/>
                <w:color w:val="auto"/>
              </w:rPr>
            </w:pPr>
          </w:p>
        </w:tc>
      </w:tr>
      <w:tr>
        <w:trPr>
          <w:trHeight w:val="185"/>
        </w:trPr>
        <w:tc>
          <w:tcPr>
            <w:tcW w:w="6980" w:type="dxa"/>
            <w:vAlign w:val="bottom"/>
          </w:tcPr>
          <w:p>
            <w:pPr>
              <w:ind w:left="140"/>
              <w:spacing w:after="0"/>
              <w:rPr>
                <w:sz w:val="20"/>
                <w:szCs w:val="20"/>
                <w:color w:val="auto"/>
              </w:rPr>
            </w:pPr>
            <w:r>
              <w:rPr>
                <w:rFonts w:ascii="Arial" w:cs="Arial" w:eastAsia="Arial" w:hAnsi="Arial"/>
                <w:sz w:val="15"/>
                <w:szCs w:val="15"/>
                <w:color w:val="auto"/>
              </w:rPr>
              <w:t>Selling, general and administrative</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5"/>
                <w:szCs w:val="15"/>
                <w:color w:val="auto"/>
              </w:rPr>
              <w:t>94.8</w:t>
            </w:r>
          </w:p>
        </w:tc>
        <w:tc>
          <w:tcPr>
            <w:tcW w:w="780" w:type="dxa"/>
            <w:vAlign w:val="bottom"/>
          </w:tcPr>
          <w:p>
            <w:pPr>
              <w:spacing w:after="0"/>
              <w:rPr>
                <w:sz w:val="16"/>
                <w:szCs w:val="16"/>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5"/>
                <w:szCs w:val="15"/>
                <w:color w:val="auto"/>
              </w:rPr>
              <w:t>98.7</w:t>
            </w:r>
          </w:p>
        </w:tc>
        <w:tc>
          <w:tcPr>
            <w:tcW w:w="1440" w:type="dxa"/>
            <w:vAlign w:val="bottom"/>
            <w:gridSpan w:val="2"/>
          </w:tcPr>
          <w:p>
            <w:pPr>
              <w:jc w:val="right"/>
              <w:spacing w:after="0"/>
              <w:rPr>
                <w:sz w:val="20"/>
                <w:szCs w:val="20"/>
                <w:color w:val="auto"/>
              </w:rPr>
            </w:pPr>
            <w:r>
              <w:rPr>
                <w:rFonts w:ascii="Arial" w:cs="Arial" w:eastAsia="Arial" w:hAnsi="Arial"/>
                <w:sz w:val="15"/>
                <w:szCs w:val="15"/>
                <w:color w:val="auto"/>
              </w:rPr>
              <w:t>(4.0)%</w:t>
            </w:r>
          </w:p>
        </w:tc>
        <w:tc>
          <w:tcPr>
            <w:tcW w:w="0" w:type="dxa"/>
            <w:vAlign w:val="bottom"/>
          </w:tcPr>
          <w:p>
            <w:pPr>
              <w:spacing w:after="0"/>
              <w:rPr>
                <w:sz w:val="1"/>
                <w:szCs w:val="1"/>
                <w:color w:val="auto"/>
              </w:rPr>
            </w:pPr>
          </w:p>
        </w:tc>
      </w:tr>
      <w:tr>
        <w:trPr>
          <w:trHeight w:val="185"/>
        </w:trPr>
        <w:tc>
          <w:tcPr>
            <w:tcW w:w="69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Restructuring and related</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7.2</w:t>
            </w:r>
          </w:p>
        </w:tc>
        <w:tc>
          <w:tcPr>
            <w:tcW w:w="7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196"/>
        </w:trPr>
        <w:tc>
          <w:tcPr>
            <w:tcW w:w="6980" w:type="dxa"/>
            <w:vAlign w:val="bottom"/>
          </w:tcPr>
          <w:p>
            <w:pPr>
              <w:ind w:left="140"/>
              <w:spacing w:after="0"/>
              <w:rPr>
                <w:sz w:val="20"/>
                <w:szCs w:val="20"/>
                <w:color w:val="auto"/>
              </w:rPr>
            </w:pPr>
            <w:r>
              <w:rPr>
                <w:rFonts w:ascii="Arial" w:cs="Arial" w:eastAsia="Arial" w:hAnsi="Arial"/>
                <w:sz w:val="15"/>
                <w:szCs w:val="15"/>
                <w:color w:val="auto"/>
              </w:rPr>
              <w:t>Amortization of intangible assets</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5"/>
                <w:szCs w:val="15"/>
                <w:color w:val="auto"/>
              </w:rPr>
              <w:t>6.4</w:t>
            </w:r>
          </w:p>
        </w:tc>
        <w:tc>
          <w:tcPr>
            <w:tcW w:w="7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6.0</w:t>
            </w:r>
          </w:p>
        </w:tc>
        <w:tc>
          <w:tcPr>
            <w:tcW w:w="200" w:type="dxa"/>
            <w:vAlign w:val="bottom"/>
          </w:tcPr>
          <w:p>
            <w:pPr>
              <w:spacing w:after="0"/>
              <w:rPr>
                <w:sz w:val="17"/>
                <w:szCs w:val="17"/>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5"/>
                <w:szCs w:val="15"/>
                <w:color w:val="auto"/>
              </w:rPr>
              <w:t>6.7%</w:t>
            </w:r>
          </w:p>
        </w:tc>
        <w:tc>
          <w:tcPr>
            <w:tcW w:w="0" w:type="dxa"/>
            <w:vAlign w:val="bottom"/>
          </w:tcPr>
          <w:p>
            <w:pPr>
              <w:spacing w:after="0"/>
              <w:rPr>
                <w:sz w:val="1"/>
                <w:szCs w:val="1"/>
                <w:color w:val="auto"/>
              </w:rPr>
            </w:pPr>
          </w:p>
        </w:tc>
      </w:tr>
      <w:tr>
        <w:trPr>
          <w:trHeight w:val="176"/>
        </w:trPr>
        <w:tc>
          <w:tcPr>
            <w:tcW w:w="698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Total expenses</w:t>
            </w:r>
          </w:p>
        </w:tc>
        <w:tc>
          <w:tcPr>
            <w:tcW w:w="1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spacing w:after="0"/>
              <w:rPr>
                <w:sz w:val="15"/>
                <w:szCs w:val="15"/>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1"/>
              </w:rPr>
              <w:t>1,254.8</w:t>
            </w:r>
          </w:p>
        </w:tc>
        <w:tc>
          <w:tcPr>
            <w:tcW w:w="2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7"/>
              </w:rPr>
              <w:t>1,177.7</w:t>
            </w:r>
          </w:p>
        </w:tc>
        <w:tc>
          <w:tcPr>
            <w:tcW w:w="20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6.5%</w:t>
            </w:r>
          </w:p>
        </w:tc>
        <w:tc>
          <w:tcPr>
            <w:tcW w:w="0" w:type="dxa"/>
            <w:vAlign w:val="bottom"/>
          </w:tcPr>
          <w:p>
            <w:pPr>
              <w:spacing w:after="0"/>
              <w:rPr>
                <w:sz w:val="1"/>
                <w:szCs w:val="1"/>
                <w:color w:val="auto"/>
              </w:rPr>
            </w:pPr>
          </w:p>
        </w:tc>
      </w:tr>
      <w:tr>
        <w:trPr>
          <w:trHeight w:val="176"/>
        </w:trPr>
        <w:tc>
          <w:tcPr>
            <w:tcW w:w="6980" w:type="dxa"/>
            <w:vAlign w:val="bottom"/>
          </w:tcPr>
          <w:p>
            <w:pPr>
              <w:spacing w:after="0"/>
              <w:rPr>
                <w:sz w:val="20"/>
                <w:szCs w:val="20"/>
                <w:color w:val="auto"/>
              </w:rPr>
            </w:pPr>
            <w:r>
              <w:rPr>
                <w:rFonts w:ascii="Arial" w:cs="Arial" w:eastAsia="Arial" w:hAnsi="Arial"/>
                <w:sz w:val="15"/>
                <w:szCs w:val="15"/>
                <w:color w:val="auto"/>
              </w:rPr>
              <w:t>Operating profit</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13.6</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16.8</w:t>
            </w:r>
          </w:p>
        </w:tc>
        <w:tc>
          <w:tcPr>
            <w:tcW w:w="200" w:type="dxa"/>
            <w:vAlign w:val="bottom"/>
          </w:tcPr>
          <w:p>
            <w:pPr>
              <w:spacing w:after="0"/>
              <w:rPr>
                <w:sz w:val="15"/>
                <w:szCs w:val="15"/>
                <w:color w:val="auto"/>
              </w:rPr>
            </w:pPr>
          </w:p>
        </w:tc>
        <w:tc>
          <w:tcPr>
            <w:tcW w:w="1440" w:type="dxa"/>
            <w:vAlign w:val="bottom"/>
            <w:gridSpan w:val="2"/>
          </w:tcPr>
          <w:p>
            <w:pPr>
              <w:jc w:val="right"/>
              <w:spacing w:after="0"/>
              <w:rPr>
                <w:sz w:val="20"/>
                <w:szCs w:val="20"/>
                <w:color w:val="auto"/>
              </w:rPr>
            </w:pPr>
            <w:r>
              <w:rPr>
                <w:rFonts w:ascii="Arial" w:cs="Arial" w:eastAsia="Arial" w:hAnsi="Arial"/>
                <w:sz w:val="15"/>
                <w:szCs w:val="15"/>
                <w:color w:val="auto"/>
              </w:rPr>
              <w:t>(19.0)%</w:t>
            </w:r>
          </w:p>
        </w:tc>
        <w:tc>
          <w:tcPr>
            <w:tcW w:w="0" w:type="dxa"/>
            <w:vAlign w:val="bottom"/>
          </w:tcPr>
          <w:p>
            <w:pPr>
              <w:spacing w:after="0"/>
              <w:rPr>
                <w:sz w:val="1"/>
                <w:szCs w:val="1"/>
                <w:color w:val="auto"/>
              </w:rPr>
            </w:pPr>
          </w:p>
        </w:tc>
      </w:tr>
      <w:tr>
        <w:trPr>
          <w:trHeight w:val="185"/>
        </w:trPr>
        <w:tc>
          <w:tcPr>
            <w:tcW w:w="6980" w:type="dxa"/>
            <w:vAlign w:val="bottom"/>
            <w:shd w:val="clear" w:color="auto" w:fill="CCEEFF"/>
          </w:tcPr>
          <w:p>
            <w:pPr>
              <w:spacing w:after="0"/>
              <w:rPr>
                <w:sz w:val="20"/>
                <w:szCs w:val="20"/>
                <w:color w:val="auto"/>
              </w:rPr>
            </w:pPr>
            <w:r>
              <w:rPr>
                <w:rFonts w:ascii="Arial" w:cs="Arial" w:eastAsia="Arial" w:hAnsi="Arial"/>
                <w:sz w:val="15"/>
                <w:szCs w:val="15"/>
                <w:color w:val="auto"/>
              </w:rPr>
              <w:t>Income from unconsolidated affiliates, net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2.4</w:t>
            </w:r>
          </w:p>
        </w:tc>
        <w:tc>
          <w:tcPr>
            <w:tcW w:w="7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2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60.0%</w:t>
            </w:r>
          </w:p>
        </w:tc>
        <w:tc>
          <w:tcPr>
            <w:tcW w:w="0" w:type="dxa"/>
            <w:vAlign w:val="bottom"/>
          </w:tcPr>
          <w:p>
            <w:pPr>
              <w:spacing w:after="0"/>
              <w:rPr>
                <w:sz w:val="1"/>
                <w:szCs w:val="1"/>
                <w:color w:val="auto"/>
              </w:rPr>
            </w:pPr>
          </w:p>
        </w:tc>
      </w:tr>
      <w:tr>
        <w:trPr>
          <w:trHeight w:val="196"/>
        </w:trPr>
        <w:tc>
          <w:tcPr>
            <w:tcW w:w="6980" w:type="dxa"/>
            <w:vAlign w:val="bottom"/>
          </w:tcPr>
          <w:p>
            <w:pPr>
              <w:spacing w:after="0"/>
              <w:rPr>
                <w:sz w:val="20"/>
                <w:szCs w:val="20"/>
                <w:color w:val="auto"/>
              </w:rPr>
            </w:pPr>
            <w:r>
              <w:rPr>
                <w:rFonts w:ascii="Arial" w:cs="Arial" w:eastAsia="Arial" w:hAnsi="Arial"/>
                <w:sz w:val="15"/>
                <w:szCs w:val="15"/>
                <w:color w:val="auto"/>
              </w:rPr>
              <w:t>Interest expense</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5"/>
                <w:szCs w:val="15"/>
                <w:color w:val="auto"/>
              </w:rPr>
              <w:t>(2.7)</w:t>
            </w:r>
          </w:p>
        </w:tc>
        <w:tc>
          <w:tcPr>
            <w:tcW w:w="78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5"/>
                <w:szCs w:val="15"/>
                <w:color w:val="auto"/>
              </w:rPr>
              <w:t>(2.7)</w:t>
            </w:r>
          </w:p>
        </w:tc>
        <w:tc>
          <w:tcPr>
            <w:tcW w:w="14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Income from continuing operations before income taxes</w:t>
            </w:r>
          </w:p>
        </w:tc>
        <w:tc>
          <w:tcPr>
            <w:tcW w:w="1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13.3</w:t>
            </w:r>
          </w:p>
        </w:tc>
        <w:tc>
          <w:tcPr>
            <w:tcW w:w="2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15.6</w:t>
            </w:r>
          </w:p>
        </w:tc>
        <w:tc>
          <w:tcPr>
            <w:tcW w:w="20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(14.7)%</w:t>
            </w:r>
          </w:p>
        </w:tc>
        <w:tc>
          <w:tcPr>
            <w:tcW w:w="0" w:type="dxa"/>
            <w:vAlign w:val="bottom"/>
          </w:tcPr>
          <w:p>
            <w:pPr>
              <w:spacing w:after="0"/>
              <w:rPr>
                <w:sz w:val="1"/>
                <w:szCs w:val="1"/>
                <w:color w:val="auto"/>
              </w:rPr>
            </w:pPr>
          </w:p>
        </w:tc>
      </w:tr>
      <w:tr>
        <w:trPr>
          <w:trHeight w:val="196"/>
        </w:trPr>
        <w:tc>
          <w:tcPr>
            <w:tcW w:w="6980" w:type="dxa"/>
            <w:vAlign w:val="bottom"/>
          </w:tcPr>
          <w:p>
            <w:pPr>
              <w:spacing w:after="0"/>
              <w:rPr>
                <w:sz w:val="20"/>
                <w:szCs w:val="20"/>
                <w:color w:val="auto"/>
              </w:rPr>
            </w:pPr>
            <w:r>
              <w:rPr>
                <w:rFonts w:ascii="Arial" w:cs="Arial" w:eastAsia="Arial" w:hAnsi="Arial"/>
                <w:sz w:val="15"/>
                <w:szCs w:val="15"/>
                <w:color w:val="auto"/>
              </w:rPr>
              <w:t>Benefit from (provision for) income taxes</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5"/>
                <w:szCs w:val="15"/>
                <w:color w:val="auto"/>
              </w:rPr>
              <w:t>0.3</w:t>
            </w:r>
          </w:p>
        </w:tc>
        <w:tc>
          <w:tcPr>
            <w:tcW w:w="78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5"/>
                <w:szCs w:val="15"/>
                <w:color w:val="auto"/>
              </w:rPr>
              <w:t>(1.3)</w:t>
            </w:r>
          </w:p>
        </w:tc>
        <w:tc>
          <w:tcPr>
            <w:tcW w:w="1440" w:type="dxa"/>
            <w:vAlign w:val="bottom"/>
            <w:gridSpan w:val="2"/>
          </w:tcPr>
          <w:p>
            <w:pPr>
              <w:jc w:val="right"/>
              <w:ind w:right="120"/>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176"/>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Income from continuing operations</w:t>
            </w:r>
          </w:p>
        </w:tc>
        <w:tc>
          <w:tcPr>
            <w:tcW w:w="1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13.6</w:t>
            </w:r>
          </w:p>
        </w:tc>
        <w:tc>
          <w:tcPr>
            <w:tcW w:w="2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14.3</w:t>
            </w:r>
          </w:p>
        </w:tc>
        <w:tc>
          <w:tcPr>
            <w:tcW w:w="20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(4.9)%</w:t>
            </w:r>
          </w:p>
        </w:tc>
        <w:tc>
          <w:tcPr>
            <w:tcW w:w="0" w:type="dxa"/>
            <w:vAlign w:val="bottom"/>
          </w:tcPr>
          <w:p>
            <w:pPr>
              <w:spacing w:after="0"/>
              <w:rPr>
                <w:sz w:val="1"/>
                <w:szCs w:val="1"/>
                <w:color w:val="auto"/>
              </w:rPr>
            </w:pPr>
          </w:p>
        </w:tc>
      </w:tr>
      <w:tr>
        <w:trPr>
          <w:trHeight w:val="196"/>
        </w:trPr>
        <w:tc>
          <w:tcPr>
            <w:tcW w:w="6980" w:type="dxa"/>
            <w:vAlign w:val="bottom"/>
          </w:tcPr>
          <w:p>
            <w:pPr>
              <w:spacing w:after="0"/>
              <w:rPr>
                <w:sz w:val="20"/>
                <w:szCs w:val="20"/>
                <w:color w:val="auto"/>
              </w:rPr>
            </w:pPr>
            <w:r>
              <w:rPr>
                <w:rFonts w:ascii="Arial" w:cs="Arial" w:eastAsia="Arial" w:hAnsi="Arial"/>
                <w:sz w:val="15"/>
                <w:szCs w:val="15"/>
                <w:color w:val="auto"/>
              </w:rPr>
              <w:t>Income from discontinued operations, net of income tax benefit</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5"/>
                <w:szCs w:val="15"/>
                <w:color w:val="auto"/>
              </w:rPr>
              <w:t>0.4</w:t>
            </w:r>
          </w:p>
        </w:tc>
        <w:tc>
          <w:tcPr>
            <w:tcW w:w="7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3.4</w:t>
            </w:r>
          </w:p>
        </w:tc>
        <w:tc>
          <w:tcPr>
            <w:tcW w:w="200" w:type="dxa"/>
            <w:vAlign w:val="bottom"/>
          </w:tcPr>
          <w:p>
            <w:pPr>
              <w:spacing w:after="0"/>
              <w:rPr>
                <w:sz w:val="17"/>
                <w:szCs w:val="17"/>
                <w:color w:val="auto"/>
              </w:rPr>
            </w:pPr>
          </w:p>
        </w:tc>
        <w:tc>
          <w:tcPr>
            <w:tcW w:w="1440" w:type="dxa"/>
            <w:vAlign w:val="bottom"/>
            <w:gridSpan w:val="2"/>
          </w:tcPr>
          <w:p>
            <w:pPr>
              <w:jc w:val="right"/>
              <w:spacing w:after="0"/>
              <w:rPr>
                <w:sz w:val="20"/>
                <w:szCs w:val="20"/>
                <w:color w:val="auto"/>
              </w:rPr>
            </w:pPr>
            <w:r>
              <w:rPr>
                <w:rFonts w:ascii="Arial" w:cs="Arial" w:eastAsia="Arial" w:hAnsi="Arial"/>
                <w:sz w:val="15"/>
                <w:szCs w:val="15"/>
                <w:color w:val="auto"/>
              </w:rPr>
              <w:t>(88.2)%</w:t>
            </w:r>
          </w:p>
        </w:tc>
        <w:tc>
          <w:tcPr>
            <w:tcW w:w="0" w:type="dxa"/>
            <w:vAlign w:val="bottom"/>
          </w:tcPr>
          <w:p>
            <w:pPr>
              <w:spacing w:after="0"/>
              <w:rPr>
                <w:sz w:val="1"/>
                <w:szCs w:val="1"/>
                <w:color w:val="auto"/>
              </w:rPr>
            </w:pPr>
          </w:p>
        </w:tc>
      </w:tr>
      <w:tr>
        <w:trPr>
          <w:trHeight w:val="20"/>
        </w:trPr>
        <w:tc>
          <w:tcPr>
            <w:tcW w:w="6980" w:type="dxa"/>
            <w:vAlign w:val="bottom"/>
            <w:vMerge w:val="restart"/>
            <w:shd w:val="clear" w:color="auto" w:fill="CCEEFF"/>
          </w:tcPr>
          <w:p>
            <w:pPr>
              <w:spacing w:after="0"/>
              <w:rPr>
                <w:sz w:val="20"/>
                <w:szCs w:val="20"/>
                <w:color w:val="auto"/>
              </w:rPr>
            </w:pPr>
            <w:r>
              <w:rPr>
                <w:rFonts w:ascii="Arial" w:cs="Arial" w:eastAsia="Arial" w:hAnsi="Arial"/>
                <w:sz w:val="15"/>
                <w:szCs w:val="15"/>
                <w:b w:val="1"/>
                <w:bCs w:val="1"/>
                <w:color w:val="auto"/>
              </w:rPr>
              <w:t>Net income</w:t>
            </w: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4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(20.9)%</w:t>
            </w:r>
          </w:p>
        </w:tc>
        <w:tc>
          <w:tcPr>
            <w:tcW w:w="0" w:type="dxa"/>
            <w:vAlign w:val="bottom"/>
          </w:tcPr>
          <w:p>
            <w:pPr>
              <w:spacing w:after="0" w:line="20" w:lineRule="exact"/>
              <w:rPr>
                <w:sz w:val="1"/>
                <w:szCs w:val="1"/>
                <w:color w:val="auto"/>
              </w:rPr>
            </w:pPr>
          </w:p>
        </w:tc>
      </w:tr>
      <w:tr>
        <w:trPr>
          <w:trHeight w:val="188"/>
        </w:trPr>
        <w:tc>
          <w:tcPr>
            <w:tcW w:w="6980" w:type="dxa"/>
            <w:vAlign w:val="bottom"/>
            <w:vMerge w:val="continue"/>
            <w:shd w:val="clear" w:color="auto" w:fill="CCEEFF"/>
          </w:tcPr>
          <w:p>
            <w:pPr>
              <w:spacing w:after="0"/>
              <w:rPr>
                <w:sz w:val="16"/>
                <w:szCs w:val="16"/>
                <w:color w:val="auto"/>
              </w:rPr>
            </w:pPr>
          </w:p>
        </w:tc>
        <w:tc>
          <w:tcPr>
            <w:tcW w:w="880" w:type="dxa"/>
            <w:vAlign w:val="bottom"/>
            <w:gridSpan w:val="2"/>
            <w:shd w:val="clear" w:color="auto" w:fill="CCEEFF"/>
          </w:tcPr>
          <w:p>
            <w:pPr>
              <w:jc w:val="right"/>
              <w:ind w:right="609"/>
              <w:spacing w:after="0"/>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14.0</w:t>
            </w:r>
          </w:p>
        </w:tc>
        <w:tc>
          <w:tcPr>
            <w:tcW w:w="780" w:type="dxa"/>
            <w:vAlign w:val="bottom"/>
            <w:shd w:val="clear" w:color="auto" w:fill="CCEEFF"/>
          </w:tcPr>
          <w:p>
            <w:pPr>
              <w:jc w:val="right"/>
              <w:ind w:right="669"/>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17.7</w:t>
            </w:r>
          </w:p>
        </w:tc>
        <w:tc>
          <w:tcPr>
            <w:tcW w:w="144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5"/>
                <w:szCs w:val="15"/>
                <w:b w:val="1"/>
                <w:bCs w:val="1"/>
                <w:color w:val="auto"/>
              </w:rPr>
              <w:t>Net income per common share — basic</w:t>
            </w: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69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69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Income from continuing operations</w:t>
            </w:r>
          </w:p>
        </w:tc>
        <w:tc>
          <w:tcPr>
            <w:tcW w:w="880" w:type="dxa"/>
            <w:vAlign w:val="bottom"/>
            <w:gridSpan w:val="2"/>
            <w:shd w:val="clear" w:color="auto" w:fill="CCEEFF"/>
          </w:tcPr>
          <w:p>
            <w:pPr>
              <w:jc w:val="right"/>
              <w:ind w:right="609"/>
              <w:spacing w:after="0"/>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0.24</w:t>
            </w:r>
          </w:p>
        </w:tc>
        <w:tc>
          <w:tcPr>
            <w:tcW w:w="780" w:type="dxa"/>
            <w:vAlign w:val="bottom"/>
            <w:shd w:val="clear" w:color="auto" w:fill="CCEEFF"/>
          </w:tcPr>
          <w:p>
            <w:pPr>
              <w:jc w:val="right"/>
              <w:ind w:right="669"/>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0.25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(4.0)%</w:t>
            </w:r>
          </w:p>
        </w:tc>
        <w:tc>
          <w:tcPr>
            <w:tcW w:w="0" w:type="dxa"/>
            <w:vAlign w:val="bottom"/>
          </w:tcPr>
          <w:p>
            <w:pPr>
              <w:spacing w:after="0"/>
              <w:rPr>
                <w:sz w:val="1"/>
                <w:szCs w:val="1"/>
                <w:color w:val="auto"/>
              </w:rPr>
            </w:pPr>
          </w:p>
        </w:tc>
      </w:tr>
      <w:tr>
        <w:trPr>
          <w:trHeight w:val="196"/>
        </w:trPr>
        <w:tc>
          <w:tcPr>
            <w:tcW w:w="6980" w:type="dxa"/>
            <w:vAlign w:val="bottom"/>
          </w:tcPr>
          <w:p>
            <w:pPr>
              <w:ind w:left="140"/>
              <w:spacing w:after="0"/>
              <w:rPr>
                <w:sz w:val="20"/>
                <w:szCs w:val="20"/>
                <w:color w:val="auto"/>
              </w:rPr>
            </w:pPr>
            <w:r>
              <w:rPr>
                <w:rFonts w:ascii="Arial" w:cs="Arial" w:eastAsia="Arial" w:hAnsi="Arial"/>
                <w:sz w:val="15"/>
                <w:szCs w:val="15"/>
                <w:color w:val="auto"/>
              </w:rPr>
              <w:t>Income from discontinued operations</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5"/>
                <w:szCs w:val="15"/>
                <w:color w:val="auto"/>
              </w:rPr>
              <w:t>0.01</w:t>
            </w:r>
          </w:p>
        </w:tc>
        <w:tc>
          <w:tcPr>
            <w:tcW w:w="780" w:type="dxa"/>
            <w:vAlign w:val="bottom"/>
          </w:tcPr>
          <w:p>
            <w:pPr>
              <w:spacing w:after="0"/>
              <w:rPr>
                <w:sz w:val="17"/>
                <w:szCs w:val="17"/>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5"/>
                <w:szCs w:val="15"/>
                <w:color w:val="auto"/>
              </w:rPr>
              <w:t>0.06</w:t>
            </w:r>
          </w:p>
        </w:tc>
        <w:tc>
          <w:tcPr>
            <w:tcW w:w="1440" w:type="dxa"/>
            <w:vAlign w:val="bottom"/>
            <w:gridSpan w:val="2"/>
          </w:tcPr>
          <w:p>
            <w:pPr>
              <w:jc w:val="right"/>
              <w:spacing w:after="0"/>
              <w:rPr>
                <w:sz w:val="20"/>
                <w:szCs w:val="20"/>
                <w:color w:val="auto"/>
              </w:rPr>
            </w:pPr>
            <w:r>
              <w:rPr>
                <w:rFonts w:ascii="Arial" w:cs="Arial" w:eastAsia="Arial" w:hAnsi="Arial"/>
                <w:sz w:val="15"/>
                <w:szCs w:val="15"/>
                <w:color w:val="auto"/>
              </w:rPr>
              <w:t>(83.3)%</w:t>
            </w:r>
          </w:p>
        </w:tc>
        <w:tc>
          <w:tcPr>
            <w:tcW w:w="0" w:type="dxa"/>
            <w:vAlign w:val="bottom"/>
          </w:tcPr>
          <w:p>
            <w:pPr>
              <w:spacing w:after="0"/>
              <w:rPr>
                <w:sz w:val="1"/>
                <w:szCs w:val="1"/>
                <w:color w:val="auto"/>
              </w:rPr>
            </w:pPr>
          </w:p>
        </w:tc>
      </w:tr>
      <w:tr>
        <w:trPr>
          <w:trHeight w:val="176"/>
        </w:trPr>
        <w:tc>
          <w:tcPr>
            <w:tcW w:w="698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Net income</w:t>
            </w:r>
          </w:p>
        </w:tc>
        <w:tc>
          <w:tcPr>
            <w:tcW w:w="1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ind w:right="609"/>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0.25</w:t>
            </w:r>
          </w:p>
        </w:tc>
        <w:tc>
          <w:tcPr>
            <w:tcW w:w="2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ind w:right="669"/>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0.31</w:t>
            </w:r>
          </w:p>
        </w:tc>
        <w:tc>
          <w:tcPr>
            <w:tcW w:w="20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(19.4)%</w:t>
            </w:r>
          </w:p>
        </w:tc>
        <w:tc>
          <w:tcPr>
            <w:tcW w:w="0" w:type="dxa"/>
            <w:vAlign w:val="bottom"/>
          </w:tcPr>
          <w:p>
            <w:pPr>
              <w:spacing w:after="0"/>
              <w:rPr>
                <w:sz w:val="1"/>
                <w:szCs w:val="1"/>
                <w:color w:val="auto"/>
              </w:rPr>
            </w:pPr>
          </w:p>
        </w:tc>
      </w:tr>
      <w:tr>
        <w:trPr>
          <w:trHeight w:val="185"/>
        </w:trPr>
        <w:tc>
          <w:tcPr>
            <w:tcW w:w="6980" w:type="dxa"/>
            <w:vAlign w:val="bottom"/>
          </w:tcPr>
          <w:p>
            <w:pPr>
              <w:spacing w:after="0"/>
              <w:rPr>
                <w:sz w:val="20"/>
                <w:szCs w:val="20"/>
                <w:color w:val="auto"/>
              </w:rPr>
            </w:pPr>
            <w:r>
              <w:rPr>
                <w:rFonts w:ascii="Arial" w:cs="Arial" w:eastAsia="Arial" w:hAnsi="Arial"/>
                <w:sz w:val="15"/>
                <w:szCs w:val="15"/>
                <w:b w:val="1"/>
                <w:bCs w:val="1"/>
                <w:color w:val="auto"/>
              </w:rPr>
              <w:t>Net income per common share — diluted</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9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Income from continuing operations</w:t>
            </w:r>
          </w:p>
        </w:tc>
        <w:tc>
          <w:tcPr>
            <w:tcW w:w="880" w:type="dxa"/>
            <w:vAlign w:val="bottom"/>
            <w:gridSpan w:val="2"/>
            <w:shd w:val="clear" w:color="auto" w:fill="CCEEFF"/>
          </w:tcPr>
          <w:p>
            <w:pPr>
              <w:jc w:val="right"/>
              <w:ind w:right="609"/>
              <w:spacing w:after="0"/>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0.24</w:t>
            </w:r>
          </w:p>
        </w:tc>
        <w:tc>
          <w:tcPr>
            <w:tcW w:w="780" w:type="dxa"/>
            <w:vAlign w:val="bottom"/>
            <w:shd w:val="clear" w:color="auto" w:fill="CCEEFF"/>
          </w:tcPr>
          <w:p>
            <w:pPr>
              <w:jc w:val="right"/>
              <w:ind w:right="669"/>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0.25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(4.0)%</w:t>
            </w:r>
          </w:p>
        </w:tc>
        <w:tc>
          <w:tcPr>
            <w:tcW w:w="0" w:type="dxa"/>
            <w:vAlign w:val="bottom"/>
          </w:tcPr>
          <w:p>
            <w:pPr>
              <w:spacing w:after="0"/>
              <w:rPr>
                <w:sz w:val="1"/>
                <w:szCs w:val="1"/>
                <w:color w:val="auto"/>
              </w:rPr>
            </w:pPr>
          </w:p>
        </w:tc>
      </w:tr>
      <w:tr>
        <w:trPr>
          <w:trHeight w:val="196"/>
        </w:trPr>
        <w:tc>
          <w:tcPr>
            <w:tcW w:w="6980" w:type="dxa"/>
            <w:vAlign w:val="bottom"/>
          </w:tcPr>
          <w:p>
            <w:pPr>
              <w:ind w:left="140"/>
              <w:spacing w:after="0"/>
              <w:rPr>
                <w:sz w:val="20"/>
                <w:szCs w:val="20"/>
                <w:color w:val="auto"/>
              </w:rPr>
            </w:pPr>
            <w:r>
              <w:rPr>
                <w:rFonts w:ascii="Arial" w:cs="Arial" w:eastAsia="Arial" w:hAnsi="Arial"/>
                <w:sz w:val="15"/>
                <w:szCs w:val="15"/>
                <w:color w:val="auto"/>
              </w:rPr>
              <w:t>Income from discontinued operations</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80" w:type="dxa"/>
            <w:vAlign w:val="bottom"/>
          </w:tcPr>
          <w:p>
            <w:pPr>
              <w:spacing w:after="0"/>
              <w:rPr>
                <w:sz w:val="17"/>
                <w:szCs w:val="17"/>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5"/>
                <w:szCs w:val="15"/>
                <w:color w:val="auto"/>
              </w:rPr>
              <w:t>0.06</w:t>
            </w:r>
          </w:p>
        </w:tc>
        <w:tc>
          <w:tcPr>
            <w:tcW w:w="1440" w:type="dxa"/>
            <w:vAlign w:val="bottom"/>
            <w:gridSpan w:val="2"/>
          </w:tcPr>
          <w:p>
            <w:pPr>
              <w:jc w:val="right"/>
              <w:spacing w:after="0"/>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176"/>
        </w:trPr>
        <w:tc>
          <w:tcPr>
            <w:tcW w:w="698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Net Income</w:t>
            </w:r>
          </w:p>
        </w:tc>
        <w:tc>
          <w:tcPr>
            <w:tcW w:w="1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ind w:right="609"/>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0.24</w:t>
            </w:r>
          </w:p>
        </w:tc>
        <w:tc>
          <w:tcPr>
            <w:tcW w:w="2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ind w:right="669"/>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0.31</w:t>
            </w:r>
          </w:p>
        </w:tc>
        <w:tc>
          <w:tcPr>
            <w:tcW w:w="20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(22.6)%</w:t>
            </w:r>
          </w:p>
        </w:tc>
        <w:tc>
          <w:tcPr>
            <w:tcW w:w="0" w:type="dxa"/>
            <w:vAlign w:val="bottom"/>
          </w:tcPr>
          <w:p>
            <w:pPr>
              <w:spacing w:after="0"/>
              <w:rPr>
                <w:sz w:val="1"/>
                <w:szCs w:val="1"/>
                <w:color w:val="auto"/>
              </w:rPr>
            </w:pPr>
          </w:p>
        </w:tc>
      </w:tr>
      <w:tr>
        <w:trPr>
          <w:trHeight w:val="185"/>
        </w:trPr>
        <w:tc>
          <w:tcPr>
            <w:tcW w:w="6980" w:type="dxa"/>
            <w:vAlign w:val="bottom"/>
          </w:tcPr>
          <w:p>
            <w:pPr>
              <w:spacing w:after="0"/>
              <w:rPr>
                <w:sz w:val="20"/>
                <w:szCs w:val="20"/>
                <w:color w:val="auto"/>
              </w:rPr>
            </w:pPr>
            <w:r>
              <w:rPr>
                <w:rFonts w:ascii="Arial" w:cs="Arial" w:eastAsia="Arial" w:hAnsi="Arial"/>
                <w:sz w:val="15"/>
                <w:szCs w:val="15"/>
                <w:b w:val="1"/>
                <w:bCs w:val="1"/>
                <w:color w:val="auto"/>
              </w:rPr>
              <w:t>Weighted-average common and common equivalent shares outstanding</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9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Basic</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56.6</w:t>
            </w:r>
          </w:p>
        </w:tc>
        <w:tc>
          <w:tcPr>
            <w:tcW w:w="7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56.4</w:t>
            </w:r>
          </w:p>
        </w:tc>
        <w:tc>
          <w:tcPr>
            <w:tcW w:w="1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980" w:type="dxa"/>
            <w:vAlign w:val="bottom"/>
          </w:tcPr>
          <w:p>
            <w:pPr>
              <w:ind w:left="140"/>
              <w:spacing w:after="0"/>
              <w:rPr>
                <w:sz w:val="20"/>
                <w:szCs w:val="20"/>
                <w:color w:val="auto"/>
              </w:rPr>
            </w:pPr>
            <w:r>
              <w:rPr>
                <w:rFonts w:ascii="Arial" w:cs="Arial" w:eastAsia="Arial" w:hAnsi="Arial"/>
                <w:sz w:val="15"/>
                <w:szCs w:val="15"/>
                <w:color w:val="auto"/>
              </w:rPr>
              <w:t>Diluted</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5"/>
                <w:szCs w:val="15"/>
                <w:color w:val="auto"/>
              </w:rPr>
              <w:t>57.1</w:t>
            </w:r>
          </w:p>
        </w:tc>
        <w:tc>
          <w:tcPr>
            <w:tcW w:w="780" w:type="dxa"/>
            <w:vAlign w:val="bottom"/>
          </w:tcPr>
          <w:p>
            <w:pPr>
              <w:spacing w:after="0"/>
              <w:rPr>
                <w:sz w:val="16"/>
                <w:szCs w:val="16"/>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5"/>
                <w:szCs w:val="15"/>
                <w:color w:val="auto"/>
              </w:rPr>
              <w:t>57.2</w:t>
            </w: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9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Dividends declared per common share</w:t>
            </w:r>
          </w:p>
        </w:tc>
        <w:tc>
          <w:tcPr>
            <w:tcW w:w="880" w:type="dxa"/>
            <w:vAlign w:val="bottom"/>
            <w:gridSpan w:val="2"/>
            <w:shd w:val="clear" w:color="auto" w:fill="CCEEFF"/>
          </w:tcPr>
          <w:p>
            <w:pPr>
              <w:jc w:val="right"/>
              <w:ind w:right="609"/>
              <w:spacing w:after="0"/>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0.165</w:t>
            </w:r>
          </w:p>
        </w:tc>
        <w:tc>
          <w:tcPr>
            <w:tcW w:w="780" w:type="dxa"/>
            <w:vAlign w:val="bottom"/>
            <w:shd w:val="clear" w:color="auto" w:fill="CCEEFF"/>
          </w:tcPr>
          <w:p>
            <w:pPr>
              <w:jc w:val="right"/>
              <w:ind w:right="669"/>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0.160</w:t>
            </w: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auto"/>
        </w:rPr>
        <w:t>*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365760</wp:posOffset>
            </wp:positionV>
            <wp:extent cx="726630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ectPr>
          <w:pgSz w:w="11900" w:h="16838" w:orient="portrait"/>
          <w:cols w:equalWidth="0" w:num="1">
            <w:col w:w="11440"/>
          </w:cols>
          <w:pgMar w:left="240" w:top="794" w:right="219" w:bottom="1440" w:gutter="0" w:footer="0" w:header="0"/>
        </w:sectPr>
      </w:pPr>
    </w:p>
    <w:bookmarkStart w:id="9" w:name="page10"/>
    <w:bookmarkEnd w:id="9"/>
    <w:p>
      <w:pPr>
        <w:spacing w:after="0"/>
        <w:rPr>
          <w:sz w:val="20"/>
          <w:szCs w:val="20"/>
          <w:color w:val="auto"/>
        </w:rPr>
      </w:pPr>
      <w:r>
        <w:rPr>
          <w:rFonts w:ascii="Arial" w:cs="Arial" w:eastAsia="Arial" w:hAnsi="Arial"/>
          <w:sz w:val="15"/>
          <w:szCs w:val="15"/>
          <w:b w:val="1"/>
          <w:bCs w:val="1"/>
          <w:color w:val="auto"/>
        </w:rPr>
        <w:t>ABM INDUSTRIES INCORPORATED AND SUBSIDIARIES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SELECTED CONSOLIDATED CASH FLOW INFORMATION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8480" w:type="dxa"/>
            <w:vAlign w:val="bottom"/>
            <w:vMerge w:val="restart"/>
          </w:tcPr>
          <w:p>
            <w:pPr>
              <w:spacing w:after="0"/>
              <w:rPr>
                <w:sz w:val="20"/>
                <w:szCs w:val="20"/>
                <w:color w:val="auto"/>
              </w:rPr>
            </w:pPr>
            <w:r>
              <w:rPr>
                <w:rFonts w:ascii="Arial" w:cs="Arial" w:eastAsia="Arial" w:hAnsi="Arial"/>
                <w:sz w:val="12"/>
                <w:szCs w:val="12"/>
                <w:b w:val="1"/>
                <w:bCs w:val="1"/>
                <w:i w:val="1"/>
                <w:iCs w:val="1"/>
                <w:color w:val="auto"/>
              </w:rPr>
              <w:t>(in millions)</w:t>
            </w:r>
          </w:p>
        </w:tc>
        <w:tc>
          <w:tcPr>
            <w:tcW w:w="10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2580" w:type="dxa"/>
            <w:vAlign w:val="bottom"/>
            <w:gridSpan w:val="6"/>
          </w:tcPr>
          <w:p>
            <w:pPr>
              <w:jc w:val="right"/>
              <w:ind w:right="562"/>
              <w:spacing w:after="0"/>
              <w:rPr>
                <w:sz w:val="20"/>
                <w:szCs w:val="20"/>
                <w:color w:val="auto"/>
              </w:rPr>
            </w:pPr>
            <w:r>
              <w:rPr>
                <w:rFonts w:ascii="Arial" w:cs="Arial" w:eastAsia="Arial" w:hAnsi="Arial"/>
                <w:sz w:val="12"/>
                <w:szCs w:val="12"/>
                <w:b w:val="1"/>
                <w:bCs w:val="1"/>
                <w:color w:val="auto"/>
              </w:rPr>
              <w:t>Three Months Ended January 31,</w:t>
            </w:r>
          </w:p>
        </w:tc>
        <w:tc>
          <w:tcPr>
            <w:tcW w:w="0" w:type="dxa"/>
            <w:vAlign w:val="bottom"/>
          </w:tcPr>
          <w:p>
            <w:pPr>
              <w:spacing w:after="0"/>
              <w:rPr>
                <w:sz w:val="1"/>
                <w:szCs w:val="1"/>
                <w:color w:val="auto"/>
              </w:rPr>
            </w:pPr>
          </w:p>
        </w:tc>
      </w:tr>
      <w:tr>
        <w:trPr>
          <w:trHeight w:val="130"/>
        </w:trPr>
        <w:tc>
          <w:tcPr>
            <w:tcW w:w="848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vMerge w:val="continue"/>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jc w:val="right"/>
              <w:ind w:right="445"/>
              <w:spacing w:after="0" w:line="130" w:lineRule="exact"/>
              <w:rPr>
                <w:sz w:val="20"/>
                <w:szCs w:val="20"/>
                <w:color w:val="auto"/>
              </w:rPr>
            </w:pPr>
            <w:r>
              <w:rPr>
                <w:rFonts w:ascii="Arial" w:cs="Arial" w:eastAsia="Arial" w:hAnsi="Arial"/>
                <w:sz w:val="12"/>
                <w:szCs w:val="12"/>
                <w:b w:val="1"/>
                <w:bCs w:val="1"/>
                <w:color w:val="auto"/>
              </w:rPr>
              <w:t>2016</w:t>
            </w:r>
          </w:p>
        </w:tc>
        <w:tc>
          <w:tcPr>
            <w:tcW w:w="14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CCEEFF"/>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ind w:right="424"/>
              <w:spacing w:after="0" w:line="130" w:lineRule="exact"/>
              <w:rPr>
                <w:sz w:val="20"/>
                <w:szCs w:val="20"/>
                <w:color w:val="auto"/>
              </w:rPr>
            </w:pPr>
            <w:r>
              <w:rPr>
                <w:rFonts w:ascii="Arial" w:cs="Arial" w:eastAsia="Arial" w:hAnsi="Arial"/>
                <w:sz w:val="12"/>
                <w:szCs w:val="12"/>
                <w:b w:val="1"/>
                <w:bCs w:val="1"/>
                <w:color w:val="auto"/>
              </w:rPr>
              <w:t>2015</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8480" w:type="dxa"/>
            <w:vAlign w:val="bottom"/>
            <w:shd w:val="clear" w:color="auto" w:fill="CCEEFF"/>
          </w:tcPr>
          <w:p>
            <w:pPr>
              <w:spacing w:after="0"/>
              <w:rPr>
                <w:sz w:val="20"/>
                <w:szCs w:val="20"/>
                <w:color w:val="auto"/>
              </w:rPr>
            </w:pPr>
            <w:r>
              <w:rPr>
                <w:rFonts w:ascii="Arial" w:cs="Arial" w:eastAsia="Arial" w:hAnsi="Arial"/>
                <w:sz w:val="15"/>
                <w:szCs w:val="15"/>
                <w:color w:val="auto"/>
              </w:rPr>
              <w:t>Net cash used in operating activities of continuing operations</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62"/>
              <w:spacing w:after="0"/>
              <w:rPr>
                <w:sz w:val="20"/>
                <w:szCs w:val="20"/>
                <w:color w:val="auto"/>
              </w:rPr>
            </w:pPr>
            <w:r>
              <w:rPr>
                <w:rFonts w:ascii="Arial" w:cs="Arial" w:eastAsia="Arial" w:hAnsi="Arial"/>
                <w:sz w:val="15"/>
                <w:szCs w:val="15"/>
                <w:color w:val="auto"/>
              </w:rPr>
              <w:t>(8.2)</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5"/>
                <w:szCs w:val="15"/>
                <w:color w:val="auto"/>
              </w:rPr>
              <w:t>(26.7)</w:t>
            </w:r>
          </w:p>
        </w:tc>
        <w:tc>
          <w:tcPr>
            <w:tcW w:w="0" w:type="dxa"/>
            <w:vAlign w:val="bottom"/>
          </w:tcPr>
          <w:p>
            <w:pPr>
              <w:spacing w:after="0"/>
              <w:rPr>
                <w:sz w:val="1"/>
                <w:szCs w:val="1"/>
                <w:color w:val="auto"/>
              </w:rPr>
            </w:pPr>
          </w:p>
        </w:tc>
      </w:tr>
      <w:tr>
        <w:trPr>
          <w:trHeight w:val="196"/>
        </w:trPr>
        <w:tc>
          <w:tcPr>
            <w:tcW w:w="8580" w:type="dxa"/>
            <w:vAlign w:val="bottom"/>
            <w:gridSpan w:val="2"/>
          </w:tcPr>
          <w:p>
            <w:pPr>
              <w:spacing w:after="0"/>
              <w:rPr>
                <w:sz w:val="20"/>
                <w:szCs w:val="20"/>
                <w:color w:val="auto"/>
              </w:rPr>
            </w:pPr>
            <w:r>
              <w:rPr>
                <w:rFonts w:ascii="Arial" w:cs="Arial" w:eastAsia="Arial" w:hAnsi="Arial"/>
                <w:sz w:val="15"/>
                <w:szCs w:val="15"/>
                <w:color w:val="auto"/>
              </w:rPr>
              <w:t>Net cash used in operating activities of discontinued operations</w:t>
            </w:r>
          </w:p>
        </w:tc>
        <w:tc>
          <w:tcPr>
            <w:tcW w:w="280" w:type="dxa"/>
            <w:vAlign w:val="bottom"/>
          </w:tcPr>
          <w:p>
            <w:pPr>
              <w:spacing w:after="0"/>
              <w:rPr>
                <w:sz w:val="17"/>
                <w:szCs w:val="17"/>
                <w:color w:val="auto"/>
              </w:rPr>
            </w:pPr>
          </w:p>
        </w:tc>
        <w:tc>
          <w:tcPr>
            <w:tcW w:w="1140" w:type="dxa"/>
            <w:vAlign w:val="bottom"/>
            <w:gridSpan w:val="2"/>
          </w:tcPr>
          <w:p>
            <w:pPr>
              <w:jc w:val="right"/>
              <w:ind w:right="62"/>
              <w:spacing w:after="0"/>
              <w:rPr>
                <w:sz w:val="20"/>
                <w:szCs w:val="20"/>
                <w:color w:val="auto"/>
              </w:rPr>
            </w:pPr>
            <w:r>
              <w:rPr>
                <w:rFonts w:ascii="Arial" w:cs="Arial" w:eastAsia="Arial" w:hAnsi="Arial"/>
                <w:sz w:val="15"/>
                <w:szCs w:val="15"/>
                <w:color w:val="auto"/>
              </w:rPr>
              <w:t>(23.2)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5"/>
                <w:szCs w:val="15"/>
                <w:color w:val="auto"/>
              </w:rPr>
              <w:t>(5.7)</w:t>
            </w:r>
          </w:p>
        </w:tc>
        <w:tc>
          <w:tcPr>
            <w:tcW w:w="0" w:type="dxa"/>
            <w:vAlign w:val="bottom"/>
          </w:tcPr>
          <w:p>
            <w:pPr>
              <w:spacing w:after="0"/>
              <w:rPr>
                <w:sz w:val="1"/>
                <w:szCs w:val="1"/>
                <w:color w:val="auto"/>
              </w:rPr>
            </w:pPr>
          </w:p>
        </w:tc>
      </w:tr>
      <w:tr>
        <w:trPr>
          <w:trHeight w:val="188"/>
        </w:trPr>
        <w:tc>
          <w:tcPr>
            <w:tcW w:w="85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Net cash used in operating activities</w:t>
            </w:r>
          </w:p>
        </w:tc>
        <w:tc>
          <w:tcPr>
            <w:tcW w:w="28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(31.4</w:t>
            </w:r>
          </w:p>
        </w:tc>
        <w:tc>
          <w:tcPr>
            <w:tcW w:w="140" w:type="dxa"/>
            <w:vAlign w:val="bottom"/>
            <w:tcBorders>
              <w:top w:val="single" w:sz="8" w:color="CCEEFF"/>
              <w:bottom w:val="single" w:sz="8" w:color="CCEEFF"/>
            </w:tcBorders>
            <w:shd w:val="clear" w:color="auto" w:fill="CCEEFF"/>
          </w:tcPr>
          <w:p>
            <w:pPr>
              <w:jc w:val="right"/>
              <w:ind w:right="62"/>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(32.4</w:t>
            </w:r>
          </w:p>
        </w:tc>
        <w:tc>
          <w:tcPr>
            <w:tcW w:w="100" w:type="dxa"/>
            <w:vAlign w:val="bottom"/>
            <w:tcBorders>
              <w:top w:val="single" w:sz="8" w:color="CCEEFF"/>
              <w:bottom w:val="single" w:sz="8" w:color="CCEEFF"/>
            </w:tcBorders>
            <w:shd w:val="clear" w:color="auto" w:fill="CCEEFF"/>
          </w:tcPr>
          <w:p>
            <w:pPr>
              <w:jc w:val="right"/>
              <w:ind w:right="22"/>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spacing w:after="0"/>
              <w:rPr>
                <w:sz w:val="20"/>
                <w:szCs w:val="20"/>
                <w:color w:val="auto"/>
              </w:rPr>
            </w:pPr>
            <w:r>
              <w:rPr>
                <w:rFonts w:ascii="Arial" w:cs="Arial" w:eastAsia="Arial" w:hAnsi="Arial"/>
                <w:sz w:val="15"/>
                <w:szCs w:val="15"/>
                <w:color w:val="auto"/>
              </w:rPr>
              <w:t>Purchase of businesses, net of cash acquired</w:t>
            </w: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8580" w:type="dxa"/>
            <w:vAlign w:val="bottom"/>
            <w:gridSpan w:val="2"/>
            <w:vMerge w:val="continue"/>
          </w:tcPr>
          <w:p>
            <w:pPr>
              <w:spacing w:after="0"/>
              <w:rPr>
                <w:sz w:val="13"/>
                <w:szCs w:val="13"/>
                <w:color w:val="auto"/>
              </w:rPr>
            </w:pPr>
          </w:p>
        </w:tc>
        <w:tc>
          <w:tcPr>
            <w:tcW w:w="280" w:type="dxa"/>
            <w:vAlign w:val="bottom"/>
          </w:tcPr>
          <w:p>
            <w:pPr>
              <w:jc w:val="right"/>
              <w:ind w:right="123"/>
              <w:spacing w:after="0" w:line="159" w:lineRule="exact"/>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62"/>
              <w:spacing w:after="0" w:line="159" w:lineRule="exact"/>
              <w:rPr>
                <w:sz w:val="20"/>
                <w:szCs w:val="20"/>
                <w:color w:val="auto"/>
              </w:rPr>
            </w:pPr>
            <w:r>
              <w:rPr>
                <w:rFonts w:ascii="Arial" w:cs="Arial" w:eastAsia="Arial" w:hAnsi="Arial"/>
                <w:sz w:val="15"/>
                <w:szCs w:val="15"/>
                <w:color w:val="auto"/>
              </w:rPr>
              <w:t>(81.0)</w:t>
            </w:r>
          </w:p>
        </w:tc>
        <w:tc>
          <w:tcPr>
            <w:tcW w:w="80" w:type="dxa"/>
            <w:vAlign w:val="bottom"/>
          </w:tcPr>
          <w:p>
            <w:pPr>
              <w:spacing w:after="0"/>
              <w:rPr>
                <w:sz w:val="13"/>
                <w:szCs w:val="13"/>
                <w:color w:val="auto"/>
              </w:rPr>
            </w:pPr>
          </w:p>
        </w:tc>
        <w:tc>
          <w:tcPr>
            <w:tcW w:w="300" w:type="dxa"/>
            <w:vAlign w:val="bottom"/>
          </w:tcPr>
          <w:p>
            <w:pPr>
              <w:jc w:val="right"/>
              <w:ind w:right="143"/>
              <w:spacing w:after="0" w:line="159" w:lineRule="exact"/>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line="159" w:lineRule="exact"/>
              <w:rPr>
                <w:sz w:val="20"/>
                <w:szCs w:val="20"/>
                <w:color w:val="auto"/>
              </w:rPr>
            </w:pPr>
            <w:r>
              <w:rPr>
                <w:rFonts w:ascii="Arial" w:cs="Arial" w:eastAsia="Arial" w:hAnsi="Arial"/>
                <w:sz w:val="15"/>
                <w:szCs w:val="15"/>
                <w:color w:val="auto"/>
              </w:rPr>
              <w:t>0.2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85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w:t>
            </w:r>
          </w:p>
        </w:tc>
        <w:tc>
          <w:tcPr>
            <w:tcW w:w="2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2"/>
              <w:spacing w:after="0"/>
              <w:rPr>
                <w:sz w:val="20"/>
                <w:szCs w:val="20"/>
                <w:color w:val="auto"/>
              </w:rPr>
            </w:pPr>
            <w:r>
              <w:rPr>
                <w:rFonts w:ascii="Arial" w:cs="Arial" w:eastAsia="Arial" w:hAnsi="Arial"/>
                <w:sz w:val="15"/>
                <w:szCs w:val="15"/>
                <w:color w:val="auto"/>
              </w:rPr>
              <w:t>(6.6)</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5"/>
                <w:szCs w:val="15"/>
                <w:color w:val="auto"/>
              </w:rPr>
              <w:t>(3.8)</w:t>
            </w:r>
          </w:p>
        </w:tc>
        <w:tc>
          <w:tcPr>
            <w:tcW w:w="0" w:type="dxa"/>
            <w:vAlign w:val="bottom"/>
          </w:tcPr>
          <w:p>
            <w:pPr>
              <w:spacing w:after="0"/>
              <w:rPr>
                <w:sz w:val="1"/>
                <w:szCs w:val="1"/>
                <w:color w:val="auto"/>
              </w:rPr>
            </w:pPr>
          </w:p>
        </w:tc>
      </w:tr>
      <w:tr>
        <w:trPr>
          <w:trHeight w:val="228"/>
        </w:trPr>
        <w:tc>
          <w:tcPr>
            <w:tcW w:w="8580" w:type="dxa"/>
            <w:vAlign w:val="bottom"/>
            <w:tcBorders>
              <w:bottom w:val="single" w:sz="8" w:color="CCEEFF"/>
            </w:tcBorders>
            <w:gridSpan w:val="2"/>
          </w:tcPr>
          <w:p>
            <w:pPr>
              <w:spacing w:after="0"/>
              <w:rPr>
                <w:sz w:val="20"/>
                <w:szCs w:val="20"/>
                <w:color w:val="auto"/>
              </w:rPr>
            </w:pPr>
            <w:r>
              <w:rPr>
                <w:rFonts w:ascii="Arial" w:cs="Arial" w:eastAsia="Arial" w:hAnsi="Arial"/>
                <w:sz w:val="15"/>
                <w:szCs w:val="15"/>
                <w:b w:val="1"/>
                <w:bCs w:val="1"/>
                <w:color w:val="auto"/>
              </w:rPr>
              <w:t>Net cash used in investing activities</w:t>
            </w:r>
          </w:p>
        </w:tc>
        <w:tc>
          <w:tcPr>
            <w:tcW w:w="28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(87.6</w:t>
            </w:r>
          </w:p>
        </w:tc>
        <w:tc>
          <w:tcPr>
            <w:tcW w:w="140" w:type="dxa"/>
            <w:vAlign w:val="bottom"/>
            <w:tcBorders>
              <w:bottom w:val="single" w:sz="8" w:color="CCEEFF"/>
            </w:tcBorders>
          </w:tcPr>
          <w:p>
            <w:pPr>
              <w:jc w:val="right"/>
              <w:ind w:right="62"/>
              <w:spacing w:after="0"/>
              <w:rPr>
                <w:sz w:val="20"/>
                <w:szCs w:val="20"/>
                <w:color w:val="auto"/>
              </w:rPr>
            </w:pPr>
            <w:r>
              <w:rPr>
                <w:rFonts w:ascii="Arial" w:cs="Arial" w:eastAsia="Arial" w:hAnsi="Arial"/>
                <w:sz w:val="8"/>
                <w:szCs w:val="8"/>
                <w:color w:val="auto"/>
                <w:w w:val="73"/>
              </w:rPr>
              <w:t>)</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(3.6</w:t>
            </w:r>
          </w:p>
        </w:tc>
        <w:tc>
          <w:tcPr>
            <w:tcW w:w="100" w:type="dxa"/>
            <w:vAlign w:val="bottom"/>
            <w:tcBorders>
              <w:bottom w:val="single" w:sz="8" w:color="CCEEFF"/>
            </w:tcBorders>
          </w:tcPr>
          <w:p>
            <w:pPr>
              <w:jc w:val="right"/>
              <w:ind w:right="22"/>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59"/>
        </w:trPr>
        <w:tc>
          <w:tcPr>
            <w:tcW w:w="8580" w:type="dxa"/>
            <w:vAlign w:val="bottom"/>
            <w:gridSpan w:val="2"/>
            <w:shd w:val="clear" w:color="auto" w:fill="CCEEFF"/>
          </w:tcPr>
          <w:p>
            <w:pPr>
              <w:spacing w:after="0" w:line="159" w:lineRule="exact"/>
              <w:rPr>
                <w:sz w:val="20"/>
                <w:szCs w:val="20"/>
                <w:color w:val="auto"/>
              </w:rPr>
            </w:pPr>
            <w:r>
              <w:rPr>
                <w:rFonts w:ascii="Arial" w:cs="Arial" w:eastAsia="Arial" w:hAnsi="Arial"/>
                <w:sz w:val="15"/>
                <w:szCs w:val="15"/>
                <w:color w:val="auto"/>
              </w:rPr>
              <w:t>Proceeds from issuance of share-based compensation awards, net of taxes withheld</w:t>
            </w:r>
          </w:p>
        </w:tc>
        <w:tc>
          <w:tcPr>
            <w:tcW w:w="280" w:type="dxa"/>
            <w:vAlign w:val="bottom"/>
            <w:shd w:val="clear" w:color="auto" w:fill="CCEEFF"/>
          </w:tcPr>
          <w:p>
            <w:pPr>
              <w:jc w:val="right"/>
              <w:ind w:right="123"/>
              <w:spacing w:after="0" w:line="159" w:lineRule="exact"/>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62"/>
              <w:spacing w:after="0" w:line="159" w:lineRule="exact"/>
              <w:rPr>
                <w:sz w:val="20"/>
                <w:szCs w:val="20"/>
                <w:color w:val="auto"/>
              </w:rPr>
            </w:pPr>
            <w:r>
              <w:rPr>
                <w:rFonts w:ascii="Arial" w:cs="Arial" w:eastAsia="Arial" w:hAnsi="Arial"/>
                <w:sz w:val="15"/>
                <w:szCs w:val="15"/>
                <w:color w:val="auto"/>
              </w:rPr>
              <w:t>(1.4)</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43"/>
              <w:spacing w:after="0" w:line="159" w:lineRule="exact"/>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4.9</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8580" w:type="dxa"/>
            <w:vAlign w:val="bottom"/>
            <w:gridSpan w:val="2"/>
          </w:tcPr>
          <w:p>
            <w:pPr>
              <w:spacing w:after="0"/>
              <w:rPr>
                <w:sz w:val="20"/>
                <w:szCs w:val="20"/>
                <w:color w:val="auto"/>
              </w:rPr>
            </w:pPr>
            <w:r>
              <w:rPr>
                <w:rFonts w:ascii="Arial" w:cs="Arial" w:eastAsia="Arial" w:hAnsi="Arial"/>
                <w:sz w:val="15"/>
                <w:szCs w:val="15"/>
                <w:color w:val="auto"/>
              </w:rPr>
              <w:t>Incremental tax benefit from share-based compensation awards</w:t>
            </w:r>
          </w:p>
        </w:tc>
        <w:tc>
          <w:tcPr>
            <w:tcW w:w="280" w:type="dxa"/>
            <w:vAlign w:val="bottom"/>
          </w:tcPr>
          <w:p>
            <w:pPr>
              <w:spacing w:after="0"/>
              <w:rPr>
                <w:sz w:val="16"/>
                <w:szCs w:val="16"/>
                <w:color w:val="auto"/>
              </w:rPr>
            </w:pPr>
          </w:p>
        </w:tc>
        <w:tc>
          <w:tcPr>
            <w:tcW w:w="1140" w:type="dxa"/>
            <w:vAlign w:val="bottom"/>
            <w:gridSpan w:val="2"/>
          </w:tcPr>
          <w:p>
            <w:pPr>
              <w:jc w:val="right"/>
              <w:ind w:right="102"/>
              <w:spacing w:after="0"/>
              <w:rPr>
                <w:sz w:val="20"/>
                <w:szCs w:val="20"/>
                <w:color w:val="auto"/>
              </w:rPr>
            </w:pPr>
            <w:r>
              <w:rPr>
                <w:rFonts w:ascii="Arial" w:cs="Arial" w:eastAsia="Arial" w:hAnsi="Arial"/>
                <w:sz w:val="15"/>
                <w:szCs w:val="15"/>
                <w:color w:val="auto"/>
              </w:rPr>
              <w:t>0.5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gridSpan w:val="2"/>
          </w:tcPr>
          <w:p>
            <w:pPr>
              <w:jc w:val="right"/>
              <w:ind w:right="62"/>
              <w:spacing w:after="0"/>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185"/>
        </w:trPr>
        <w:tc>
          <w:tcPr>
            <w:tcW w:w="85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Repurchases of common stock</w:t>
            </w:r>
          </w:p>
        </w:tc>
        <w:tc>
          <w:tcPr>
            <w:tcW w:w="2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62"/>
              <w:spacing w:after="0"/>
              <w:rPr>
                <w:sz w:val="20"/>
                <w:szCs w:val="20"/>
                <w:color w:val="auto"/>
              </w:rPr>
            </w:pPr>
            <w:r>
              <w:rPr>
                <w:rFonts w:ascii="Arial" w:cs="Arial" w:eastAsia="Arial" w:hAnsi="Arial"/>
                <w:sz w:val="15"/>
                <w:szCs w:val="15"/>
                <w:color w:val="auto"/>
              </w:rPr>
              <w:t>(11.3)</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62"/>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8580" w:type="dxa"/>
            <w:vAlign w:val="bottom"/>
            <w:gridSpan w:val="2"/>
          </w:tcPr>
          <w:p>
            <w:pPr>
              <w:spacing w:after="0"/>
              <w:rPr>
                <w:sz w:val="20"/>
                <w:szCs w:val="20"/>
                <w:color w:val="auto"/>
              </w:rPr>
            </w:pPr>
            <w:r>
              <w:rPr>
                <w:rFonts w:ascii="Arial" w:cs="Arial" w:eastAsia="Arial" w:hAnsi="Arial"/>
                <w:sz w:val="15"/>
                <w:szCs w:val="15"/>
                <w:color w:val="auto"/>
              </w:rPr>
              <w:t>Dividends paid</w:t>
            </w:r>
          </w:p>
        </w:tc>
        <w:tc>
          <w:tcPr>
            <w:tcW w:w="280" w:type="dxa"/>
            <w:vAlign w:val="bottom"/>
          </w:tcPr>
          <w:p>
            <w:pPr>
              <w:spacing w:after="0"/>
              <w:rPr>
                <w:sz w:val="16"/>
                <w:szCs w:val="16"/>
                <w:color w:val="auto"/>
              </w:rPr>
            </w:pPr>
          </w:p>
        </w:tc>
        <w:tc>
          <w:tcPr>
            <w:tcW w:w="1140" w:type="dxa"/>
            <w:vAlign w:val="bottom"/>
            <w:gridSpan w:val="2"/>
          </w:tcPr>
          <w:p>
            <w:pPr>
              <w:jc w:val="right"/>
              <w:ind w:right="62"/>
              <w:spacing w:after="0"/>
              <w:rPr>
                <w:sz w:val="20"/>
                <w:szCs w:val="20"/>
                <w:color w:val="auto"/>
              </w:rPr>
            </w:pPr>
            <w:r>
              <w:rPr>
                <w:rFonts w:ascii="Arial" w:cs="Arial" w:eastAsia="Arial" w:hAnsi="Arial"/>
                <w:sz w:val="15"/>
                <w:szCs w:val="15"/>
                <w:color w:val="auto"/>
              </w:rPr>
              <w:t>(9.2)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5"/>
                <w:szCs w:val="15"/>
                <w:color w:val="auto"/>
              </w:rPr>
              <w:t>(8.9)</w:t>
            </w:r>
          </w:p>
        </w:tc>
        <w:tc>
          <w:tcPr>
            <w:tcW w:w="0" w:type="dxa"/>
            <w:vAlign w:val="bottom"/>
          </w:tcPr>
          <w:p>
            <w:pPr>
              <w:spacing w:after="0"/>
              <w:rPr>
                <w:sz w:val="1"/>
                <w:szCs w:val="1"/>
                <w:color w:val="auto"/>
              </w:rPr>
            </w:pPr>
          </w:p>
        </w:tc>
      </w:tr>
      <w:tr>
        <w:trPr>
          <w:trHeight w:val="185"/>
        </w:trPr>
        <w:tc>
          <w:tcPr>
            <w:tcW w:w="85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Deferred financing costs paid</w:t>
            </w:r>
          </w:p>
        </w:tc>
        <w:tc>
          <w:tcPr>
            <w:tcW w:w="2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62"/>
              <w:spacing w:after="0"/>
              <w:rPr>
                <w:sz w:val="20"/>
                <w:szCs w:val="20"/>
                <w:color w:val="auto"/>
              </w:rPr>
            </w:pPr>
            <w:r>
              <w:rPr>
                <w:rFonts w:ascii="Arial" w:cs="Arial" w:eastAsia="Arial" w:hAnsi="Arial"/>
                <w:sz w:val="15"/>
                <w:szCs w:val="15"/>
                <w:color w:val="auto"/>
              </w:rPr>
              <w:t>(0.1)</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185"/>
        </w:trPr>
        <w:tc>
          <w:tcPr>
            <w:tcW w:w="8580" w:type="dxa"/>
            <w:vAlign w:val="bottom"/>
            <w:gridSpan w:val="2"/>
          </w:tcPr>
          <w:p>
            <w:pPr>
              <w:spacing w:after="0"/>
              <w:rPr>
                <w:sz w:val="20"/>
                <w:szCs w:val="20"/>
                <w:color w:val="auto"/>
              </w:rPr>
            </w:pPr>
            <w:r>
              <w:rPr>
                <w:rFonts w:ascii="Arial" w:cs="Arial" w:eastAsia="Arial" w:hAnsi="Arial"/>
                <w:sz w:val="15"/>
                <w:szCs w:val="15"/>
                <w:color w:val="auto"/>
              </w:rPr>
              <w:t>Borrowings from line of credit</w:t>
            </w:r>
          </w:p>
        </w:tc>
        <w:tc>
          <w:tcPr>
            <w:tcW w:w="280" w:type="dxa"/>
            <w:vAlign w:val="bottom"/>
          </w:tcPr>
          <w:p>
            <w:pPr>
              <w:spacing w:after="0"/>
              <w:rPr>
                <w:sz w:val="16"/>
                <w:szCs w:val="16"/>
                <w:color w:val="auto"/>
              </w:rPr>
            </w:pPr>
          </w:p>
        </w:tc>
        <w:tc>
          <w:tcPr>
            <w:tcW w:w="1140" w:type="dxa"/>
            <w:vAlign w:val="bottom"/>
            <w:gridSpan w:val="2"/>
          </w:tcPr>
          <w:p>
            <w:pPr>
              <w:jc w:val="right"/>
              <w:ind w:right="102"/>
              <w:spacing w:after="0"/>
              <w:rPr>
                <w:sz w:val="20"/>
                <w:szCs w:val="20"/>
                <w:color w:val="auto"/>
              </w:rPr>
            </w:pPr>
            <w:r>
              <w:rPr>
                <w:rFonts w:ascii="Arial" w:cs="Arial" w:eastAsia="Arial" w:hAnsi="Arial"/>
                <w:sz w:val="15"/>
                <w:szCs w:val="15"/>
                <w:color w:val="auto"/>
              </w:rPr>
              <w:t>299.6</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gridSpan w:val="2"/>
          </w:tcPr>
          <w:p>
            <w:pPr>
              <w:jc w:val="right"/>
              <w:ind w:right="62"/>
              <w:spacing w:after="0"/>
              <w:rPr>
                <w:sz w:val="20"/>
                <w:szCs w:val="20"/>
                <w:color w:val="auto"/>
              </w:rPr>
            </w:pPr>
            <w:r>
              <w:rPr>
                <w:rFonts w:ascii="Arial" w:cs="Arial" w:eastAsia="Arial" w:hAnsi="Arial"/>
                <w:sz w:val="15"/>
                <w:szCs w:val="15"/>
                <w:color w:val="auto"/>
              </w:rPr>
              <w:t>226.7</w:t>
            </w:r>
          </w:p>
        </w:tc>
        <w:tc>
          <w:tcPr>
            <w:tcW w:w="0" w:type="dxa"/>
            <w:vAlign w:val="bottom"/>
          </w:tcPr>
          <w:p>
            <w:pPr>
              <w:spacing w:after="0"/>
              <w:rPr>
                <w:sz w:val="1"/>
                <w:szCs w:val="1"/>
                <w:color w:val="auto"/>
              </w:rPr>
            </w:pPr>
          </w:p>
        </w:tc>
      </w:tr>
      <w:tr>
        <w:trPr>
          <w:trHeight w:val="185"/>
        </w:trPr>
        <w:tc>
          <w:tcPr>
            <w:tcW w:w="85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Repayment of borrowings from line of credit</w:t>
            </w:r>
          </w:p>
        </w:tc>
        <w:tc>
          <w:tcPr>
            <w:tcW w:w="2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62"/>
              <w:spacing w:after="0"/>
              <w:rPr>
                <w:sz w:val="20"/>
                <w:szCs w:val="20"/>
                <w:color w:val="auto"/>
              </w:rPr>
            </w:pPr>
            <w:r>
              <w:rPr>
                <w:rFonts w:ascii="Arial" w:cs="Arial" w:eastAsia="Arial" w:hAnsi="Arial"/>
                <w:sz w:val="15"/>
                <w:szCs w:val="15"/>
                <w:color w:val="auto"/>
              </w:rPr>
              <w:t>(170.9)</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5"/>
                <w:szCs w:val="15"/>
                <w:color w:val="auto"/>
              </w:rPr>
              <w:t>(184.0)</w:t>
            </w:r>
          </w:p>
        </w:tc>
        <w:tc>
          <w:tcPr>
            <w:tcW w:w="0" w:type="dxa"/>
            <w:vAlign w:val="bottom"/>
          </w:tcPr>
          <w:p>
            <w:pPr>
              <w:spacing w:after="0"/>
              <w:rPr>
                <w:sz w:val="1"/>
                <w:szCs w:val="1"/>
                <w:color w:val="auto"/>
              </w:rPr>
            </w:pPr>
          </w:p>
        </w:tc>
      </w:tr>
      <w:tr>
        <w:trPr>
          <w:trHeight w:val="185"/>
        </w:trPr>
        <w:tc>
          <w:tcPr>
            <w:tcW w:w="8580" w:type="dxa"/>
            <w:vAlign w:val="bottom"/>
            <w:gridSpan w:val="2"/>
          </w:tcPr>
          <w:p>
            <w:pPr>
              <w:spacing w:after="0"/>
              <w:rPr>
                <w:sz w:val="20"/>
                <w:szCs w:val="20"/>
                <w:color w:val="auto"/>
              </w:rPr>
            </w:pPr>
            <w:r>
              <w:rPr>
                <w:rFonts w:ascii="Arial" w:cs="Arial" w:eastAsia="Arial" w:hAnsi="Arial"/>
                <w:sz w:val="15"/>
                <w:szCs w:val="15"/>
                <w:color w:val="auto"/>
              </w:rPr>
              <w:t>Changes in book cash overdrafts</w:t>
            </w:r>
          </w:p>
        </w:tc>
        <w:tc>
          <w:tcPr>
            <w:tcW w:w="280" w:type="dxa"/>
            <w:vAlign w:val="bottom"/>
          </w:tcPr>
          <w:p>
            <w:pPr>
              <w:spacing w:after="0"/>
              <w:rPr>
                <w:sz w:val="16"/>
                <w:szCs w:val="16"/>
                <w:color w:val="auto"/>
              </w:rPr>
            </w:pPr>
          </w:p>
        </w:tc>
        <w:tc>
          <w:tcPr>
            <w:tcW w:w="1140" w:type="dxa"/>
            <w:vAlign w:val="bottom"/>
            <w:gridSpan w:val="2"/>
          </w:tcPr>
          <w:p>
            <w:pPr>
              <w:jc w:val="right"/>
              <w:ind w:right="102"/>
              <w:spacing w:after="0"/>
              <w:rPr>
                <w:sz w:val="20"/>
                <w:szCs w:val="20"/>
                <w:color w:val="auto"/>
              </w:rPr>
            </w:pPr>
            <w:r>
              <w:rPr>
                <w:rFonts w:ascii="Arial" w:cs="Arial" w:eastAsia="Arial" w:hAnsi="Arial"/>
                <w:sz w:val="15"/>
                <w:szCs w:val="15"/>
                <w:color w:val="auto"/>
              </w:rPr>
              <w:t>8.0</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gridSpan w:val="2"/>
          </w:tcPr>
          <w:p>
            <w:pPr>
              <w:jc w:val="right"/>
              <w:ind w:right="62"/>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85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Repayment of capital lease obligations</w:t>
            </w:r>
          </w:p>
        </w:tc>
        <w:tc>
          <w:tcPr>
            <w:tcW w:w="2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62"/>
              <w:spacing w:after="0"/>
              <w:rPr>
                <w:sz w:val="20"/>
                <w:szCs w:val="20"/>
                <w:color w:val="auto"/>
              </w:rPr>
            </w:pPr>
            <w:r>
              <w:rPr>
                <w:rFonts w:ascii="Arial" w:cs="Arial" w:eastAsia="Arial" w:hAnsi="Arial"/>
                <w:sz w:val="15"/>
                <w:szCs w:val="15"/>
                <w:color w:val="auto"/>
              </w:rPr>
              <w:t>(0.3)</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5"/>
                <w:szCs w:val="15"/>
                <w:color w:val="auto"/>
              </w:rPr>
              <w:t>(0.6)</w:t>
            </w:r>
          </w:p>
        </w:tc>
        <w:tc>
          <w:tcPr>
            <w:tcW w:w="0" w:type="dxa"/>
            <w:vAlign w:val="bottom"/>
          </w:tcPr>
          <w:p>
            <w:pPr>
              <w:spacing w:after="0"/>
              <w:rPr>
                <w:sz w:val="1"/>
                <w:szCs w:val="1"/>
                <w:color w:val="auto"/>
              </w:rPr>
            </w:pPr>
          </w:p>
        </w:tc>
      </w:tr>
      <w:tr>
        <w:trPr>
          <w:trHeight w:val="196"/>
        </w:trPr>
        <w:tc>
          <w:tcPr>
            <w:tcW w:w="8580" w:type="dxa"/>
            <w:vAlign w:val="bottom"/>
            <w:tcBorders>
              <w:bottom w:val="single" w:sz="8" w:color="CCEEFF"/>
            </w:tcBorders>
            <w:gridSpan w:val="2"/>
          </w:tcPr>
          <w:p>
            <w:pPr>
              <w:spacing w:after="0"/>
              <w:rPr>
                <w:sz w:val="20"/>
                <w:szCs w:val="20"/>
                <w:color w:val="auto"/>
              </w:rPr>
            </w:pPr>
            <w:r>
              <w:rPr>
                <w:rFonts w:ascii="Arial" w:cs="Arial" w:eastAsia="Arial" w:hAnsi="Arial"/>
                <w:sz w:val="15"/>
                <w:szCs w:val="15"/>
                <w:color w:val="auto"/>
              </w:rPr>
              <w:t>Other</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85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Net cash provided by financing activities</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2"/>
              <w:spacing w:after="0"/>
              <w:rPr>
                <w:sz w:val="20"/>
                <w:szCs w:val="20"/>
                <w:color w:val="auto"/>
              </w:rPr>
            </w:pPr>
            <w:r>
              <w:rPr>
                <w:rFonts w:ascii="Arial" w:cs="Arial" w:eastAsia="Arial" w:hAnsi="Arial"/>
                <w:sz w:val="15"/>
                <w:szCs w:val="15"/>
                <w:color w:val="auto"/>
              </w:rPr>
              <w:t>119.4</w:t>
            </w:r>
          </w:p>
        </w:tc>
        <w:tc>
          <w:tcPr>
            <w:tcW w:w="380" w:type="dxa"/>
            <w:vAlign w:val="bottom"/>
            <w:gridSpan w:val="2"/>
            <w:shd w:val="clear" w:color="auto" w:fill="CCEEFF"/>
          </w:tcPr>
          <w:p>
            <w:pPr>
              <w:jc w:val="right"/>
              <w:ind w:right="143"/>
              <w:spacing w:after="0"/>
              <w:rPr>
                <w:sz w:val="20"/>
                <w:szCs w:val="20"/>
                <w:color w:val="auto"/>
              </w:rPr>
            </w:pPr>
            <w:r>
              <w:rPr>
                <w:rFonts w:ascii="Arial" w:cs="Arial" w:eastAsia="Arial" w:hAnsi="Arial"/>
                <w:sz w:val="15"/>
                <w:szCs w:val="15"/>
                <w:color w:val="auto"/>
              </w:rPr>
              <w:t>$</w:t>
            </w:r>
          </w:p>
        </w:tc>
        <w:tc>
          <w:tcPr>
            <w:tcW w:w="1060" w:type="dxa"/>
            <w:vAlign w:val="bottom"/>
            <w:gridSpan w:val="2"/>
            <w:shd w:val="clear" w:color="auto" w:fill="CCEEFF"/>
          </w:tcPr>
          <w:p>
            <w:pPr>
              <w:jc w:val="right"/>
              <w:ind w:right="62"/>
              <w:spacing w:after="0"/>
              <w:rPr>
                <w:sz w:val="20"/>
                <w:szCs w:val="20"/>
                <w:color w:val="auto"/>
              </w:rPr>
            </w:pPr>
            <w:r>
              <w:rPr>
                <w:rFonts w:ascii="Arial" w:cs="Arial" w:eastAsia="Arial" w:hAnsi="Arial"/>
                <w:sz w:val="15"/>
                <w:szCs w:val="15"/>
                <w:color w:val="auto"/>
              </w:rPr>
              <w:t>38.1</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8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794" w:right="219" w:bottom="1440" w:gutter="0" w:footer="0" w:header="0"/>
        </w:sectPr>
      </w:pPr>
    </w:p>
    <w:bookmarkStart w:id="10" w:name="page11"/>
    <w:bookmarkEnd w:id="10"/>
    <w:p>
      <w:pPr>
        <w:spacing w:after="0"/>
        <w:rPr>
          <w:sz w:val="20"/>
          <w:szCs w:val="20"/>
          <w:color w:val="auto"/>
        </w:rPr>
      </w:pPr>
      <w:r>
        <w:rPr>
          <w:rFonts w:ascii="Arial" w:cs="Arial" w:eastAsia="Arial" w:hAnsi="Arial"/>
          <w:sz w:val="15"/>
          <w:szCs w:val="15"/>
          <w:b w:val="1"/>
          <w:bCs w:val="1"/>
          <w:color w:val="auto"/>
        </w:rPr>
        <w:t>ABM INDUSTRIES INCORPORATED AND SUBSIDIARIES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CONDENSED CONSOLIDATED BALANCE SHEET INFORMATION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8580" w:type="dxa"/>
            <w:vAlign w:val="bottom"/>
            <w:gridSpan w:val="2"/>
          </w:tcPr>
          <w:p>
            <w:pPr>
              <w:spacing w:after="0"/>
              <w:rPr>
                <w:sz w:val="20"/>
                <w:szCs w:val="20"/>
                <w:color w:val="auto"/>
              </w:rPr>
            </w:pPr>
            <w:r>
              <w:rPr>
                <w:rFonts w:ascii="Arial" w:cs="Arial" w:eastAsia="Arial" w:hAnsi="Arial"/>
                <w:sz w:val="12"/>
                <w:szCs w:val="12"/>
                <w:b w:val="1"/>
                <w:bCs w:val="1"/>
                <w:i w:val="1"/>
                <w:iCs w:val="1"/>
                <w:color w:val="auto"/>
              </w:rPr>
              <w:t>(in millions)</w:t>
            </w:r>
          </w:p>
        </w:tc>
        <w:tc>
          <w:tcPr>
            <w:tcW w:w="140" w:type="dxa"/>
            <w:vAlign w:val="bottom"/>
          </w:tcPr>
          <w:p>
            <w:pPr>
              <w:spacing w:after="0"/>
              <w:rPr>
                <w:sz w:val="12"/>
                <w:szCs w:val="12"/>
                <w:color w:val="auto"/>
              </w:rPr>
            </w:pPr>
          </w:p>
        </w:tc>
        <w:tc>
          <w:tcPr>
            <w:tcW w:w="1360" w:type="dxa"/>
            <w:vAlign w:val="bottom"/>
            <w:gridSpan w:val="2"/>
          </w:tcPr>
          <w:p>
            <w:pPr>
              <w:ind w:left="60"/>
              <w:spacing w:after="0"/>
              <w:rPr>
                <w:sz w:val="20"/>
                <w:szCs w:val="20"/>
                <w:color w:val="auto"/>
              </w:rPr>
            </w:pPr>
            <w:r>
              <w:rPr>
                <w:rFonts w:ascii="Arial" w:cs="Arial" w:eastAsia="Arial" w:hAnsi="Arial"/>
                <w:sz w:val="12"/>
                <w:szCs w:val="12"/>
                <w:b w:val="1"/>
                <w:bCs w:val="1"/>
                <w:color w:val="auto"/>
              </w:rPr>
              <w:t>January 31, 2016</w:t>
            </w:r>
          </w:p>
        </w:tc>
        <w:tc>
          <w:tcPr>
            <w:tcW w:w="140" w:type="dxa"/>
            <w:vAlign w:val="bottom"/>
          </w:tcPr>
          <w:p>
            <w:pPr>
              <w:spacing w:after="0"/>
              <w:rPr>
                <w:sz w:val="12"/>
                <w:szCs w:val="12"/>
                <w:color w:val="auto"/>
              </w:rPr>
            </w:pPr>
          </w:p>
        </w:tc>
        <w:tc>
          <w:tcPr>
            <w:tcW w:w="1220" w:type="dxa"/>
            <w:vAlign w:val="bottom"/>
            <w:gridSpan w:val="3"/>
          </w:tcPr>
          <w:p>
            <w:pPr>
              <w:ind w:left="40"/>
              <w:spacing w:after="0"/>
              <w:rPr>
                <w:sz w:val="20"/>
                <w:szCs w:val="20"/>
                <w:color w:val="auto"/>
              </w:rPr>
            </w:pPr>
            <w:r>
              <w:rPr>
                <w:rFonts w:ascii="Arial" w:cs="Arial" w:eastAsia="Arial" w:hAnsi="Arial"/>
                <w:sz w:val="12"/>
                <w:szCs w:val="12"/>
                <w:b w:val="1"/>
                <w:bCs w:val="1"/>
                <w:color w:val="auto"/>
              </w:rPr>
              <w:t>October 31, 2015</w:t>
            </w:r>
          </w:p>
        </w:tc>
      </w:tr>
      <w:tr>
        <w:trPr>
          <w:trHeight w:val="176"/>
        </w:trPr>
        <w:tc>
          <w:tcPr>
            <w:tcW w:w="8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185"/>
        </w:trPr>
        <w:tc>
          <w:tcPr>
            <w:tcW w:w="8580" w:type="dxa"/>
            <w:vAlign w:val="bottom"/>
            <w:gridSpan w:val="2"/>
          </w:tcPr>
          <w:p>
            <w:pPr>
              <w:spacing w:after="0"/>
              <w:rPr>
                <w:sz w:val="20"/>
                <w:szCs w:val="20"/>
                <w:color w:val="auto"/>
              </w:rPr>
            </w:pPr>
            <w:r>
              <w:rPr>
                <w:rFonts w:ascii="Arial" w:cs="Arial" w:eastAsia="Arial" w:hAnsi="Arial"/>
                <w:sz w:val="15"/>
                <w:szCs w:val="15"/>
                <w:color w:val="auto"/>
              </w:rPr>
              <w:t>Current assets</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5"/>
        </w:trPr>
        <w:tc>
          <w:tcPr>
            <w:tcW w:w="85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55.9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55.5</w:t>
            </w:r>
          </w:p>
        </w:tc>
        <w:tc>
          <w:tcPr>
            <w:tcW w:w="80" w:type="dxa"/>
            <w:vAlign w:val="bottom"/>
            <w:shd w:val="clear" w:color="auto" w:fill="CCEEFF"/>
          </w:tcPr>
          <w:p>
            <w:pPr>
              <w:spacing w:after="0"/>
              <w:rPr>
                <w:sz w:val="16"/>
                <w:szCs w:val="16"/>
                <w:color w:val="auto"/>
              </w:rPr>
            </w:pPr>
          </w:p>
        </w:tc>
      </w:tr>
      <w:tr>
        <w:trPr>
          <w:trHeight w:val="185"/>
        </w:trPr>
        <w:tc>
          <w:tcPr>
            <w:tcW w:w="8580" w:type="dxa"/>
            <w:vAlign w:val="bottom"/>
            <w:gridSpan w:val="2"/>
          </w:tcPr>
          <w:p>
            <w:pPr>
              <w:ind w:left="140"/>
              <w:spacing w:after="0"/>
              <w:rPr>
                <w:sz w:val="20"/>
                <w:szCs w:val="20"/>
                <w:color w:val="auto"/>
              </w:rPr>
            </w:pPr>
            <w:r>
              <w:rPr>
                <w:rFonts w:ascii="Arial" w:cs="Arial" w:eastAsia="Arial" w:hAnsi="Arial"/>
                <w:sz w:val="15"/>
                <w:szCs w:val="15"/>
                <w:color w:val="auto"/>
              </w:rPr>
              <w:t>Trade accounts receivable, net of allowances</w:t>
            </w:r>
          </w:p>
        </w:tc>
        <w:tc>
          <w:tcPr>
            <w:tcW w:w="14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777.7</w:t>
            </w:r>
          </w:p>
        </w:tc>
        <w:tc>
          <w:tcPr>
            <w:tcW w:w="140" w:type="dxa"/>
            <w:vAlign w:val="bottom"/>
          </w:tcPr>
          <w:p>
            <w:pPr>
              <w:spacing w:after="0"/>
              <w:rPr>
                <w:sz w:val="16"/>
                <w:szCs w:val="16"/>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5"/>
                <w:szCs w:val="15"/>
                <w:color w:val="auto"/>
              </w:rPr>
              <w:t>742.9</w:t>
            </w:r>
          </w:p>
        </w:tc>
        <w:tc>
          <w:tcPr>
            <w:tcW w:w="80" w:type="dxa"/>
            <w:vAlign w:val="bottom"/>
          </w:tcPr>
          <w:p>
            <w:pPr>
              <w:spacing w:after="0"/>
              <w:rPr>
                <w:sz w:val="16"/>
                <w:szCs w:val="16"/>
                <w:color w:val="auto"/>
              </w:rPr>
            </w:pPr>
          </w:p>
        </w:tc>
      </w:tr>
      <w:tr>
        <w:trPr>
          <w:trHeight w:val="185"/>
        </w:trPr>
        <w:tc>
          <w:tcPr>
            <w:tcW w:w="85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Prepaid expenses</w:t>
            </w:r>
          </w:p>
        </w:tc>
        <w:tc>
          <w:tcPr>
            <w:tcW w:w="1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82.2</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68.6</w:t>
            </w:r>
          </w:p>
        </w:tc>
        <w:tc>
          <w:tcPr>
            <w:tcW w:w="80" w:type="dxa"/>
            <w:vAlign w:val="bottom"/>
            <w:shd w:val="clear" w:color="auto" w:fill="CCEEFF"/>
          </w:tcPr>
          <w:p>
            <w:pPr>
              <w:spacing w:after="0"/>
              <w:rPr>
                <w:sz w:val="16"/>
                <w:szCs w:val="16"/>
                <w:color w:val="auto"/>
              </w:rPr>
            </w:pPr>
          </w:p>
        </w:tc>
      </w:tr>
      <w:tr>
        <w:trPr>
          <w:trHeight w:val="196"/>
        </w:trPr>
        <w:tc>
          <w:tcPr>
            <w:tcW w:w="8580" w:type="dxa"/>
            <w:vAlign w:val="bottom"/>
            <w:gridSpan w:val="2"/>
          </w:tcPr>
          <w:p>
            <w:pPr>
              <w:ind w:left="140"/>
              <w:spacing w:after="0"/>
              <w:rPr>
                <w:sz w:val="20"/>
                <w:szCs w:val="20"/>
                <w:color w:val="auto"/>
              </w:rPr>
            </w:pPr>
            <w:r>
              <w:rPr>
                <w:rFonts w:ascii="Arial" w:cs="Arial" w:eastAsia="Arial" w:hAnsi="Arial"/>
                <w:sz w:val="15"/>
                <w:szCs w:val="15"/>
                <w:color w:val="auto"/>
              </w:rPr>
              <w:t>Other current assets</w:t>
            </w:r>
          </w:p>
        </w:tc>
        <w:tc>
          <w:tcPr>
            <w:tcW w:w="14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37.2</w:t>
            </w:r>
          </w:p>
        </w:tc>
        <w:tc>
          <w:tcPr>
            <w:tcW w:w="140" w:type="dxa"/>
            <w:vAlign w:val="bottom"/>
          </w:tcPr>
          <w:p>
            <w:pPr>
              <w:spacing w:after="0"/>
              <w:rPr>
                <w:sz w:val="17"/>
                <w:szCs w:val="17"/>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5"/>
                <w:szCs w:val="15"/>
                <w:color w:val="auto"/>
              </w:rPr>
              <w:t>27.0</w:t>
            </w:r>
          </w:p>
        </w:tc>
        <w:tc>
          <w:tcPr>
            <w:tcW w:w="80" w:type="dxa"/>
            <w:vAlign w:val="bottom"/>
          </w:tcPr>
          <w:p>
            <w:pPr>
              <w:spacing w:after="0"/>
              <w:rPr>
                <w:sz w:val="17"/>
                <w:szCs w:val="17"/>
                <w:color w:val="auto"/>
              </w:rPr>
            </w:pPr>
          </w:p>
        </w:tc>
      </w:tr>
      <w:tr>
        <w:trPr>
          <w:trHeight w:val="176"/>
        </w:trPr>
        <w:tc>
          <w:tcPr>
            <w:tcW w:w="8580" w:type="dxa"/>
            <w:vAlign w:val="bottom"/>
            <w:tcBorders>
              <w:top w:val="single" w:sz="8" w:color="CCEEFF"/>
            </w:tcBorders>
            <w:gridSpan w:val="2"/>
            <w:shd w:val="clear" w:color="auto" w:fill="CCEEFF"/>
          </w:tcPr>
          <w:p>
            <w:pPr>
              <w:ind w:left="260"/>
              <w:spacing w:after="0"/>
              <w:rPr>
                <w:sz w:val="20"/>
                <w:szCs w:val="20"/>
                <w:color w:val="auto"/>
              </w:rPr>
            </w:pPr>
            <w:r>
              <w:rPr>
                <w:rFonts w:ascii="Arial" w:cs="Arial" w:eastAsia="Arial" w:hAnsi="Arial"/>
                <w:sz w:val="15"/>
                <w:szCs w:val="15"/>
                <w:color w:val="auto"/>
              </w:rPr>
              <w:t>Total current assets</w:t>
            </w: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953.0</w:t>
            </w: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894.0</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176"/>
        </w:trPr>
        <w:tc>
          <w:tcPr>
            <w:tcW w:w="8580" w:type="dxa"/>
            <w:vAlign w:val="bottom"/>
            <w:gridSpan w:val="2"/>
          </w:tcPr>
          <w:p>
            <w:pPr>
              <w:spacing w:after="0"/>
              <w:rPr>
                <w:sz w:val="20"/>
                <w:szCs w:val="20"/>
                <w:color w:val="auto"/>
              </w:rPr>
            </w:pPr>
            <w:r>
              <w:rPr>
                <w:rFonts w:ascii="Arial" w:cs="Arial" w:eastAsia="Arial" w:hAnsi="Arial"/>
                <w:sz w:val="15"/>
                <w:szCs w:val="15"/>
                <w:color w:val="auto"/>
              </w:rPr>
              <w:t>Other investments</w:t>
            </w: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30.5</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35.7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5"/>
        </w:trPr>
        <w:tc>
          <w:tcPr>
            <w:tcW w:w="85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Property, plant and equipment, net of accumulated depreciation</w:t>
            </w:r>
          </w:p>
        </w:tc>
        <w:tc>
          <w:tcPr>
            <w:tcW w:w="1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73.2</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74.0</w:t>
            </w:r>
          </w:p>
        </w:tc>
        <w:tc>
          <w:tcPr>
            <w:tcW w:w="80" w:type="dxa"/>
            <w:vAlign w:val="bottom"/>
            <w:shd w:val="clear" w:color="auto" w:fill="CCEEFF"/>
          </w:tcPr>
          <w:p>
            <w:pPr>
              <w:spacing w:after="0"/>
              <w:rPr>
                <w:sz w:val="16"/>
                <w:szCs w:val="16"/>
                <w:color w:val="auto"/>
              </w:rPr>
            </w:pPr>
          </w:p>
        </w:tc>
      </w:tr>
      <w:tr>
        <w:trPr>
          <w:trHeight w:val="185"/>
        </w:trPr>
        <w:tc>
          <w:tcPr>
            <w:tcW w:w="8580" w:type="dxa"/>
            <w:vAlign w:val="bottom"/>
            <w:gridSpan w:val="2"/>
          </w:tcPr>
          <w:p>
            <w:pPr>
              <w:spacing w:after="0"/>
              <w:rPr>
                <w:sz w:val="20"/>
                <w:szCs w:val="20"/>
                <w:color w:val="auto"/>
              </w:rPr>
            </w:pPr>
            <w:r>
              <w:rPr>
                <w:rFonts w:ascii="Arial" w:cs="Arial" w:eastAsia="Arial" w:hAnsi="Arial"/>
                <w:sz w:val="15"/>
                <w:szCs w:val="15"/>
                <w:color w:val="auto"/>
              </w:rPr>
              <w:t>Other intangible assets, net of accumulated amortization</w:t>
            </w:r>
          </w:p>
        </w:tc>
        <w:tc>
          <w:tcPr>
            <w:tcW w:w="14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130.3</w:t>
            </w:r>
          </w:p>
        </w:tc>
        <w:tc>
          <w:tcPr>
            <w:tcW w:w="140" w:type="dxa"/>
            <w:vAlign w:val="bottom"/>
          </w:tcPr>
          <w:p>
            <w:pPr>
              <w:spacing w:after="0"/>
              <w:rPr>
                <w:sz w:val="16"/>
                <w:szCs w:val="16"/>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5"/>
                <w:szCs w:val="15"/>
                <w:color w:val="auto"/>
              </w:rPr>
              <w:t>111.4</w:t>
            </w:r>
          </w:p>
        </w:tc>
        <w:tc>
          <w:tcPr>
            <w:tcW w:w="80" w:type="dxa"/>
            <w:vAlign w:val="bottom"/>
          </w:tcPr>
          <w:p>
            <w:pPr>
              <w:spacing w:after="0"/>
              <w:rPr>
                <w:sz w:val="16"/>
                <w:szCs w:val="16"/>
                <w:color w:val="auto"/>
              </w:rPr>
            </w:pPr>
          </w:p>
        </w:tc>
      </w:tr>
      <w:tr>
        <w:trPr>
          <w:trHeight w:val="185"/>
        </w:trPr>
        <w:tc>
          <w:tcPr>
            <w:tcW w:w="85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Goodwill</w:t>
            </w:r>
          </w:p>
        </w:tc>
        <w:tc>
          <w:tcPr>
            <w:tcW w:w="1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910.7</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867.5</w:t>
            </w:r>
          </w:p>
        </w:tc>
        <w:tc>
          <w:tcPr>
            <w:tcW w:w="80" w:type="dxa"/>
            <w:vAlign w:val="bottom"/>
            <w:shd w:val="clear" w:color="auto" w:fill="CCEEFF"/>
          </w:tcPr>
          <w:p>
            <w:pPr>
              <w:spacing w:after="0"/>
              <w:rPr>
                <w:sz w:val="16"/>
                <w:szCs w:val="16"/>
                <w:color w:val="auto"/>
              </w:rPr>
            </w:pPr>
          </w:p>
        </w:tc>
      </w:tr>
      <w:tr>
        <w:trPr>
          <w:trHeight w:val="185"/>
        </w:trPr>
        <w:tc>
          <w:tcPr>
            <w:tcW w:w="8580" w:type="dxa"/>
            <w:vAlign w:val="bottom"/>
            <w:gridSpan w:val="2"/>
          </w:tcPr>
          <w:p>
            <w:pPr>
              <w:spacing w:after="0"/>
              <w:rPr>
                <w:sz w:val="20"/>
                <w:szCs w:val="20"/>
                <w:color w:val="auto"/>
              </w:rPr>
            </w:pPr>
            <w:r>
              <w:rPr>
                <w:rFonts w:ascii="Arial" w:cs="Arial" w:eastAsia="Arial" w:hAnsi="Arial"/>
                <w:sz w:val="15"/>
                <w:szCs w:val="15"/>
                <w:color w:val="auto"/>
              </w:rPr>
              <w:t>Deferred income tax asset, net</w:t>
            </w:r>
          </w:p>
        </w:tc>
        <w:tc>
          <w:tcPr>
            <w:tcW w:w="14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42.5</w:t>
            </w:r>
          </w:p>
        </w:tc>
        <w:tc>
          <w:tcPr>
            <w:tcW w:w="140" w:type="dxa"/>
            <w:vAlign w:val="bottom"/>
          </w:tcPr>
          <w:p>
            <w:pPr>
              <w:spacing w:after="0"/>
              <w:rPr>
                <w:sz w:val="16"/>
                <w:szCs w:val="16"/>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5"/>
                <w:szCs w:val="15"/>
                <w:color w:val="auto"/>
              </w:rPr>
              <w:t>34.1</w:t>
            </w:r>
          </w:p>
        </w:tc>
        <w:tc>
          <w:tcPr>
            <w:tcW w:w="80" w:type="dxa"/>
            <w:vAlign w:val="bottom"/>
          </w:tcPr>
          <w:p>
            <w:pPr>
              <w:spacing w:after="0"/>
              <w:rPr>
                <w:sz w:val="16"/>
                <w:szCs w:val="16"/>
                <w:color w:val="auto"/>
              </w:rPr>
            </w:pPr>
          </w:p>
        </w:tc>
      </w:tr>
      <w:tr>
        <w:trPr>
          <w:trHeight w:val="196"/>
        </w:trPr>
        <w:tc>
          <w:tcPr>
            <w:tcW w:w="85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 noncurrent assets</w:t>
            </w:r>
          </w:p>
        </w:tc>
        <w:tc>
          <w:tcPr>
            <w:tcW w:w="1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115.0</w:t>
            </w:r>
          </w:p>
        </w:tc>
        <w:tc>
          <w:tcPr>
            <w:tcW w:w="2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114.0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8"/>
        </w:trPr>
        <w:tc>
          <w:tcPr>
            <w:tcW w:w="8580" w:type="dxa"/>
            <w:vAlign w:val="bottom"/>
            <w:gridSpan w:val="2"/>
          </w:tcPr>
          <w:p>
            <w:pPr>
              <w:spacing w:after="0"/>
              <w:rPr>
                <w:sz w:val="20"/>
                <w:szCs w:val="20"/>
                <w:color w:val="auto"/>
              </w:rPr>
            </w:pPr>
            <w:r>
              <w:rPr>
                <w:rFonts w:ascii="Arial" w:cs="Arial" w:eastAsia="Arial" w:hAnsi="Arial"/>
                <w:sz w:val="15"/>
                <w:szCs w:val="15"/>
                <w:color w:val="auto"/>
              </w:rPr>
              <w:t>Total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2,255.2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
              <w:spacing w:after="0"/>
              <w:rPr>
                <w:sz w:val="20"/>
                <w:szCs w:val="20"/>
                <w:color w:val="auto"/>
              </w:rPr>
            </w:pPr>
            <w:r>
              <w:rPr>
                <w:rFonts w:ascii="Arial" w:cs="Arial" w:eastAsia="Arial" w:hAnsi="Arial"/>
                <w:sz w:val="15"/>
                <w:szCs w:val="15"/>
                <w:color w:val="auto"/>
              </w:rPr>
              <w:t>2,130.7</w:t>
            </w:r>
          </w:p>
        </w:tc>
        <w:tc>
          <w:tcPr>
            <w:tcW w:w="80" w:type="dxa"/>
            <w:vAlign w:val="bottom"/>
          </w:tcPr>
          <w:p>
            <w:pPr>
              <w:spacing w:after="0"/>
              <w:rPr>
                <w:sz w:val="19"/>
                <w:szCs w:val="19"/>
                <w:color w:val="auto"/>
              </w:rPr>
            </w:pPr>
          </w:p>
        </w:tc>
      </w:tr>
      <w:tr>
        <w:trPr>
          <w:trHeight w:val="159"/>
        </w:trPr>
        <w:tc>
          <w:tcPr>
            <w:tcW w:w="8580" w:type="dxa"/>
            <w:vAlign w:val="bottom"/>
            <w:tcBorders>
              <w:top w:val="single" w:sz="8" w:color="CCEEFF"/>
            </w:tcBorders>
            <w:gridSpan w:val="2"/>
            <w:shd w:val="clear" w:color="auto" w:fill="CCEEFF"/>
          </w:tcPr>
          <w:p>
            <w:pPr>
              <w:spacing w:after="0" w:line="159" w:lineRule="exact"/>
              <w:rPr>
                <w:sz w:val="20"/>
                <w:szCs w:val="20"/>
                <w:color w:val="auto"/>
              </w:rPr>
            </w:pPr>
            <w:r>
              <w:rPr>
                <w:rFonts w:ascii="Arial" w:cs="Arial" w:eastAsia="Arial" w:hAnsi="Arial"/>
                <w:sz w:val="15"/>
                <w:szCs w:val="15"/>
                <w:b w:val="1"/>
                <w:bCs w:val="1"/>
                <w:color w:val="auto"/>
              </w:rPr>
              <w:t>LIABILITIES AND STOCKHOLDERS' EQUITY</w:t>
            </w:r>
          </w:p>
        </w:tc>
        <w:tc>
          <w:tcPr>
            <w:tcW w:w="14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r>
      <w:tr>
        <w:trPr>
          <w:trHeight w:val="185"/>
        </w:trPr>
        <w:tc>
          <w:tcPr>
            <w:tcW w:w="8580" w:type="dxa"/>
            <w:vAlign w:val="bottom"/>
            <w:gridSpan w:val="2"/>
          </w:tcPr>
          <w:p>
            <w:pPr>
              <w:spacing w:after="0"/>
              <w:rPr>
                <w:sz w:val="20"/>
                <w:szCs w:val="20"/>
                <w:color w:val="auto"/>
              </w:rPr>
            </w:pPr>
            <w:r>
              <w:rPr>
                <w:rFonts w:ascii="Arial" w:cs="Arial" w:eastAsia="Arial" w:hAnsi="Arial"/>
                <w:sz w:val="15"/>
                <w:szCs w:val="15"/>
                <w:color w:val="auto"/>
              </w:rPr>
              <w:t>Current Liabilities</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5"/>
        </w:trPr>
        <w:tc>
          <w:tcPr>
            <w:tcW w:w="85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Trade 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176.5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179.1</w:t>
            </w:r>
          </w:p>
        </w:tc>
        <w:tc>
          <w:tcPr>
            <w:tcW w:w="80" w:type="dxa"/>
            <w:vAlign w:val="bottom"/>
            <w:shd w:val="clear" w:color="auto" w:fill="CCEEFF"/>
          </w:tcPr>
          <w:p>
            <w:pPr>
              <w:spacing w:after="0"/>
              <w:rPr>
                <w:sz w:val="16"/>
                <w:szCs w:val="16"/>
                <w:color w:val="auto"/>
              </w:rPr>
            </w:pPr>
          </w:p>
        </w:tc>
      </w:tr>
      <w:tr>
        <w:trPr>
          <w:trHeight w:val="185"/>
        </w:trPr>
        <w:tc>
          <w:tcPr>
            <w:tcW w:w="8580" w:type="dxa"/>
            <w:vAlign w:val="bottom"/>
            <w:gridSpan w:val="2"/>
          </w:tcPr>
          <w:p>
            <w:pPr>
              <w:ind w:left="140"/>
              <w:spacing w:after="0"/>
              <w:rPr>
                <w:sz w:val="20"/>
                <w:szCs w:val="20"/>
                <w:color w:val="auto"/>
              </w:rPr>
            </w:pPr>
            <w:r>
              <w:rPr>
                <w:rFonts w:ascii="Arial" w:cs="Arial" w:eastAsia="Arial" w:hAnsi="Arial"/>
                <w:sz w:val="15"/>
                <w:szCs w:val="15"/>
                <w:color w:val="auto"/>
              </w:rPr>
              <w:t>Accrued compensation</w:t>
            </w:r>
          </w:p>
        </w:tc>
        <w:tc>
          <w:tcPr>
            <w:tcW w:w="14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115.8</w:t>
            </w:r>
          </w:p>
        </w:tc>
        <w:tc>
          <w:tcPr>
            <w:tcW w:w="140" w:type="dxa"/>
            <w:vAlign w:val="bottom"/>
          </w:tcPr>
          <w:p>
            <w:pPr>
              <w:spacing w:after="0"/>
              <w:rPr>
                <w:sz w:val="16"/>
                <w:szCs w:val="16"/>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5"/>
                <w:szCs w:val="15"/>
                <w:color w:val="auto"/>
              </w:rPr>
              <w:t>128.8</w:t>
            </w:r>
          </w:p>
        </w:tc>
        <w:tc>
          <w:tcPr>
            <w:tcW w:w="80" w:type="dxa"/>
            <w:vAlign w:val="bottom"/>
          </w:tcPr>
          <w:p>
            <w:pPr>
              <w:spacing w:after="0"/>
              <w:rPr>
                <w:sz w:val="16"/>
                <w:szCs w:val="16"/>
                <w:color w:val="auto"/>
              </w:rPr>
            </w:pPr>
          </w:p>
        </w:tc>
      </w:tr>
      <w:tr>
        <w:trPr>
          <w:trHeight w:val="185"/>
        </w:trPr>
        <w:tc>
          <w:tcPr>
            <w:tcW w:w="85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Accrued taxes—other than income</w:t>
            </w:r>
          </w:p>
        </w:tc>
        <w:tc>
          <w:tcPr>
            <w:tcW w:w="1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40.8</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31.6</w:t>
            </w:r>
          </w:p>
        </w:tc>
        <w:tc>
          <w:tcPr>
            <w:tcW w:w="80" w:type="dxa"/>
            <w:vAlign w:val="bottom"/>
            <w:shd w:val="clear" w:color="auto" w:fill="CCEEFF"/>
          </w:tcPr>
          <w:p>
            <w:pPr>
              <w:spacing w:after="0"/>
              <w:rPr>
                <w:sz w:val="16"/>
                <w:szCs w:val="16"/>
                <w:color w:val="auto"/>
              </w:rPr>
            </w:pPr>
          </w:p>
        </w:tc>
      </w:tr>
      <w:tr>
        <w:trPr>
          <w:trHeight w:val="185"/>
        </w:trPr>
        <w:tc>
          <w:tcPr>
            <w:tcW w:w="8580" w:type="dxa"/>
            <w:vAlign w:val="bottom"/>
            <w:gridSpan w:val="2"/>
          </w:tcPr>
          <w:p>
            <w:pPr>
              <w:ind w:left="140"/>
              <w:spacing w:after="0"/>
              <w:rPr>
                <w:sz w:val="20"/>
                <w:szCs w:val="20"/>
                <w:color w:val="auto"/>
              </w:rPr>
            </w:pPr>
            <w:r>
              <w:rPr>
                <w:rFonts w:ascii="Arial" w:cs="Arial" w:eastAsia="Arial" w:hAnsi="Arial"/>
                <w:sz w:val="15"/>
                <w:szCs w:val="15"/>
                <w:color w:val="auto"/>
              </w:rPr>
              <w:t>Insurance claims</w:t>
            </w:r>
          </w:p>
        </w:tc>
        <w:tc>
          <w:tcPr>
            <w:tcW w:w="14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91.0</w:t>
            </w:r>
          </w:p>
        </w:tc>
        <w:tc>
          <w:tcPr>
            <w:tcW w:w="140" w:type="dxa"/>
            <w:vAlign w:val="bottom"/>
          </w:tcPr>
          <w:p>
            <w:pPr>
              <w:spacing w:after="0"/>
              <w:rPr>
                <w:sz w:val="16"/>
                <w:szCs w:val="16"/>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5"/>
                <w:szCs w:val="15"/>
                <w:color w:val="auto"/>
              </w:rPr>
              <w:t>90.0</w:t>
            </w:r>
          </w:p>
        </w:tc>
        <w:tc>
          <w:tcPr>
            <w:tcW w:w="80" w:type="dxa"/>
            <w:vAlign w:val="bottom"/>
          </w:tcPr>
          <w:p>
            <w:pPr>
              <w:spacing w:after="0"/>
              <w:rPr>
                <w:sz w:val="16"/>
                <w:szCs w:val="16"/>
                <w:color w:val="auto"/>
              </w:rPr>
            </w:pPr>
          </w:p>
        </w:tc>
      </w:tr>
      <w:tr>
        <w:trPr>
          <w:trHeight w:val="185"/>
        </w:trPr>
        <w:tc>
          <w:tcPr>
            <w:tcW w:w="85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Income taxes payable</w:t>
            </w:r>
          </w:p>
        </w:tc>
        <w:tc>
          <w:tcPr>
            <w:tcW w:w="1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0.7</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8.9</w:t>
            </w:r>
          </w:p>
        </w:tc>
        <w:tc>
          <w:tcPr>
            <w:tcW w:w="80" w:type="dxa"/>
            <w:vAlign w:val="bottom"/>
            <w:shd w:val="clear" w:color="auto" w:fill="CCEEFF"/>
          </w:tcPr>
          <w:p>
            <w:pPr>
              <w:spacing w:after="0"/>
              <w:rPr>
                <w:sz w:val="16"/>
                <w:szCs w:val="16"/>
                <w:color w:val="auto"/>
              </w:rPr>
            </w:pPr>
          </w:p>
        </w:tc>
      </w:tr>
      <w:tr>
        <w:trPr>
          <w:trHeight w:val="196"/>
        </w:trPr>
        <w:tc>
          <w:tcPr>
            <w:tcW w:w="8580" w:type="dxa"/>
            <w:vAlign w:val="bottom"/>
            <w:gridSpan w:val="2"/>
          </w:tcPr>
          <w:p>
            <w:pPr>
              <w:ind w:left="140"/>
              <w:spacing w:after="0"/>
              <w:rPr>
                <w:sz w:val="20"/>
                <w:szCs w:val="20"/>
                <w:color w:val="auto"/>
              </w:rPr>
            </w:pPr>
            <w:r>
              <w:rPr>
                <w:rFonts w:ascii="Arial" w:cs="Arial" w:eastAsia="Arial" w:hAnsi="Arial"/>
                <w:sz w:val="15"/>
                <w:szCs w:val="15"/>
                <w:color w:val="auto"/>
              </w:rPr>
              <w:t>Other accrued liabilities</w:t>
            </w:r>
          </w:p>
        </w:tc>
        <w:tc>
          <w:tcPr>
            <w:tcW w:w="14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140.4</w:t>
            </w:r>
          </w:p>
        </w:tc>
        <w:tc>
          <w:tcPr>
            <w:tcW w:w="140" w:type="dxa"/>
            <w:vAlign w:val="bottom"/>
          </w:tcPr>
          <w:p>
            <w:pPr>
              <w:spacing w:after="0"/>
              <w:rPr>
                <w:sz w:val="17"/>
                <w:szCs w:val="17"/>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5"/>
                <w:szCs w:val="15"/>
                <w:color w:val="auto"/>
              </w:rPr>
              <w:t>129.8</w:t>
            </w:r>
          </w:p>
        </w:tc>
        <w:tc>
          <w:tcPr>
            <w:tcW w:w="80" w:type="dxa"/>
            <w:vAlign w:val="bottom"/>
          </w:tcPr>
          <w:p>
            <w:pPr>
              <w:spacing w:after="0"/>
              <w:rPr>
                <w:sz w:val="17"/>
                <w:szCs w:val="17"/>
                <w:color w:val="auto"/>
              </w:rPr>
            </w:pPr>
          </w:p>
        </w:tc>
      </w:tr>
      <w:tr>
        <w:trPr>
          <w:trHeight w:val="176"/>
        </w:trPr>
        <w:tc>
          <w:tcPr>
            <w:tcW w:w="8580" w:type="dxa"/>
            <w:vAlign w:val="bottom"/>
            <w:tcBorders>
              <w:top w:val="single" w:sz="8" w:color="CCEEFF"/>
            </w:tcBorders>
            <w:gridSpan w:val="2"/>
            <w:shd w:val="clear" w:color="auto" w:fill="CCEEFF"/>
          </w:tcPr>
          <w:p>
            <w:pPr>
              <w:ind w:left="260"/>
              <w:spacing w:after="0"/>
              <w:rPr>
                <w:sz w:val="20"/>
                <w:szCs w:val="20"/>
                <w:color w:val="auto"/>
              </w:rPr>
            </w:pPr>
            <w:r>
              <w:rPr>
                <w:rFonts w:ascii="Arial" w:cs="Arial" w:eastAsia="Arial" w:hAnsi="Arial"/>
                <w:sz w:val="15"/>
                <w:szCs w:val="15"/>
                <w:color w:val="auto"/>
              </w:rPr>
              <w:t>Total current liabilities</w:t>
            </w: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565.2</w:t>
            </w: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568.2</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176"/>
        </w:trPr>
        <w:tc>
          <w:tcPr>
            <w:tcW w:w="8580" w:type="dxa"/>
            <w:vAlign w:val="bottom"/>
            <w:gridSpan w:val="2"/>
          </w:tcPr>
          <w:p>
            <w:pPr>
              <w:spacing w:after="0"/>
              <w:rPr>
                <w:sz w:val="20"/>
                <w:szCs w:val="20"/>
                <w:color w:val="auto"/>
              </w:rPr>
            </w:pPr>
            <w:r>
              <w:rPr>
                <w:rFonts w:ascii="Arial" w:cs="Arial" w:eastAsia="Arial" w:hAnsi="Arial"/>
                <w:sz w:val="15"/>
                <w:szCs w:val="15"/>
                <w:color w:val="auto"/>
              </w:rPr>
              <w:t>Noncurrent income taxes payable</w:t>
            </w: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54.2</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53.2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5"/>
        </w:trPr>
        <w:tc>
          <w:tcPr>
            <w:tcW w:w="85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Line of credit</w:t>
            </w:r>
          </w:p>
        </w:tc>
        <w:tc>
          <w:tcPr>
            <w:tcW w:w="1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286.7</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158.0</w:t>
            </w:r>
          </w:p>
        </w:tc>
        <w:tc>
          <w:tcPr>
            <w:tcW w:w="80" w:type="dxa"/>
            <w:vAlign w:val="bottom"/>
            <w:shd w:val="clear" w:color="auto" w:fill="CCEEFF"/>
          </w:tcPr>
          <w:p>
            <w:pPr>
              <w:spacing w:after="0"/>
              <w:rPr>
                <w:sz w:val="16"/>
                <w:szCs w:val="16"/>
                <w:color w:val="auto"/>
              </w:rPr>
            </w:pPr>
          </w:p>
        </w:tc>
      </w:tr>
      <w:tr>
        <w:trPr>
          <w:trHeight w:val="185"/>
        </w:trPr>
        <w:tc>
          <w:tcPr>
            <w:tcW w:w="8580" w:type="dxa"/>
            <w:vAlign w:val="bottom"/>
            <w:gridSpan w:val="2"/>
          </w:tcPr>
          <w:p>
            <w:pPr>
              <w:spacing w:after="0"/>
              <w:rPr>
                <w:sz w:val="20"/>
                <w:szCs w:val="20"/>
                <w:color w:val="auto"/>
              </w:rPr>
            </w:pPr>
            <w:r>
              <w:rPr>
                <w:rFonts w:ascii="Arial" w:cs="Arial" w:eastAsia="Arial" w:hAnsi="Arial"/>
                <w:sz w:val="15"/>
                <w:szCs w:val="15"/>
                <w:color w:val="auto"/>
              </w:rPr>
              <w:t>Noncurrent insurance claims</w:t>
            </w:r>
          </w:p>
        </w:tc>
        <w:tc>
          <w:tcPr>
            <w:tcW w:w="14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301.7</w:t>
            </w:r>
          </w:p>
        </w:tc>
        <w:tc>
          <w:tcPr>
            <w:tcW w:w="140" w:type="dxa"/>
            <w:vAlign w:val="bottom"/>
          </w:tcPr>
          <w:p>
            <w:pPr>
              <w:spacing w:after="0"/>
              <w:rPr>
                <w:sz w:val="16"/>
                <w:szCs w:val="16"/>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5"/>
                <w:szCs w:val="15"/>
                <w:color w:val="auto"/>
              </w:rPr>
              <w:t>297.4</w:t>
            </w:r>
          </w:p>
        </w:tc>
        <w:tc>
          <w:tcPr>
            <w:tcW w:w="80" w:type="dxa"/>
            <w:vAlign w:val="bottom"/>
          </w:tcPr>
          <w:p>
            <w:pPr>
              <w:spacing w:after="0"/>
              <w:rPr>
                <w:sz w:val="16"/>
                <w:szCs w:val="16"/>
                <w:color w:val="auto"/>
              </w:rPr>
            </w:pPr>
          </w:p>
        </w:tc>
      </w:tr>
      <w:tr>
        <w:trPr>
          <w:trHeight w:val="196"/>
        </w:trPr>
        <w:tc>
          <w:tcPr>
            <w:tcW w:w="85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 noncurrent liabilities</w:t>
            </w: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51.7</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46.4</w:t>
            </w:r>
          </w:p>
        </w:tc>
        <w:tc>
          <w:tcPr>
            <w:tcW w:w="80" w:type="dxa"/>
            <w:vAlign w:val="bottom"/>
            <w:shd w:val="clear" w:color="auto" w:fill="CCEEFF"/>
          </w:tcPr>
          <w:p>
            <w:pPr>
              <w:spacing w:after="0"/>
              <w:rPr>
                <w:sz w:val="17"/>
                <w:szCs w:val="17"/>
                <w:color w:val="auto"/>
              </w:rPr>
            </w:pPr>
          </w:p>
        </w:tc>
      </w:tr>
      <w:tr>
        <w:trPr>
          <w:trHeight w:val="176"/>
        </w:trPr>
        <w:tc>
          <w:tcPr>
            <w:tcW w:w="8580" w:type="dxa"/>
            <w:vAlign w:val="bottom"/>
            <w:gridSpan w:val="2"/>
          </w:tcPr>
          <w:p>
            <w:pPr>
              <w:ind w:left="140"/>
              <w:spacing w:after="0"/>
              <w:rPr>
                <w:sz w:val="20"/>
                <w:szCs w:val="20"/>
                <w:color w:val="auto"/>
              </w:rPr>
            </w:pPr>
            <w:r>
              <w:rPr>
                <w:rFonts w:ascii="Arial" w:cs="Arial" w:eastAsia="Arial" w:hAnsi="Arial"/>
                <w:sz w:val="15"/>
                <w:szCs w:val="15"/>
                <w:color w:val="auto"/>
              </w:rPr>
              <w:t>Total liabilities</w:t>
            </w:r>
          </w:p>
        </w:tc>
        <w:tc>
          <w:tcPr>
            <w:tcW w:w="1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1,259.5</w:t>
            </w: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1,123.2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6"/>
        </w:trPr>
        <w:tc>
          <w:tcPr>
            <w:tcW w:w="85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Total stockholders' equity</w:t>
            </w:r>
          </w:p>
        </w:tc>
        <w:tc>
          <w:tcPr>
            <w:tcW w:w="1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995.7</w:t>
            </w:r>
          </w:p>
        </w:tc>
        <w:tc>
          <w:tcPr>
            <w:tcW w:w="2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1,007.5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88"/>
        </w:trPr>
        <w:tc>
          <w:tcPr>
            <w:tcW w:w="8580" w:type="dxa"/>
            <w:vAlign w:val="bottom"/>
            <w:gridSpan w:val="2"/>
          </w:tcPr>
          <w:p>
            <w:pPr>
              <w:spacing w:after="0"/>
              <w:rPr>
                <w:sz w:val="20"/>
                <w:szCs w:val="20"/>
                <w:color w:val="auto"/>
              </w:rPr>
            </w:pPr>
            <w:r>
              <w:rPr>
                <w:rFonts w:ascii="Arial" w:cs="Arial" w:eastAsia="Arial" w:hAnsi="Arial"/>
                <w:sz w:val="15"/>
                <w:szCs w:val="15"/>
                <w:color w:val="auto"/>
              </w:rPr>
              <w:t>Total liabilities and stockholders’ equity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2,255.2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
              <w:spacing w:after="0"/>
              <w:rPr>
                <w:sz w:val="20"/>
                <w:szCs w:val="20"/>
                <w:color w:val="auto"/>
              </w:rPr>
            </w:pPr>
            <w:r>
              <w:rPr>
                <w:rFonts w:ascii="Arial" w:cs="Arial" w:eastAsia="Arial" w:hAnsi="Arial"/>
                <w:sz w:val="15"/>
                <w:szCs w:val="15"/>
                <w:color w:val="auto"/>
              </w:rPr>
              <w:t>2,130.7</w:t>
            </w:r>
          </w:p>
        </w:tc>
        <w:tc>
          <w:tcPr>
            <w:tcW w:w="80" w:type="dxa"/>
            <w:vAlign w:val="bottom"/>
          </w:tcPr>
          <w:p>
            <w:pPr>
              <w:spacing w:after="0"/>
              <w:rPr>
                <w:sz w:val="16"/>
                <w:szCs w:val="16"/>
                <w:color w:val="auto"/>
              </w:rPr>
            </w:pPr>
          </w:p>
        </w:tc>
      </w:tr>
      <w:tr>
        <w:trPr>
          <w:trHeight w:val="20"/>
        </w:trPr>
        <w:tc>
          <w:tcPr>
            <w:tcW w:w="8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28"/>
        </w:trPr>
        <w:tc>
          <w:tcPr>
            <w:tcW w:w="8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794" w:right="219" w:bottom="1440" w:gutter="0" w:footer="0" w:header="0"/>
        </w:sectPr>
      </w:pPr>
    </w:p>
    <w:bookmarkStart w:id="11" w:name="page12"/>
    <w:bookmarkEnd w:id="11"/>
    <w:p>
      <w:pPr>
        <w:spacing w:after="0"/>
        <w:rPr>
          <w:sz w:val="20"/>
          <w:szCs w:val="20"/>
          <w:color w:val="auto"/>
        </w:rPr>
      </w:pPr>
      <w:r>
        <w:rPr>
          <w:rFonts w:ascii="Arial" w:cs="Arial" w:eastAsia="Arial" w:hAnsi="Arial"/>
          <w:sz w:val="15"/>
          <w:szCs w:val="15"/>
          <w:b w:val="1"/>
          <w:bCs w:val="1"/>
          <w:color w:val="auto"/>
        </w:rPr>
        <w:t>ABM INDUSTRIES INCORPORATED AND SUBSIDIARIES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REVENUES AND OPERATING PROFIT BY SEGMENT (UNAUDITED)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40" w:type="dxa"/>
            <w:vAlign w:val="bottom"/>
            <w:gridSpan w:val="5"/>
          </w:tcPr>
          <w:p>
            <w:pPr>
              <w:jc w:val="right"/>
              <w:ind w:right="660"/>
              <w:spacing w:after="0"/>
              <w:rPr>
                <w:sz w:val="20"/>
                <w:szCs w:val="20"/>
                <w:color w:val="auto"/>
              </w:rPr>
            </w:pPr>
            <w:r>
              <w:rPr>
                <w:rFonts w:ascii="Arial" w:cs="Arial" w:eastAsia="Arial" w:hAnsi="Arial"/>
                <w:sz w:val="12"/>
                <w:szCs w:val="12"/>
                <w:b w:val="1"/>
                <w:bCs w:val="1"/>
                <w:color w:val="auto"/>
              </w:rPr>
              <w:t>Three Months Ended January 31,</w:t>
            </w:r>
          </w:p>
        </w:tc>
        <w:tc>
          <w:tcPr>
            <w:tcW w:w="1440" w:type="dxa"/>
            <w:vAlign w:val="bottom"/>
            <w:gridSpan w:val="2"/>
          </w:tcPr>
          <w:p>
            <w:pPr>
              <w:jc w:val="right"/>
              <w:ind w:right="580"/>
              <w:spacing w:after="0"/>
              <w:rPr>
                <w:sz w:val="20"/>
                <w:szCs w:val="20"/>
                <w:color w:val="auto"/>
              </w:rPr>
            </w:pPr>
            <w:r>
              <w:rPr>
                <w:rFonts w:ascii="Arial" w:cs="Arial" w:eastAsia="Arial" w:hAnsi="Arial"/>
                <w:sz w:val="12"/>
                <w:szCs w:val="12"/>
                <w:b w:val="1"/>
                <w:bCs w:val="1"/>
                <w:color w:val="auto"/>
              </w:rPr>
              <w:t>Increase/</w:t>
            </w:r>
          </w:p>
        </w:tc>
        <w:tc>
          <w:tcPr>
            <w:tcW w:w="0" w:type="dxa"/>
            <w:vAlign w:val="bottom"/>
          </w:tcPr>
          <w:p>
            <w:pPr>
              <w:spacing w:after="0"/>
              <w:rPr>
                <w:sz w:val="1"/>
                <w:szCs w:val="1"/>
                <w:color w:val="auto"/>
              </w:rPr>
            </w:pPr>
          </w:p>
        </w:tc>
      </w:tr>
      <w:tr>
        <w:trPr>
          <w:trHeight w:val="130"/>
        </w:trPr>
        <w:tc>
          <w:tcPr>
            <w:tcW w:w="6980" w:type="dxa"/>
            <w:vAlign w:val="bottom"/>
          </w:tcPr>
          <w:p>
            <w:pPr>
              <w:spacing w:after="0" w:line="130" w:lineRule="exact"/>
              <w:rPr>
                <w:sz w:val="20"/>
                <w:szCs w:val="20"/>
                <w:color w:val="auto"/>
              </w:rPr>
            </w:pPr>
            <w:r>
              <w:rPr>
                <w:rFonts w:ascii="Arial" w:cs="Arial" w:eastAsia="Arial" w:hAnsi="Arial"/>
                <w:sz w:val="12"/>
                <w:szCs w:val="12"/>
                <w:b w:val="1"/>
                <w:bCs w:val="1"/>
                <w:i w:val="1"/>
                <w:iCs w:val="1"/>
                <w:color w:val="auto"/>
              </w:rPr>
              <w:t>($ in millions)</w:t>
            </w:r>
          </w:p>
        </w:tc>
        <w:tc>
          <w:tcPr>
            <w:tcW w:w="1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424"/>
              <w:spacing w:after="0" w:line="130" w:lineRule="exact"/>
              <w:rPr>
                <w:sz w:val="20"/>
                <w:szCs w:val="20"/>
                <w:color w:val="auto"/>
              </w:rPr>
            </w:pPr>
            <w:r>
              <w:rPr>
                <w:rFonts w:ascii="Arial" w:cs="Arial" w:eastAsia="Arial" w:hAnsi="Arial"/>
                <w:sz w:val="12"/>
                <w:szCs w:val="12"/>
                <w:b w:val="1"/>
                <w:bCs w:val="1"/>
                <w:color w:val="auto"/>
              </w:rPr>
              <w:t>2016</w:t>
            </w:r>
          </w:p>
        </w:tc>
        <w:tc>
          <w:tcPr>
            <w:tcW w:w="2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424"/>
              <w:spacing w:after="0" w:line="130" w:lineRule="exact"/>
              <w:rPr>
                <w:sz w:val="20"/>
                <w:szCs w:val="20"/>
                <w:color w:val="auto"/>
              </w:rPr>
            </w:pPr>
            <w:r>
              <w:rPr>
                <w:rFonts w:ascii="Arial" w:cs="Arial" w:eastAsia="Arial" w:hAnsi="Arial"/>
                <w:sz w:val="12"/>
                <w:szCs w:val="12"/>
                <w:b w:val="1"/>
                <w:bCs w:val="1"/>
                <w:color w:val="auto"/>
              </w:rPr>
              <w:t>2015</w:t>
            </w:r>
          </w:p>
        </w:tc>
        <w:tc>
          <w:tcPr>
            <w:tcW w:w="200" w:type="dxa"/>
            <w:vAlign w:val="bottom"/>
          </w:tcPr>
          <w:p>
            <w:pPr>
              <w:spacing w:after="0"/>
              <w:rPr>
                <w:sz w:val="11"/>
                <w:szCs w:val="11"/>
                <w:color w:val="auto"/>
              </w:rPr>
            </w:pPr>
          </w:p>
        </w:tc>
        <w:tc>
          <w:tcPr>
            <w:tcW w:w="1440" w:type="dxa"/>
            <w:vAlign w:val="bottom"/>
            <w:gridSpan w:val="2"/>
          </w:tcPr>
          <w:p>
            <w:pPr>
              <w:jc w:val="right"/>
              <w:ind w:right="540"/>
              <w:spacing w:after="0" w:line="130" w:lineRule="exact"/>
              <w:rPr>
                <w:sz w:val="20"/>
                <w:szCs w:val="20"/>
                <w:color w:val="auto"/>
              </w:rPr>
            </w:pPr>
            <w:r>
              <w:rPr>
                <w:rFonts w:ascii="Arial" w:cs="Arial" w:eastAsia="Arial" w:hAnsi="Arial"/>
                <w:sz w:val="12"/>
                <w:szCs w:val="12"/>
                <w:b w:val="1"/>
                <w:bCs w:val="1"/>
                <w:color w:val="auto"/>
              </w:rPr>
              <w:t>(Decrease)</w:t>
            </w:r>
          </w:p>
        </w:tc>
        <w:tc>
          <w:tcPr>
            <w:tcW w:w="0" w:type="dxa"/>
            <w:vAlign w:val="bottom"/>
          </w:tcPr>
          <w:p>
            <w:pPr>
              <w:spacing w:after="0"/>
              <w:rPr>
                <w:sz w:val="1"/>
                <w:szCs w:val="1"/>
                <w:color w:val="auto"/>
              </w:rPr>
            </w:pPr>
          </w:p>
        </w:tc>
      </w:tr>
      <w:tr>
        <w:trPr>
          <w:trHeight w:val="176"/>
        </w:trPr>
        <w:tc>
          <w:tcPr>
            <w:tcW w:w="6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rPr>
              <w:t>Revenues</w:t>
            </w: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left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980" w:type="dxa"/>
            <w:vAlign w:val="bottom"/>
          </w:tcPr>
          <w:p>
            <w:pPr>
              <w:spacing w:after="0"/>
              <w:rPr>
                <w:sz w:val="20"/>
                <w:szCs w:val="20"/>
                <w:color w:val="auto"/>
              </w:rPr>
            </w:pPr>
            <w:r>
              <w:rPr>
                <w:rFonts w:ascii="Arial" w:cs="Arial" w:eastAsia="Arial" w:hAnsi="Arial"/>
                <w:sz w:val="15"/>
                <w:szCs w:val="15"/>
                <w:color w:val="auto"/>
              </w:rPr>
              <w:t>Janitorial</w:t>
            </w:r>
          </w:p>
        </w:tc>
        <w:tc>
          <w:tcPr>
            <w:tcW w:w="3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685.7</w:t>
            </w: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666.0</w:t>
            </w:r>
          </w:p>
        </w:tc>
        <w:tc>
          <w:tcPr>
            <w:tcW w:w="200" w:type="dxa"/>
            <w:vAlign w:val="bottom"/>
          </w:tcPr>
          <w:p>
            <w:pPr>
              <w:spacing w:after="0"/>
              <w:rPr>
                <w:sz w:val="16"/>
                <w:szCs w:val="16"/>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5"/>
                <w:szCs w:val="15"/>
                <w:color w:val="auto"/>
              </w:rPr>
              <w:t>3.0%</w:t>
            </w:r>
          </w:p>
        </w:tc>
        <w:tc>
          <w:tcPr>
            <w:tcW w:w="0" w:type="dxa"/>
            <w:vAlign w:val="bottom"/>
          </w:tcPr>
          <w:p>
            <w:pPr>
              <w:spacing w:after="0"/>
              <w:rPr>
                <w:sz w:val="1"/>
                <w:szCs w:val="1"/>
                <w:color w:val="auto"/>
              </w:rPr>
            </w:pPr>
          </w:p>
        </w:tc>
      </w:tr>
      <w:tr>
        <w:trPr>
          <w:trHeight w:val="185"/>
        </w:trPr>
        <w:tc>
          <w:tcPr>
            <w:tcW w:w="6980" w:type="dxa"/>
            <w:vAlign w:val="bottom"/>
            <w:shd w:val="clear" w:color="auto" w:fill="CCEEFF"/>
          </w:tcPr>
          <w:p>
            <w:pPr>
              <w:spacing w:after="0"/>
              <w:rPr>
                <w:sz w:val="20"/>
                <w:szCs w:val="20"/>
                <w:color w:val="auto"/>
              </w:rPr>
            </w:pPr>
            <w:r>
              <w:rPr>
                <w:rFonts w:ascii="Arial" w:cs="Arial" w:eastAsia="Arial" w:hAnsi="Arial"/>
                <w:sz w:val="15"/>
                <w:szCs w:val="15"/>
                <w:color w:val="auto"/>
              </w:rPr>
              <w:t>Facility Services</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158.5</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156.2</w:t>
            </w:r>
          </w:p>
        </w:tc>
        <w:tc>
          <w:tcPr>
            <w:tcW w:w="200" w:type="dxa"/>
            <w:vAlign w:val="bottom"/>
            <w:tcBorders>
              <w:left w:val="single" w:sz="8" w:color="CCEEFF"/>
            </w:tcBorders>
            <w:shd w:val="clear" w:color="auto" w:fill="CCEEFF"/>
          </w:tcPr>
          <w:p>
            <w:pPr>
              <w:spacing w:after="0"/>
              <w:rPr>
                <w:sz w:val="16"/>
                <w:szCs w:val="16"/>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185"/>
        </w:trPr>
        <w:tc>
          <w:tcPr>
            <w:tcW w:w="6980" w:type="dxa"/>
            <w:vAlign w:val="bottom"/>
          </w:tcPr>
          <w:p>
            <w:pPr>
              <w:spacing w:after="0"/>
              <w:rPr>
                <w:sz w:val="20"/>
                <w:szCs w:val="20"/>
                <w:color w:val="auto"/>
              </w:rPr>
            </w:pPr>
            <w:r>
              <w:rPr>
                <w:rFonts w:ascii="Arial" w:cs="Arial" w:eastAsia="Arial" w:hAnsi="Arial"/>
                <w:sz w:val="15"/>
                <w:szCs w:val="15"/>
                <w:color w:val="auto"/>
              </w:rPr>
              <w:t>Parking</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162.0</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155.7</w:t>
            </w:r>
          </w:p>
        </w:tc>
        <w:tc>
          <w:tcPr>
            <w:tcW w:w="200" w:type="dxa"/>
            <w:vAlign w:val="bottom"/>
          </w:tcPr>
          <w:p>
            <w:pPr>
              <w:spacing w:after="0"/>
              <w:rPr>
                <w:sz w:val="16"/>
                <w:szCs w:val="16"/>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5"/>
                <w:szCs w:val="15"/>
                <w:color w:val="auto"/>
              </w:rPr>
              <w:t>4.0%</w:t>
            </w:r>
          </w:p>
        </w:tc>
        <w:tc>
          <w:tcPr>
            <w:tcW w:w="0" w:type="dxa"/>
            <w:vAlign w:val="bottom"/>
          </w:tcPr>
          <w:p>
            <w:pPr>
              <w:spacing w:after="0"/>
              <w:rPr>
                <w:sz w:val="1"/>
                <w:szCs w:val="1"/>
                <w:color w:val="auto"/>
              </w:rPr>
            </w:pPr>
          </w:p>
        </w:tc>
      </w:tr>
      <w:tr>
        <w:trPr>
          <w:trHeight w:val="185"/>
        </w:trPr>
        <w:tc>
          <w:tcPr>
            <w:tcW w:w="6980" w:type="dxa"/>
            <w:vAlign w:val="bottom"/>
            <w:shd w:val="clear" w:color="auto" w:fill="CCEEFF"/>
          </w:tcPr>
          <w:p>
            <w:pPr>
              <w:spacing w:after="0"/>
              <w:rPr>
                <w:sz w:val="20"/>
                <w:szCs w:val="20"/>
                <w:color w:val="auto"/>
              </w:rPr>
            </w:pPr>
            <w:r>
              <w:rPr>
                <w:rFonts w:ascii="Arial" w:cs="Arial" w:eastAsia="Arial" w:hAnsi="Arial"/>
                <w:sz w:val="15"/>
                <w:szCs w:val="15"/>
                <w:color w:val="auto"/>
              </w:rPr>
              <w:t>Building &amp; Energy Solutions</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149.8</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119.4</w:t>
            </w:r>
          </w:p>
        </w:tc>
        <w:tc>
          <w:tcPr>
            <w:tcW w:w="200" w:type="dxa"/>
            <w:vAlign w:val="bottom"/>
            <w:tcBorders>
              <w:left w:val="single" w:sz="8" w:color="CCEEFF"/>
            </w:tcBorders>
            <w:shd w:val="clear" w:color="auto" w:fill="CCEEFF"/>
          </w:tcPr>
          <w:p>
            <w:pPr>
              <w:spacing w:after="0"/>
              <w:rPr>
                <w:sz w:val="16"/>
                <w:szCs w:val="16"/>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25.5%</w:t>
            </w:r>
          </w:p>
        </w:tc>
        <w:tc>
          <w:tcPr>
            <w:tcW w:w="0" w:type="dxa"/>
            <w:vAlign w:val="bottom"/>
          </w:tcPr>
          <w:p>
            <w:pPr>
              <w:spacing w:after="0"/>
              <w:rPr>
                <w:sz w:val="1"/>
                <w:szCs w:val="1"/>
                <w:color w:val="auto"/>
              </w:rPr>
            </w:pPr>
          </w:p>
        </w:tc>
      </w:tr>
      <w:tr>
        <w:trPr>
          <w:trHeight w:val="196"/>
        </w:trPr>
        <w:tc>
          <w:tcPr>
            <w:tcW w:w="6980" w:type="dxa"/>
            <w:vAlign w:val="bottom"/>
          </w:tcPr>
          <w:p>
            <w:pPr>
              <w:spacing w:after="0"/>
              <w:rPr>
                <w:sz w:val="20"/>
                <w:szCs w:val="20"/>
                <w:color w:val="auto"/>
              </w:rPr>
            </w:pPr>
            <w:r>
              <w:rPr>
                <w:rFonts w:ascii="Arial" w:cs="Arial" w:eastAsia="Arial" w:hAnsi="Arial"/>
                <w:sz w:val="15"/>
                <w:szCs w:val="15"/>
                <w:color w:val="auto"/>
              </w:rPr>
              <w:t>Other</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112.4</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97.2</w:t>
            </w:r>
          </w:p>
        </w:tc>
        <w:tc>
          <w:tcPr>
            <w:tcW w:w="200" w:type="dxa"/>
            <w:vAlign w:val="bottom"/>
          </w:tcPr>
          <w:p>
            <w:pPr>
              <w:spacing w:after="0"/>
              <w:rPr>
                <w:sz w:val="17"/>
                <w:szCs w:val="17"/>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5"/>
                <w:szCs w:val="15"/>
                <w:color w:val="auto"/>
              </w:rPr>
              <w:t>15.6%</w:t>
            </w:r>
          </w:p>
        </w:tc>
        <w:tc>
          <w:tcPr>
            <w:tcW w:w="0" w:type="dxa"/>
            <w:vAlign w:val="bottom"/>
          </w:tcPr>
          <w:p>
            <w:pPr>
              <w:spacing w:after="0"/>
              <w:rPr>
                <w:sz w:val="1"/>
                <w:szCs w:val="1"/>
                <w:color w:val="auto"/>
              </w:rPr>
            </w:pPr>
          </w:p>
        </w:tc>
      </w:tr>
      <w:tr>
        <w:trPr>
          <w:trHeight w:val="20"/>
        </w:trPr>
        <w:tc>
          <w:tcPr>
            <w:tcW w:w="6980" w:type="dxa"/>
            <w:vAlign w:val="bottom"/>
            <w:vMerge w:val="restart"/>
            <w:shd w:val="clear" w:color="auto" w:fill="CCEEFF"/>
          </w:tcPr>
          <w:p>
            <w:pPr>
              <w:spacing w:after="0"/>
              <w:rPr>
                <w:sz w:val="20"/>
                <w:szCs w:val="20"/>
                <w:color w:val="auto"/>
              </w:rPr>
            </w:pPr>
            <w:r>
              <w:rPr>
                <w:rFonts w:ascii="Arial" w:cs="Arial" w:eastAsia="Arial" w:hAnsi="Arial"/>
                <w:sz w:val="15"/>
                <w:szCs w:val="15"/>
                <w:b w:val="1"/>
                <w:bCs w:val="1"/>
                <w:color w:val="auto"/>
              </w:rPr>
              <w:t>Total revenues</w:t>
            </w: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4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5"/>
                <w:szCs w:val="15"/>
                <w:color w:val="auto"/>
              </w:rPr>
              <w:t>6.2%</w:t>
            </w:r>
          </w:p>
        </w:tc>
        <w:tc>
          <w:tcPr>
            <w:tcW w:w="0" w:type="dxa"/>
            <w:vAlign w:val="bottom"/>
          </w:tcPr>
          <w:p>
            <w:pPr>
              <w:spacing w:after="0" w:line="20" w:lineRule="exact"/>
              <w:rPr>
                <w:sz w:val="1"/>
                <w:szCs w:val="1"/>
                <w:color w:val="auto"/>
              </w:rPr>
            </w:pPr>
          </w:p>
        </w:tc>
      </w:tr>
      <w:tr>
        <w:trPr>
          <w:trHeight w:val="188"/>
        </w:trPr>
        <w:tc>
          <w:tcPr>
            <w:tcW w:w="6980" w:type="dxa"/>
            <w:vAlign w:val="bottom"/>
            <w:vMerge w:val="continue"/>
            <w:shd w:val="clear" w:color="auto" w:fill="CCEEFF"/>
          </w:tcPr>
          <w:p>
            <w:pPr>
              <w:spacing w:after="0"/>
              <w:rPr>
                <w:sz w:val="16"/>
                <w:szCs w:val="16"/>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1,268.4</w:t>
            </w:r>
          </w:p>
        </w:tc>
        <w:tc>
          <w:tcPr>
            <w:tcW w:w="2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1,194.5</w:t>
            </w:r>
          </w:p>
        </w:tc>
        <w:tc>
          <w:tcPr>
            <w:tcW w:w="200" w:type="dxa"/>
            <w:vAlign w:val="bottom"/>
            <w:tcBorders>
              <w:left w:val="single" w:sz="8" w:color="CCEEFF"/>
            </w:tcBorders>
            <w:shd w:val="clear" w:color="auto" w:fill="CCEEFF"/>
          </w:tcPr>
          <w:p>
            <w:pPr>
              <w:spacing w:after="0"/>
              <w:rPr>
                <w:sz w:val="16"/>
                <w:szCs w:val="16"/>
                <w:color w:val="auto"/>
              </w:rPr>
            </w:pPr>
          </w:p>
        </w:tc>
        <w:tc>
          <w:tcPr>
            <w:tcW w:w="144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5"/>
                <w:szCs w:val="15"/>
                <w:b w:val="1"/>
                <w:bCs w:val="1"/>
                <w:color w:val="auto"/>
              </w:rPr>
              <w:t>Operating profit</w:t>
            </w: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69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6980" w:type="dxa"/>
            <w:vAlign w:val="bottom"/>
            <w:shd w:val="clear" w:color="auto" w:fill="CCEEFF"/>
          </w:tcPr>
          <w:p>
            <w:pPr>
              <w:spacing w:after="0"/>
              <w:rPr>
                <w:sz w:val="20"/>
                <w:szCs w:val="20"/>
                <w:color w:val="auto"/>
              </w:rPr>
            </w:pPr>
            <w:r>
              <w:rPr>
                <w:rFonts w:ascii="Arial" w:cs="Arial" w:eastAsia="Arial" w:hAnsi="Arial"/>
                <w:sz w:val="15"/>
                <w:szCs w:val="15"/>
                <w:color w:val="auto"/>
              </w:rPr>
              <w:t>Janitorial</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33.7</w:t>
            </w:r>
          </w:p>
        </w:tc>
        <w:tc>
          <w:tcPr>
            <w:tcW w:w="2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34.4</w:t>
            </w:r>
          </w:p>
        </w:tc>
        <w:tc>
          <w:tcPr>
            <w:tcW w:w="200" w:type="dxa"/>
            <w:vAlign w:val="bottom"/>
            <w:tcBorders>
              <w:left w:val="single" w:sz="8" w:color="CCEEFF"/>
            </w:tcBorders>
            <w:shd w:val="clear" w:color="auto" w:fill="CCEEFF"/>
          </w:tcPr>
          <w:p>
            <w:pPr>
              <w:spacing w:after="0"/>
              <w:rPr>
                <w:sz w:val="16"/>
                <w:szCs w:val="16"/>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185"/>
        </w:trPr>
        <w:tc>
          <w:tcPr>
            <w:tcW w:w="6980" w:type="dxa"/>
            <w:vAlign w:val="bottom"/>
          </w:tcPr>
          <w:p>
            <w:pPr>
              <w:spacing w:after="0"/>
              <w:rPr>
                <w:sz w:val="20"/>
                <w:szCs w:val="20"/>
                <w:color w:val="auto"/>
              </w:rPr>
            </w:pPr>
            <w:r>
              <w:rPr>
                <w:rFonts w:ascii="Arial" w:cs="Arial" w:eastAsia="Arial" w:hAnsi="Arial"/>
                <w:sz w:val="15"/>
                <w:szCs w:val="15"/>
                <w:color w:val="auto"/>
              </w:rPr>
              <w:t>Facility Services</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5.1</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5.9</w:t>
            </w:r>
          </w:p>
        </w:tc>
        <w:tc>
          <w:tcPr>
            <w:tcW w:w="200" w:type="dxa"/>
            <w:vAlign w:val="bottom"/>
          </w:tcPr>
          <w:p>
            <w:pPr>
              <w:spacing w:after="0"/>
              <w:rPr>
                <w:sz w:val="16"/>
                <w:szCs w:val="16"/>
                <w:color w:val="auto"/>
              </w:rPr>
            </w:pPr>
          </w:p>
        </w:tc>
        <w:tc>
          <w:tcPr>
            <w:tcW w:w="1440" w:type="dxa"/>
            <w:vAlign w:val="bottom"/>
            <w:gridSpan w:val="2"/>
          </w:tcPr>
          <w:p>
            <w:pPr>
              <w:jc w:val="right"/>
              <w:spacing w:after="0"/>
              <w:rPr>
                <w:sz w:val="20"/>
                <w:szCs w:val="20"/>
                <w:color w:val="auto"/>
              </w:rPr>
            </w:pPr>
            <w:r>
              <w:rPr>
                <w:rFonts w:ascii="Arial" w:cs="Arial" w:eastAsia="Arial" w:hAnsi="Arial"/>
                <w:sz w:val="15"/>
                <w:szCs w:val="15"/>
                <w:color w:val="auto"/>
              </w:rPr>
              <w:t>(13.6)%</w:t>
            </w:r>
          </w:p>
        </w:tc>
        <w:tc>
          <w:tcPr>
            <w:tcW w:w="0" w:type="dxa"/>
            <w:vAlign w:val="bottom"/>
          </w:tcPr>
          <w:p>
            <w:pPr>
              <w:spacing w:after="0"/>
              <w:rPr>
                <w:sz w:val="1"/>
                <w:szCs w:val="1"/>
                <w:color w:val="auto"/>
              </w:rPr>
            </w:pPr>
          </w:p>
        </w:tc>
      </w:tr>
      <w:tr>
        <w:trPr>
          <w:trHeight w:val="185"/>
        </w:trPr>
        <w:tc>
          <w:tcPr>
            <w:tcW w:w="6980" w:type="dxa"/>
            <w:vAlign w:val="bottom"/>
            <w:shd w:val="clear" w:color="auto" w:fill="CCEEFF"/>
          </w:tcPr>
          <w:p>
            <w:pPr>
              <w:spacing w:after="0"/>
              <w:rPr>
                <w:sz w:val="20"/>
                <w:szCs w:val="20"/>
                <w:color w:val="auto"/>
              </w:rPr>
            </w:pPr>
            <w:r>
              <w:rPr>
                <w:rFonts w:ascii="Arial" w:cs="Arial" w:eastAsia="Arial" w:hAnsi="Arial"/>
                <w:sz w:val="15"/>
                <w:szCs w:val="15"/>
                <w:color w:val="auto"/>
              </w:rPr>
              <w:t>Parking</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5.0</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w:t>
            </w:r>
          </w:p>
        </w:tc>
        <w:tc>
          <w:tcPr>
            <w:tcW w:w="200" w:type="dxa"/>
            <w:vAlign w:val="bottom"/>
            <w:tcBorders>
              <w:left w:val="single" w:sz="8" w:color="CCEEFF"/>
            </w:tcBorders>
            <w:shd w:val="clear" w:color="auto" w:fill="CCEEFF"/>
          </w:tcPr>
          <w:p>
            <w:pPr>
              <w:spacing w:after="0"/>
              <w:rPr>
                <w:sz w:val="16"/>
                <w:szCs w:val="16"/>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(23.1)%</w:t>
            </w:r>
          </w:p>
        </w:tc>
        <w:tc>
          <w:tcPr>
            <w:tcW w:w="0" w:type="dxa"/>
            <w:vAlign w:val="bottom"/>
          </w:tcPr>
          <w:p>
            <w:pPr>
              <w:spacing w:after="0"/>
              <w:rPr>
                <w:sz w:val="1"/>
                <w:szCs w:val="1"/>
                <w:color w:val="auto"/>
              </w:rPr>
            </w:pPr>
          </w:p>
        </w:tc>
      </w:tr>
      <w:tr>
        <w:trPr>
          <w:trHeight w:val="185"/>
        </w:trPr>
        <w:tc>
          <w:tcPr>
            <w:tcW w:w="6980" w:type="dxa"/>
            <w:vAlign w:val="bottom"/>
          </w:tcPr>
          <w:p>
            <w:pPr>
              <w:spacing w:after="0"/>
              <w:rPr>
                <w:sz w:val="20"/>
                <w:szCs w:val="20"/>
                <w:color w:val="auto"/>
              </w:rPr>
            </w:pPr>
            <w:r>
              <w:rPr>
                <w:rFonts w:ascii="Arial" w:cs="Arial" w:eastAsia="Arial" w:hAnsi="Arial"/>
                <w:sz w:val="15"/>
                <w:szCs w:val="15"/>
                <w:color w:val="auto"/>
              </w:rPr>
              <w:t>Building &amp; Energy Solutions</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6.5</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1.2</w:t>
            </w:r>
          </w:p>
        </w:tc>
        <w:tc>
          <w:tcPr>
            <w:tcW w:w="200" w:type="dxa"/>
            <w:vAlign w:val="bottom"/>
          </w:tcPr>
          <w:p>
            <w:pPr>
              <w:spacing w:after="0"/>
              <w:rPr>
                <w:sz w:val="16"/>
                <w:szCs w:val="16"/>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185"/>
        </w:trPr>
        <w:tc>
          <w:tcPr>
            <w:tcW w:w="6980" w:type="dxa"/>
            <w:vAlign w:val="bottom"/>
            <w:shd w:val="clear" w:color="auto" w:fill="CCEEFF"/>
          </w:tcPr>
          <w:p>
            <w:pPr>
              <w:spacing w:after="0"/>
              <w:rPr>
                <w:sz w:val="20"/>
                <w:szCs w:val="20"/>
                <w:color w:val="auto"/>
              </w:rPr>
            </w:pPr>
            <w:r>
              <w:rPr>
                <w:rFonts w:ascii="Arial" w:cs="Arial" w:eastAsia="Arial" w:hAnsi="Arial"/>
                <w:sz w:val="15"/>
                <w:szCs w:val="15"/>
                <w:color w:val="auto"/>
              </w:rPr>
              <w:t>Other</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1.7</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200" w:type="dxa"/>
            <w:vAlign w:val="bottom"/>
            <w:tcBorders>
              <w:left w:val="single" w:sz="8" w:color="CCEEFF"/>
            </w:tcBorders>
            <w:shd w:val="clear" w:color="auto" w:fill="CCEEFF"/>
          </w:tcPr>
          <w:p>
            <w:pPr>
              <w:spacing w:after="0"/>
              <w:rPr>
                <w:sz w:val="16"/>
                <w:szCs w:val="16"/>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(34.6)%</w:t>
            </w:r>
          </w:p>
        </w:tc>
        <w:tc>
          <w:tcPr>
            <w:tcW w:w="0" w:type="dxa"/>
            <w:vAlign w:val="bottom"/>
          </w:tcPr>
          <w:p>
            <w:pPr>
              <w:spacing w:after="0"/>
              <w:rPr>
                <w:sz w:val="1"/>
                <w:szCs w:val="1"/>
                <w:color w:val="auto"/>
              </w:rPr>
            </w:pPr>
          </w:p>
        </w:tc>
      </w:tr>
      <w:tr>
        <w:trPr>
          <w:trHeight w:val="185"/>
        </w:trPr>
        <w:tc>
          <w:tcPr>
            <w:tcW w:w="6980" w:type="dxa"/>
            <w:vAlign w:val="bottom"/>
          </w:tcPr>
          <w:p>
            <w:pPr>
              <w:spacing w:after="0"/>
              <w:rPr>
                <w:sz w:val="20"/>
                <w:szCs w:val="20"/>
                <w:color w:val="auto"/>
              </w:rPr>
            </w:pPr>
            <w:r>
              <w:rPr>
                <w:rFonts w:ascii="Arial" w:cs="Arial" w:eastAsia="Arial" w:hAnsi="Arial"/>
                <w:sz w:val="15"/>
                <w:szCs w:val="15"/>
                <w:color w:val="auto"/>
              </w:rPr>
              <w:t>Corporate</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(35.6)</w:t>
            </w:r>
          </w:p>
        </w:tc>
        <w:tc>
          <w:tcPr>
            <w:tcW w:w="28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5"/>
                <w:szCs w:val="15"/>
                <w:color w:val="auto"/>
              </w:rPr>
              <w:t>(32.3)</w:t>
            </w:r>
          </w:p>
        </w:tc>
        <w:tc>
          <w:tcPr>
            <w:tcW w:w="1440" w:type="dxa"/>
            <w:vAlign w:val="bottom"/>
            <w:gridSpan w:val="2"/>
          </w:tcPr>
          <w:p>
            <w:pPr>
              <w:jc w:val="right"/>
              <w:ind w:right="60"/>
              <w:spacing w:after="0"/>
              <w:rPr>
                <w:sz w:val="20"/>
                <w:szCs w:val="20"/>
                <w:color w:val="auto"/>
              </w:rPr>
            </w:pPr>
            <w:r>
              <w:rPr>
                <w:rFonts w:ascii="Arial" w:cs="Arial" w:eastAsia="Arial" w:hAnsi="Arial"/>
                <w:sz w:val="15"/>
                <w:szCs w:val="15"/>
                <w:color w:val="auto"/>
              </w:rPr>
              <w:t>10.2%</w:t>
            </w:r>
          </w:p>
        </w:tc>
        <w:tc>
          <w:tcPr>
            <w:tcW w:w="0" w:type="dxa"/>
            <w:vAlign w:val="bottom"/>
          </w:tcPr>
          <w:p>
            <w:pPr>
              <w:spacing w:after="0"/>
              <w:rPr>
                <w:sz w:val="1"/>
                <w:szCs w:val="1"/>
                <w:color w:val="auto"/>
              </w:rPr>
            </w:pPr>
          </w:p>
        </w:tc>
      </w:tr>
      <w:tr>
        <w:trPr>
          <w:trHeight w:val="185"/>
        </w:trPr>
        <w:tc>
          <w:tcPr>
            <w:tcW w:w="6980" w:type="dxa"/>
            <w:vAlign w:val="bottom"/>
            <w:shd w:val="clear" w:color="auto" w:fill="CCEEFF"/>
          </w:tcPr>
          <w:p>
            <w:pPr>
              <w:spacing w:after="0"/>
              <w:rPr>
                <w:sz w:val="20"/>
                <w:szCs w:val="20"/>
                <w:color w:val="auto"/>
              </w:rPr>
            </w:pPr>
            <w:r>
              <w:rPr>
                <w:rFonts w:ascii="Arial" w:cs="Arial" w:eastAsia="Arial" w:hAnsi="Arial"/>
                <w:sz w:val="15"/>
                <w:szCs w:val="15"/>
                <w:color w:val="auto"/>
              </w:rPr>
              <w:t>Adjustment for income from unconsolidated affiliates, net included in Building &amp; Energy Solutions</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(2.5)</w:t>
            </w:r>
          </w:p>
        </w:tc>
        <w:tc>
          <w:tcPr>
            <w:tcW w:w="2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(1.5)</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66.7%</w:t>
            </w:r>
          </w:p>
        </w:tc>
        <w:tc>
          <w:tcPr>
            <w:tcW w:w="0" w:type="dxa"/>
            <w:vAlign w:val="bottom"/>
          </w:tcPr>
          <w:p>
            <w:pPr>
              <w:spacing w:after="0"/>
              <w:rPr>
                <w:sz w:val="1"/>
                <w:szCs w:val="1"/>
                <w:color w:val="auto"/>
              </w:rPr>
            </w:pPr>
          </w:p>
        </w:tc>
      </w:tr>
      <w:tr>
        <w:trPr>
          <w:trHeight w:val="174"/>
        </w:trPr>
        <w:tc>
          <w:tcPr>
            <w:tcW w:w="6980" w:type="dxa"/>
            <w:vAlign w:val="bottom"/>
          </w:tcPr>
          <w:p>
            <w:pPr>
              <w:spacing w:after="0"/>
              <w:rPr>
                <w:sz w:val="20"/>
                <w:szCs w:val="20"/>
                <w:color w:val="auto"/>
              </w:rPr>
            </w:pPr>
            <w:r>
              <w:rPr>
                <w:rFonts w:ascii="Arial" w:cs="Arial" w:eastAsia="Arial" w:hAnsi="Arial"/>
                <w:sz w:val="15"/>
                <w:szCs w:val="15"/>
                <w:color w:val="auto"/>
              </w:rPr>
              <w:t>Adjustment for tax deductions for energy efficient government buildings, included in Building &amp; Energy</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6980" w:type="dxa"/>
            <w:vAlign w:val="bottom"/>
          </w:tcPr>
          <w:p>
            <w:pPr>
              <w:ind w:left="140"/>
              <w:spacing w:after="0"/>
              <w:rPr>
                <w:sz w:val="20"/>
                <w:szCs w:val="20"/>
                <w:color w:val="auto"/>
              </w:rPr>
            </w:pPr>
            <w:r>
              <w:rPr>
                <w:rFonts w:ascii="Arial" w:cs="Arial" w:eastAsia="Arial" w:hAnsi="Arial"/>
                <w:sz w:val="15"/>
                <w:szCs w:val="15"/>
                <w:color w:val="auto"/>
              </w:rPr>
              <w:t>Solutions</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(0.3)</w:t>
            </w:r>
          </w:p>
        </w:tc>
        <w:tc>
          <w:tcPr>
            <w:tcW w:w="28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40" w:type="dxa"/>
            <w:vAlign w:val="bottom"/>
            <w:gridSpan w:val="2"/>
          </w:tcPr>
          <w:p>
            <w:pPr>
              <w:jc w:val="right"/>
              <w:ind w:right="60"/>
              <w:spacing w:after="0"/>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176"/>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Total operating profit</w:t>
            </w: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13.6</w:t>
            </w:r>
          </w:p>
        </w:tc>
        <w:tc>
          <w:tcPr>
            <w:tcW w:w="2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16.8</w:t>
            </w:r>
          </w:p>
        </w:tc>
        <w:tc>
          <w:tcPr>
            <w:tcW w:w="200" w:type="dxa"/>
            <w:vAlign w:val="bottom"/>
            <w:tcBorders>
              <w:top w:val="single" w:sz="8" w:color="CCEEFF"/>
              <w:left w:val="single" w:sz="8" w:color="CCEEFF"/>
            </w:tcBorders>
            <w:shd w:val="clear" w:color="auto" w:fill="CCEEFF"/>
          </w:tcPr>
          <w:p>
            <w:pPr>
              <w:spacing w:after="0"/>
              <w:rPr>
                <w:sz w:val="15"/>
                <w:szCs w:val="15"/>
                <w:color w:val="auto"/>
              </w:rPr>
            </w:pPr>
          </w:p>
        </w:tc>
        <w:tc>
          <w:tcPr>
            <w:tcW w:w="14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(19.0)%</w:t>
            </w:r>
          </w:p>
        </w:tc>
        <w:tc>
          <w:tcPr>
            <w:tcW w:w="0" w:type="dxa"/>
            <w:vAlign w:val="bottom"/>
          </w:tcPr>
          <w:p>
            <w:pPr>
              <w:spacing w:after="0"/>
              <w:rPr>
                <w:sz w:val="1"/>
                <w:szCs w:val="1"/>
                <w:color w:val="auto"/>
              </w:rPr>
            </w:pPr>
          </w:p>
        </w:tc>
      </w:tr>
      <w:tr>
        <w:trPr>
          <w:trHeight w:val="185"/>
        </w:trPr>
        <w:tc>
          <w:tcPr>
            <w:tcW w:w="6980" w:type="dxa"/>
            <w:vAlign w:val="bottom"/>
          </w:tcPr>
          <w:p>
            <w:pPr>
              <w:spacing w:after="0"/>
              <w:rPr>
                <w:sz w:val="20"/>
                <w:szCs w:val="20"/>
                <w:color w:val="auto"/>
              </w:rPr>
            </w:pPr>
            <w:r>
              <w:rPr>
                <w:rFonts w:ascii="Arial" w:cs="Arial" w:eastAsia="Arial" w:hAnsi="Arial"/>
                <w:sz w:val="15"/>
                <w:szCs w:val="15"/>
                <w:color w:val="auto"/>
              </w:rPr>
              <w:t>Income from unconsolidated affiliates, net</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2.4</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1.5</w:t>
            </w:r>
          </w:p>
        </w:tc>
        <w:tc>
          <w:tcPr>
            <w:tcW w:w="200" w:type="dxa"/>
            <w:vAlign w:val="bottom"/>
          </w:tcPr>
          <w:p>
            <w:pPr>
              <w:spacing w:after="0"/>
              <w:rPr>
                <w:sz w:val="16"/>
                <w:szCs w:val="16"/>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5"/>
                <w:szCs w:val="15"/>
                <w:color w:val="auto"/>
              </w:rPr>
              <w:t>60.0%</w:t>
            </w:r>
          </w:p>
        </w:tc>
        <w:tc>
          <w:tcPr>
            <w:tcW w:w="0" w:type="dxa"/>
            <w:vAlign w:val="bottom"/>
          </w:tcPr>
          <w:p>
            <w:pPr>
              <w:spacing w:after="0"/>
              <w:rPr>
                <w:sz w:val="1"/>
                <w:szCs w:val="1"/>
                <w:color w:val="auto"/>
              </w:rPr>
            </w:pPr>
          </w:p>
        </w:tc>
      </w:tr>
      <w:tr>
        <w:trPr>
          <w:trHeight w:val="196"/>
        </w:trPr>
        <w:tc>
          <w:tcPr>
            <w:tcW w:w="6980" w:type="dxa"/>
            <w:vAlign w:val="bottom"/>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(2.7)</w:t>
            </w:r>
          </w:p>
        </w:tc>
        <w:tc>
          <w:tcPr>
            <w:tcW w:w="2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(2.7)</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6980" w:type="dxa"/>
            <w:vAlign w:val="bottom"/>
          </w:tcPr>
          <w:p>
            <w:pPr>
              <w:spacing w:after="0"/>
              <w:rPr>
                <w:sz w:val="20"/>
                <w:szCs w:val="20"/>
                <w:color w:val="auto"/>
              </w:rPr>
            </w:pPr>
            <w:r>
              <w:rPr>
                <w:rFonts w:ascii="Arial" w:cs="Arial" w:eastAsia="Arial" w:hAnsi="Arial"/>
                <w:sz w:val="15"/>
                <w:szCs w:val="15"/>
                <w:color w:val="auto"/>
              </w:rPr>
              <w:t>Income from continuing operations before income taxes</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13.3</w:t>
            </w:r>
          </w:p>
        </w:tc>
        <w:tc>
          <w:tcPr>
            <w:tcW w:w="2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15.6</w:t>
            </w:r>
          </w:p>
        </w:tc>
        <w:tc>
          <w:tcPr>
            <w:tcW w:w="200" w:type="dxa"/>
            <w:vAlign w:val="bottom"/>
          </w:tcPr>
          <w:p>
            <w:pPr>
              <w:spacing w:after="0"/>
              <w:rPr>
                <w:sz w:val="15"/>
                <w:szCs w:val="15"/>
                <w:color w:val="auto"/>
              </w:rPr>
            </w:pPr>
          </w:p>
        </w:tc>
        <w:tc>
          <w:tcPr>
            <w:tcW w:w="1440" w:type="dxa"/>
            <w:vAlign w:val="bottom"/>
            <w:gridSpan w:val="2"/>
          </w:tcPr>
          <w:p>
            <w:pPr>
              <w:jc w:val="right"/>
              <w:spacing w:after="0"/>
              <w:rPr>
                <w:sz w:val="20"/>
                <w:szCs w:val="20"/>
                <w:color w:val="auto"/>
              </w:rPr>
            </w:pPr>
            <w:r>
              <w:rPr>
                <w:rFonts w:ascii="Arial" w:cs="Arial" w:eastAsia="Arial" w:hAnsi="Arial"/>
                <w:sz w:val="15"/>
                <w:szCs w:val="15"/>
                <w:color w:val="auto"/>
              </w:rPr>
              <w:t>(14.7)%</w:t>
            </w:r>
          </w:p>
        </w:tc>
        <w:tc>
          <w:tcPr>
            <w:tcW w:w="0" w:type="dxa"/>
            <w:vAlign w:val="bottom"/>
          </w:tcPr>
          <w:p>
            <w:pPr>
              <w:spacing w:after="0"/>
              <w:rPr>
                <w:sz w:val="1"/>
                <w:szCs w:val="1"/>
                <w:color w:val="auto"/>
              </w:rPr>
            </w:pPr>
          </w:p>
        </w:tc>
      </w:tr>
      <w:tr>
        <w:trPr>
          <w:trHeight w:val="196"/>
        </w:trPr>
        <w:tc>
          <w:tcPr>
            <w:tcW w:w="6980" w:type="dxa"/>
            <w:vAlign w:val="bottom"/>
            <w:shd w:val="clear" w:color="auto" w:fill="CCEEFF"/>
          </w:tcPr>
          <w:p>
            <w:pPr>
              <w:spacing w:after="0"/>
              <w:rPr>
                <w:sz w:val="20"/>
                <w:szCs w:val="20"/>
                <w:color w:val="auto"/>
              </w:rPr>
            </w:pPr>
            <w:r>
              <w:rPr>
                <w:rFonts w:ascii="Arial" w:cs="Arial" w:eastAsia="Arial" w:hAnsi="Arial"/>
                <w:sz w:val="15"/>
                <w:szCs w:val="15"/>
                <w:color w:val="auto"/>
              </w:rPr>
              <w:t>Benefit from (provision for) income taxes</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0.3</w:t>
            </w:r>
          </w:p>
        </w:tc>
        <w:tc>
          <w:tcPr>
            <w:tcW w:w="2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(1.3)</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176"/>
        </w:trPr>
        <w:tc>
          <w:tcPr>
            <w:tcW w:w="6980" w:type="dxa"/>
            <w:vAlign w:val="bottom"/>
          </w:tcPr>
          <w:p>
            <w:pPr>
              <w:spacing w:after="0"/>
              <w:rPr>
                <w:sz w:val="20"/>
                <w:szCs w:val="20"/>
                <w:color w:val="auto"/>
              </w:rPr>
            </w:pPr>
            <w:r>
              <w:rPr>
                <w:rFonts w:ascii="Arial" w:cs="Arial" w:eastAsia="Arial" w:hAnsi="Arial"/>
                <w:sz w:val="15"/>
                <w:szCs w:val="15"/>
                <w:color w:val="auto"/>
              </w:rPr>
              <w:t>Income from continuing operations</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13.6</w:t>
            </w:r>
          </w:p>
        </w:tc>
        <w:tc>
          <w:tcPr>
            <w:tcW w:w="2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14.3</w:t>
            </w:r>
          </w:p>
        </w:tc>
        <w:tc>
          <w:tcPr>
            <w:tcW w:w="200" w:type="dxa"/>
            <w:vAlign w:val="bottom"/>
          </w:tcPr>
          <w:p>
            <w:pPr>
              <w:spacing w:after="0"/>
              <w:rPr>
                <w:sz w:val="15"/>
                <w:szCs w:val="15"/>
                <w:color w:val="auto"/>
              </w:rPr>
            </w:pPr>
          </w:p>
        </w:tc>
        <w:tc>
          <w:tcPr>
            <w:tcW w:w="1440" w:type="dxa"/>
            <w:vAlign w:val="bottom"/>
            <w:gridSpan w:val="2"/>
          </w:tcPr>
          <w:p>
            <w:pPr>
              <w:jc w:val="right"/>
              <w:spacing w:after="0"/>
              <w:rPr>
                <w:sz w:val="20"/>
                <w:szCs w:val="20"/>
                <w:color w:val="auto"/>
              </w:rPr>
            </w:pPr>
            <w:r>
              <w:rPr>
                <w:rFonts w:ascii="Arial" w:cs="Arial" w:eastAsia="Arial" w:hAnsi="Arial"/>
                <w:sz w:val="15"/>
                <w:szCs w:val="15"/>
                <w:color w:val="auto"/>
              </w:rPr>
              <w:t>(4.9)%</w:t>
            </w:r>
          </w:p>
        </w:tc>
        <w:tc>
          <w:tcPr>
            <w:tcW w:w="0" w:type="dxa"/>
            <w:vAlign w:val="bottom"/>
          </w:tcPr>
          <w:p>
            <w:pPr>
              <w:spacing w:after="0"/>
              <w:rPr>
                <w:sz w:val="1"/>
                <w:szCs w:val="1"/>
                <w:color w:val="auto"/>
              </w:rPr>
            </w:pPr>
          </w:p>
        </w:tc>
      </w:tr>
      <w:tr>
        <w:trPr>
          <w:trHeight w:val="196"/>
        </w:trPr>
        <w:tc>
          <w:tcPr>
            <w:tcW w:w="6980" w:type="dxa"/>
            <w:vAlign w:val="bottom"/>
            <w:shd w:val="clear" w:color="auto" w:fill="CCEEFF"/>
          </w:tcPr>
          <w:p>
            <w:pPr>
              <w:spacing w:after="0"/>
              <w:rPr>
                <w:sz w:val="20"/>
                <w:szCs w:val="20"/>
                <w:color w:val="auto"/>
              </w:rPr>
            </w:pPr>
            <w:r>
              <w:rPr>
                <w:rFonts w:ascii="Arial" w:cs="Arial" w:eastAsia="Arial" w:hAnsi="Arial"/>
                <w:sz w:val="15"/>
                <w:szCs w:val="15"/>
                <w:color w:val="auto"/>
              </w:rPr>
              <w:t>Income from discontinued operations, net of income tax benefit</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0.4</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w:t>
            </w:r>
          </w:p>
        </w:tc>
        <w:tc>
          <w:tcPr>
            <w:tcW w:w="200" w:type="dxa"/>
            <w:vAlign w:val="bottom"/>
            <w:tcBorders>
              <w:left w:val="single" w:sz="8" w:color="CCEEFF"/>
            </w:tcBorders>
            <w:shd w:val="clear" w:color="auto" w:fill="CCEEFF"/>
          </w:tcPr>
          <w:p>
            <w:pPr>
              <w:spacing w:after="0"/>
              <w:rPr>
                <w:sz w:val="17"/>
                <w:szCs w:val="17"/>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(88.2)%</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5"/>
                <w:szCs w:val="15"/>
                <w:b w:val="1"/>
                <w:bCs w:val="1"/>
                <w:color w:val="auto"/>
              </w:rPr>
              <w:t>Net income</w:t>
            </w: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2"/>
            <w:vMerge w:val="restart"/>
          </w:tcPr>
          <w:p>
            <w:pPr>
              <w:jc w:val="right"/>
              <w:spacing w:after="0"/>
              <w:rPr>
                <w:sz w:val="20"/>
                <w:szCs w:val="20"/>
                <w:color w:val="auto"/>
              </w:rPr>
            </w:pPr>
            <w:r>
              <w:rPr>
                <w:rFonts w:ascii="Arial" w:cs="Arial" w:eastAsia="Arial" w:hAnsi="Arial"/>
                <w:sz w:val="15"/>
                <w:szCs w:val="15"/>
                <w:color w:val="auto"/>
              </w:rPr>
              <w:t>(20.9)%</w:t>
            </w:r>
          </w:p>
        </w:tc>
        <w:tc>
          <w:tcPr>
            <w:tcW w:w="0" w:type="dxa"/>
            <w:vAlign w:val="bottom"/>
          </w:tcPr>
          <w:p>
            <w:pPr>
              <w:spacing w:after="0" w:line="20" w:lineRule="exact"/>
              <w:rPr>
                <w:sz w:val="1"/>
                <w:szCs w:val="1"/>
                <w:color w:val="auto"/>
              </w:rPr>
            </w:pPr>
          </w:p>
        </w:tc>
      </w:tr>
      <w:tr>
        <w:trPr>
          <w:trHeight w:val="188"/>
        </w:trPr>
        <w:tc>
          <w:tcPr>
            <w:tcW w:w="6980" w:type="dxa"/>
            <w:vAlign w:val="bottom"/>
            <w:vMerge w:val="continue"/>
          </w:tcPr>
          <w:p>
            <w:pPr>
              <w:spacing w:after="0"/>
              <w:rPr>
                <w:sz w:val="16"/>
                <w:szCs w:val="16"/>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14.0</w:t>
            </w: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17.7</w:t>
            </w:r>
          </w:p>
        </w:tc>
        <w:tc>
          <w:tcPr>
            <w:tcW w:w="20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auto"/>
        </w:rPr>
        <w:t>*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365760</wp:posOffset>
            </wp:positionV>
            <wp:extent cx="726630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ectPr>
          <w:pgSz w:w="11900" w:h="16838" w:orient="portrait"/>
          <w:cols w:equalWidth="0" w:num="1">
            <w:col w:w="11440"/>
          </w:cols>
          <w:pgMar w:left="240" w:top="794" w:right="219" w:bottom="1440" w:gutter="0" w:footer="0" w:header="0"/>
        </w:sectPr>
      </w:pPr>
    </w:p>
    <w:bookmarkStart w:id="12" w:name="page13"/>
    <w:bookmarkEnd w:id="12"/>
    <w:p>
      <w:pPr>
        <w:ind w:left="8"/>
        <w:spacing w:after="0"/>
        <w:rPr>
          <w:sz w:val="20"/>
          <w:szCs w:val="20"/>
          <w:color w:val="auto"/>
        </w:rPr>
      </w:pPr>
      <w:r>
        <w:rPr>
          <w:rFonts w:ascii="Arial" w:cs="Arial" w:eastAsia="Arial" w:hAnsi="Arial"/>
          <w:sz w:val="15"/>
          <w:szCs w:val="15"/>
          <w:b w:val="1"/>
          <w:bCs w:val="1"/>
          <w:color w:val="auto"/>
        </w:rPr>
        <w:t>ABM INDUSTRIES INCORPORATED AND SUBSIDIARIES</w:t>
      </w:r>
    </w:p>
    <w:p>
      <w:pPr>
        <w:spacing w:after="0" w:line="197"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RECONCILIATIONS OF NON-GAAP FINANCIAL MEASURES (UNAUDITED)</w:t>
      </w:r>
    </w:p>
    <w:p>
      <w:pPr>
        <w:spacing w:after="0" w:line="203" w:lineRule="exact"/>
        <w:rPr>
          <w:sz w:val="20"/>
          <w:szCs w:val="20"/>
          <w:color w:val="auto"/>
        </w:rPr>
      </w:pPr>
    </w:p>
    <w:tbl>
      <w:tblPr>
        <w:tblLayout w:type="fixed"/>
        <w:tblInd w:w="8" w:type="dxa"/>
        <w:tblCellMar>
          <w:top w:w="0" w:type="dxa"/>
          <w:left w:w="0" w:type="dxa"/>
          <w:bottom w:w="0" w:type="dxa"/>
          <w:right w:w="0" w:type="dxa"/>
        </w:tblCellMar>
      </w:tblPr>
      <w:tr>
        <w:trPr>
          <w:trHeight w:val="147"/>
        </w:trPr>
        <w:tc>
          <w:tcPr>
            <w:tcW w:w="8580" w:type="dxa"/>
            <w:vAlign w:val="bottom"/>
            <w:gridSpan w:val="2"/>
          </w:tcPr>
          <w:p>
            <w:pPr>
              <w:spacing w:after="0"/>
              <w:rPr>
                <w:sz w:val="20"/>
                <w:szCs w:val="20"/>
                <w:color w:val="auto"/>
              </w:rPr>
            </w:pPr>
            <w:r>
              <w:rPr>
                <w:rFonts w:ascii="Arial" w:cs="Arial" w:eastAsia="Arial" w:hAnsi="Arial"/>
                <w:sz w:val="12"/>
                <w:szCs w:val="12"/>
                <w:b w:val="1"/>
                <w:bCs w:val="1"/>
                <w:i w:val="1"/>
                <w:iCs w:val="1"/>
                <w:color w:val="auto"/>
              </w:rPr>
              <w:t>($ in millions, except per share amounts)</w:t>
            </w:r>
          </w:p>
        </w:tc>
        <w:tc>
          <w:tcPr>
            <w:tcW w:w="2340" w:type="dxa"/>
            <w:vAlign w:val="bottom"/>
            <w:gridSpan w:val="5"/>
          </w:tcPr>
          <w:p>
            <w:pPr>
              <w:jc w:val="right"/>
              <w:ind w:right="80"/>
              <w:spacing w:after="0"/>
              <w:rPr>
                <w:sz w:val="20"/>
                <w:szCs w:val="20"/>
                <w:color w:val="auto"/>
              </w:rPr>
            </w:pPr>
            <w:r>
              <w:rPr>
                <w:rFonts w:ascii="Arial" w:cs="Arial" w:eastAsia="Arial" w:hAnsi="Arial"/>
                <w:sz w:val="12"/>
                <w:szCs w:val="12"/>
                <w:b w:val="1"/>
                <w:bCs w:val="1"/>
                <w:color w:val="auto"/>
              </w:rPr>
              <w:t>Three Months Ended January 31,</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8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Borders>
              <w:top w:val="single" w:sz="8" w:color="auto"/>
            </w:tcBorders>
          </w:tcPr>
          <w:p>
            <w:pPr>
              <w:jc w:val="right"/>
              <w:ind w:right="31"/>
              <w:spacing w:after="0" w:line="130" w:lineRule="exact"/>
              <w:rPr>
                <w:sz w:val="20"/>
                <w:szCs w:val="20"/>
                <w:color w:val="auto"/>
              </w:rPr>
            </w:pPr>
            <w:r>
              <w:rPr>
                <w:rFonts w:ascii="Arial" w:cs="Arial" w:eastAsia="Arial" w:hAnsi="Arial"/>
                <w:sz w:val="12"/>
                <w:szCs w:val="12"/>
                <w:b w:val="1"/>
                <w:bCs w:val="1"/>
                <w:color w:val="auto"/>
              </w:rPr>
              <w:t>2016</w:t>
            </w:r>
          </w:p>
        </w:tc>
        <w:tc>
          <w:tcPr>
            <w:tcW w:w="4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jc w:val="right"/>
              <w:ind w:right="80"/>
              <w:spacing w:after="0" w:line="130" w:lineRule="exact"/>
              <w:rPr>
                <w:sz w:val="20"/>
                <w:szCs w:val="20"/>
                <w:color w:val="auto"/>
              </w:rPr>
            </w:pPr>
            <w:r>
              <w:rPr>
                <w:rFonts w:ascii="Arial" w:cs="Arial" w:eastAsia="Arial" w:hAnsi="Arial"/>
                <w:sz w:val="12"/>
                <w:szCs w:val="12"/>
                <w:b w:val="1"/>
                <w:bCs w:val="1"/>
                <w:color w:val="auto"/>
              </w:rPr>
              <w:t>2015</w:t>
            </w:r>
          </w:p>
        </w:tc>
        <w:tc>
          <w:tcPr>
            <w:tcW w:w="4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85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Reconciliation of Adjusted Income from Continuing Operations to Income from Continuing Operations</w:t>
            </w:r>
          </w:p>
        </w:tc>
        <w:tc>
          <w:tcPr>
            <w:tcW w:w="8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8580" w:type="dxa"/>
            <w:vAlign w:val="bottom"/>
            <w:gridSpan w:val="2"/>
          </w:tcPr>
          <w:p>
            <w:pPr>
              <w:spacing w:after="0"/>
              <w:rPr>
                <w:sz w:val="20"/>
                <w:szCs w:val="20"/>
                <w:color w:val="auto"/>
              </w:rPr>
            </w:pPr>
            <w:r>
              <w:rPr>
                <w:rFonts w:ascii="Arial" w:cs="Arial" w:eastAsia="Arial" w:hAnsi="Arial"/>
                <w:sz w:val="15"/>
                <w:szCs w:val="15"/>
                <w:color w:val="auto"/>
              </w:rPr>
              <w:t>Adjusted income from continuing operations</w:t>
            </w:r>
          </w:p>
        </w:tc>
        <w:tc>
          <w:tcPr>
            <w:tcW w:w="860" w:type="dxa"/>
            <w:vAlign w:val="bottom"/>
          </w:tcPr>
          <w:p>
            <w:pPr>
              <w:jc w:val="right"/>
              <w:ind w:right="711"/>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82"/>
              <w:spacing w:after="0"/>
              <w:rPr>
                <w:sz w:val="20"/>
                <w:szCs w:val="20"/>
                <w:color w:val="auto"/>
              </w:rPr>
            </w:pPr>
            <w:r>
              <w:rPr>
                <w:rFonts w:ascii="Arial" w:cs="Arial" w:eastAsia="Arial" w:hAnsi="Arial"/>
                <w:sz w:val="15"/>
                <w:szCs w:val="15"/>
                <w:color w:val="auto"/>
              </w:rPr>
              <w:t>21.6</w:t>
            </w:r>
          </w:p>
        </w:tc>
        <w:tc>
          <w:tcPr>
            <w:tcW w:w="840" w:type="dxa"/>
            <w:vAlign w:val="bottom"/>
            <w:gridSpan w:val="2"/>
          </w:tcPr>
          <w:p>
            <w:pPr>
              <w:jc w:val="right"/>
              <w:ind w:right="760"/>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62"/>
              <w:spacing w:after="0"/>
              <w:rPr>
                <w:sz w:val="20"/>
                <w:szCs w:val="20"/>
                <w:color w:val="auto"/>
              </w:rPr>
            </w:pPr>
            <w:r>
              <w:rPr>
                <w:rFonts w:ascii="Arial" w:cs="Arial" w:eastAsia="Arial" w:hAnsi="Arial"/>
                <w:sz w:val="15"/>
                <w:szCs w:val="15"/>
                <w:color w:val="auto"/>
              </w:rPr>
              <w:t>18.2</w:t>
            </w:r>
          </w:p>
        </w:tc>
        <w:tc>
          <w:tcPr>
            <w:tcW w:w="0" w:type="dxa"/>
            <w:vAlign w:val="bottom"/>
          </w:tcPr>
          <w:p>
            <w:pPr>
              <w:spacing w:after="0"/>
              <w:rPr>
                <w:sz w:val="1"/>
                <w:szCs w:val="1"/>
                <w:color w:val="auto"/>
              </w:rPr>
            </w:pPr>
          </w:p>
        </w:tc>
      </w:tr>
      <w:tr>
        <w:trPr>
          <w:trHeight w:val="185"/>
        </w:trPr>
        <w:tc>
          <w:tcPr>
            <w:tcW w:w="85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Items impacting comparability:</w:t>
            </w:r>
          </w:p>
        </w:tc>
        <w:tc>
          <w:tcPr>
            <w:tcW w:w="8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580" w:type="dxa"/>
            <w:vAlign w:val="bottom"/>
            <w:gridSpan w:val="2"/>
          </w:tcPr>
          <w:p>
            <w:pPr>
              <w:ind w:left="140"/>
              <w:spacing w:after="0" w:line="218" w:lineRule="exact"/>
              <w:rPr>
                <w:sz w:val="20"/>
                <w:szCs w:val="20"/>
                <w:color w:val="auto"/>
              </w:rPr>
            </w:pPr>
            <w:r>
              <w:rPr>
                <w:rFonts w:ascii="Arial" w:cs="Arial" w:eastAsia="Arial" w:hAnsi="Arial"/>
                <w:sz w:val="15"/>
                <w:szCs w:val="15"/>
                <w:color w:val="auto"/>
              </w:rPr>
              <w:t>CEO Change</w:t>
            </w:r>
            <w:r>
              <w:rPr>
                <w:rFonts w:ascii="Arial" w:cs="Arial" w:eastAsia="Arial" w:hAnsi="Arial"/>
                <w:sz w:val="25"/>
                <w:szCs w:val="25"/>
                <w:color w:val="auto"/>
                <w:vertAlign w:val="superscript"/>
              </w:rPr>
              <w:t>(a)</w:t>
            </w:r>
          </w:p>
        </w:tc>
        <w:tc>
          <w:tcPr>
            <w:tcW w:w="860" w:type="dxa"/>
            <w:vAlign w:val="bottom"/>
          </w:tcPr>
          <w:p>
            <w:pPr>
              <w:spacing w:after="0"/>
              <w:rPr>
                <w:sz w:val="19"/>
                <w:szCs w:val="19"/>
                <w:color w:val="auto"/>
              </w:rPr>
            </w:pPr>
          </w:p>
        </w:tc>
        <w:tc>
          <w:tcPr>
            <w:tcW w:w="640" w:type="dxa"/>
            <w:vAlign w:val="bottom"/>
            <w:gridSpan w:val="2"/>
          </w:tcPr>
          <w:p>
            <w:pPr>
              <w:jc w:val="right"/>
              <w:ind w:right="182"/>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gridSpan w:val="2"/>
          </w:tcPr>
          <w:p>
            <w:pPr>
              <w:jc w:val="right"/>
              <w:ind w:right="22"/>
              <w:spacing w:after="0"/>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219"/>
        </w:trPr>
        <w:tc>
          <w:tcPr>
            <w:tcW w:w="8580" w:type="dxa"/>
            <w:vAlign w:val="bottom"/>
            <w:gridSpan w:val="2"/>
            <w:shd w:val="clear" w:color="auto" w:fill="CCEEFF"/>
          </w:tcPr>
          <w:p>
            <w:pPr>
              <w:ind w:left="140"/>
              <w:spacing w:after="0" w:line="218" w:lineRule="exact"/>
              <w:rPr>
                <w:sz w:val="20"/>
                <w:szCs w:val="20"/>
                <w:color w:val="auto"/>
              </w:rPr>
            </w:pPr>
            <w:r>
              <w:rPr>
                <w:rFonts w:ascii="Arial" w:cs="Arial" w:eastAsia="Arial" w:hAnsi="Arial"/>
                <w:sz w:val="15"/>
                <w:szCs w:val="15"/>
                <w:color w:val="auto"/>
              </w:rPr>
              <w:t>Rebranding</w:t>
            </w:r>
            <w:r>
              <w:rPr>
                <w:rFonts w:ascii="Arial" w:cs="Arial" w:eastAsia="Arial" w:hAnsi="Arial"/>
                <w:sz w:val="25"/>
                <w:szCs w:val="25"/>
                <w:color w:val="auto"/>
                <w:vertAlign w:val="superscript"/>
              </w:rPr>
              <w:t>(b)</w:t>
            </w:r>
          </w:p>
        </w:tc>
        <w:tc>
          <w:tcPr>
            <w:tcW w:w="8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2"/>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22"/>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219"/>
        </w:trPr>
        <w:tc>
          <w:tcPr>
            <w:tcW w:w="8580" w:type="dxa"/>
            <w:vAlign w:val="bottom"/>
            <w:gridSpan w:val="2"/>
          </w:tcPr>
          <w:p>
            <w:pPr>
              <w:ind w:left="140"/>
              <w:spacing w:after="0" w:line="218" w:lineRule="exact"/>
              <w:rPr>
                <w:sz w:val="20"/>
                <w:szCs w:val="20"/>
                <w:color w:val="auto"/>
              </w:rPr>
            </w:pPr>
            <w:r>
              <w:rPr>
                <w:rFonts w:ascii="Arial" w:cs="Arial" w:eastAsia="Arial" w:hAnsi="Arial"/>
                <w:sz w:val="15"/>
                <w:szCs w:val="15"/>
                <w:color w:val="auto"/>
              </w:rPr>
              <w:t>U.S. Foreign Corrupt Practices Act investigation</w:t>
            </w:r>
            <w:r>
              <w:rPr>
                <w:rFonts w:ascii="Arial" w:cs="Arial" w:eastAsia="Arial" w:hAnsi="Arial"/>
                <w:sz w:val="25"/>
                <w:szCs w:val="25"/>
                <w:color w:val="auto"/>
                <w:vertAlign w:val="superscript"/>
              </w:rPr>
              <w:t>(c)</w:t>
            </w:r>
          </w:p>
        </w:tc>
        <w:tc>
          <w:tcPr>
            <w:tcW w:w="860" w:type="dxa"/>
            <w:vAlign w:val="bottom"/>
          </w:tcPr>
          <w:p>
            <w:pPr>
              <w:spacing w:after="0"/>
              <w:rPr>
                <w:sz w:val="19"/>
                <w:szCs w:val="19"/>
                <w:color w:val="auto"/>
              </w:rPr>
            </w:pPr>
          </w:p>
        </w:tc>
        <w:tc>
          <w:tcPr>
            <w:tcW w:w="640" w:type="dxa"/>
            <w:vAlign w:val="bottom"/>
            <w:gridSpan w:val="2"/>
          </w:tcPr>
          <w:p>
            <w:pPr>
              <w:jc w:val="right"/>
              <w:ind w:right="182"/>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gridSpan w:val="2"/>
          </w:tcPr>
          <w:p>
            <w:pPr>
              <w:jc w:val="right"/>
              <w:ind w:right="22"/>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85"/>
        </w:trPr>
        <w:tc>
          <w:tcPr>
            <w:tcW w:w="85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Onsite realignment</w:t>
            </w:r>
          </w:p>
        </w:tc>
        <w:tc>
          <w:tcPr>
            <w:tcW w:w="8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82"/>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2"/>
              <w:spacing w:after="0"/>
              <w:rPr>
                <w:sz w:val="20"/>
                <w:szCs w:val="20"/>
                <w:color w:val="auto"/>
              </w:rPr>
            </w:pPr>
            <w:r>
              <w:rPr>
                <w:rFonts w:ascii="Arial" w:cs="Arial" w:eastAsia="Arial" w:hAnsi="Arial"/>
                <w:sz w:val="15"/>
                <w:szCs w:val="15"/>
                <w:color w:val="auto"/>
              </w:rPr>
              <w:t>(0.7)</w:t>
            </w:r>
          </w:p>
        </w:tc>
        <w:tc>
          <w:tcPr>
            <w:tcW w:w="0" w:type="dxa"/>
            <w:vAlign w:val="bottom"/>
          </w:tcPr>
          <w:p>
            <w:pPr>
              <w:spacing w:after="0"/>
              <w:rPr>
                <w:sz w:val="1"/>
                <w:szCs w:val="1"/>
                <w:color w:val="auto"/>
              </w:rPr>
            </w:pPr>
          </w:p>
        </w:tc>
      </w:tr>
      <w:tr>
        <w:trPr>
          <w:trHeight w:val="219"/>
        </w:trPr>
        <w:tc>
          <w:tcPr>
            <w:tcW w:w="8580" w:type="dxa"/>
            <w:vAlign w:val="bottom"/>
            <w:gridSpan w:val="2"/>
          </w:tcPr>
          <w:p>
            <w:pPr>
              <w:ind w:left="140"/>
              <w:spacing w:after="0" w:line="218" w:lineRule="exact"/>
              <w:rPr>
                <w:sz w:val="20"/>
                <w:szCs w:val="20"/>
                <w:color w:val="auto"/>
              </w:rPr>
            </w:pPr>
            <w:r>
              <w:rPr>
                <w:rFonts w:ascii="Arial" w:cs="Arial" w:eastAsia="Arial" w:hAnsi="Arial"/>
                <w:sz w:val="15"/>
                <w:szCs w:val="15"/>
                <w:color w:val="auto"/>
              </w:rPr>
              <w:t>Restructuring and related</w:t>
            </w:r>
            <w:r>
              <w:rPr>
                <w:rFonts w:ascii="Arial" w:cs="Arial" w:eastAsia="Arial" w:hAnsi="Arial"/>
                <w:sz w:val="25"/>
                <w:szCs w:val="25"/>
                <w:color w:val="auto"/>
                <w:vertAlign w:val="superscript"/>
              </w:rPr>
              <w:t>(d)</w:t>
            </w:r>
          </w:p>
        </w:tc>
        <w:tc>
          <w:tcPr>
            <w:tcW w:w="860" w:type="dxa"/>
            <w:vAlign w:val="bottom"/>
          </w:tcPr>
          <w:p>
            <w:pPr>
              <w:spacing w:after="0"/>
              <w:rPr>
                <w:sz w:val="19"/>
                <w:szCs w:val="19"/>
                <w:color w:val="auto"/>
              </w:rPr>
            </w:pPr>
          </w:p>
        </w:tc>
        <w:tc>
          <w:tcPr>
            <w:tcW w:w="640" w:type="dxa"/>
            <w:vAlign w:val="bottom"/>
            <w:gridSpan w:val="2"/>
          </w:tcPr>
          <w:p>
            <w:pPr>
              <w:jc w:val="right"/>
              <w:ind w:right="142"/>
              <w:spacing w:after="0"/>
              <w:rPr>
                <w:sz w:val="20"/>
                <w:szCs w:val="20"/>
                <w:color w:val="auto"/>
              </w:rPr>
            </w:pPr>
            <w:r>
              <w:rPr>
                <w:rFonts w:ascii="Arial" w:cs="Arial" w:eastAsia="Arial" w:hAnsi="Arial"/>
                <w:sz w:val="15"/>
                <w:szCs w:val="15"/>
                <w:color w:val="auto"/>
              </w:rPr>
              <w:t>(7.1)</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gridSpan w:val="2"/>
          </w:tcPr>
          <w:p>
            <w:pPr>
              <w:jc w:val="right"/>
              <w:ind w:right="62"/>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85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Self-insurance adjustment</w:t>
            </w:r>
          </w:p>
        </w:tc>
        <w:tc>
          <w:tcPr>
            <w:tcW w:w="8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2"/>
              <w:spacing w:after="0"/>
              <w:rPr>
                <w:sz w:val="20"/>
                <w:szCs w:val="20"/>
                <w:color w:val="auto"/>
              </w:rPr>
            </w:pPr>
            <w:r>
              <w:rPr>
                <w:rFonts w:ascii="Arial" w:cs="Arial" w:eastAsia="Arial" w:hAnsi="Arial"/>
                <w:sz w:val="15"/>
                <w:szCs w:val="15"/>
                <w:color w:val="auto"/>
              </w:rPr>
              <w:t>(6.0)</w:t>
            </w:r>
          </w:p>
        </w:tc>
        <w:tc>
          <w:tcPr>
            <w:tcW w:w="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2"/>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5"/>
        </w:trPr>
        <w:tc>
          <w:tcPr>
            <w:tcW w:w="8580" w:type="dxa"/>
            <w:vAlign w:val="bottom"/>
            <w:gridSpan w:val="2"/>
          </w:tcPr>
          <w:p>
            <w:pPr>
              <w:ind w:left="140"/>
              <w:spacing w:after="0"/>
              <w:rPr>
                <w:sz w:val="20"/>
                <w:szCs w:val="20"/>
                <w:color w:val="auto"/>
              </w:rPr>
            </w:pPr>
            <w:r>
              <w:rPr>
                <w:rFonts w:ascii="Arial" w:cs="Arial" w:eastAsia="Arial" w:hAnsi="Arial"/>
                <w:sz w:val="15"/>
                <w:szCs w:val="15"/>
                <w:color w:val="auto"/>
              </w:rPr>
              <w:t>Acquisition costs</w:t>
            </w:r>
          </w:p>
        </w:tc>
        <w:tc>
          <w:tcPr>
            <w:tcW w:w="860" w:type="dxa"/>
            <w:vAlign w:val="bottom"/>
          </w:tcPr>
          <w:p>
            <w:pPr>
              <w:spacing w:after="0"/>
              <w:rPr>
                <w:sz w:val="16"/>
                <w:szCs w:val="16"/>
                <w:color w:val="auto"/>
              </w:rPr>
            </w:pPr>
          </w:p>
        </w:tc>
        <w:tc>
          <w:tcPr>
            <w:tcW w:w="640" w:type="dxa"/>
            <w:vAlign w:val="bottom"/>
            <w:gridSpan w:val="2"/>
          </w:tcPr>
          <w:p>
            <w:pPr>
              <w:jc w:val="right"/>
              <w:ind w:right="142"/>
              <w:spacing w:after="0"/>
              <w:rPr>
                <w:sz w:val="20"/>
                <w:szCs w:val="20"/>
                <w:color w:val="auto"/>
              </w:rPr>
            </w:pPr>
            <w:r>
              <w:rPr>
                <w:rFonts w:ascii="Arial" w:cs="Arial" w:eastAsia="Arial" w:hAnsi="Arial"/>
                <w:sz w:val="15"/>
                <w:szCs w:val="15"/>
                <w:color w:val="auto"/>
              </w:rPr>
              <w:t>(0.9)</w:t>
            </w: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gridSpan w:val="2"/>
          </w:tcPr>
          <w:p>
            <w:pPr>
              <w:jc w:val="right"/>
              <w:ind w:right="22"/>
              <w:spacing w:after="0"/>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196"/>
        </w:trPr>
        <w:tc>
          <w:tcPr>
            <w:tcW w:w="85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Litigation and other settlements</w:t>
            </w:r>
          </w:p>
        </w:tc>
        <w:tc>
          <w:tcPr>
            <w:tcW w:w="8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82"/>
              <w:spacing w:after="0"/>
              <w:rPr>
                <w:sz w:val="20"/>
                <w:szCs w:val="20"/>
                <w:color w:val="auto"/>
              </w:rPr>
            </w:pPr>
            <w:r>
              <w:rPr>
                <w:rFonts w:ascii="Arial" w:cs="Arial" w:eastAsia="Arial" w:hAnsi="Arial"/>
                <w:sz w:val="15"/>
                <w:szCs w:val="15"/>
                <w:color w:val="auto"/>
              </w:rPr>
              <w:t>0.4</w:t>
            </w: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2"/>
              <w:spacing w:after="0"/>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176"/>
        </w:trPr>
        <w:tc>
          <w:tcPr>
            <w:tcW w:w="8580" w:type="dxa"/>
            <w:vAlign w:val="bottom"/>
            <w:gridSpan w:val="2"/>
          </w:tcPr>
          <w:p>
            <w:pPr>
              <w:spacing w:after="0"/>
              <w:rPr>
                <w:sz w:val="20"/>
                <w:szCs w:val="20"/>
                <w:color w:val="auto"/>
              </w:rPr>
            </w:pPr>
            <w:r>
              <w:rPr>
                <w:rFonts w:ascii="Arial" w:cs="Arial" w:eastAsia="Arial" w:hAnsi="Arial"/>
                <w:sz w:val="15"/>
                <w:szCs w:val="15"/>
                <w:color w:val="auto"/>
              </w:rPr>
              <w:t>Total items impacting comparability</w:t>
            </w:r>
          </w:p>
        </w:tc>
        <w:tc>
          <w:tcPr>
            <w:tcW w:w="86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(13.6)</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5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Benefit from income taxes</w:t>
            </w:r>
          </w:p>
        </w:tc>
        <w:tc>
          <w:tcPr>
            <w:tcW w:w="8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82"/>
              <w:spacing w:after="0"/>
              <w:rPr>
                <w:sz w:val="20"/>
                <w:szCs w:val="20"/>
                <w:color w:val="auto"/>
              </w:rPr>
            </w:pPr>
            <w:r>
              <w:rPr>
                <w:rFonts w:ascii="Arial" w:cs="Arial" w:eastAsia="Arial" w:hAnsi="Arial"/>
                <w:sz w:val="15"/>
                <w:szCs w:val="15"/>
                <w:color w:val="auto"/>
              </w:rPr>
              <w:t>5.6</w:t>
            </w: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2"/>
              <w:spacing w:after="0"/>
              <w:rPr>
                <w:sz w:val="20"/>
                <w:szCs w:val="20"/>
                <w:color w:val="auto"/>
              </w:rPr>
            </w:pPr>
            <w:r>
              <w:rPr>
                <w:rFonts w:ascii="Arial" w:cs="Arial" w:eastAsia="Arial" w:hAnsi="Arial"/>
                <w:sz w:val="15"/>
                <w:szCs w:val="15"/>
                <w:color w:val="auto"/>
              </w:rPr>
              <w:t>2.7</w:t>
            </w:r>
          </w:p>
        </w:tc>
        <w:tc>
          <w:tcPr>
            <w:tcW w:w="0" w:type="dxa"/>
            <w:vAlign w:val="bottom"/>
          </w:tcPr>
          <w:p>
            <w:pPr>
              <w:spacing w:after="0"/>
              <w:rPr>
                <w:sz w:val="1"/>
                <w:szCs w:val="1"/>
                <w:color w:val="auto"/>
              </w:rPr>
            </w:pPr>
          </w:p>
        </w:tc>
      </w:tr>
      <w:tr>
        <w:trPr>
          <w:trHeight w:val="176"/>
        </w:trPr>
        <w:tc>
          <w:tcPr>
            <w:tcW w:w="8580" w:type="dxa"/>
            <w:vAlign w:val="bottom"/>
            <w:tcBorders>
              <w:bottom w:val="single" w:sz="8" w:color="CCEEFF"/>
            </w:tcBorders>
            <w:gridSpan w:val="2"/>
          </w:tcPr>
          <w:p>
            <w:pPr>
              <w:spacing w:after="0"/>
              <w:rPr>
                <w:sz w:val="20"/>
                <w:szCs w:val="20"/>
                <w:color w:val="auto"/>
              </w:rPr>
            </w:pPr>
            <w:r>
              <w:rPr>
                <w:rFonts w:ascii="Arial" w:cs="Arial" w:eastAsia="Arial" w:hAnsi="Arial"/>
                <w:sz w:val="15"/>
                <w:szCs w:val="15"/>
                <w:color w:val="auto"/>
              </w:rPr>
              <w:t>Items impacting comparability, net of taxes</w:t>
            </w:r>
          </w:p>
        </w:tc>
        <w:tc>
          <w:tcPr>
            <w:tcW w:w="860" w:type="dxa"/>
            <w:vAlign w:val="bottom"/>
            <w:tcBorders>
              <w:top w:val="single" w:sz="8" w:color="auto"/>
              <w:bottom w:val="single" w:sz="8" w:color="auto"/>
            </w:tcBorders>
          </w:tcPr>
          <w:p>
            <w:pPr>
              <w:spacing w:after="0"/>
              <w:rPr>
                <w:sz w:val="15"/>
                <w:szCs w:val="15"/>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(8.0</w:t>
            </w:r>
          </w:p>
        </w:tc>
        <w:tc>
          <w:tcPr>
            <w:tcW w:w="220" w:type="dxa"/>
            <w:vAlign w:val="bottom"/>
            <w:tcBorders>
              <w:bottom w:val="single" w:sz="8" w:color="CCEEFF"/>
            </w:tcBorders>
          </w:tcPr>
          <w:p>
            <w:pPr>
              <w:jc w:val="right"/>
              <w:ind w:right="142"/>
              <w:spacing w:after="0"/>
              <w:rPr>
                <w:sz w:val="20"/>
                <w:szCs w:val="20"/>
                <w:color w:val="auto"/>
              </w:rPr>
            </w:pPr>
            <w:r>
              <w:rPr>
                <w:rFonts w:ascii="Arial" w:cs="Arial" w:eastAsia="Arial" w:hAnsi="Arial"/>
                <w:sz w:val="8"/>
                <w:szCs w:val="8"/>
                <w:color w:val="auto"/>
                <w:w w:val="73"/>
              </w:rPr>
              <w:t>)</w:t>
            </w:r>
          </w:p>
        </w:tc>
        <w:tc>
          <w:tcPr>
            <w:tcW w:w="2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spacing w:after="0"/>
              <w:rPr>
                <w:sz w:val="15"/>
                <w:szCs w:val="15"/>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(3.9</w:t>
            </w:r>
          </w:p>
        </w:tc>
        <w:tc>
          <w:tcPr>
            <w:tcW w:w="100" w:type="dxa"/>
            <w:vAlign w:val="bottom"/>
            <w:tcBorders>
              <w:bottom w:val="single" w:sz="8" w:color="CCEEFF"/>
            </w:tcBorders>
          </w:tcPr>
          <w:p>
            <w:pPr>
              <w:jc w:val="right"/>
              <w:ind w:right="22"/>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88"/>
        </w:trPr>
        <w:tc>
          <w:tcPr>
            <w:tcW w:w="85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Income from continuing operations</w:t>
            </w:r>
          </w:p>
        </w:tc>
        <w:tc>
          <w:tcPr>
            <w:tcW w:w="860" w:type="dxa"/>
            <w:vAlign w:val="bottom"/>
            <w:shd w:val="clear" w:color="auto" w:fill="CCEEFF"/>
          </w:tcPr>
          <w:p>
            <w:pPr>
              <w:jc w:val="right"/>
              <w:ind w:right="711"/>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13.6</w:t>
            </w:r>
          </w:p>
        </w:tc>
        <w:tc>
          <w:tcPr>
            <w:tcW w:w="2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760"/>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62"/>
              <w:spacing w:after="0"/>
              <w:rPr>
                <w:sz w:val="20"/>
                <w:szCs w:val="20"/>
                <w:color w:val="auto"/>
              </w:rPr>
            </w:pPr>
            <w:r>
              <w:rPr>
                <w:rFonts w:ascii="Arial" w:cs="Arial" w:eastAsia="Arial" w:hAnsi="Arial"/>
                <w:sz w:val="15"/>
                <w:szCs w:val="15"/>
                <w:color w:val="auto"/>
              </w:rPr>
              <w:t>14.3</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2"/>
                <w:szCs w:val="12"/>
                <w:b w:val="1"/>
                <w:bCs w:val="1"/>
                <w:color w:val="auto"/>
              </w:rPr>
              <w:t>Three Months Ended January 31,</w:t>
            </w: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8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ind w:right="31"/>
              <w:spacing w:after="0" w:line="130" w:lineRule="exact"/>
              <w:rPr>
                <w:sz w:val="20"/>
                <w:szCs w:val="20"/>
                <w:color w:val="auto"/>
              </w:rPr>
            </w:pPr>
            <w:r>
              <w:rPr>
                <w:rFonts w:ascii="Arial" w:cs="Arial" w:eastAsia="Arial" w:hAnsi="Arial"/>
                <w:sz w:val="12"/>
                <w:szCs w:val="12"/>
                <w:b w:val="1"/>
                <w:bCs w:val="1"/>
                <w:color w:val="auto"/>
              </w:rPr>
              <w:t>2016</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jc w:val="right"/>
              <w:ind w:right="80"/>
              <w:spacing w:after="0" w:line="130" w:lineRule="exact"/>
              <w:rPr>
                <w:sz w:val="20"/>
                <w:szCs w:val="20"/>
                <w:color w:val="auto"/>
              </w:rPr>
            </w:pPr>
            <w:r>
              <w:rPr>
                <w:rFonts w:ascii="Arial" w:cs="Arial" w:eastAsia="Arial" w:hAnsi="Arial"/>
                <w:sz w:val="12"/>
                <w:szCs w:val="12"/>
                <w:b w:val="1"/>
                <w:bCs w:val="1"/>
                <w:color w:val="auto"/>
              </w:rPr>
              <w:t>2015</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85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Reconciliation of Adjusted EBITDA to Net Income</w:t>
            </w:r>
          </w:p>
        </w:tc>
        <w:tc>
          <w:tcPr>
            <w:tcW w:w="8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8580" w:type="dxa"/>
            <w:vAlign w:val="bottom"/>
            <w:gridSpan w:val="2"/>
          </w:tcPr>
          <w:p>
            <w:pPr>
              <w:spacing w:after="0"/>
              <w:rPr>
                <w:sz w:val="20"/>
                <w:szCs w:val="20"/>
                <w:color w:val="auto"/>
              </w:rPr>
            </w:pPr>
            <w:r>
              <w:rPr>
                <w:rFonts w:ascii="Arial" w:cs="Arial" w:eastAsia="Arial" w:hAnsi="Arial"/>
                <w:sz w:val="15"/>
                <w:szCs w:val="15"/>
                <w:color w:val="auto"/>
              </w:rPr>
              <w:t>Adjusted EBITDA</w:t>
            </w:r>
          </w:p>
        </w:tc>
        <w:tc>
          <w:tcPr>
            <w:tcW w:w="860" w:type="dxa"/>
            <w:vAlign w:val="bottom"/>
          </w:tcPr>
          <w:p>
            <w:pPr>
              <w:jc w:val="right"/>
              <w:ind w:right="711"/>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82"/>
              <w:spacing w:after="0"/>
              <w:rPr>
                <w:sz w:val="20"/>
                <w:szCs w:val="20"/>
                <w:color w:val="auto"/>
              </w:rPr>
            </w:pPr>
            <w:r>
              <w:rPr>
                <w:rFonts w:ascii="Arial" w:cs="Arial" w:eastAsia="Arial" w:hAnsi="Arial"/>
                <w:sz w:val="15"/>
                <w:szCs w:val="15"/>
                <w:color w:val="auto"/>
              </w:rPr>
              <w:t>43.7</w:t>
            </w:r>
          </w:p>
        </w:tc>
        <w:tc>
          <w:tcPr>
            <w:tcW w:w="840" w:type="dxa"/>
            <w:vAlign w:val="bottom"/>
            <w:gridSpan w:val="2"/>
          </w:tcPr>
          <w:p>
            <w:pPr>
              <w:jc w:val="right"/>
              <w:ind w:right="760"/>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62"/>
              <w:spacing w:after="0"/>
              <w:rPr>
                <w:sz w:val="20"/>
                <w:szCs w:val="20"/>
                <w:color w:val="auto"/>
              </w:rPr>
            </w:pPr>
            <w:r>
              <w:rPr>
                <w:rFonts w:ascii="Arial" w:cs="Arial" w:eastAsia="Arial" w:hAnsi="Arial"/>
                <w:sz w:val="15"/>
                <w:szCs w:val="15"/>
                <w:color w:val="auto"/>
              </w:rPr>
              <w:t>38.7</w:t>
            </w:r>
          </w:p>
        </w:tc>
        <w:tc>
          <w:tcPr>
            <w:tcW w:w="0" w:type="dxa"/>
            <w:vAlign w:val="bottom"/>
          </w:tcPr>
          <w:p>
            <w:pPr>
              <w:spacing w:after="0"/>
              <w:rPr>
                <w:sz w:val="1"/>
                <w:szCs w:val="1"/>
                <w:color w:val="auto"/>
              </w:rPr>
            </w:pPr>
          </w:p>
        </w:tc>
      </w:tr>
      <w:tr>
        <w:trPr>
          <w:trHeight w:val="185"/>
        </w:trPr>
        <w:tc>
          <w:tcPr>
            <w:tcW w:w="85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Items impacting comparability</w:t>
            </w:r>
          </w:p>
        </w:tc>
        <w:tc>
          <w:tcPr>
            <w:tcW w:w="8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2"/>
              <w:spacing w:after="0"/>
              <w:rPr>
                <w:sz w:val="20"/>
                <w:szCs w:val="20"/>
                <w:color w:val="auto"/>
              </w:rPr>
            </w:pPr>
            <w:r>
              <w:rPr>
                <w:rFonts w:ascii="Arial" w:cs="Arial" w:eastAsia="Arial" w:hAnsi="Arial"/>
                <w:sz w:val="15"/>
                <w:szCs w:val="15"/>
                <w:color w:val="auto"/>
              </w:rPr>
              <w:t>(13.6)</w:t>
            </w:r>
          </w:p>
        </w:tc>
        <w:tc>
          <w:tcPr>
            <w:tcW w:w="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2"/>
              <w:spacing w:after="0"/>
              <w:rPr>
                <w:sz w:val="20"/>
                <w:szCs w:val="20"/>
                <w:color w:val="auto"/>
              </w:rPr>
            </w:pPr>
            <w:r>
              <w:rPr>
                <w:rFonts w:ascii="Arial" w:cs="Arial" w:eastAsia="Arial" w:hAnsi="Arial"/>
                <w:sz w:val="15"/>
                <w:szCs w:val="15"/>
                <w:color w:val="auto"/>
              </w:rPr>
              <w:t>(6.6)</w:t>
            </w:r>
          </w:p>
        </w:tc>
        <w:tc>
          <w:tcPr>
            <w:tcW w:w="0" w:type="dxa"/>
            <w:vAlign w:val="bottom"/>
          </w:tcPr>
          <w:p>
            <w:pPr>
              <w:spacing w:after="0"/>
              <w:rPr>
                <w:sz w:val="1"/>
                <w:szCs w:val="1"/>
                <w:color w:val="auto"/>
              </w:rPr>
            </w:pPr>
          </w:p>
        </w:tc>
      </w:tr>
      <w:tr>
        <w:trPr>
          <w:trHeight w:val="185"/>
        </w:trPr>
        <w:tc>
          <w:tcPr>
            <w:tcW w:w="8580" w:type="dxa"/>
            <w:vAlign w:val="bottom"/>
            <w:gridSpan w:val="2"/>
          </w:tcPr>
          <w:p>
            <w:pPr>
              <w:ind w:left="140"/>
              <w:spacing w:after="0"/>
              <w:rPr>
                <w:sz w:val="20"/>
                <w:szCs w:val="20"/>
                <w:color w:val="auto"/>
              </w:rPr>
            </w:pPr>
            <w:r>
              <w:rPr>
                <w:rFonts w:ascii="Arial" w:cs="Arial" w:eastAsia="Arial" w:hAnsi="Arial"/>
                <w:sz w:val="15"/>
                <w:szCs w:val="15"/>
                <w:color w:val="auto"/>
              </w:rPr>
              <w:t>Income from discontinued operations, net of income tax benefit</w:t>
            </w:r>
          </w:p>
        </w:tc>
        <w:tc>
          <w:tcPr>
            <w:tcW w:w="860" w:type="dxa"/>
            <w:vAlign w:val="bottom"/>
          </w:tcPr>
          <w:p>
            <w:pPr>
              <w:spacing w:after="0"/>
              <w:rPr>
                <w:sz w:val="16"/>
                <w:szCs w:val="16"/>
                <w:color w:val="auto"/>
              </w:rPr>
            </w:pPr>
          </w:p>
        </w:tc>
        <w:tc>
          <w:tcPr>
            <w:tcW w:w="640" w:type="dxa"/>
            <w:vAlign w:val="bottom"/>
            <w:gridSpan w:val="2"/>
          </w:tcPr>
          <w:p>
            <w:pPr>
              <w:jc w:val="right"/>
              <w:ind w:right="182"/>
              <w:spacing w:after="0"/>
              <w:rPr>
                <w:sz w:val="20"/>
                <w:szCs w:val="20"/>
                <w:color w:val="auto"/>
              </w:rPr>
            </w:pPr>
            <w:r>
              <w:rPr>
                <w:rFonts w:ascii="Arial" w:cs="Arial" w:eastAsia="Arial" w:hAnsi="Arial"/>
                <w:sz w:val="15"/>
                <w:szCs w:val="15"/>
                <w:color w:val="auto"/>
              </w:rPr>
              <w:t>0.4</w:t>
            </w: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gridSpan w:val="2"/>
          </w:tcPr>
          <w:p>
            <w:pPr>
              <w:jc w:val="right"/>
              <w:ind w:right="62"/>
              <w:spacing w:after="0"/>
              <w:rPr>
                <w:sz w:val="20"/>
                <w:szCs w:val="20"/>
                <w:color w:val="auto"/>
              </w:rPr>
            </w:pPr>
            <w:r>
              <w:rPr>
                <w:rFonts w:ascii="Arial" w:cs="Arial" w:eastAsia="Arial" w:hAnsi="Arial"/>
                <w:sz w:val="15"/>
                <w:szCs w:val="15"/>
                <w:color w:val="auto"/>
              </w:rPr>
              <w:t>3.4</w:t>
            </w:r>
          </w:p>
        </w:tc>
        <w:tc>
          <w:tcPr>
            <w:tcW w:w="0" w:type="dxa"/>
            <w:vAlign w:val="bottom"/>
          </w:tcPr>
          <w:p>
            <w:pPr>
              <w:spacing w:after="0"/>
              <w:rPr>
                <w:sz w:val="1"/>
                <w:szCs w:val="1"/>
                <w:color w:val="auto"/>
              </w:rPr>
            </w:pPr>
          </w:p>
        </w:tc>
      </w:tr>
      <w:tr>
        <w:trPr>
          <w:trHeight w:val="185"/>
        </w:trPr>
        <w:tc>
          <w:tcPr>
            <w:tcW w:w="85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Benefit from (provision for) income taxes</w:t>
            </w:r>
          </w:p>
        </w:tc>
        <w:tc>
          <w:tcPr>
            <w:tcW w:w="8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82"/>
              <w:spacing w:after="0"/>
              <w:rPr>
                <w:sz w:val="20"/>
                <w:szCs w:val="20"/>
                <w:color w:val="auto"/>
              </w:rPr>
            </w:pPr>
            <w:r>
              <w:rPr>
                <w:rFonts w:ascii="Arial" w:cs="Arial" w:eastAsia="Arial" w:hAnsi="Arial"/>
                <w:sz w:val="15"/>
                <w:szCs w:val="15"/>
                <w:color w:val="auto"/>
              </w:rPr>
              <w:t>0.3</w:t>
            </w:r>
          </w:p>
        </w:tc>
        <w:tc>
          <w:tcPr>
            <w:tcW w:w="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2"/>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219"/>
        </w:trPr>
        <w:tc>
          <w:tcPr>
            <w:tcW w:w="8580" w:type="dxa"/>
            <w:vAlign w:val="bottom"/>
            <w:gridSpan w:val="2"/>
          </w:tcPr>
          <w:p>
            <w:pPr>
              <w:ind w:left="140"/>
              <w:spacing w:after="0" w:line="218" w:lineRule="exact"/>
              <w:rPr>
                <w:sz w:val="20"/>
                <w:szCs w:val="20"/>
                <w:color w:val="auto"/>
              </w:rPr>
            </w:pPr>
            <w:r>
              <w:rPr>
                <w:rFonts w:ascii="Arial" w:cs="Arial" w:eastAsia="Arial" w:hAnsi="Arial"/>
                <w:sz w:val="15"/>
                <w:szCs w:val="15"/>
                <w:color w:val="auto"/>
              </w:rPr>
              <w:t>Interest expense, net</w:t>
            </w:r>
            <w:r>
              <w:rPr>
                <w:rFonts w:ascii="Arial" w:cs="Arial" w:eastAsia="Arial" w:hAnsi="Arial"/>
                <w:sz w:val="25"/>
                <w:szCs w:val="25"/>
                <w:color w:val="auto"/>
                <w:vertAlign w:val="superscript"/>
              </w:rPr>
              <w:t>(e)</w:t>
            </w:r>
          </w:p>
        </w:tc>
        <w:tc>
          <w:tcPr>
            <w:tcW w:w="860" w:type="dxa"/>
            <w:vAlign w:val="bottom"/>
          </w:tcPr>
          <w:p>
            <w:pPr>
              <w:spacing w:after="0"/>
              <w:rPr>
                <w:sz w:val="19"/>
                <w:szCs w:val="19"/>
                <w:color w:val="auto"/>
              </w:rPr>
            </w:pPr>
          </w:p>
        </w:tc>
        <w:tc>
          <w:tcPr>
            <w:tcW w:w="640" w:type="dxa"/>
            <w:vAlign w:val="bottom"/>
            <w:gridSpan w:val="2"/>
          </w:tcPr>
          <w:p>
            <w:pPr>
              <w:jc w:val="right"/>
              <w:ind w:right="142"/>
              <w:spacing w:after="0"/>
              <w:rPr>
                <w:sz w:val="20"/>
                <w:szCs w:val="20"/>
                <w:color w:val="auto"/>
              </w:rPr>
            </w:pPr>
            <w:r>
              <w:rPr>
                <w:rFonts w:ascii="Arial" w:cs="Arial" w:eastAsia="Arial" w:hAnsi="Arial"/>
                <w:sz w:val="15"/>
                <w:szCs w:val="15"/>
                <w:color w:val="auto"/>
              </w:rPr>
              <w:t>(2.4)</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gridSpan w:val="2"/>
          </w:tcPr>
          <w:p>
            <w:pPr>
              <w:jc w:val="right"/>
              <w:ind w:right="22"/>
              <w:spacing w:after="0"/>
              <w:rPr>
                <w:sz w:val="20"/>
                <w:szCs w:val="20"/>
                <w:color w:val="auto"/>
              </w:rPr>
            </w:pPr>
            <w:r>
              <w:rPr>
                <w:rFonts w:ascii="Arial" w:cs="Arial" w:eastAsia="Arial" w:hAnsi="Arial"/>
                <w:sz w:val="15"/>
                <w:szCs w:val="15"/>
                <w:color w:val="auto"/>
              </w:rPr>
              <w:t>(2.7)</w:t>
            </w:r>
          </w:p>
        </w:tc>
        <w:tc>
          <w:tcPr>
            <w:tcW w:w="0" w:type="dxa"/>
            <w:vAlign w:val="bottom"/>
          </w:tcPr>
          <w:p>
            <w:pPr>
              <w:spacing w:after="0"/>
              <w:rPr>
                <w:sz w:val="1"/>
                <w:szCs w:val="1"/>
                <w:color w:val="auto"/>
              </w:rPr>
            </w:pPr>
          </w:p>
        </w:tc>
      </w:tr>
      <w:tr>
        <w:trPr>
          <w:trHeight w:val="196"/>
        </w:trPr>
        <w:tc>
          <w:tcPr>
            <w:tcW w:w="85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Depreciation and amortization</w:t>
            </w:r>
          </w:p>
        </w:tc>
        <w:tc>
          <w:tcPr>
            <w:tcW w:w="8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2"/>
              <w:spacing w:after="0"/>
              <w:rPr>
                <w:sz w:val="20"/>
                <w:szCs w:val="20"/>
                <w:color w:val="auto"/>
              </w:rPr>
            </w:pPr>
            <w:r>
              <w:rPr>
                <w:rFonts w:ascii="Arial" w:cs="Arial" w:eastAsia="Arial" w:hAnsi="Arial"/>
                <w:sz w:val="15"/>
                <w:szCs w:val="15"/>
                <w:color w:val="auto"/>
              </w:rPr>
              <w:t>(14.4)</w:t>
            </w: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2"/>
              <w:spacing w:after="0"/>
              <w:rPr>
                <w:sz w:val="20"/>
                <w:szCs w:val="20"/>
                <w:color w:val="auto"/>
              </w:rPr>
            </w:pPr>
            <w:r>
              <w:rPr>
                <w:rFonts w:ascii="Arial" w:cs="Arial" w:eastAsia="Arial" w:hAnsi="Arial"/>
                <w:sz w:val="15"/>
                <w:szCs w:val="15"/>
                <w:color w:val="auto"/>
              </w:rPr>
              <w:t>(13.8)</w:t>
            </w: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spacing w:after="0"/>
              <w:rPr>
                <w:sz w:val="20"/>
                <w:szCs w:val="20"/>
                <w:color w:val="auto"/>
              </w:rPr>
            </w:pPr>
            <w:r>
              <w:rPr>
                <w:rFonts w:ascii="Arial" w:cs="Arial" w:eastAsia="Arial" w:hAnsi="Arial"/>
                <w:sz w:val="15"/>
                <w:szCs w:val="15"/>
                <w:color w:val="auto"/>
              </w:rPr>
              <w:t>Net income</w:t>
            </w:r>
          </w:p>
        </w:tc>
        <w:tc>
          <w:tcPr>
            <w:tcW w:w="8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580" w:type="dxa"/>
            <w:vAlign w:val="bottom"/>
            <w:gridSpan w:val="2"/>
            <w:vMerge w:val="continue"/>
          </w:tcPr>
          <w:p>
            <w:pPr>
              <w:spacing w:after="0"/>
              <w:rPr>
                <w:sz w:val="16"/>
                <w:szCs w:val="16"/>
                <w:color w:val="auto"/>
              </w:rPr>
            </w:pPr>
          </w:p>
        </w:tc>
        <w:tc>
          <w:tcPr>
            <w:tcW w:w="860" w:type="dxa"/>
            <w:vAlign w:val="bottom"/>
            <w:tcBorders>
              <w:bottom w:val="single" w:sz="8" w:color="auto"/>
            </w:tcBorders>
          </w:tcPr>
          <w:p>
            <w:pPr>
              <w:jc w:val="right"/>
              <w:ind w:right="711"/>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14.0</w:t>
            </w:r>
          </w:p>
        </w:tc>
        <w:tc>
          <w:tcPr>
            <w:tcW w:w="220" w:type="dxa"/>
            <w:vAlign w:val="bottom"/>
          </w:tcPr>
          <w:p>
            <w:pPr>
              <w:spacing w:after="0"/>
              <w:rPr>
                <w:sz w:val="16"/>
                <w:szCs w:val="16"/>
                <w:color w:val="auto"/>
              </w:rPr>
            </w:pPr>
          </w:p>
        </w:tc>
        <w:tc>
          <w:tcPr>
            <w:tcW w:w="840" w:type="dxa"/>
            <w:vAlign w:val="bottom"/>
            <w:tcBorders>
              <w:bottom w:val="single" w:sz="8" w:color="auto"/>
            </w:tcBorders>
            <w:gridSpan w:val="2"/>
          </w:tcPr>
          <w:p>
            <w:pPr>
              <w:jc w:val="right"/>
              <w:ind w:right="760"/>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2"/>
                <w:szCs w:val="12"/>
                <w:b w:val="1"/>
                <w:bCs w:val="1"/>
                <w:color w:val="auto"/>
              </w:rPr>
              <w:t>Three Months Ended January 31,</w:t>
            </w: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8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ind w:right="31"/>
              <w:spacing w:after="0" w:line="130" w:lineRule="exact"/>
              <w:rPr>
                <w:sz w:val="20"/>
                <w:szCs w:val="20"/>
                <w:color w:val="auto"/>
              </w:rPr>
            </w:pPr>
            <w:r>
              <w:rPr>
                <w:rFonts w:ascii="Arial" w:cs="Arial" w:eastAsia="Arial" w:hAnsi="Arial"/>
                <w:sz w:val="12"/>
                <w:szCs w:val="12"/>
                <w:b w:val="1"/>
                <w:bCs w:val="1"/>
                <w:color w:val="auto"/>
              </w:rPr>
              <w:t>2016</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jc w:val="right"/>
              <w:ind w:right="80"/>
              <w:spacing w:after="0" w:line="130" w:lineRule="exact"/>
              <w:rPr>
                <w:sz w:val="20"/>
                <w:szCs w:val="20"/>
                <w:color w:val="auto"/>
              </w:rPr>
            </w:pPr>
            <w:r>
              <w:rPr>
                <w:rFonts w:ascii="Arial" w:cs="Arial" w:eastAsia="Arial" w:hAnsi="Arial"/>
                <w:sz w:val="12"/>
                <w:szCs w:val="12"/>
                <w:b w:val="1"/>
                <w:bCs w:val="1"/>
                <w:color w:val="auto"/>
              </w:rPr>
              <w:t>2015</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8580" w:type="dxa"/>
            <w:vAlign w:val="bottom"/>
            <w:tcBorders>
              <w:top w:val="single" w:sz="8" w:color="CCEEFF"/>
            </w:tcBorders>
            <w:gridSpan w:val="2"/>
            <w:shd w:val="clear" w:color="auto" w:fill="CCEEFF"/>
          </w:tcPr>
          <w:p>
            <w:pPr>
              <w:spacing w:after="0" w:line="150" w:lineRule="exact"/>
              <w:rPr>
                <w:sz w:val="20"/>
                <w:szCs w:val="20"/>
                <w:color w:val="auto"/>
              </w:rPr>
            </w:pPr>
            <w:r>
              <w:rPr>
                <w:rFonts w:ascii="Arial" w:cs="Arial" w:eastAsia="Arial" w:hAnsi="Arial"/>
                <w:sz w:val="15"/>
                <w:szCs w:val="15"/>
                <w:b w:val="1"/>
                <w:bCs w:val="1"/>
                <w:color w:val="auto"/>
                <w:w w:val="96"/>
              </w:rPr>
              <w:t>Reconciliation of Adjusted Income from Continuing Operations per Diluted Share to Income from Continuing Operations per</w:t>
            </w:r>
          </w:p>
        </w:tc>
        <w:tc>
          <w:tcPr>
            <w:tcW w:w="86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85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Diluted Share</w:t>
            </w:r>
          </w:p>
        </w:tc>
        <w:tc>
          <w:tcPr>
            <w:tcW w:w="8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8580" w:type="dxa"/>
            <w:vAlign w:val="bottom"/>
            <w:gridSpan w:val="2"/>
          </w:tcPr>
          <w:p>
            <w:pPr>
              <w:spacing w:after="0"/>
              <w:rPr>
                <w:sz w:val="20"/>
                <w:szCs w:val="20"/>
                <w:color w:val="auto"/>
              </w:rPr>
            </w:pPr>
            <w:r>
              <w:rPr>
                <w:rFonts w:ascii="Arial" w:cs="Arial" w:eastAsia="Arial" w:hAnsi="Arial"/>
                <w:sz w:val="15"/>
                <w:szCs w:val="15"/>
                <w:color w:val="auto"/>
              </w:rPr>
              <w:t>Adjusted income from continuing operations per diluted share</w:t>
            </w:r>
          </w:p>
        </w:tc>
        <w:tc>
          <w:tcPr>
            <w:tcW w:w="860" w:type="dxa"/>
            <w:vAlign w:val="bottom"/>
          </w:tcPr>
          <w:p>
            <w:pPr>
              <w:jc w:val="right"/>
              <w:ind w:right="711"/>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82"/>
              <w:spacing w:after="0"/>
              <w:rPr>
                <w:sz w:val="20"/>
                <w:szCs w:val="20"/>
                <w:color w:val="auto"/>
              </w:rPr>
            </w:pPr>
            <w:r>
              <w:rPr>
                <w:rFonts w:ascii="Arial" w:cs="Arial" w:eastAsia="Arial" w:hAnsi="Arial"/>
                <w:sz w:val="15"/>
                <w:szCs w:val="15"/>
                <w:color w:val="auto"/>
              </w:rPr>
              <w:t>0.38</w:t>
            </w:r>
          </w:p>
        </w:tc>
        <w:tc>
          <w:tcPr>
            <w:tcW w:w="840" w:type="dxa"/>
            <w:vAlign w:val="bottom"/>
            <w:gridSpan w:val="2"/>
          </w:tcPr>
          <w:p>
            <w:pPr>
              <w:jc w:val="right"/>
              <w:ind w:right="760"/>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62"/>
              <w:spacing w:after="0"/>
              <w:rPr>
                <w:sz w:val="20"/>
                <w:szCs w:val="20"/>
                <w:color w:val="auto"/>
              </w:rPr>
            </w:pPr>
            <w:r>
              <w:rPr>
                <w:rFonts w:ascii="Arial" w:cs="Arial" w:eastAsia="Arial" w:hAnsi="Arial"/>
                <w:sz w:val="15"/>
                <w:szCs w:val="15"/>
                <w:color w:val="auto"/>
              </w:rPr>
              <w:t>0.32</w:t>
            </w:r>
          </w:p>
        </w:tc>
        <w:tc>
          <w:tcPr>
            <w:tcW w:w="0" w:type="dxa"/>
            <w:vAlign w:val="bottom"/>
          </w:tcPr>
          <w:p>
            <w:pPr>
              <w:spacing w:after="0"/>
              <w:rPr>
                <w:sz w:val="1"/>
                <w:szCs w:val="1"/>
                <w:color w:val="auto"/>
              </w:rPr>
            </w:pPr>
          </w:p>
        </w:tc>
      </w:tr>
      <w:tr>
        <w:trPr>
          <w:trHeight w:val="196"/>
        </w:trPr>
        <w:tc>
          <w:tcPr>
            <w:tcW w:w="85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Items impacting comparability, net of taxes</w:t>
            </w:r>
          </w:p>
        </w:tc>
        <w:tc>
          <w:tcPr>
            <w:tcW w:w="8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2"/>
              <w:spacing w:after="0"/>
              <w:rPr>
                <w:sz w:val="20"/>
                <w:szCs w:val="20"/>
                <w:color w:val="auto"/>
              </w:rPr>
            </w:pPr>
            <w:r>
              <w:rPr>
                <w:rFonts w:ascii="Arial" w:cs="Arial" w:eastAsia="Arial" w:hAnsi="Arial"/>
                <w:sz w:val="15"/>
                <w:szCs w:val="15"/>
                <w:color w:val="auto"/>
              </w:rPr>
              <w:t>(0.14)</w:t>
            </w: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2"/>
              <w:spacing w:after="0"/>
              <w:rPr>
                <w:sz w:val="20"/>
                <w:szCs w:val="20"/>
                <w:color w:val="auto"/>
              </w:rPr>
            </w:pPr>
            <w:r>
              <w:rPr>
                <w:rFonts w:ascii="Arial" w:cs="Arial" w:eastAsia="Arial" w:hAnsi="Arial"/>
                <w:sz w:val="15"/>
                <w:szCs w:val="15"/>
                <w:color w:val="auto"/>
              </w:rPr>
              <w:t>(0.07)</w:t>
            </w: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spacing w:after="0"/>
              <w:rPr>
                <w:sz w:val="20"/>
                <w:szCs w:val="20"/>
                <w:color w:val="auto"/>
              </w:rPr>
            </w:pPr>
            <w:r>
              <w:rPr>
                <w:rFonts w:ascii="Arial" w:cs="Arial" w:eastAsia="Arial" w:hAnsi="Arial"/>
                <w:sz w:val="15"/>
                <w:szCs w:val="15"/>
                <w:color w:val="auto"/>
              </w:rPr>
              <w:t>Income from continuing operations per diluted share</w:t>
            </w:r>
          </w:p>
        </w:tc>
        <w:tc>
          <w:tcPr>
            <w:tcW w:w="8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580" w:type="dxa"/>
            <w:vAlign w:val="bottom"/>
            <w:gridSpan w:val="2"/>
            <w:vMerge w:val="continue"/>
          </w:tcPr>
          <w:p>
            <w:pPr>
              <w:spacing w:after="0"/>
              <w:rPr>
                <w:sz w:val="19"/>
                <w:szCs w:val="19"/>
                <w:color w:val="auto"/>
              </w:rPr>
            </w:pPr>
          </w:p>
        </w:tc>
        <w:tc>
          <w:tcPr>
            <w:tcW w:w="860" w:type="dxa"/>
            <w:vAlign w:val="bottom"/>
          </w:tcPr>
          <w:p>
            <w:pPr>
              <w:jc w:val="right"/>
              <w:ind w:right="711"/>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5"/>
                <w:szCs w:val="15"/>
                <w:color w:val="auto"/>
              </w:rPr>
              <w:t>0.24</w:t>
            </w:r>
          </w:p>
        </w:tc>
        <w:tc>
          <w:tcPr>
            <w:tcW w:w="220" w:type="dxa"/>
            <w:vAlign w:val="bottom"/>
          </w:tcPr>
          <w:p>
            <w:pPr>
              <w:spacing w:after="0"/>
              <w:rPr>
                <w:sz w:val="19"/>
                <w:szCs w:val="19"/>
                <w:color w:val="auto"/>
              </w:rPr>
            </w:pPr>
          </w:p>
        </w:tc>
        <w:tc>
          <w:tcPr>
            <w:tcW w:w="840" w:type="dxa"/>
            <w:vAlign w:val="bottom"/>
            <w:gridSpan w:val="2"/>
          </w:tcPr>
          <w:p>
            <w:pPr>
              <w:jc w:val="right"/>
              <w:ind w:right="760"/>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62"/>
              <w:spacing w:after="0"/>
              <w:rPr>
                <w:sz w:val="20"/>
                <w:szCs w:val="20"/>
                <w:color w:val="auto"/>
              </w:rPr>
            </w:pPr>
            <w:r>
              <w:rPr>
                <w:rFonts w:ascii="Arial" w:cs="Arial" w:eastAsia="Arial" w:hAnsi="Arial"/>
                <w:sz w:val="15"/>
                <w:szCs w:val="15"/>
                <w:color w:val="auto"/>
              </w:rPr>
              <w:t>0.25</w:t>
            </w:r>
          </w:p>
        </w:tc>
        <w:tc>
          <w:tcPr>
            <w:tcW w:w="0" w:type="dxa"/>
            <w:vAlign w:val="bottom"/>
          </w:tcPr>
          <w:p>
            <w:pPr>
              <w:spacing w:after="0"/>
              <w:rPr>
                <w:sz w:val="1"/>
                <w:szCs w:val="1"/>
                <w:color w:val="auto"/>
              </w:rPr>
            </w:pPr>
          </w:p>
        </w:tc>
      </w:tr>
      <w:tr>
        <w:trPr>
          <w:trHeight w:val="159"/>
        </w:trPr>
        <w:tc>
          <w:tcPr>
            <w:tcW w:w="8580" w:type="dxa"/>
            <w:vAlign w:val="bottom"/>
            <w:tcBorders>
              <w:top w:val="single" w:sz="8" w:color="CCEEFF"/>
            </w:tcBorders>
            <w:gridSpan w:val="2"/>
            <w:shd w:val="clear" w:color="auto" w:fill="CCEEFF"/>
          </w:tcPr>
          <w:p>
            <w:pPr>
              <w:spacing w:after="0" w:line="159" w:lineRule="exact"/>
              <w:rPr>
                <w:sz w:val="20"/>
                <w:szCs w:val="20"/>
                <w:color w:val="auto"/>
              </w:rPr>
            </w:pPr>
            <w:r>
              <w:rPr>
                <w:rFonts w:ascii="Arial" w:cs="Arial" w:eastAsia="Arial" w:hAnsi="Arial"/>
                <w:sz w:val="15"/>
                <w:szCs w:val="15"/>
                <w:color w:val="auto"/>
              </w:rPr>
              <w:t>Diluted shares</w:t>
            </w:r>
          </w:p>
        </w:tc>
        <w:tc>
          <w:tcPr>
            <w:tcW w:w="86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rPr>
              <w:t>57.1</w:t>
            </w:r>
          </w:p>
        </w:tc>
        <w:tc>
          <w:tcPr>
            <w:tcW w:w="2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rPr>
              <w:t>57.2</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168" w:hanging="168"/>
        <w:spacing w:after="0"/>
        <w:tabs>
          <w:tab w:leader="none" w:pos="168" w:val="left"/>
        </w:tabs>
        <w:numPr>
          <w:ilvl w:val="0"/>
          <w:numId w:val="2"/>
        </w:numPr>
        <w:rPr>
          <w:rFonts w:ascii="Arial" w:cs="Arial" w:eastAsia="Arial" w:hAnsi="Arial"/>
          <w:sz w:val="20"/>
          <w:szCs w:val="20"/>
          <w:color w:val="auto"/>
          <w:vertAlign w:val="superscript"/>
        </w:rPr>
      </w:pPr>
      <w:r>
        <w:rPr>
          <w:rFonts w:ascii="Arial" w:cs="Arial" w:eastAsia="Arial" w:hAnsi="Arial"/>
          <w:sz w:val="13"/>
          <w:szCs w:val="13"/>
          <w:color w:val="auto"/>
        </w:rPr>
        <w:t>Represents severance and other costs related to the departure of our former CEO.</w:t>
      </w:r>
    </w:p>
    <w:p>
      <w:pPr>
        <w:spacing w:after="0" w:line="127" w:lineRule="exact"/>
        <w:rPr>
          <w:rFonts w:ascii="Arial" w:cs="Arial" w:eastAsia="Arial" w:hAnsi="Arial"/>
          <w:sz w:val="20"/>
          <w:szCs w:val="20"/>
          <w:color w:val="auto"/>
          <w:vertAlign w:val="superscript"/>
        </w:rPr>
      </w:pPr>
    </w:p>
    <w:p>
      <w:pPr>
        <w:ind w:left="188" w:hanging="188"/>
        <w:spacing w:after="0"/>
        <w:tabs>
          <w:tab w:leader="none" w:pos="188" w:val="left"/>
        </w:tabs>
        <w:numPr>
          <w:ilvl w:val="0"/>
          <w:numId w:val="2"/>
        </w:numPr>
        <w:rPr>
          <w:rFonts w:ascii="Arial" w:cs="Arial" w:eastAsia="Arial" w:hAnsi="Arial"/>
          <w:sz w:val="23"/>
          <w:szCs w:val="23"/>
          <w:color w:val="auto"/>
          <w:vertAlign w:val="superscript"/>
        </w:rPr>
      </w:pPr>
      <w:r>
        <w:rPr>
          <w:rFonts w:ascii="Arial" w:cs="Arial" w:eastAsia="Arial" w:hAnsi="Arial"/>
          <w:sz w:val="14"/>
          <w:szCs w:val="14"/>
          <w:color w:val="auto"/>
        </w:rPr>
        <w:t>Represents costs related to the Company's branding initiative.</w:t>
      </w:r>
    </w:p>
    <w:p>
      <w:pPr>
        <w:spacing w:after="0" w:line="150" w:lineRule="exact"/>
        <w:rPr>
          <w:rFonts w:ascii="Arial" w:cs="Arial" w:eastAsia="Arial" w:hAnsi="Arial"/>
          <w:sz w:val="23"/>
          <w:szCs w:val="23"/>
          <w:color w:val="auto"/>
          <w:vertAlign w:val="superscript"/>
        </w:rPr>
      </w:pPr>
    </w:p>
    <w:p>
      <w:pPr>
        <w:ind w:left="168" w:hanging="168"/>
        <w:spacing w:after="0"/>
        <w:tabs>
          <w:tab w:leader="none" w:pos="168" w:val="left"/>
        </w:tabs>
        <w:numPr>
          <w:ilvl w:val="0"/>
          <w:numId w:val="2"/>
        </w:numPr>
        <w:rPr>
          <w:rFonts w:ascii="Arial" w:cs="Arial" w:eastAsia="Arial" w:hAnsi="Arial"/>
          <w:sz w:val="21"/>
          <w:szCs w:val="21"/>
          <w:color w:val="auto"/>
          <w:vertAlign w:val="superscript"/>
        </w:rPr>
      </w:pPr>
      <w:r>
        <w:rPr>
          <w:rFonts w:ascii="Arial" w:cs="Arial" w:eastAsia="Arial" w:hAnsi="Arial"/>
          <w:sz w:val="13"/>
          <w:szCs w:val="13"/>
          <w:color w:val="auto"/>
        </w:rPr>
        <w:t>Includes legal and other cost incurred in connection with an internal investigation into a foreign entity affiliated with a former joint venture partner.</w:t>
      </w:r>
    </w:p>
    <w:p>
      <w:pPr>
        <w:spacing w:after="0" w:line="127" w:lineRule="exact"/>
        <w:rPr>
          <w:rFonts w:ascii="Arial" w:cs="Arial" w:eastAsia="Arial" w:hAnsi="Arial"/>
          <w:sz w:val="21"/>
          <w:szCs w:val="21"/>
          <w:color w:val="auto"/>
          <w:vertAlign w:val="superscript"/>
        </w:rPr>
      </w:pPr>
    </w:p>
    <w:p>
      <w:pPr>
        <w:ind w:left="188" w:hanging="188"/>
        <w:spacing w:after="0"/>
        <w:tabs>
          <w:tab w:leader="none" w:pos="188" w:val="left"/>
        </w:tabs>
        <w:numPr>
          <w:ilvl w:val="0"/>
          <w:numId w:val="2"/>
        </w:numPr>
        <w:rPr>
          <w:rFonts w:ascii="Arial" w:cs="Arial" w:eastAsia="Arial" w:hAnsi="Arial"/>
          <w:sz w:val="23"/>
          <w:szCs w:val="23"/>
          <w:color w:val="auto"/>
          <w:vertAlign w:val="superscript"/>
        </w:rPr>
      </w:pPr>
      <w:r>
        <w:rPr>
          <w:rFonts w:ascii="Arial" w:cs="Arial" w:eastAsia="Arial" w:hAnsi="Arial"/>
          <w:sz w:val="14"/>
          <w:szCs w:val="14"/>
          <w:color w:val="auto"/>
        </w:rPr>
        <w:t>Includes costs for 2020 Vision Transformation Initiative, net of the reversal of certain share-based compensation costs.</w:t>
      </w:r>
    </w:p>
    <w:p>
      <w:pPr>
        <w:spacing w:after="0" w:line="197" w:lineRule="exact"/>
        <w:rPr>
          <w:rFonts w:ascii="Arial" w:cs="Arial" w:eastAsia="Arial" w:hAnsi="Arial"/>
          <w:sz w:val="23"/>
          <w:szCs w:val="23"/>
          <w:color w:val="auto"/>
          <w:vertAlign w:val="superscript"/>
        </w:rPr>
      </w:pPr>
    </w:p>
    <w:p>
      <w:pPr>
        <w:ind w:left="8" w:hanging="8"/>
        <w:spacing w:after="0" w:line="220" w:lineRule="auto"/>
        <w:tabs>
          <w:tab w:leader="none" w:pos="182" w:val="left"/>
        </w:tabs>
        <w:numPr>
          <w:ilvl w:val="0"/>
          <w:numId w:val="2"/>
        </w:numPr>
        <w:rPr>
          <w:rFonts w:ascii="Arial" w:cs="Arial" w:eastAsia="Arial" w:hAnsi="Arial"/>
          <w:sz w:val="22"/>
          <w:szCs w:val="22"/>
          <w:color w:val="auto"/>
          <w:vertAlign w:val="superscript"/>
        </w:rPr>
      </w:pPr>
      <w:r>
        <w:rPr>
          <w:rFonts w:ascii="Arial" w:cs="Arial" w:eastAsia="Arial" w:hAnsi="Arial"/>
          <w:sz w:val="14"/>
          <w:szCs w:val="14"/>
          <w:color w:val="auto"/>
        </w:rPr>
        <w:t>Adjusted EBITDA does not include interest income of $0.3 million for certain long term energy contracts, in which case a gross up of both interest income and interest expense is being recorded. Thus, interest expense for the three months ended January 31, 2016, is shown net of interest income of $0.3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234315</wp:posOffset>
            </wp:positionV>
            <wp:extent cx="726630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ectPr>
          <w:pgSz w:w="11900" w:h="16838" w:orient="portrait"/>
          <w:cols w:equalWidth="0" w:num="1">
            <w:col w:w="11448"/>
          </w:cols>
          <w:pgMar w:left="232" w:top="794" w:right="219" w:bottom="1440" w:gutter="0" w:footer="0" w:header="0"/>
        </w:sectPr>
      </w:pPr>
    </w:p>
    <w:bookmarkStart w:id="13" w:name="page14"/>
    <w:bookmarkEnd w:id="13"/>
    <w:p>
      <w:pPr>
        <w:ind w:left="8"/>
        <w:spacing w:after="0"/>
        <w:rPr>
          <w:sz w:val="20"/>
          <w:szCs w:val="20"/>
          <w:color w:val="auto"/>
        </w:rPr>
      </w:pPr>
      <w:r>
        <w:rPr>
          <w:rFonts w:ascii="Arial" w:cs="Arial" w:eastAsia="Arial" w:hAnsi="Arial"/>
          <w:sz w:val="15"/>
          <w:szCs w:val="15"/>
          <w:b w:val="1"/>
          <w:bCs w:val="1"/>
          <w:color w:val="auto"/>
        </w:rPr>
        <w:t>ABM INDUSTRIES INCORPORATED AND SUBSIDIARIES</w:t>
      </w:r>
    </w:p>
    <w:p>
      <w:pPr>
        <w:spacing w:after="0" w:line="197"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2016 GUIDANCE</w:t>
      </w:r>
    </w:p>
    <w:p>
      <w:pPr>
        <w:spacing w:after="0" w:line="203" w:lineRule="exact"/>
        <w:rPr>
          <w:sz w:val="20"/>
          <w:szCs w:val="20"/>
          <w:color w:val="auto"/>
        </w:rPr>
      </w:pPr>
    </w:p>
    <w:tbl>
      <w:tblPr>
        <w:tblLayout w:type="fixed"/>
        <w:tblInd w:w="8" w:type="dxa"/>
        <w:tblCellMar>
          <w:top w:w="0" w:type="dxa"/>
          <w:left w:w="0" w:type="dxa"/>
          <w:bottom w:w="0" w:type="dxa"/>
          <w:right w:w="0" w:type="dxa"/>
        </w:tblCellMar>
      </w:tblPr>
      <w:tr>
        <w:trPr>
          <w:trHeight w:val="147"/>
        </w:trPr>
        <w:tc>
          <w:tcPr>
            <w:tcW w:w="8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80" w:type="dxa"/>
            <w:vAlign w:val="bottom"/>
            <w:gridSpan w:val="6"/>
          </w:tcPr>
          <w:p>
            <w:pPr>
              <w:jc w:val="right"/>
              <w:ind w:right="720"/>
              <w:spacing w:after="0"/>
              <w:rPr>
                <w:sz w:val="20"/>
                <w:szCs w:val="20"/>
                <w:color w:val="auto"/>
              </w:rPr>
            </w:pPr>
            <w:r>
              <w:rPr>
                <w:rFonts w:ascii="Arial" w:cs="Arial" w:eastAsia="Arial" w:hAnsi="Arial"/>
                <w:sz w:val="12"/>
                <w:szCs w:val="12"/>
                <w:b w:val="1"/>
                <w:bCs w:val="1"/>
                <w:color w:val="auto"/>
              </w:rPr>
              <w:t>Year Ended October 31, 2016</w:t>
            </w:r>
          </w:p>
        </w:tc>
      </w:tr>
      <w:tr>
        <w:trPr>
          <w:trHeight w:val="130"/>
        </w:trPr>
        <w:tc>
          <w:tcPr>
            <w:tcW w:w="85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jc w:val="right"/>
              <w:ind w:right="500"/>
              <w:spacing w:after="0" w:line="130" w:lineRule="exact"/>
              <w:rPr>
                <w:sz w:val="20"/>
                <w:szCs w:val="20"/>
                <w:color w:val="auto"/>
              </w:rPr>
            </w:pPr>
            <w:r>
              <w:rPr>
                <w:rFonts w:ascii="Arial" w:cs="Arial" w:eastAsia="Arial" w:hAnsi="Arial"/>
                <w:sz w:val="12"/>
                <w:szCs w:val="12"/>
                <w:b w:val="1"/>
                <w:bCs w:val="1"/>
                <w:color w:val="auto"/>
              </w:rPr>
              <w:t>Low Estimate</w:t>
            </w:r>
          </w:p>
        </w:tc>
        <w:tc>
          <w:tcPr>
            <w:tcW w:w="1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186"/>
              <w:spacing w:after="0" w:line="130" w:lineRule="exact"/>
              <w:rPr>
                <w:sz w:val="20"/>
                <w:szCs w:val="20"/>
                <w:color w:val="auto"/>
              </w:rPr>
            </w:pPr>
            <w:r>
              <w:rPr>
                <w:rFonts w:ascii="Arial" w:cs="Arial" w:eastAsia="Arial" w:hAnsi="Arial"/>
                <w:sz w:val="12"/>
                <w:szCs w:val="12"/>
                <w:b w:val="1"/>
                <w:bCs w:val="1"/>
                <w:color w:val="auto"/>
              </w:rPr>
              <w:t>High Estimate</w:t>
            </w:r>
          </w:p>
        </w:tc>
        <w:tc>
          <w:tcPr>
            <w:tcW w:w="100" w:type="dxa"/>
            <w:vAlign w:val="bottom"/>
            <w:gridSpan w:val="2"/>
          </w:tcPr>
          <w:p>
            <w:pPr>
              <w:spacing w:after="0"/>
              <w:rPr>
                <w:sz w:val="11"/>
                <w:szCs w:val="11"/>
                <w:color w:val="auto"/>
              </w:rPr>
            </w:pPr>
          </w:p>
        </w:tc>
      </w:tr>
      <w:tr>
        <w:trPr>
          <w:trHeight w:val="150"/>
        </w:trPr>
        <w:tc>
          <w:tcPr>
            <w:tcW w:w="8580" w:type="dxa"/>
            <w:vAlign w:val="bottom"/>
            <w:tcBorders>
              <w:top w:val="single" w:sz="8" w:color="CCEEFF"/>
            </w:tcBorders>
            <w:shd w:val="clear" w:color="auto" w:fill="CCEEFF"/>
          </w:tcPr>
          <w:p>
            <w:pPr>
              <w:spacing w:after="0" w:line="150" w:lineRule="exact"/>
              <w:rPr>
                <w:sz w:val="20"/>
                <w:szCs w:val="20"/>
                <w:color w:val="auto"/>
              </w:rPr>
            </w:pPr>
            <w:r>
              <w:rPr>
                <w:rFonts w:ascii="Arial" w:cs="Arial" w:eastAsia="Arial" w:hAnsi="Arial"/>
                <w:sz w:val="15"/>
                <w:szCs w:val="15"/>
                <w:b w:val="1"/>
                <w:bCs w:val="1"/>
                <w:color w:val="auto"/>
                <w:w w:val="96"/>
              </w:rPr>
              <w:t>Reconciliation of Adjusted Income from Continuing Operations per Diluted Share to Income from Continuing Operations per</w:t>
            </w:r>
          </w:p>
        </w:tc>
        <w:tc>
          <w:tcPr>
            <w:tcW w:w="18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r>
      <w:tr>
        <w:trPr>
          <w:trHeight w:val="199"/>
        </w:trPr>
        <w:tc>
          <w:tcPr>
            <w:tcW w:w="85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Diluted Share</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85"/>
        </w:trPr>
        <w:tc>
          <w:tcPr>
            <w:tcW w:w="8580" w:type="dxa"/>
            <w:vAlign w:val="bottom"/>
          </w:tcPr>
          <w:p>
            <w:pPr>
              <w:spacing w:after="0"/>
              <w:rPr>
                <w:sz w:val="20"/>
                <w:szCs w:val="20"/>
                <w:color w:val="auto"/>
              </w:rPr>
            </w:pPr>
            <w:r>
              <w:rPr>
                <w:rFonts w:ascii="Arial" w:cs="Arial" w:eastAsia="Arial" w:hAnsi="Arial"/>
                <w:sz w:val="15"/>
                <w:szCs w:val="15"/>
                <w:color w:val="auto"/>
              </w:rPr>
              <w:t>Previously announced adjusted income from continuing operations per diluted share</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20"/>
              <w:spacing w:after="0"/>
              <w:rPr>
                <w:sz w:val="20"/>
                <w:szCs w:val="20"/>
                <w:color w:val="auto"/>
              </w:rPr>
            </w:pPr>
            <w:r>
              <w:rPr>
                <w:rFonts w:ascii="Arial" w:cs="Arial" w:eastAsia="Arial" w:hAnsi="Arial"/>
                <w:sz w:val="15"/>
                <w:szCs w:val="15"/>
                <w:color w:val="auto"/>
              </w:rPr>
              <w:t>1.30</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0"/>
              <w:spacing w:after="0"/>
              <w:rPr>
                <w:sz w:val="20"/>
                <w:szCs w:val="20"/>
                <w:color w:val="auto"/>
              </w:rPr>
            </w:pPr>
            <w:r>
              <w:rPr>
                <w:rFonts w:ascii="Arial" w:cs="Arial" w:eastAsia="Arial" w:hAnsi="Arial"/>
                <w:sz w:val="15"/>
                <w:szCs w:val="15"/>
                <w:color w:val="auto"/>
              </w:rPr>
              <w:t>1.40</w:t>
            </w:r>
          </w:p>
        </w:tc>
        <w:tc>
          <w:tcPr>
            <w:tcW w:w="80" w:type="dxa"/>
            <w:vAlign w:val="bottom"/>
          </w:tcPr>
          <w:p>
            <w:pPr>
              <w:spacing w:after="0"/>
              <w:rPr>
                <w:sz w:val="16"/>
                <w:szCs w:val="16"/>
                <w:color w:val="auto"/>
              </w:rPr>
            </w:pPr>
          </w:p>
        </w:tc>
      </w:tr>
      <w:tr>
        <w:trPr>
          <w:trHeight w:val="196"/>
        </w:trPr>
        <w:tc>
          <w:tcPr>
            <w:tcW w:w="8580" w:type="dxa"/>
            <w:vAlign w:val="bottom"/>
            <w:shd w:val="clear" w:color="auto" w:fill="CCEEFF"/>
          </w:tcPr>
          <w:p>
            <w:pPr>
              <w:spacing w:after="0"/>
              <w:rPr>
                <w:sz w:val="20"/>
                <w:szCs w:val="20"/>
                <w:color w:val="auto"/>
              </w:rPr>
            </w:pPr>
            <w:r>
              <w:rPr>
                <w:rFonts w:ascii="Arial" w:cs="Arial" w:eastAsia="Arial" w:hAnsi="Arial"/>
                <w:sz w:val="15"/>
                <w:szCs w:val="15"/>
                <w:color w:val="auto"/>
              </w:rPr>
              <w:t>Impact of 2015 and 2016 Work Opportunity Tax Credits reinstatement</w:t>
            </w: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0.20</w:t>
            </w:r>
          </w:p>
        </w:tc>
        <w:tc>
          <w:tcPr>
            <w:tcW w:w="2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0.20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9"/>
        </w:trPr>
        <w:tc>
          <w:tcPr>
            <w:tcW w:w="8580" w:type="dxa"/>
            <w:vAlign w:val="bottom"/>
          </w:tcPr>
          <w:p>
            <w:pPr>
              <w:spacing w:after="0" w:line="199" w:lineRule="exact"/>
              <w:rPr>
                <w:sz w:val="20"/>
                <w:szCs w:val="20"/>
                <w:color w:val="auto"/>
              </w:rPr>
            </w:pPr>
            <w:r>
              <w:rPr>
                <w:rFonts w:ascii="Arial" w:cs="Arial" w:eastAsia="Arial" w:hAnsi="Arial"/>
                <w:sz w:val="14"/>
                <w:szCs w:val="14"/>
                <w:color w:val="auto"/>
              </w:rPr>
              <w:t>Revised adjusted income from continuing operations per diluted share</w:t>
            </w:r>
            <w:r>
              <w:rPr>
                <w:rFonts w:ascii="Arial" w:cs="Arial" w:eastAsia="Arial" w:hAnsi="Arial"/>
                <w:sz w:val="23"/>
                <w:szCs w:val="23"/>
                <w:color w:val="auto"/>
                <w:vertAlign w:val="superscript"/>
              </w:rPr>
              <w:t>(a)</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20"/>
              <w:spacing w:after="0"/>
              <w:rPr>
                <w:sz w:val="20"/>
                <w:szCs w:val="20"/>
                <w:color w:val="auto"/>
              </w:rPr>
            </w:pPr>
            <w:r>
              <w:rPr>
                <w:rFonts w:ascii="Arial" w:cs="Arial" w:eastAsia="Arial" w:hAnsi="Arial"/>
                <w:sz w:val="15"/>
                <w:szCs w:val="15"/>
                <w:color w:val="auto"/>
              </w:rPr>
              <w:t>1.50</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0"/>
              <w:spacing w:after="0"/>
              <w:rPr>
                <w:sz w:val="20"/>
                <w:szCs w:val="20"/>
                <w:color w:val="auto"/>
              </w:rPr>
            </w:pPr>
            <w:r>
              <w:rPr>
                <w:rFonts w:ascii="Arial" w:cs="Arial" w:eastAsia="Arial" w:hAnsi="Arial"/>
                <w:sz w:val="15"/>
                <w:szCs w:val="15"/>
                <w:color w:val="auto"/>
              </w:rPr>
              <w:t>1.60</w:t>
            </w:r>
          </w:p>
        </w:tc>
        <w:tc>
          <w:tcPr>
            <w:tcW w:w="80" w:type="dxa"/>
            <w:vAlign w:val="bottom"/>
          </w:tcPr>
          <w:p>
            <w:pPr>
              <w:spacing w:after="0"/>
              <w:rPr>
                <w:sz w:val="17"/>
                <w:szCs w:val="17"/>
                <w:color w:val="auto"/>
              </w:rPr>
            </w:pPr>
          </w:p>
        </w:tc>
      </w:tr>
      <w:tr>
        <w:trPr>
          <w:trHeight w:val="231"/>
        </w:trPr>
        <w:tc>
          <w:tcPr>
            <w:tcW w:w="8580" w:type="dxa"/>
            <w:vAlign w:val="bottom"/>
            <w:shd w:val="clear" w:color="auto" w:fill="CCEEFF"/>
          </w:tcPr>
          <w:p>
            <w:pPr>
              <w:spacing w:after="0" w:line="230" w:lineRule="exact"/>
              <w:rPr>
                <w:sz w:val="20"/>
                <w:szCs w:val="20"/>
                <w:color w:val="auto"/>
              </w:rPr>
            </w:pPr>
            <w:r>
              <w:rPr>
                <w:rFonts w:ascii="Arial" w:cs="Arial" w:eastAsia="Arial" w:hAnsi="Arial"/>
                <w:sz w:val="15"/>
                <w:szCs w:val="15"/>
                <w:color w:val="auto"/>
              </w:rPr>
              <w:t>Adjustments</w:t>
            </w:r>
            <w:r>
              <w:rPr>
                <w:rFonts w:ascii="Arial" w:cs="Arial" w:eastAsia="Arial" w:hAnsi="Arial"/>
                <w:sz w:val="25"/>
                <w:szCs w:val="25"/>
                <w:color w:val="auto"/>
                <w:vertAlign w:val="superscript"/>
              </w:rPr>
              <w:t>(b)</w:t>
            </w:r>
          </w:p>
        </w:tc>
        <w:tc>
          <w:tcPr>
            <w:tcW w:w="1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(0.48)</w:t>
            </w:r>
          </w:p>
        </w:tc>
        <w:tc>
          <w:tcPr>
            <w:tcW w:w="16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(0.48)</w:t>
            </w:r>
          </w:p>
        </w:tc>
      </w:tr>
      <w:tr>
        <w:trPr>
          <w:trHeight w:val="222"/>
        </w:trPr>
        <w:tc>
          <w:tcPr>
            <w:tcW w:w="8580" w:type="dxa"/>
            <w:vAlign w:val="bottom"/>
          </w:tcPr>
          <w:p>
            <w:pPr>
              <w:spacing w:after="0" w:line="222" w:lineRule="exact"/>
              <w:rPr>
                <w:sz w:val="20"/>
                <w:szCs w:val="20"/>
                <w:color w:val="auto"/>
              </w:rPr>
            </w:pPr>
            <w:r>
              <w:rPr>
                <w:rFonts w:ascii="Arial" w:cs="Arial" w:eastAsia="Arial" w:hAnsi="Arial"/>
                <w:sz w:val="15"/>
                <w:szCs w:val="15"/>
                <w:color w:val="auto"/>
              </w:rPr>
              <w:t>Income from continuing operations per diluted share</w:t>
            </w:r>
            <w:r>
              <w:rPr>
                <w:rFonts w:ascii="Arial" w:cs="Arial" w:eastAsia="Arial" w:hAnsi="Arial"/>
                <w:sz w:val="25"/>
                <w:szCs w:val="25"/>
                <w:color w:val="auto"/>
                <w:vertAlign w:val="superscript"/>
              </w:rPr>
              <w:t>(a)</w:t>
            </w: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1.02</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8" w:lineRule="exact"/>
        <w:rPr>
          <w:sz w:val="20"/>
          <w:szCs w:val="20"/>
          <w:color w:val="auto"/>
        </w:rPr>
      </w:pPr>
    </w:p>
    <w:p>
      <w:pPr>
        <w:ind w:left="168" w:hanging="168"/>
        <w:spacing w:after="0"/>
        <w:tabs>
          <w:tab w:leader="none" w:pos="168" w:val="left"/>
        </w:tabs>
        <w:numPr>
          <w:ilvl w:val="0"/>
          <w:numId w:val="3"/>
        </w:numPr>
        <w:rPr>
          <w:rFonts w:ascii="Arial" w:cs="Arial" w:eastAsia="Arial" w:hAnsi="Arial"/>
          <w:sz w:val="20"/>
          <w:szCs w:val="20"/>
          <w:color w:val="auto"/>
          <w:vertAlign w:val="superscript"/>
        </w:rPr>
      </w:pPr>
      <w:r>
        <w:rPr>
          <w:rFonts w:ascii="Arial" w:cs="Arial" w:eastAsia="Arial" w:hAnsi="Arial"/>
          <w:sz w:val="13"/>
          <w:szCs w:val="13"/>
          <w:color w:val="auto"/>
        </w:rPr>
        <w:t>This guidance excludes any potential benefits associated with certain other discrete tax items.</w:t>
      </w:r>
    </w:p>
    <w:p>
      <w:pPr>
        <w:spacing w:after="0" w:line="197" w:lineRule="exact"/>
        <w:rPr>
          <w:rFonts w:ascii="Arial" w:cs="Arial" w:eastAsia="Arial" w:hAnsi="Arial"/>
          <w:sz w:val="20"/>
          <w:szCs w:val="20"/>
          <w:color w:val="auto"/>
          <w:vertAlign w:val="superscript"/>
        </w:rPr>
      </w:pPr>
    </w:p>
    <w:p>
      <w:pPr>
        <w:ind w:left="8" w:right="60" w:hanging="8"/>
        <w:spacing w:after="0" w:line="214" w:lineRule="auto"/>
        <w:tabs>
          <w:tab w:leader="none" w:pos="189" w:val="left"/>
        </w:tabs>
        <w:numPr>
          <w:ilvl w:val="0"/>
          <w:numId w:val="3"/>
        </w:numPr>
        <w:rPr>
          <w:rFonts w:ascii="Arial" w:cs="Arial" w:eastAsia="Arial" w:hAnsi="Arial"/>
          <w:sz w:val="23"/>
          <w:szCs w:val="23"/>
          <w:color w:val="auto"/>
          <w:vertAlign w:val="superscript"/>
        </w:rPr>
      </w:pPr>
      <w:r>
        <w:rPr>
          <w:rFonts w:ascii="Arial" w:cs="Arial" w:eastAsia="Arial" w:hAnsi="Arial"/>
          <w:sz w:val="14"/>
          <w:szCs w:val="14"/>
          <w:color w:val="auto"/>
        </w:rPr>
        <w:t>Adjustments include costs associated with the strategic review and realignment, legal settlements, potential adjustments to self-insurance reserves pertaining to prior year's claims and other unique items impacting comparability.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351790</wp:posOffset>
            </wp:positionV>
            <wp:extent cx="726630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ectPr>
          <w:pgSz w:w="11900" w:h="16838" w:orient="portrait"/>
          <w:cols w:equalWidth="0" w:num="1">
            <w:col w:w="11448"/>
          </w:cols>
          <w:pgMar w:left="232" w:top="794" w:right="219" w:bottom="1440" w:gutter="0" w:footer="0" w:header="0"/>
        </w:sectPr>
      </w:pPr>
    </w:p>
    <w:bookmarkStart w:id="14" w:name="page15"/>
    <w:bookmarkEnd w:id="14"/>
    <w:p>
      <w:pPr>
        <w:ind w:left="9280"/>
        <w:spacing w:after="0"/>
        <w:rPr>
          <w:sz w:val="20"/>
          <w:szCs w:val="20"/>
          <w:color w:val="auto"/>
        </w:rPr>
      </w:pPr>
      <w:r>
        <w:rPr>
          <w:rFonts w:ascii="Arial" w:cs="Arial" w:eastAsia="Arial" w:hAnsi="Arial"/>
          <w:sz w:val="17"/>
          <w:szCs w:val="17"/>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154305</wp:posOffset>
            </wp:positionV>
            <wp:extent cx="7320280" cy="5757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20280" cy="5757545"/>
                    </a:xfrm>
                    <a:prstGeom prst="rect">
                      <a:avLst/>
                    </a:prstGeom>
                    <a:noFill/>
                  </pic:spPr>
                </pic:pic>
              </a:graphicData>
            </a:graphic>
          </wp:anchor>
        </w:drawing>
      </w:r>
    </w:p>
    <w:p>
      <w:pPr>
        <w:sectPr>
          <w:pgSz w:w="11900" w:h="16838" w:orient="portrait"/>
          <w:cols w:equalWidth="0" w:num="1">
            <w:col w:w="10240"/>
          </w:cols>
          <w:pgMar w:left="1440" w:top="324" w:right="219" w:bottom="1440"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396875</wp:posOffset>
            </wp:positionV>
            <wp:extent cx="7320280" cy="5757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20280" cy="5757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396875</wp:posOffset>
            </wp:positionV>
            <wp:extent cx="7320280" cy="5757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20280" cy="5757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396875</wp:posOffset>
            </wp:positionV>
            <wp:extent cx="7320280" cy="5757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20280" cy="5757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396240</wp:posOffset>
            </wp:positionV>
            <wp:extent cx="7320280" cy="57651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20280" cy="5765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396240</wp:posOffset>
            </wp:positionV>
            <wp:extent cx="7320280" cy="5757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20280" cy="5757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396240</wp:posOffset>
            </wp:positionV>
            <wp:extent cx="7320280" cy="5757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20280" cy="5757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396240</wp:posOffset>
            </wp:positionV>
            <wp:extent cx="7320280" cy="5757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20280" cy="5757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396240</wp:posOffset>
            </wp:positionV>
            <wp:extent cx="7320280" cy="5757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20280" cy="5757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396240</wp:posOffset>
            </wp:positionV>
            <wp:extent cx="7320280" cy="5757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20280" cy="5757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396240</wp:posOffset>
            </wp:positionV>
            <wp:extent cx="7320280" cy="5757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20280" cy="5757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396240</wp:posOffset>
            </wp:positionV>
            <wp:extent cx="7320280" cy="57721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20280" cy="57721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396240</wp:posOffset>
            </wp:positionV>
            <wp:extent cx="7320280" cy="5757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20280" cy="5757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396240</wp:posOffset>
            </wp:positionV>
            <wp:extent cx="7320280" cy="5757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20280" cy="5757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396240</wp:posOffset>
            </wp:positionV>
            <wp:extent cx="7320280" cy="5757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20280" cy="5757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396240</wp:posOffset>
            </wp:positionV>
            <wp:extent cx="7320280" cy="5757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20280" cy="57575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2019-12-05T17:59:40Z</dcterms:created>
  <dcterms:modified xsi:type="dcterms:W3CDTF">2019-12-05T17:59:40Z</dcterms:modified>
</cp:coreProperties>
</file>