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10, 2003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gridSpan w:val="2"/>
          </w:tcPr>
          <w:p>
            <w:pPr>
              <w:ind w:left="3900"/>
              <w:spacing w:after="0"/>
              <w:rPr>
                <w:sz w:val="20"/>
                <w:szCs w:val="20"/>
                <w:color w:val="auto"/>
              </w:rPr>
            </w:pPr>
            <w:r>
              <w:rPr>
                <w:rFonts w:ascii="Arial" w:cs="Arial" w:eastAsia="Arial" w:hAnsi="Arial"/>
                <w:sz w:val="18"/>
                <w:szCs w:val="18"/>
                <w:color w:val="auto"/>
                <w:w w:val="99"/>
              </w:rPr>
              <w:t>(Exact name of registrant as specified in its charter)</w:t>
            </w:r>
          </w:p>
        </w:tc>
        <w:tc>
          <w:tcPr>
            <w:tcW w:w="3420" w:type="dxa"/>
            <w:vAlign w:val="bottom"/>
          </w:tcPr>
          <w:p>
            <w:pPr>
              <w:spacing w:after="0"/>
              <w:rPr>
                <w:sz w:val="19"/>
                <w:szCs w:val="19"/>
                <w:color w:val="auto"/>
              </w:rPr>
            </w:pPr>
          </w:p>
        </w:tc>
      </w:tr>
      <w:tr>
        <w:trPr>
          <w:trHeight w:val="459"/>
        </w:trPr>
        <w:tc>
          <w:tcPr>
            <w:tcW w:w="5200" w:type="dxa"/>
            <w:vAlign w:val="bottom"/>
          </w:tcPr>
          <w:p>
            <w:pPr>
              <w:jc w:val="center"/>
              <w:ind w:right="1212"/>
              <w:spacing w:after="0"/>
              <w:rPr>
                <w:sz w:val="20"/>
                <w:szCs w:val="20"/>
                <w:color w:val="auto"/>
              </w:rPr>
            </w:pPr>
            <w:r>
              <w:rPr>
                <w:rFonts w:ascii="Arial" w:cs="Arial" w:eastAsia="Arial" w:hAnsi="Arial"/>
                <w:sz w:val="18"/>
                <w:szCs w:val="18"/>
                <w:b w:val="1"/>
                <w:bCs w:val="1"/>
                <w:color w:val="auto"/>
                <w:w w:val="88"/>
              </w:rPr>
              <w:t>Delaware</w:t>
            </w:r>
          </w:p>
        </w:tc>
        <w:tc>
          <w:tcPr>
            <w:tcW w:w="2800" w:type="dxa"/>
            <w:vAlign w:val="bottom"/>
          </w:tcPr>
          <w:p>
            <w:pPr>
              <w:jc w:val="center"/>
              <w:ind w:right="972"/>
              <w:spacing w:after="0"/>
              <w:rPr>
                <w:sz w:val="20"/>
                <w:szCs w:val="20"/>
                <w:color w:val="auto"/>
              </w:rPr>
            </w:pPr>
            <w:r>
              <w:rPr>
                <w:rFonts w:ascii="Arial" w:cs="Arial" w:eastAsia="Arial" w:hAnsi="Arial"/>
                <w:sz w:val="18"/>
                <w:szCs w:val="18"/>
                <w:b w:val="1"/>
                <w:bCs w:val="1"/>
                <w:color w:val="auto"/>
                <w:w w:val="89"/>
              </w:rPr>
              <w:t>1-8929</w:t>
            </w:r>
          </w:p>
        </w:tc>
        <w:tc>
          <w:tcPr>
            <w:tcW w:w="342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94-1369354</w:t>
            </w:r>
          </w:p>
        </w:tc>
      </w:tr>
      <w:tr>
        <w:trPr>
          <w:trHeight w:val="110"/>
        </w:trPr>
        <w:tc>
          <w:tcPr>
            <w:tcW w:w="52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r>
        <w:trPr>
          <w:trHeight w:val="309"/>
        </w:trPr>
        <w:tc>
          <w:tcPr>
            <w:tcW w:w="5200" w:type="dxa"/>
            <w:vAlign w:val="bottom"/>
          </w:tcPr>
          <w:p>
            <w:pPr>
              <w:jc w:val="center"/>
              <w:ind w:right="1212"/>
              <w:spacing w:after="0"/>
              <w:rPr>
                <w:sz w:val="20"/>
                <w:szCs w:val="20"/>
                <w:color w:val="auto"/>
              </w:rPr>
            </w:pPr>
            <w:r>
              <w:rPr>
                <w:rFonts w:ascii="Arial" w:cs="Arial" w:eastAsia="Arial" w:hAnsi="Arial"/>
                <w:sz w:val="18"/>
                <w:szCs w:val="18"/>
                <w:color w:val="auto"/>
                <w:w w:val="90"/>
              </w:rPr>
              <w:t>(State or other jurisdiction</w:t>
            </w:r>
          </w:p>
        </w:tc>
        <w:tc>
          <w:tcPr>
            <w:tcW w:w="2800" w:type="dxa"/>
            <w:vAlign w:val="bottom"/>
          </w:tcPr>
          <w:p>
            <w:pPr>
              <w:jc w:val="center"/>
              <w:ind w:right="972"/>
              <w:spacing w:after="0"/>
              <w:rPr>
                <w:sz w:val="20"/>
                <w:szCs w:val="20"/>
                <w:color w:val="auto"/>
              </w:rPr>
            </w:pPr>
            <w:r>
              <w:rPr>
                <w:rFonts w:ascii="Arial" w:cs="Arial" w:eastAsia="Arial" w:hAnsi="Arial"/>
                <w:sz w:val="18"/>
                <w:szCs w:val="18"/>
                <w:color w:val="auto"/>
                <w:w w:val="90"/>
              </w:rPr>
              <w:t>(Commission File</w:t>
            </w:r>
          </w:p>
        </w:tc>
        <w:tc>
          <w:tcPr>
            <w:tcW w:w="3420" w:type="dxa"/>
            <w:vAlign w:val="bottom"/>
          </w:tcPr>
          <w:p>
            <w:pPr>
              <w:jc w:val="center"/>
              <w:ind w:left="152"/>
              <w:spacing w:after="0"/>
              <w:rPr>
                <w:sz w:val="20"/>
                <w:szCs w:val="20"/>
                <w:color w:val="auto"/>
              </w:rPr>
            </w:pPr>
            <w:r>
              <w:rPr>
                <w:rFonts w:ascii="Arial" w:cs="Arial" w:eastAsia="Arial" w:hAnsi="Arial"/>
                <w:sz w:val="18"/>
                <w:szCs w:val="18"/>
                <w:color w:val="auto"/>
                <w:w w:val="90"/>
              </w:rPr>
              <w:t>(IRS Employer</w:t>
            </w:r>
          </w:p>
        </w:tc>
      </w:tr>
      <w:tr>
        <w:trPr>
          <w:trHeight w:val="222"/>
        </w:trPr>
        <w:tc>
          <w:tcPr>
            <w:tcW w:w="5200" w:type="dxa"/>
            <w:vAlign w:val="bottom"/>
          </w:tcPr>
          <w:p>
            <w:pPr>
              <w:jc w:val="center"/>
              <w:ind w:right="1192"/>
              <w:spacing w:after="0"/>
              <w:rPr>
                <w:sz w:val="20"/>
                <w:szCs w:val="20"/>
                <w:color w:val="auto"/>
              </w:rPr>
            </w:pPr>
            <w:r>
              <w:rPr>
                <w:rFonts w:ascii="Arial" w:cs="Arial" w:eastAsia="Arial" w:hAnsi="Arial"/>
                <w:sz w:val="18"/>
                <w:szCs w:val="18"/>
                <w:color w:val="auto"/>
                <w:w w:val="92"/>
              </w:rPr>
              <w:t>of incorporation)</w:t>
            </w:r>
          </w:p>
        </w:tc>
        <w:tc>
          <w:tcPr>
            <w:tcW w:w="2800" w:type="dxa"/>
            <w:vAlign w:val="bottom"/>
          </w:tcPr>
          <w:p>
            <w:pPr>
              <w:jc w:val="center"/>
              <w:ind w:right="972"/>
              <w:spacing w:after="0"/>
              <w:rPr>
                <w:sz w:val="20"/>
                <w:szCs w:val="20"/>
                <w:color w:val="auto"/>
              </w:rPr>
            </w:pPr>
            <w:r>
              <w:rPr>
                <w:rFonts w:ascii="Arial" w:cs="Arial" w:eastAsia="Arial" w:hAnsi="Arial"/>
                <w:sz w:val="18"/>
                <w:szCs w:val="18"/>
                <w:color w:val="auto"/>
                <w:w w:val="88"/>
              </w:rPr>
              <w:t>Number)</w:t>
            </w:r>
          </w:p>
        </w:tc>
        <w:tc>
          <w:tcPr>
            <w:tcW w:w="3420" w:type="dxa"/>
            <w:vAlign w:val="bottom"/>
          </w:tcPr>
          <w:p>
            <w:pPr>
              <w:jc w:val="center"/>
              <w:ind w:left="15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5200" w:type="dxa"/>
            <w:vAlign w:val="bottom"/>
          </w:tcPr>
          <w:p>
            <w:pPr>
              <w:jc w:val="center"/>
              <w:ind w:left="432"/>
              <w:spacing w:after="0"/>
              <w:rPr>
                <w:sz w:val="20"/>
                <w:szCs w:val="20"/>
                <w:color w:val="auto"/>
              </w:rPr>
            </w:pPr>
            <w:r>
              <w:rPr>
                <w:rFonts w:ascii="Arial" w:cs="Arial" w:eastAsia="Arial" w:hAnsi="Arial"/>
                <w:sz w:val="18"/>
                <w:szCs w:val="18"/>
                <w:b w:val="1"/>
                <w:bCs w:val="1"/>
                <w:color w:val="auto"/>
                <w:w w:val="87"/>
              </w:rPr>
              <w:t>160 Pacific Avenue, Suite 222, San Francisco, California</w:t>
            </w:r>
          </w:p>
        </w:tc>
        <w:tc>
          <w:tcPr>
            <w:tcW w:w="2800" w:type="dxa"/>
            <w:vAlign w:val="bottom"/>
          </w:tcPr>
          <w:p>
            <w:pPr>
              <w:spacing w:after="0"/>
              <w:rPr>
                <w:sz w:val="24"/>
                <w:szCs w:val="24"/>
                <w:color w:val="auto"/>
              </w:rPr>
            </w:pPr>
          </w:p>
        </w:tc>
        <w:tc>
          <w:tcPr>
            <w:tcW w:w="3420" w:type="dxa"/>
            <w:vAlign w:val="bottom"/>
          </w:tcPr>
          <w:p>
            <w:pPr>
              <w:jc w:val="right"/>
              <w:ind w:right="2272"/>
              <w:spacing w:after="0"/>
              <w:rPr>
                <w:sz w:val="20"/>
                <w:szCs w:val="20"/>
                <w:color w:val="auto"/>
              </w:rPr>
            </w:pPr>
            <w:r>
              <w:rPr>
                <w:rFonts w:ascii="Arial" w:cs="Arial" w:eastAsia="Arial" w:hAnsi="Arial"/>
                <w:sz w:val="18"/>
                <w:szCs w:val="18"/>
                <w:b w:val="1"/>
                <w:bCs w:val="1"/>
                <w:color w:val="auto"/>
              </w:rPr>
              <w:t>94111</w:t>
            </w:r>
          </w:p>
        </w:tc>
      </w:tr>
      <w:tr>
        <w:trPr>
          <w:trHeight w:val="110"/>
        </w:trPr>
        <w:tc>
          <w:tcPr>
            <w:tcW w:w="52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r>
        <w:trPr>
          <w:trHeight w:val="316"/>
        </w:trPr>
        <w:tc>
          <w:tcPr>
            <w:tcW w:w="5200" w:type="dxa"/>
            <w:vAlign w:val="bottom"/>
          </w:tcPr>
          <w:p>
            <w:pPr>
              <w:jc w:val="center"/>
              <w:ind w:left="452"/>
              <w:spacing w:after="0"/>
              <w:rPr>
                <w:sz w:val="20"/>
                <w:szCs w:val="20"/>
                <w:color w:val="auto"/>
              </w:rPr>
            </w:pPr>
            <w:r>
              <w:rPr>
                <w:rFonts w:ascii="Arial" w:cs="Arial" w:eastAsia="Arial" w:hAnsi="Arial"/>
                <w:sz w:val="18"/>
                <w:szCs w:val="18"/>
                <w:color w:val="auto"/>
                <w:w w:val="90"/>
              </w:rPr>
              <w:t>(Address of principal executive offices)</w:t>
            </w:r>
          </w:p>
        </w:tc>
        <w:tc>
          <w:tcPr>
            <w:tcW w:w="2800" w:type="dxa"/>
            <w:vAlign w:val="bottom"/>
          </w:tcPr>
          <w:p>
            <w:pPr>
              <w:spacing w:after="0"/>
              <w:rPr>
                <w:sz w:val="24"/>
                <w:szCs w:val="24"/>
                <w:color w:val="auto"/>
              </w:rPr>
            </w:pPr>
          </w:p>
        </w:tc>
        <w:tc>
          <w:tcPr>
            <w:tcW w:w="3420" w:type="dxa"/>
            <w:vAlign w:val="bottom"/>
          </w:tcPr>
          <w:p>
            <w:pPr>
              <w:jc w:val="center"/>
              <w:ind w:right="16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(415) 733-4000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 and Regulation FD Disclosure.</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7(c). Exhibits.</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 Regulation FD Disclosure.</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99.1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5. Other Events and Regulation FD Disclosure.</w:t>
      </w:r>
    </w:p>
    <w:p>
      <w:pPr>
        <w:spacing w:after="0" w:line="225" w:lineRule="exact"/>
        <w:rPr>
          <w:sz w:val="20"/>
          <w:szCs w:val="20"/>
          <w:color w:val="auto"/>
        </w:rPr>
      </w:pPr>
    </w:p>
    <w:p>
      <w:pPr>
        <w:ind w:right="280" w:firstLine="220"/>
        <w:spacing w:after="0" w:line="259" w:lineRule="auto"/>
        <w:rPr>
          <w:sz w:val="20"/>
          <w:szCs w:val="20"/>
          <w:color w:val="auto"/>
        </w:rPr>
      </w:pPr>
      <w:r>
        <w:rPr>
          <w:rFonts w:ascii="Arial" w:cs="Arial" w:eastAsia="Arial" w:hAnsi="Arial"/>
          <w:sz w:val="18"/>
          <w:szCs w:val="18"/>
          <w:color w:val="auto"/>
        </w:rPr>
        <w:t>On June 10, 2003, ABM Industries Incorporated issued a press release announcing that a quarterly dividend of $.095 per share would be paid on August 4, 2003, to the record holders of common stock as of the close of business on July 14, 2003. A copy of the press release is attached as Exhibit 99.1, which is incorporated into this item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 7(c). Exhibits.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ABM Industries Incorporated dated June 10, 2003, announcing the declaration of a dividend.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Regulation FD Disclosure.</w:t>
      </w:r>
    </w:p>
    <w:p>
      <w:pPr>
        <w:spacing w:after="0" w:line="225" w:lineRule="exact"/>
        <w:rPr>
          <w:sz w:val="20"/>
          <w:szCs w:val="20"/>
          <w:color w:val="auto"/>
        </w:rPr>
      </w:pPr>
    </w:p>
    <w:p>
      <w:pPr>
        <w:ind w:right="580" w:firstLine="216"/>
        <w:spacing w:after="0" w:line="268" w:lineRule="auto"/>
        <w:rPr>
          <w:sz w:val="20"/>
          <w:szCs w:val="20"/>
          <w:color w:val="auto"/>
        </w:rPr>
      </w:pPr>
      <w:r>
        <w:rPr>
          <w:rFonts w:ascii="Arial" w:cs="Arial" w:eastAsia="Arial" w:hAnsi="Arial"/>
          <w:sz w:val="18"/>
          <w:szCs w:val="18"/>
          <w:color w:val="auto"/>
        </w:rPr>
        <w:t>The following information is furnished pursuant to Item 12, “Results of Operations and Financial Condition,” in accordance with the interim guidance provided by the Securities and Exchange Commission in Release No. 33-8216.</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On June 10, 2003, ABM Industries Incorporated issued a press release announcing financial results related to the second quarter of fiscal year 2003. A copy of the press release is attached as Exhibit 99.2, which is incorporated into this item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June 10, 2003</w:t>
      </w:r>
      <w:r>
        <w:rPr>
          <w:sz w:val="20"/>
          <w:szCs w:val="20"/>
          <w:color w:val="auto"/>
        </w:rPr>
        <w:tab/>
      </w:r>
      <w:r>
        <w:rPr>
          <w:rFonts w:ascii="Arial" w:cs="Arial" w:eastAsia="Arial" w:hAnsi="Arial"/>
          <w:sz w:val="16"/>
          <w:szCs w:val="16"/>
          <w:color w:val="auto"/>
        </w:rPr>
        <w:t>By:  /s/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80010</wp:posOffset>
            </wp:positionV>
            <wp:extent cx="3138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George B. Sundby</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Senior Vice President and</w:t>
      </w:r>
    </w:p>
    <w:p>
      <w:pPr>
        <w:spacing w:after="0" w:line="1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of ABM Industries Incorporated dated June 10, 2003, announcing the declaration of a dividend.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99.2 Press Release of ABM Industries Incorporated dated June 10, 2003, announcing its earnings report for the second quarter of 2003.</w:t>
      </w:r>
    </w:p>
    <w:p>
      <w:pPr>
        <w:sectPr>
          <w:pgSz w:w="11900" w:h="16838" w:orient="portrait"/>
          <w:cols w:equalWidth="0" w:num="1">
            <w:col w:w="10219"/>
          </w:cols>
          <w:pgMar w:left="240" w:top="419"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For more information, please contact our Senior Vice President &amp; Chief Financial Officer, George B. Sundby, at 415/733-4000 (or e-mail gsundby@abm.com).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ABM INDUSTRIES CONTINUES BEST-EVER QUARTERLY DIVIDEND RATE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SAN FRANCISCO, June 10, 2003 - The Board of Directors of ABM Industries Incorporated (NYSE: ABM) has declared an all-time-high third quarter cash dividend of $0.095 per common share for payment on August 4, 2003 to stockholders of record on July 14, 2003. This will be ABM's 149th consecutive quarterly cash dividend, and is $0.005 (5.5%) above the $0.09 per share quarterly dividend rate paid in 2002.</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ABM Industries Incorporated is one of the largest facility services contractor listed on the New York Stock Exchange. With fiscal 2002 revenues in excess of $2.1 billion and more than 62,000 employees, ABM provides janitorial, parking, engineering, security, lighting, elevator, mechanical and network services for thousands of commercial, industrial, institutional and retail facilities in hundreds of cities across North America. The ABM Family of Services includes ABM Janitorial, Ampco System Parking, ABM Engineering, American Commercial Security (ACSS), Amtech Lighting, Amtech Elevator, CommAir Mechanical and ABM Service Network.</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339"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7"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For further information, please contact ABM's Senior Vice President &amp; Chief Financial Officer, George B. Sundby, at 415/733-4000 (or e-mail gsundby@abm.com).</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ABM INDUSTRIES ANNOUNCES SECOND QUARTER FINANCIAL RESULTS</w:t>
      </w:r>
    </w:p>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SAN FRANCISCO, June 10, 2003 -- ABM Industries Incorporated (NYSE:ABM) today reported net income for the quarter ended April 30, 2003 of $9.9 million ($0.20 per diluted share) compared to $14.0 million ($0.27 per diluted share) reported for the second quarter of fiscal 2002. Revenues for the second quarter of 2003 were $589.8 million, up 11% from $530.2 million in the second quarter of 2002. The quarter ended April 30, 2002 included a $4.3 million ($2.7 million after tax, $.05 per diluted share) gain from the receipt of an initial payment from the World Trade Center insurance claim. Included in the quarter ended April 30, 2003 were revenues and operating profits generated by ABM Lakeside Building Maintenance, which ABM acquired in July 2002, and the Company's acquisition of Horizon's self-performed janitorial operations in January 2003.</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Net income for the six months ended April 30, 2003 was $14.2 million</w:t>
      </w:r>
    </w:p>
    <w:p>
      <w:pPr>
        <w:spacing w:after="0" w:line="238" w:lineRule="auto"/>
        <w:rPr>
          <w:sz w:val="20"/>
          <w:szCs w:val="20"/>
          <w:color w:val="auto"/>
        </w:rPr>
      </w:pPr>
      <w:r>
        <w:rPr>
          <w:rFonts w:ascii="Courier New" w:cs="Courier New" w:eastAsia="Courier New" w:hAnsi="Courier New"/>
          <w:sz w:val="18"/>
          <w:szCs w:val="18"/>
          <w:color w:val="auto"/>
        </w:rPr>
        <w:t>($0.29 per diluted share) compared to $22.0 million ($0.43 per diluted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for the first half of fiscal 2002. Revenues for the first half of 2003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were $1,170.5 million, up 11% from $1,057.7 million in the first half of 2002.</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"Given the tough economic environment, our second quarter performance was solid," said Henrik C. Slipsager, ABM's President and Chief Executive Officer. "High vacancies in office buildings, the downturn in travel related to SARS and the Iraqi war,</w:t>
      </w:r>
    </w:p>
    <w:p>
      <w:pPr>
        <w:sectPr>
          <w:pgSz w:w="11900" w:h="16838" w:orient="portrait"/>
          <w:cols w:equalWidth="0" w:num="1">
            <w:col w:w="10219"/>
          </w:cols>
          <w:pgMar w:left="240" w:top="541" w:right="1440" w:bottom="1440" w:gutter="0" w:footer="0" w:header="0"/>
        </w:sectPr>
      </w:pPr>
    </w:p>
    <w:bookmarkStart w:id="8" w:name="page9"/>
    <w:bookmarkEnd w:id="8"/>
    <w:p>
      <w:pPr>
        <w:ind w:right="2099"/>
        <w:spacing w:after="0" w:line="236" w:lineRule="auto"/>
        <w:rPr>
          <w:sz w:val="20"/>
          <w:szCs w:val="20"/>
          <w:color w:val="auto"/>
        </w:rPr>
      </w:pPr>
      <w:r>
        <w:rPr>
          <w:rFonts w:ascii="Courier New" w:cs="Courier New" w:eastAsia="Courier New" w:hAnsi="Courier New"/>
          <w:sz w:val="18"/>
          <w:szCs w:val="18"/>
          <w:color w:val="auto"/>
        </w:rPr>
        <w:t>and customers' continued tightening of budgets that reduced higher margin capital project work and extra services, all made a difference in our results today," said Slipsager.</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are pleased that the changes we implemented to improve the performance of both our Lighting and Janitorial Northeast Region, which had disappointing first quarters, are showing positive returns. Furthermore, the integration of Horizon's self-performed janitorial acquisition is on schedule and we are very excited about the recently completed acquisition of the southern California operations of Valet Parking Service," said Slipsager. "Despite this progress, we anticipate that the difficult economic environment will continue for the remainder of 2003. We expect 2003 diluted earnings per share to be approximately $0.85 per share. We are fundamentally well-positioned for internal growth when the economy improves," he added.</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Wednesday morning, June 11, at 6:00 a.m. (Pacific Standard Time), ABM will host a live webcast of remarks by President &amp; Chief Executive Officer Henrik C. Slipsager and Senior Vice President &amp; Chief Financial Officer George B. Sundby, who will also answer questions from a panel of financial analysts who will join Slipsager and Sundby on the conference call. The webcast will be accessible at www.irconnect.com/primecast/03/q2/abm_2q2003.mhtml by clicking on ABM at that site. Listeners are requested to be online at least fifteen minutes early to register, as well as to download and install any complimentary audio software that might be required. The webcast will be archived at this URL for the next year. In addition to the webcast, a</w:t>
      </w:r>
    </w:p>
    <w:p>
      <w:pPr>
        <w:sectPr>
          <w:pgSz w:w="11900" w:h="16838" w:orient="portrait"/>
          <w:cols w:equalWidth="0" w:num="1">
            <w:col w:w="10219"/>
          </w:cols>
          <w:pgMar w:left="240" w:top="520" w:right="1440" w:bottom="1440" w:gutter="0" w:footer="0" w:header="0"/>
        </w:sectPr>
      </w:pPr>
    </w:p>
    <w:bookmarkStart w:id="9" w:name="page10"/>
    <w:bookmarkEnd w:id="9"/>
    <w:p>
      <w:pPr>
        <w:ind w:right="1879"/>
        <w:spacing w:after="0" w:line="275" w:lineRule="auto"/>
        <w:rPr>
          <w:sz w:val="20"/>
          <w:szCs w:val="20"/>
          <w:color w:val="auto"/>
        </w:rPr>
      </w:pPr>
      <w:r>
        <w:rPr>
          <w:rFonts w:ascii="Courier New" w:cs="Courier New" w:eastAsia="Courier New" w:hAnsi="Courier New"/>
          <w:sz w:val="16"/>
          <w:szCs w:val="16"/>
          <w:color w:val="auto"/>
        </w:rPr>
        <w:t>limited number of toll-free telephone lines will be available for listeners who are among the first to call 877/440-9648 within fifteen minutes before the event. Telephonic replays will be accessible for 48 hours beginning two hours after the call ends by dialing 800/642-1687, and then entering ID #923689.</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ABM Industries Incorporated is one of the largest facility services contractor listed on the New York Stock Exchange. With fiscal 2002 revenues in excess of $2.1 billion and more than 62,000 employees, ABM provides janitorial, parking, engineering, security, lighting, elevator, mechanical and network services for thousands of commercial, industrial, institutional and retail facilities in hundreds of cities across North America. The ABM Family of Services includes ABM Janitorial, Ampco System Parking, ABM Engineering, American Commercial Security (ACSS), Amtech Lighting, Amtech Elevator, CommAir Mechanical and ABM Service Network.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pricing pressures on building maintenance and other facility services in the Company's major markets, (2) inability to pass through cost increases in a timely manner, or at all, or to reduce expenses when sales decline, (3) loss or bankruptcy of one or more of the Company's major customers, which could adversely affect the Company's ability to collect its accounts receivable or recover its deferred costs as well as having an adverse impact on future revenue, (4) major collective bargaining issues that may cause loss of revenues or cost increases that non-union competitors can use to their advantage in gaining market share, (5) significant shortfalls in adding additional customers in existing and new territories and markets, (6) inability to successfully integrate acquisitions into</w:t>
      </w:r>
    </w:p>
    <w:p>
      <w:pPr>
        <w:sectPr>
          <w:pgSz w:w="11900" w:h="16838" w:orient="portrait"/>
          <w:cols w:equalWidth="0" w:num="1">
            <w:col w:w="10219"/>
          </w:cols>
          <w:pgMar w:left="240" w:top="52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the Company, (7) a protracted slowdown in the Company's acquisition activities,</w:t>
      </w:r>
    </w:p>
    <w:p>
      <w:pPr>
        <w:spacing w:after="0" w:line="21" w:lineRule="exact"/>
        <w:rPr>
          <w:sz w:val="20"/>
          <w:szCs w:val="20"/>
          <w:color w:val="auto"/>
        </w:rPr>
      </w:pPr>
    </w:p>
    <w:p>
      <w:pPr>
        <w:ind w:right="1779" w:firstLine="8"/>
        <w:spacing w:after="0" w:line="238"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(9) reduction or revocation of the Company's line of credit, which would increase interest expense or the cost of capital, (10) cancellation or nonrenewal of the Company's primary insurance policies, as many customers contract out services based on the contractor's ability to provide adequate insurance coverage and limits, (11) catastrophic uninsured or underinsured claims against the Company, the inability of the Company's insurance carriers to pay otherwise insured claims, or inadequacy in the Company's reserve for self-insured claims, (12) inability to employ entry level personnel at competitive wage rates due to labor shortages, (13) resignation, termination, death or disability of one or more of the Company's key executives, which could adversely affect customer retention and day-to-day management of the Company, and (14) other material factors that are disclosed from time to time in the Company's public filings with the United States Securities and Exchange Commission, such as reports on Forms 8-K, 10-Q and 10-K.</w:t>
      </w:r>
    </w:p>
    <w:p>
      <w:pPr>
        <w:sectPr>
          <w:pgSz w:w="11900" w:h="16838" w:orient="portrait"/>
          <w:cols w:equalWidth="0" w:num="1">
            <w:col w:w="10219"/>
          </w:cols>
          <w:pgMar w:left="240" w:top="52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BALANCE SHEET SUMMARY (UNAUDITED)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APRIL 30,</w:t>
            </w:r>
          </w:p>
        </w:tc>
        <w:tc>
          <w:tcPr>
            <w:tcW w:w="38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APRIL 30,</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INCREASE</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2003</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441,020,000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444,112,000</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185,540,000</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124,465,000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103,330,000</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99,529,000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729,890,000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668,106,000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246,796,000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213,272,000</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92,626,000</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86,111,000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339,422,000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299,383,000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390,468,000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368,723,000</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5.9%</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729,890,000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668,106,000</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9.2%</w:t>
            </w:r>
          </w:p>
        </w:tc>
      </w:tr>
      <w:tr>
        <w:trPr>
          <w:trHeight w:val="810"/>
        </w:trPr>
        <w:tc>
          <w:tcPr>
            <w:tcW w:w="4640" w:type="dxa"/>
            <w:vAlign w:val="bottom"/>
          </w:tcPr>
          <w:p>
            <w:pPr>
              <w:spacing w:after="0"/>
              <w:rPr>
                <w:sz w:val="20"/>
                <w:szCs w:val="20"/>
                <w:color w:val="auto"/>
              </w:rPr>
            </w:pPr>
            <w:r>
              <w:rPr>
                <w:rFonts w:ascii="Courier New" w:cs="Courier New" w:eastAsia="Courier New" w:hAnsi="Courier New"/>
                <w:sz w:val="18"/>
                <w:szCs w:val="18"/>
                <w:color w:val="auto"/>
              </w:rPr>
              <w:t>SELECTED CASH FLOW INFORMATION (UNAUDITED)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08"/>
        </w:trPr>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w w:val="96"/>
              </w:rPr>
              <w:t>THREE MONTHS ENDED</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APRIL 30,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INCREASE</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2003</w:t>
            </w:r>
          </w:p>
        </w:tc>
        <w:tc>
          <w:tcPr>
            <w:tcW w:w="380" w:type="dxa"/>
            <w:vAlign w:val="bottom"/>
          </w:tcPr>
          <w:p>
            <w:pPr>
              <w:spacing w:after="0"/>
              <w:rPr>
                <w:sz w:val="17"/>
                <w:szCs w:val="17"/>
                <w:color w:val="auto"/>
              </w:rPr>
            </w:pPr>
          </w:p>
        </w:tc>
        <w:tc>
          <w:tcPr>
            <w:tcW w:w="14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(DECREASE)</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5,429,000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27,850,000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(4,511,000)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(9,122,000)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-50.5%</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Common stock issued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3,115,000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5,753,000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buyback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(16,670,000)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(4,670,000)</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(4,463,000)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 payments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bank overdraft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(7,299,000)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(1,555,000)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(23,621,000)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-93.4%</w:t>
            </w:r>
          </w:p>
        </w:tc>
      </w:tr>
      <w:tr>
        <w:trPr>
          <w:trHeight w:val="810"/>
        </w:trPr>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4"/>
          </w:tcPr>
          <w:p>
            <w:pPr>
              <w:spacing w:after="0"/>
              <w:rPr>
                <w:sz w:val="20"/>
                <w:szCs w:val="20"/>
                <w:color w:val="auto"/>
              </w:rPr>
            </w:pPr>
            <w:r>
              <w:rPr>
                <w:rFonts w:ascii="Courier New" w:cs="Courier New" w:eastAsia="Courier New" w:hAnsi="Courier New"/>
                <w:sz w:val="18"/>
                <w:szCs w:val="18"/>
                <w:color w:val="auto"/>
              </w:rPr>
              <w:t>SIX MONTHS ENDED APRIL 30,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INCREASE</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2003</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(DECREASE)</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23,243,000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40,311,000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8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$(21,222,000)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(14,698,000)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Common stock issued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7,674,000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9,740,000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buyback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(9,297,000)</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(16,670,000)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(9,310,000)</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(8,878,000)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 payments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(11,819,000)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bank overdraft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1,687,000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CASH USED IN FINANCING ACTIVITIES</w:t>
            </w:r>
          </w:p>
        </w:tc>
        <w:tc>
          <w:tcPr>
            <w:tcW w:w="18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$(10,933,000)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(25,940,000)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-57.9%</w:t>
            </w:r>
          </w:p>
        </w:tc>
      </w:tr>
    </w:tbl>
    <w:p>
      <w:pPr>
        <w:sectPr>
          <w:pgSz w:w="11900" w:h="16838" w:orient="portrait"/>
          <w:cols w:equalWidth="0" w:num="1">
            <w:col w:w="10219"/>
          </w:cols>
          <w:pgMar w:left="240" w:top="514"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SUMMARY INCOME STATEMENT (UNAUDITED)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354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THREE MONTHS ENDED APRIL 30,</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INCREASE</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2003</w:t>
            </w:r>
          </w:p>
        </w:tc>
        <w:tc>
          <w:tcPr>
            <w:tcW w:w="3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2002</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(DECREASE)</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Sales and other income</w:t>
            </w:r>
          </w:p>
        </w:tc>
        <w:tc>
          <w:tcPr>
            <w:tcW w:w="18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$589,829,000</w:t>
            </w:r>
          </w:p>
        </w:tc>
        <w:tc>
          <w:tcPr>
            <w:tcW w:w="1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$525,850,000</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12.2%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insurance claim</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4,300,000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589,829,000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530,150,000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expenses and cost of goods sold</w:t>
            </w:r>
          </w:p>
        </w:tc>
        <w:tc>
          <w:tcPr>
            <w:tcW w:w="38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526,613,000</w:t>
            </w:r>
          </w:p>
        </w:tc>
        <w:tc>
          <w:tcPr>
            <w:tcW w:w="3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468,563,000</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12.4%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47,460,000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38,791,000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232,000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8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$ 15,578,000</w:t>
            </w:r>
          </w:p>
        </w:tc>
        <w:tc>
          <w:tcPr>
            <w:tcW w:w="1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$ 22,564,000</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-31.0%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9,892,000</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$ 13,989,000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-29.3%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0.28</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25.9%</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Average common shares outstanding:</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48,994,000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49,256,000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49,877,000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51,494,000</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548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SIX MONTHS ENDED APRIL 30,</w:t>
            </w:r>
          </w:p>
        </w:tc>
        <w:tc>
          <w:tcPr>
            <w:tcW w:w="1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INCREASE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2002</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(DECREASE)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Sales and other income</w:t>
            </w:r>
          </w:p>
        </w:tc>
        <w:tc>
          <w:tcPr>
            <w:tcW w:w="20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$1,170,455,000</w:t>
            </w:r>
          </w:p>
        </w:tc>
        <w:tc>
          <w:tcPr>
            <w:tcW w:w="20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$1,053,402,000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11.1%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insurance claim</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4,300,000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1,170,455,000</w:t>
            </w:r>
          </w:p>
        </w:tc>
        <w:tc>
          <w:tcPr>
            <w:tcW w:w="3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1,057,702,000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expenses and cost of goods sold</w:t>
            </w:r>
          </w:p>
        </w:tc>
        <w:tc>
          <w:tcPr>
            <w:tcW w:w="380" w:type="dxa"/>
            <w:vAlign w:val="bottom"/>
          </w:tcPr>
          <w:p>
            <w:pPr>
              <w:spacing w:after="0"/>
              <w:rPr>
                <w:sz w:val="24"/>
                <w:szCs w:val="24"/>
                <w:color w:val="auto"/>
              </w:rPr>
            </w:pP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1,052,996,000</w:t>
            </w:r>
          </w:p>
        </w:tc>
        <w:tc>
          <w:tcPr>
            <w:tcW w:w="380" w:type="dxa"/>
            <w:vAlign w:val="bottom"/>
          </w:tcPr>
          <w:p>
            <w:pPr>
              <w:spacing w:after="0"/>
              <w:rPr>
                <w:sz w:val="24"/>
                <w:szCs w:val="24"/>
                <w:color w:val="auto"/>
              </w:rPr>
            </w:pP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943,346,000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95,066,000</w:t>
            </w:r>
          </w:p>
        </w:tc>
        <w:tc>
          <w:tcPr>
            <w:tcW w:w="3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78,407,000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303,000</w:t>
            </w:r>
          </w:p>
        </w:tc>
        <w:tc>
          <w:tcPr>
            <w:tcW w:w="3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497,000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22,090,000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35,452,000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-37.7%</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14,230,000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21,980,000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-35.3%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Average common shares outstanding:</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49,023,000</w:t>
            </w:r>
          </w:p>
        </w:tc>
        <w:tc>
          <w:tcPr>
            <w:tcW w:w="3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49,110,000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49,925,000</w:t>
            </w:r>
          </w:p>
        </w:tc>
        <w:tc>
          <w:tcPr>
            <w:tcW w:w="3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51,086,000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bl>
    <w:p>
      <w:pPr>
        <w:sectPr>
          <w:pgSz w:w="11900" w:h="16838" w:orient="portrait"/>
          <w:cols w:equalWidth="0" w:num="1">
            <w:col w:w="10220"/>
          </w:cols>
          <w:pgMar w:left="240" w:top="514" w:right="14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gridSpan w:val="3"/>
          </w:tcPr>
          <w:p>
            <w:pPr>
              <w:spacing w:after="0"/>
              <w:rPr>
                <w:sz w:val="20"/>
                <w:szCs w:val="20"/>
                <w:color w:val="auto"/>
              </w:rPr>
            </w:pPr>
            <w:r>
              <w:rPr>
                <w:rFonts w:ascii="Courier New" w:cs="Courier New" w:eastAsia="Courier New" w:hAnsi="Courier New"/>
                <w:sz w:val="18"/>
                <w:szCs w:val="18"/>
                <w:color w:val="auto"/>
              </w:rPr>
              <w:t>SALES AND OPERATING PROFIT BY SEGMENT (UNAUDITED)</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4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THREE MONTHS ENDED APRIL 30,</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INCREASE</w:t>
            </w:r>
          </w:p>
        </w:tc>
      </w:tr>
      <w:tr>
        <w:trPr>
          <w:trHeight w:val="203"/>
        </w:trPr>
        <w:tc>
          <w:tcPr>
            <w:tcW w:w="3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2003</w:t>
            </w:r>
          </w:p>
        </w:tc>
        <w:tc>
          <w:tcPr>
            <w:tcW w:w="460" w:type="dxa"/>
            <w:vAlign w:val="bottom"/>
          </w:tcPr>
          <w:p>
            <w:pPr>
              <w:spacing w:after="0"/>
              <w:rPr>
                <w:sz w:val="17"/>
                <w:szCs w:val="17"/>
                <w:color w:val="auto"/>
              </w:rPr>
            </w:pPr>
          </w:p>
        </w:tc>
        <w:tc>
          <w:tcPr>
            <w:tcW w:w="15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3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5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SALES AND OTHER INCOME</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Janitorial</w:t>
            </w:r>
          </w:p>
        </w:tc>
        <w:tc>
          <w:tcPr>
            <w:tcW w:w="20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$ 343,505,000</w:t>
            </w:r>
          </w:p>
        </w:tc>
        <w:tc>
          <w:tcPr>
            <w:tcW w:w="20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$ 284,229,000</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20.9%</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Parking</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91,659,000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88,353,000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Engineering</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43,945,000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42,667,000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Security</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39,008,000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34,631,000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Lighting</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33,577,000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32,071,000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Elevator</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27,292,000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28,234,000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10,741,000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15,532,000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133,000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344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$ 589,829,000</w:t>
            </w: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$ 525,850,000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Janitorial</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15,570,000</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16,327,000</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Parking</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1,022,000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1,783,000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Engineering</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2,586,000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2,339,000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Security</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1,160,000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Lighting</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1,813,000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2,095,000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Elevator</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1,043,000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608,000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71.5%</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46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(7,508,000)</w:t>
            </w:r>
          </w:p>
        </w:tc>
        <w:tc>
          <w:tcPr>
            <w:tcW w:w="46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(5,795,000)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w:t>
            </w:r>
          </w:p>
        </w:tc>
      </w:tr>
      <w:tr>
        <w:trPr>
          <w:trHeight w:val="203"/>
        </w:trPr>
        <w:tc>
          <w:tcPr>
            <w:tcW w:w="344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3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15,756,000</w:t>
            </w:r>
          </w:p>
        </w:tc>
        <w:tc>
          <w:tcPr>
            <w:tcW w:w="4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18,496,000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w:t>
            </w: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Gain on insurance claim</w:t>
            </w:r>
          </w:p>
        </w:tc>
        <w:tc>
          <w:tcPr>
            <w:tcW w:w="46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4,300,000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6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(178,000)</w:t>
            </w:r>
          </w:p>
        </w:tc>
        <w:tc>
          <w:tcPr>
            <w:tcW w:w="46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344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15,578,000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22,564,000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SIX MONTHS ENDED APRIL 30,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INCREASE</w:t>
            </w:r>
          </w:p>
        </w:tc>
      </w:tr>
      <w:tr>
        <w:trPr>
          <w:trHeight w:val="203"/>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2003</w:t>
            </w:r>
          </w:p>
        </w:tc>
        <w:tc>
          <w:tcPr>
            <w:tcW w:w="540" w:type="dxa"/>
            <w:vAlign w:val="bottom"/>
          </w:tcPr>
          <w:p>
            <w:pPr>
              <w:spacing w:after="0"/>
              <w:rPr>
                <w:sz w:val="17"/>
                <w:szCs w:val="17"/>
                <w:color w:val="auto"/>
              </w:rPr>
            </w:pPr>
          </w:p>
        </w:tc>
        <w:tc>
          <w:tcPr>
            <w:tcW w:w="17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7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SALES AND OTHER INCOME</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Janitorial</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674,357,000</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571,029,000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18.1%</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Parking</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186,074,000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177,839,000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Engineering</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89,572,000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86,337,000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Security</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76,797,000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66,794,000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Lighting</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66,723,000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64,638,000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Elevator</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55,474,000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54,727,000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21,225,000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31,688,000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233,000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-33.4%</w:t>
            </w:r>
          </w:p>
        </w:tc>
      </w:tr>
      <w:tr>
        <w:trPr>
          <w:trHeight w:val="203"/>
        </w:trPr>
        <w:tc>
          <w:tcPr>
            <w:tcW w:w="3440" w:type="dxa"/>
            <w:vAlign w:val="bottom"/>
          </w:tcPr>
          <w:p>
            <w:pPr>
              <w:spacing w:after="0"/>
              <w:rPr>
                <w:sz w:val="17"/>
                <w:szCs w:val="17"/>
                <w:color w:val="auto"/>
              </w:rPr>
            </w:pPr>
          </w:p>
        </w:tc>
        <w:tc>
          <w:tcPr>
            <w:tcW w:w="2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2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$ 1,170,455,000</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$ 1,053,402,000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w:t>
            </w: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Janitorial</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23,377,000</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27,170,000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Parking</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1,612,000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2,831,000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-43.1%</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Engineering</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4,616,000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4,660,000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Security</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2,502,000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2,260,000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Lighting</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2,493,000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4,004,000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Elevator</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1,524,000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52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772,000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-106.9%</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52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(14,148,000)</w:t>
            </w:r>
          </w:p>
        </w:tc>
        <w:tc>
          <w:tcPr>
            <w:tcW w:w="540" w:type="dxa"/>
            <w:vAlign w:val="bottom"/>
          </w:tcPr>
          <w:p>
            <w:pPr>
              <w:spacing w:after="0"/>
              <w:rPr>
                <w:sz w:val="17"/>
                <w:szCs w:val="17"/>
                <w:color w:val="auto"/>
              </w:rPr>
            </w:pP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(11,572,000)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3440" w:type="dxa"/>
            <w:vAlign w:val="bottom"/>
          </w:tcPr>
          <w:p>
            <w:pPr>
              <w:spacing w:after="0"/>
              <w:rPr>
                <w:sz w:val="17"/>
                <w:szCs w:val="17"/>
                <w:color w:val="auto"/>
              </w:rPr>
            </w:pPr>
          </w:p>
        </w:tc>
        <w:tc>
          <w:tcPr>
            <w:tcW w:w="2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3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52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22,393,000</w:t>
            </w:r>
          </w:p>
        </w:tc>
        <w:tc>
          <w:tcPr>
            <w:tcW w:w="54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31,649,000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-29.2%</w:t>
            </w:r>
          </w:p>
        </w:tc>
      </w:tr>
      <w:tr>
        <w:trPr>
          <w:trHeight w:val="405"/>
        </w:trPr>
        <w:tc>
          <w:tcPr>
            <w:tcW w:w="3440" w:type="dxa"/>
            <w:vAlign w:val="bottom"/>
          </w:tcPr>
          <w:p>
            <w:pPr>
              <w:ind w:left="420"/>
              <w:spacing w:after="0"/>
              <w:rPr>
                <w:sz w:val="20"/>
                <w:szCs w:val="20"/>
                <w:color w:val="auto"/>
              </w:rPr>
            </w:pPr>
            <w:r>
              <w:rPr>
                <w:rFonts w:ascii="Courier New" w:cs="Courier New" w:eastAsia="Courier New" w:hAnsi="Courier New"/>
                <w:sz w:val="18"/>
                <w:szCs w:val="18"/>
                <w:color w:val="auto"/>
              </w:rPr>
              <w:t>Gain on insurance claim</w:t>
            </w:r>
          </w:p>
        </w:tc>
        <w:tc>
          <w:tcPr>
            <w:tcW w:w="520" w:type="dxa"/>
            <w:vAlign w:val="bottom"/>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4,300,000</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52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(303,000)</w:t>
            </w:r>
          </w:p>
        </w:tc>
        <w:tc>
          <w:tcPr>
            <w:tcW w:w="540" w:type="dxa"/>
            <w:vAlign w:val="bottom"/>
          </w:tcPr>
          <w:p>
            <w:pPr>
              <w:spacing w:after="0"/>
              <w:rPr>
                <w:sz w:val="17"/>
                <w:szCs w:val="17"/>
                <w:color w:val="auto"/>
              </w:rPr>
            </w:pP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(497,000)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440" w:type="dxa"/>
            <w:vAlign w:val="bottom"/>
          </w:tcPr>
          <w:p>
            <w:pPr>
              <w:spacing w:after="0"/>
              <w:rPr>
                <w:sz w:val="17"/>
                <w:szCs w:val="17"/>
                <w:color w:val="auto"/>
              </w:rPr>
            </w:pPr>
          </w:p>
        </w:tc>
        <w:tc>
          <w:tcPr>
            <w:tcW w:w="2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22,090,000</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35,452,000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w:t>
            </w:r>
          </w:p>
        </w:tc>
      </w:tr>
    </w:tbl>
    <w:p>
      <w:pPr>
        <w:sectPr>
          <w:pgSz w:w="11900" w:h="16838" w:orient="portrait"/>
          <w:cols w:equalWidth="0" w:num="1">
            <w:col w:w="10219"/>
          </w:cols>
          <w:pgMar w:left="240" w:top="514" w:right="1440" w:bottom="564" w:gutter="0" w:footer="0" w:header="0"/>
        </w:sectPr>
      </w:pPr>
    </w:p>
    <w:bookmarkStart w:id="14" w:name="page15"/>
    <w:bookmarkEnd w:id="1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2019-12-13T15:27:23Z</dcterms:created>
  <dcterms:modified xsi:type="dcterms:W3CDTF">2019-12-13T15:27:23Z</dcterms:modified>
</cp:coreProperties>
</file>