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09/08/2017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6,036</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118,748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12,978 unvested RSUs, 87,751 vested RSUs, the receipt of which has been deferred and DERs relating to the RSUs, adjusted to reflect the cumulative effect of fractional shares, 1,565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2019-12-23T21:50:55Z</dcterms:created>
  <dcterms:modified xsi:type="dcterms:W3CDTF">2019-12-23T21:50:55Z</dcterms:modified>
</cp:coreProperties>
</file>