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01/09/2019</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40"/>
              <w:spacing w:after="0"/>
              <w:rPr>
                <w:sz w:val="20"/>
                <w:szCs w:val="20"/>
                <w:color w:val="auto"/>
              </w:rPr>
            </w:pPr>
            <w:r>
              <w:rPr>
                <w:rFonts w:ascii="Arial" w:cs="Arial" w:eastAsia="Arial" w:hAnsi="Arial"/>
                <w:sz w:val="18"/>
                <w:szCs w:val="18"/>
                <w:color w:val="0000FF"/>
              </w:rPr>
              <w:t>01/09/2019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w w:val="88"/>
              </w:rPr>
              <w:t>3,000</w:t>
            </w:r>
            <w:r>
              <w:rPr>
                <w:rFonts w:ascii="Arial" w:cs="Arial" w:eastAsia="Arial" w:hAnsi="Arial"/>
                <w:sz w:val="22"/>
                <w:szCs w:val="22"/>
                <w:color w:val="008000"/>
                <w:w w:val="88"/>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34.6167</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15,206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$34.54 to $34.68,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7,265 unvested RSUs and 7,790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01/10/2019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2019-12-24T08:22:31Z</dcterms:created>
  <dcterms:modified xsi:type="dcterms:W3CDTF">2019-12-24T08:22:31Z</dcterms:modified>
</cp:coreProperties>
</file>