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w:t>
      </w:r>
    </w:p>
    <w:p>
      <w:pPr>
        <w:spacing w:after="0" w:line="22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2)*</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ABM INDUSTRIES INCORPORATED</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000957100</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Lord Michael A. Ashcroft</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 Marine Parade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Belize City, Belize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Tel: 501-227-6525</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With a Copy to:</w:t>
      </w:r>
    </w:p>
    <w:p>
      <w:pPr>
        <w:spacing w:after="0" w:line="22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Eric Shube</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Allen &amp; Overy LLP</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Tel: +1 212 610 6300</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April 8, 2015</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308" w:lineRule="auto"/>
        <w:rPr>
          <w:sz w:val="20"/>
          <w:szCs w:val="20"/>
          <w:color w:val="auto"/>
        </w:rPr>
      </w:pPr>
      <w:r>
        <w:rPr>
          <w:rFonts w:ascii="Arial" w:cs="Arial" w:eastAsia="Arial" w:hAnsi="Arial"/>
          <w:sz w:val="17"/>
          <w:szCs w:val="17"/>
          <w:color w:val="auto"/>
        </w:rPr>
        <w:t>If the filing person has previously filed a statement on Schedule 13G to report the acquisition that is the subject of this Schedule 13D, and is filing this schedule because of Sections 240.13d-1(e), 240.13d-1(f) or 240.13d-1(g), check the following box o.</w:t>
      </w:r>
    </w:p>
    <w:p>
      <w:pPr>
        <w:spacing w:after="0" w:line="21" w:lineRule="exact"/>
        <w:rPr>
          <w:sz w:val="24"/>
          <w:szCs w:val="24"/>
          <w:color w:val="auto"/>
        </w:rPr>
      </w:pPr>
    </w:p>
    <w:p>
      <w:pPr>
        <w:ind w:left="600" w:right="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2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190500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CUSIP No. G02995101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both"/>
        <w:ind w:left="1040" w:right="772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Lord Michael A. Ashcroft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-507365</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-765175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-1614170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36" w:right="919" w:bottom="316" w:gutter="0" w:footer="0" w:header="0"/>
        </w:sectPr>
      </w:pPr>
    </w:p>
    <w:bookmarkStart w:id="1" w:name="page2"/>
    <w:bookmarkEnd w:id="1"/>
    <w:p>
      <w:pPr>
        <w:ind w:left="46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620" w:val="left"/>
        </w:tabs>
        <w:rPr>
          <w:sz w:val="20"/>
          <w:szCs w:val="20"/>
          <w:color w:val="auto"/>
        </w:rPr>
      </w:pP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8000" w:hanging="506"/>
        <w:spacing w:after="0" w:line="308" w:lineRule="auto"/>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2,058,921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940" w:right="782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66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2,058,921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48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57150</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-679450</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-1417320</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-2154555</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 w:space="160"/>
            <w:col w:w="10280"/>
          </w:cols>
          <w:pgMar w:left="240" w:top="125" w:right="27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1100" w:right="5480" w:hanging="646"/>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2,058,921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right="6400" w:hanging="646"/>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3.677%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hanging="646"/>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-654050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Introductory Statement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This Amendment No. 2 (this </w:t>
      </w:r>
      <w:r>
        <w:rPr>
          <w:rFonts w:ascii="Arial" w:cs="Arial" w:eastAsia="Arial" w:hAnsi="Arial"/>
          <w:sz w:val="18"/>
          <w:szCs w:val="18"/>
          <w:b w:val="1"/>
          <w:bCs w:val="1"/>
          <w:color w:val="auto"/>
        </w:rPr>
        <w:t>Amendment</w:t>
      </w:r>
      <w:r>
        <w:rPr>
          <w:rFonts w:ascii="Arial" w:cs="Arial" w:eastAsia="Arial" w:hAnsi="Arial"/>
          <w:sz w:val="18"/>
          <w:szCs w:val="18"/>
          <w:color w:val="auto"/>
        </w:rPr>
        <w:t>) amends the Schedule 13D initially filed by Lord Ashcroft (</w:t>
      </w:r>
      <w:r>
        <w:rPr>
          <w:rFonts w:ascii="Arial" w:cs="Arial" w:eastAsia="Arial" w:hAnsi="Arial"/>
          <w:sz w:val="18"/>
          <w:szCs w:val="18"/>
          <w:b w:val="1"/>
          <w:bCs w:val="1"/>
          <w:color w:val="auto"/>
        </w:rPr>
        <w:t>Ashcroft</w:t>
      </w:r>
      <w:r>
        <w:rPr>
          <w:rFonts w:ascii="Arial" w:cs="Arial" w:eastAsia="Arial" w:hAnsi="Arial"/>
          <w:sz w:val="18"/>
          <w:szCs w:val="18"/>
          <w:color w:val="auto"/>
        </w:rPr>
        <w:t xml:space="preserve">) on October 23, 2008 (the </w:t>
      </w:r>
      <w:r>
        <w:rPr>
          <w:rFonts w:ascii="Arial" w:cs="Arial" w:eastAsia="Arial" w:hAnsi="Arial"/>
          <w:sz w:val="18"/>
          <w:szCs w:val="18"/>
          <w:b w:val="1"/>
          <w:bCs w:val="1"/>
          <w:color w:val="auto"/>
        </w:rPr>
        <w:t>Original Filing</w:t>
      </w:r>
      <w:r>
        <w:rPr>
          <w:rFonts w:ascii="Arial" w:cs="Arial" w:eastAsia="Arial" w:hAnsi="Arial"/>
          <w:sz w:val="18"/>
          <w:szCs w:val="18"/>
          <w:color w:val="auto"/>
        </w:rPr>
        <w:t xml:space="preserve">) and amended by the Schedule 13 filed by Ashcroft on October 16, 2013 (the </w:t>
      </w:r>
      <w:r>
        <w:rPr>
          <w:rFonts w:ascii="Arial" w:cs="Arial" w:eastAsia="Arial" w:hAnsi="Arial"/>
          <w:sz w:val="18"/>
          <w:szCs w:val="18"/>
          <w:b w:val="1"/>
          <w:bCs w:val="1"/>
          <w:color w:val="auto"/>
        </w:rPr>
        <w:t>First Amended Filing</w:t>
      </w:r>
      <w:r>
        <w:rPr>
          <w:rFonts w:ascii="Arial" w:cs="Arial" w:eastAsia="Arial" w:hAnsi="Arial"/>
          <w:sz w:val="18"/>
          <w:szCs w:val="18"/>
          <w:color w:val="auto"/>
        </w:rPr>
        <w:t xml:space="preserve">) relating to shares of the Common Stock, $0.01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of ABM Industries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Information reported in the Original Filing, as amended by the First Amended Filing, remains in effect except to the extent that it is amended or superseded by information contained in this Amendment. As described herein, the Reporting Person no longer has beneficial ownership of more than 5% of the Common Stock and accordingly this Amendment is the final amendment to the Original Filing and constitutes an “exit filing” for the Reporting Person.</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Item 5(a)-(b) of the First Amended Filing is hereby deleted and replaced with the following:</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of April 8, 2015, Ashcroft directly or indirectly beneficially owns 2,058,921 shares, or approximately 3.677%, of the Issuer’s Common Stock, and Ashcroft has sole voting power and sole dispositive power with respect to all of the shares directly or indirectly beneficially owned by him. The percentage</w:t>
      </w:r>
    </w:p>
    <w:p>
      <w:pPr>
        <w:sectPr>
          <w:pgSz w:w="11900" w:h="16838" w:orient="portrait"/>
          <w:cols w:equalWidth="0" w:num="1">
            <w:col w:w="11380"/>
          </w:cols>
          <w:pgMar w:left="240" w:top="125" w:right="279" w:bottom="0" w:gutter="0" w:footer="0" w:header="0"/>
          <w:type w:val="continuous"/>
        </w:sectPr>
      </w:pPr>
    </w:p>
    <w:bookmarkStart w:id="2" w:name="page3"/>
    <w:bookmarkEnd w:id="2"/>
    <w:p>
      <w:pPr>
        <w:ind w:right="200"/>
        <w:spacing w:after="0" w:line="277" w:lineRule="auto"/>
        <w:rPr>
          <w:sz w:val="20"/>
          <w:szCs w:val="20"/>
          <w:color w:val="auto"/>
        </w:rPr>
      </w:pPr>
      <w:r>
        <w:rPr>
          <w:rFonts w:ascii="Arial" w:cs="Arial" w:eastAsia="Arial" w:hAnsi="Arial"/>
          <w:sz w:val="18"/>
          <w:szCs w:val="18"/>
          <w:color w:val="auto"/>
        </w:rPr>
        <w:t>owned by Ashcroft is calculated based on 55,992,396 shares of the Issuer’s Common Stock outstanding as of February 25, 2015, as reported in the quarterly report on Form 10-Q for the fiscal quarter ended January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Item 5(c) of the First Amended Filing is hereby deleted and replaced with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sets forth Ashcroft’s sales of the Issuer’s Common Stock in the past sixty days: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Party</w:t>
            </w:r>
          </w:p>
        </w:tc>
        <w:tc>
          <w:tcPr>
            <w:tcW w:w="22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Date of Transaction</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 per Share</w:t>
            </w:r>
          </w:p>
        </w:tc>
        <w:tc>
          <w:tcPr>
            <w:tcW w:w="2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Where and How Effected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1380" w:type="dxa"/>
            <w:vAlign w:val="bottom"/>
          </w:tcPr>
          <w:p>
            <w:pPr>
              <w:jc w:val="right"/>
              <w:ind w:right="53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Ashcroft</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6, 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32.004</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Market Sale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Lord Ashcroft</w:t>
            </w:r>
          </w:p>
        </w:tc>
        <w:tc>
          <w:tcPr>
            <w:tcW w:w="2200" w:type="dxa"/>
            <w:vAlign w:val="bottom"/>
            <w:gridSpan w:val="2"/>
          </w:tcPr>
          <w:p>
            <w:pPr>
              <w:spacing w:after="0"/>
              <w:rPr>
                <w:sz w:val="20"/>
                <w:szCs w:val="20"/>
                <w:color w:val="auto"/>
              </w:rPr>
            </w:pPr>
            <w:r>
              <w:rPr>
                <w:rFonts w:ascii="Arial" w:cs="Arial" w:eastAsia="Arial" w:hAnsi="Arial"/>
                <w:sz w:val="18"/>
                <w:szCs w:val="18"/>
                <w:color w:val="auto"/>
              </w:rPr>
              <w:t>April 7, 2015</w:t>
            </w: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32.0003</w:t>
            </w:r>
          </w:p>
        </w:tc>
        <w:tc>
          <w:tcPr>
            <w:tcW w:w="2040" w:type="dxa"/>
            <w:vAlign w:val="bottom"/>
            <w:gridSpan w:val="2"/>
          </w:tcPr>
          <w:p>
            <w:pPr>
              <w:spacing w:after="0"/>
              <w:rPr>
                <w:sz w:val="20"/>
                <w:szCs w:val="20"/>
                <w:color w:val="auto"/>
              </w:rPr>
            </w:pPr>
            <w:r>
              <w:rPr>
                <w:rFonts w:ascii="Arial" w:cs="Arial" w:eastAsia="Arial" w:hAnsi="Arial"/>
                <w:sz w:val="18"/>
                <w:szCs w:val="18"/>
                <w:color w:val="auto"/>
              </w:rPr>
              <w:t>Open Market Sale</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knowledge and belief of the undersigned, the undersigned hereby certifies that the information set forth in this statement is true, complete and correct.</w:t>
      </w:r>
    </w:p>
    <w:p>
      <w:pPr>
        <w:spacing w:after="0" w:line="17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April 8, 2015</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Lord Michael A. Ashcroft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Lord Michael A. Ashcroft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7"/>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2019-12-16T22:10:01Z</dcterms:created>
  <dcterms:modified xsi:type="dcterms:W3CDTF">2019-12-16T22:10:01Z</dcterms:modified>
</cp:coreProperties>
</file>