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1796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McConnell Sarah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08/02/2010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43"/>
        <w:spacing w:after="0"/>
        <w:rPr>
          <w:sz w:val="20"/>
          <w:szCs w:val="20"/>
          <w:color w:val="auto"/>
        </w:rPr>
      </w:pPr>
      <w:r>
        <w:rPr>
          <w:rFonts w:ascii="Arial" w:cs="Arial" w:eastAsia="Arial" w:hAnsi="Arial"/>
          <w:sz w:val="16"/>
          <w:szCs w:val="16"/>
          <w:color w:val="0000FF"/>
        </w:rPr>
        <w:t>SVP/GEN. COUNSEL/CORP. SECTY.</w:t>
      </w:r>
    </w:p>
    <w:p>
      <w:pPr>
        <w:spacing w:after="0" w:line="429" w:lineRule="exact"/>
        <w:rPr>
          <w:sz w:val="24"/>
          <w:szCs w:val="24"/>
          <w:color w:val="auto"/>
        </w:rPr>
      </w:pPr>
    </w:p>
    <w:p>
      <w:pPr>
        <w:sectPr>
          <w:pgSz w:w="11900" w:h="16838" w:orient="portrait"/>
          <w:cols w:equalWidth="0" w:num="3">
            <w:col w:w="3360" w:space="720"/>
            <w:col w:w="3400" w:space="577"/>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740" w:type="dxa"/>
            <w:vAlign w:val="bottom"/>
            <w:gridSpan w:val="7"/>
          </w:tcPr>
          <w:p>
            <w:pPr>
              <w:ind w:left="3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10176</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08/02/2010</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w w:val="76"/>
                <w:vertAlign w:val="subscript"/>
              </w:rPr>
              <w:t>94</w:t>
            </w:r>
            <w:r>
              <w:rPr>
                <w:rFonts w:ascii="Arial" w:cs="Arial" w:eastAsia="Arial" w:hAnsi="Arial"/>
                <w:sz w:val="11"/>
                <w:szCs w:val="11"/>
                <w:color w:val="008000"/>
                <w:w w:val="76"/>
              </w:rPr>
              <w:t>(1)</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21.96</w:t>
            </w:r>
          </w:p>
        </w:tc>
        <w:tc>
          <w:tcPr>
            <w:tcW w:w="126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19,945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2"/>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Dividend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17</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7"/>
              </w:rPr>
              <w:t>Equivalent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08/02/2010</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160" w:type="dxa"/>
            <w:vAlign w:val="bottom"/>
          </w:tcPr>
          <w:p>
            <w:pPr>
              <w:spacing w:after="0"/>
              <w:rPr>
                <w:sz w:val="5"/>
                <w:szCs w:val="5"/>
                <w:color w:val="auto"/>
              </w:rPr>
            </w:pPr>
          </w:p>
        </w:tc>
        <w:tc>
          <w:tcPr>
            <w:tcW w:w="8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17</w:t>
            </w: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760" w:type="dxa"/>
            <w:vAlign w:val="bottom"/>
            <w:vMerge w:val="restart"/>
          </w:tcPr>
          <w:p>
            <w:pPr>
              <w:ind w:left="420"/>
              <w:spacing w:after="0" w:line="149" w:lineRule="exact"/>
              <w:rPr>
                <w:sz w:val="20"/>
                <w:szCs w:val="20"/>
                <w:color w:val="auto"/>
              </w:rPr>
            </w:pPr>
            <w:r>
              <w:rPr>
                <w:rFonts w:ascii="Arial" w:cs="Arial" w:eastAsia="Arial" w:hAnsi="Arial"/>
                <w:sz w:val="14"/>
                <w:szCs w:val="14"/>
                <w:color w:val="0000FF"/>
              </w:rPr>
              <w:t>17</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Rights</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(RSUs) granted under the 2006 Equity Incentive Plan. DERs vest in the same manner as the RSUs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7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10,635 unvested RSUs, 2,230 vested RSUs, the receipt of which has been deferred and DERS relating to the RSUs, adjusted to reflect the cumulative effect of fractional shares, and 2,650 performance shares earned but not vested with respect to performance shares granted on 1/12/2009 and DERs related thereto.</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DERs accrued on the performance shares granted on 1/8/2008 under the 2006 Equity Incentive Plan. DERs vest in the same manner as the performance shares to which they relate. Each DER is the economic equivalent to one share of ABM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08/03/2010</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355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2019-12-17T04:27:43Z</dcterms:created>
  <dcterms:modified xsi:type="dcterms:W3CDTF">2019-12-17T04:27:43Z</dcterms:modified>
</cp:coreProperties>
</file>