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334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3340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AUWERS LINDA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160 PACIFIC AVE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STE 222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11/06/2006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SVP,Gen.Counsel,Corp.Secretary</w:t>
      </w:r>
    </w:p>
    <w:p>
      <w:pPr>
        <w:spacing w:after="0" w:line="581" w:lineRule="exact"/>
        <w:rPr>
          <w:sz w:val="24"/>
          <w:szCs w:val="24"/>
          <w:color w:val="auto"/>
        </w:rPr>
      </w:pPr>
    </w:p>
    <w:p>
      <w:pPr>
        <w:sectPr>
          <w:pgSz w:w="11900" w:h="16838" w:orient="portrait"/>
          <w:cols w:equalWidth="0" w:num="3">
            <w:col w:w="3360" w:space="720"/>
            <w:col w:w="3400" w:space="577"/>
            <w:col w:w="3423"/>
          </w:cols>
          <w:pgMar w:left="240" w:top="226" w:right="179" w:bottom="1440" w:gutter="0" w:footer="0" w:header="0"/>
          <w:type w:val="continuous"/>
        </w:sectPr>
      </w:pPr>
    </w:p>
    <w:p>
      <w:pPr>
        <w:spacing w:after="0" w:line="147"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right="26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94111 FRANCISCO</w:t>
      </w:r>
    </w:p>
    <w:p>
      <w:pPr>
        <w:spacing w:after="0" w:line="36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360" w:space="72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11/06/2006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20</w:t>
            </w:r>
          </w:p>
        </w:tc>
        <w:tc>
          <w:tcPr>
            <w:tcW w:w="6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3"/>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20.03</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8,734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1"/>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Dividend</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41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w w:val="97"/>
              </w:rPr>
              <w:t>Equivalent</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rPr>
              <w:t>11/06/2006</w:t>
            </w:r>
          </w:p>
        </w:tc>
        <w:tc>
          <w:tcPr>
            <w:tcW w:w="1140" w:type="dxa"/>
            <w:vAlign w:val="bottom"/>
          </w:tcPr>
          <w:p>
            <w:pPr>
              <w:spacing w:after="0"/>
              <w:rPr>
                <w:sz w:val="7"/>
                <w:szCs w:val="7"/>
                <w:color w:val="auto"/>
              </w:rPr>
            </w:pPr>
          </w:p>
        </w:tc>
        <w:tc>
          <w:tcPr>
            <w:tcW w:w="660" w:type="dxa"/>
            <w:vAlign w:val="bottom"/>
            <w:vMerge w:val="restart"/>
          </w:tcPr>
          <w:p>
            <w:pPr>
              <w:ind w:left="160"/>
              <w:spacing w:after="0" w:line="146" w:lineRule="exact"/>
              <w:rPr>
                <w:sz w:val="20"/>
                <w:szCs w:val="20"/>
                <w:color w:val="auto"/>
              </w:rPr>
            </w:pPr>
            <w:r>
              <w:rPr>
                <w:rFonts w:ascii="Arial" w:cs="Arial" w:eastAsia="Arial" w:hAnsi="Arial"/>
                <w:sz w:val="14"/>
                <w:szCs w:val="14"/>
                <w:color w:val="0000FF"/>
              </w:rPr>
              <w:t>A</w:t>
            </w:r>
          </w:p>
        </w:tc>
        <w:tc>
          <w:tcPr>
            <w:tcW w:w="160" w:type="dxa"/>
            <w:vAlign w:val="bottom"/>
          </w:tcPr>
          <w:p>
            <w:pPr>
              <w:spacing w:after="0"/>
              <w:rPr>
                <w:sz w:val="7"/>
                <w:szCs w:val="7"/>
                <w:color w:val="auto"/>
              </w:rPr>
            </w:pPr>
          </w:p>
        </w:tc>
        <w:tc>
          <w:tcPr>
            <w:tcW w:w="820" w:type="dxa"/>
            <w:vAlign w:val="bottom"/>
            <w:vMerge w:val="restart"/>
          </w:tcPr>
          <w:p>
            <w:pPr>
              <w:ind w:left="140"/>
              <w:spacing w:after="0" w:line="146" w:lineRule="exact"/>
              <w:rPr>
                <w:sz w:val="20"/>
                <w:szCs w:val="20"/>
                <w:color w:val="auto"/>
              </w:rPr>
            </w:pPr>
            <w:r>
              <w:rPr>
                <w:rFonts w:ascii="Arial" w:cs="Arial" w:eastAsia="Arial" w:hAnsi="Arial"/>
                <w:sz w:val="14"/>
                <w:szCs w:val="14"/>
                <w:color w:val="0000FF"/>
              </w:rPr>
              <w:t>41</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420"/>
              <w:spacing w:after="0" w:line="146" w:lineRule="exact"/>
              <w:rPr>
                <w:sz w:val="20"/>
                <w:szCs w:val="20"/>
                <w:color w:val="auto"/>
              </w:rPr>
            </w:pPr>
            <w:r>
              <w:rPr>
                <w:rFonts w:ascii="Arial" w:cs="Arial" w:eastAsia="Arial" w:hAnsi="Arial"/>
                <w:sz w:val="14"/>
                <w:szCs w:val="14"/>
                <w:color w:val="0000FF"/>
              </w:rPr>
              <w:t>41</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Rights</w:t>
            </w:r>
            <w:r>
              <w:rPr>
                <w:rFonts w:ascii="Arial" w:cs="Arial" w:eastAsia="Arial" w:hAnsi="Arial"/>
                <w:sz w:val="22"/>
                <w:szCs w:val="22"/>
                <w:color w:val="008000"/>
                <w:vertAlign w:val="superscript"/>
              </w:rPr>
              <w:t>(2)</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on 10/2/2006 under the 2006 Equity Incentive Plan, exercisable proportionately with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Dividend equivalent rights (DERs) accrued on the performance shares granted on 10/2/2006 under the 2006 Equity Incentive Plan. Each DER is the economic equivalent of one share of ABM common stock.</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DERs are exercisable proportionately in the same manner as the performance shares to which they relate.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Linda S. Auwers</w:t>
            </w:r>
          </w:p>
        </w:tc>
        <w:tc>
          <w:tcPr>
            <w:tcW w:w="7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11/07/2006</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1213"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2019-12-18T09:26:03Z</dcterms:created>
  <dcterms:modified xsi:type="dcterms:W3CDTF">2019-12-18T09:26:03Z</dcterms:modified>
</cp:coreProperties>
</file>