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10, 2026, ABM Industries Incorporated (the "Company") issued a press release announcing financial results related to the quarter ended January 31, 2026. A copy of the press release is being furnished as Exhibit 99.1 to this Form 8-K, which is incorporated into this item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10, 2026, the Company announced that the Board of Directors of the Company declared a quarterly dividend of $0.29 per share, payable May 4, 2026 to stockholders of record on April 2,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ABM Industries Incorporated, dated March 10, 2026, announcing financial results related to the quarter ended January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6558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8280" cy="8255"/>
                    </a:xfrm>
                    <a:prstGeom prst="rect">
                      <a:avLst/>
                    </a:prstGeom>
                    <a:noFill/>
                  </pic:spPr>
                </pic:pic>
              </a:graphicData>
            </a:graphic>
          </wp:anchor>
        </w:drawing>
      </w:r>
    </w:p>
    <w:p>
      <w:pPr>
        <w:spacing w:after="0" w:line="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0000FF"/>
        </w:rPr>
        <w:t>31, 2026, and the declaration of a dividend payable May 4, 2026, to stockholders of record on April 2, 2026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4930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30775" cy="8890"/>
                    </a:xfrm>
                    <a:prstGeom prst="rect">
                      <a:avLst/>
                    </a:prstGeom>
                    <a:noFill/>
                  </pic:spPr>
                </pic:pic>
              </a:graphicData>
            </a:graphic>
          </wp:anchor>
        </w:drawing>
      </w:r>
    </w:p>
    <w:p>
      <w:pPr>
        <w:spacing w:after="0" w:line="18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March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R. Goldman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715010</wp:posOffset>
            </wp:positionV>
            <wp:extent cx="1234440" cy="45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46AD"/>
        </w:rPr>
        <w:t>ABM REPORTS FISCAL FIRST QUARTER 2026 RESULTS AND REAFFIRMS FISCAL 2026 OUTLOOK</w:t>
      </w:r>
    </w:p>
    <w:p>
      <w:pPr>
        <w:spacing w:after="0" w:line="213"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Revenue was $2.2 billion, an increase of 6.1% over the prior year, including organic growth of 5.5%</w:t>
      </w:r>
    </w:p>
    <w:p>
      <w:pPr>
        <w:spacing w:after="0" w:line="16" w:lineRule="exact"/>
        <w:rPr>
          <w:rFonts w:ascii="Times New Roman" w:cs="Times New Roman" w:eastAsia="Times New Roman" w:hAnsi="Times New Roman"/>
          <w:sz w:val="20"/>
          <w:szCs w:val="20"/>
          <w:i w:val="1"/>
          <w:iCs w:val="1"/>
          <w:color w:val="auto"/>
        </w:rPr>
      </w:pP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242424"/>
        </w:rPr>
      </w:pPr>
      <w:r>
        <w:rPr>
          <w:rFonts w:ascii="Arial" w:cs="Arial" w:eastAsia="Arial" w:hAnsi="Arial"/>
          <w:sz w:val="20"/>
          <w:szCs w:val="20"/>
          <w:i w:val="1"/>
          <w:iCs w:val="1"/>
          <w:color w:val="auto"/>
        </w:rPr>
        <w:t>Net income totaled $38.8 million, or $0.64 per diluted share, as compared to $43.6 million or $0.69 in the prior year</w:t>
      </w: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Adjusted net income was $50.4 million, or $0.83 per diluted share, versus $55.3 million, or $0.87, in the prior year</w:t>
      </w: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Adjusted EBITDA was $117.8 million, versus $120.6 million last yea</w:t>
      </w:r>
      <w:r>
        <w:rPr>
          <w:rFonts w:ascii="Arial" w:cs="Arial" w:eastAsia="Arial" w:hAnsi="Arial"/>
          <w:sz w:val="20"/>
          <w:szCs w:val="20"/>
          <w:color w:val="auto"/>
        </w:rPr>
        <w:t>r</w:t>
      </w: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Operating cash flow was $62.0 million and free cash flow totaled $48.9 million, both up significantly over the prior year</w:t>
      </w:r>
    </w:p>
    <w:p>
      <w:pPr>
        <w:ind w:left="760" w:hanging="378"/>
        <w:spacing w:after="0"/>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The Company repurchased $91.1 million of common stock during the quarter at an average price of $44.13 per share</w:t>
      </w:r>
    </w:p>
    <w:p>
      <w:pPr>
        <w:spacing w:after="0" w:line="359"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NEW YORK, NY - March 10, 2026 - ABM (NYSE: ABM), a leading provider of facility, engineering and infrastructure solutions, today announced financial results for its fiscal first quarter ended January 31, 2026.</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212121"/>
        </w:rPr>
        <w:t>“ABM is off to a solid start to fiscal 2026, delivering strong organic revenue growth of 5.5% and meaningful improvement in operating cash flow and free cash flow,” said Scott Salmirs, President and Chief Executive Officer. “Growth was broad-based across our portfolio, reflecting healthy demand in our end markets and our team’s continued success in expanding client relationships. This performance reinforces our confidence in the strength and resiliency of our business.”</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212121"/>
        </w:rPr>
        <w:t>Mr. Salmirs continued, “From a margin perspective, results were below our expectations, driven primarily by Technical Solutions, which as we’ve noted in the past, is inherently project-driven and can vary quarter to quarter. This period was impacted by project timing, including temporary weather-related delays, as well as service mix, resulting in approximately $0.05 of EPS pressure relative to our internal plan. Business &amp; Industry and Manufacturing &amp; Distribution, however, performed in line with our expectations reflecting the impact of the new and amended contracts we discussed on our third quarter call, and Education delivered another quarter of strong results.”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212121"/>
        </w:rPr>
        <w:t>Mr. Salmirs added, “We are excited to have closed the WGNSTAR acquisition at the beginning of the second quarter. This transaction strengthens our position in the fast-growing semiconductor market and enhances our technical capabilities in fabrication environments. We believe WGNSTAR will contribute to growth and mix improvement as we integrate the business and leverage its strong client relationships.”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37" w:lineRule="auto"/>
        <w:rPr>
          <w:sz w:val="20"/>
          <w:szCs w:val="20"/>
          <w:color w:val="auto"/>
        </w:rPr>
      </w:pPr>
      <w:r>
        <w:rPr>
          <w:rFonts w:ascii="Arial" w:cs="Arial" w:eastAsia="Arial" w:hAnsi="Arial"/>
          <w:sz w:val="20"/>
          <w:szCs w:val="20"/>
          <w:color w:val="212121"/>
        </w:rPr>
        <w:t>Mr. Salmirs concluded, “While we remain encouraged by constructive demand trends across our end markets, we continue to approach the broader macroeconomic environment with discipline. Our fiscal 2026 outlook remains unchanged. We expect margin performance to improve as project timing in ATS normalizes and as we continue executing on operational and cost initiatives across the enterprise.”</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First Quarter Fiscal 2026 Results</w:t>
      </w:r>
    </w:p>
    <w:p>
      <w:pPr>
        <w:spacing w:after="0" w:line="20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Revenue increased 6.1% year over year to $2.2 billion, including 5.5% organic growth and an additional contribution from acquisitions. </w:t>
      </w:r>
      <w:r>
        <w:rPr>
          <w:rFonts w:ascii="Arial" w:cs="Arial" w:eastAsia="Arial" w:hAnsi="Arial"/>
          <w:sz w:val="20"/>
          <w:szCs w:val="20"/>
          <w:color w:val="242424"/>
        </w:rPr>
        <w:t>Revenue growth was broad-based across the portfolio, led by Technical Solutions (“ATS”) and Aviation, which</w:t>
      </w:r>
      <w:r>
        <w:rPr>
          <w:rFonts w:ascii="Arial" w:cs="Arial" w:eastAsia="Arial" w:hAnsi="Arial"/>
          <w:sz w:val="20"/>
          <w:szCs w:val="20"/>
          <w:color w:val="auto"/>
        </w:rPr>
        <w:t xml:space="preserve"> </w:t>
      </w:r>
      <w:r>
        <w:rPr>
          <w:rFonts w:ascii="Arial" w:cs="Arial" w:eastAsia="Arial" w:hAnsi="Arial"/>
          <w:sz w:val="20"/>
          <w:szCs w:val="20"/>
          <w:color w:val="242424"/>
        </w:rPr>
        <w:t xml:space="preserve">grew </w:t>
      </w:r>
      <w:r>
        <w:rPr>
          <w:rFonts w:ascii="Arial" w:cs="Arial" w:eastAsia="Arial" w:hAnsi="Arial"/>
          <w:sz w:val="20"/>
          <w:szCs w:val="20"/>
          <w:color w:val="000000"/>
        </w:rPr>
        <w:t>14% and 10%, respectively. ATS continued to benefit from strong demand for mission critical and datacenter-related</w:t>
      </w:r>
      <w:r>
        <w:rPr>
          <w:rFonts w:ascii="Arial" w:cs="Arial" w:eastAsia="Arial" w:hAnsi="Arial"/>
          <w:sz w:val="20"/>
          <w:szCs w:val="20"/>
          <w:color w:val="242424"/>
        </w:rPr>
        <w:t xml:space="preserve"> </w:t>
      </w:r>
      <w:r>
        <w:rPr>
          <w:rFonts w:ascii="Arial" w:cs="Arial" w:eastAsia="Arial" w:hAnsi="Arial"/>
          <w:sz w:val="20"/>
          <w:szCs w:val="20"/>
          <w:color w:val="000000"/>
        </w:rPr>
        <w:t>services, as well as contributions from its recent acquisition, while Aviation’s growth reflected healthy air travel trends and the continued ramp of new contracts. Manufacturing &amp; Distribution (“</w:t>
      </w:r>
      <w:r>
        <w:rPr>
          <w:rFonts w:ascii="Arial" w:cs="Arial" w:eastAsia="Arial" w:hAnsi="Arial"/>
          <w:sz w:val="20"/>
          <w:szCs w:val="20"/>
          <w:color w:val="242424"/>
        </w:rPr>
        <w:t>M&amp;D”) increased</w:t>
      </w:r>
      <w:r>
        <w:rPr>
          <w:rFonts w:ascii="Arial" w:cs="Arial" w:eastAsia="Arial" w:hAnsi="Arial"/>
          <w:sz w:val="20"/>
          <w:szCs w:val="20"/>
          <w:color w:val="000000"/>
        </w:rPr>
        <w:t xml:space="preserve"> 7%, driven by </w:t>
      </w:r>
      <w:r>
        <w:rPr>
          <w:rFonts w:ascii="Arial" w:cs="Arial" w:eastAsia="Arial" w:hAnsi="Arial"/>
          <w:sz w:val="20"/>
          <w:szCs w:val="20"/>
          <w:color w:val="242424"/>
        </w:rPr>
        <w:t>client wins that came online last</w:t>
      </w:r>
      <w:r>
        <w:rPr>
          <w:rFonts w:ascii="Arial" w:cs="Arial" w:eastAsia="Arial" w:hAnsi="Arial"/>
          <w:sz w:val="20"/>
          <w:szCs w:val="20"/>
          <w:color w:val="000000"/>
        </w:rPr>
        <w:t xml:space="preserve"> </w:t>
      </w:r>
      <w:r>
        <w:rPr>
          <w:rFonts w:ascii="Arial" w:cs="Arial" w:eastAsia="Arial" w:hAnsi="Arial"/>
          <w:sz w:val="20"/>
          <w:szCs w:val="20"/>
          <w:color w:val="242424"/>
        </w:rPr>
        <w:t>year and ongoing expansions. Business &amp; Industry (“</w:t>
      </w:r>
      <w:r>
        <w:rPr>
          <w:rFonts w:ascii="Arial" w:cs="Arial" w:eastAsia="Arial" w:hAnsi="Arial"/>
          <w:sz w:val="20"/>
          <w:szCs w:val="20"/>
          <w:color w:val="000000"/>
        </w:rPr>
        <w:t>B</w:t>
      </w:r>
      <w:r>
        <w:rPr>
          <w:rFonts w:ascii="Arial" w:cs="Arial" w:eastAsia="Arial" w:hAnsi="Arial"/>
          <w:sz w:val="20"/>
          <w:szCs w:val="20"/>
          <w:color w:val="242424"/>
        </w:rPr>
        <w:t xml:space="preserve">&amp;I”) grew </w:t>
      </w:r>
      <w:r>
        <w:rPr>
          <w:rFonts w:ascii="Arial" w:cs="Arial" w:eastAsia="Arial" w:hAnsi="Arial"/>
          <w:sz w:val="20"/>
          <w:szCs w:val="20"/>
          <w:color w:val="000000"/>
        </w:rPr>
        <w:t>4%, supported by strong growth in its UK operations and stable</w:t>
      </w:r>
      <w:r>
        <w:rPr>
          <w:rFonts w:ascii="Arial" w:cs="Arial" w:eastAsia="Arial" w:hAnsi="Arial"/>
          <w:sz w:val="20"/>
          <w:szCs w:val="20"/>
          <w:color w:val="242424"/>
        </w:rPr>
        <w:t xml:space="preserve"> </w:t>
      </w:r>
      <w:r>
        <w:rPr>
          <w:rFonts w:ascii="Arial" w:cs="Arial" w:eastAsia="Arial" w:hAnsi="Arial"/>
          <w:sz w:val="20"/>
          <w:szCs w:val="20"/>
          <w:color w:val="000000"/>
        </w:rPr>
        <w:t>conditions in the U.S. prime office space market. Education delivered growth of 2%, benefiting from strong retention.</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242424"/>
        </w:rPr>
        <w:t>N</w:t>
      </w:r>
      <w:r>
        <w:rPr>
          <w:rFonts w:ascii="Arial" w:cs="Arial" w:eastAsia="Arial" w:hAnsi="Arial"/>
          <w:sz w:val="20"/>
          <w:szCs w:val="20"/>
          <w:color w:val="000000"/>
        </w:rPr>
        <w:t>et income was $38.8 million, or $0.64 per diluted share, compared to $43.6 million, or $0.69 per diluted share, in the prior year</w:t>
      </w:r>
      <w:r>
        <w:rPr>
          <w:rFonts w:ascii="Arial" w:cs="Arial" w:eastAsia="Arial" w:hAnsi="Arial"/>
          <w:sz w:val="20"/>
          <w:szCs w:val="20"/>
          <w:color w:val="242424"/>
        </w:rPr>
        <w:t xml:space="preserve"> </w:t>
      </w:r>
      <w:r>
        <w:rPr>
          <w:rFonts w:ascii="Arial" w:cs="Arial" w:eastAsia="Arial" w:hAnsi="Arial"/>
          <w:sz w:val="20"/>
          <w:szCs w:val="20"/>
          <w:color w:val="000000"/>
        </w:rPr>
        <w:t>period. The change in net income primarily reflects lower segment income, most notably in ATS, and higher interest and tax expense, partially offset by lower corporate costs. Net income margin was 1.7% versus 2.1% in the prior year.</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Segment operating margin was 7.1% compared to 7.6% last year. The change in segment operating margin was driven mainly by unfavorable project timing and service mix within ATS, as well as by the margin impact of newer contracts that came online last year in M&amp;D and B&amp;I. These items were partially offset by strong execution and margin expansion in Education.</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Adjusted net income was $ 50.4 million, or $0.83 per diluted share, compared to $55.3 million, or $0.87 per diluted share in the prior year period. Adjusted EBITDA was $117.8 million versus $120.6 million last year. These year-over-year changes were largely attributable to the previously discussed factors.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Adjusted results exclude items impacting comparability. A description of items impacting comparability can be found in the “Reconciliation of Non-GAAP Financial Measures” table.</w:t>
      </w:r>
    </w:p>
    <w:p>
      <w:pPr>
        <w:spacing w:after="0" w:line="15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Net cash provided by operating activities was $62.0 million, and free cash flow was $48.9 million, compared to a cash usage of $106.2 million and negative free cash flow of $122.9 million, respectively, in the prior year period. The improvement year over year primarily reflects strong working capital management and ongoing advancements in the Company’s enterprise resource planning (“ERP”) implementation during the quarter. A reconciliation of net cash provided by (used in) operating activities to free cash flow can be found in the “Reconciliation of Non-GAAP Financial Measures” table.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Liquidity, Capital Structure &amp; Share Repurchases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At the end of the first quarter, the Company’s total indebtedness stood at $1.7 billion, including $23.5 million in standby letters of credit, resulting in a total leverage ratio of 2.9X, as defined by the Company's credit facility. Available liquidity was $608.1 million, including $100.4 million in cash and cash equivalents.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20"/>
          <w:szCs w:val="20"/>
          <w:color w:val="auto"/>
        </w:rPr>
        <w:t>During the first quarter, ABM repurchased approximately 2.1 million shares of its common stock for $91.1 million, at an average price of $44.13 per share. At quarter-end, $92.0 million remained available under the Company’s share repurchase program.</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Quarterly Cash Dividend</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After the quarter’s close, the Board declared a cash dividend of $0.29 per common share, payable on May 4, 2026, to shareholders of record on April 2, 2026.</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Outlook</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Company’s fiscal 2026 outlook remains unchanged. The Company continues to expect organic revenue growth of 3% to 4% and total revenue growth of 4% to 5%. Segment operating margin, defined as total segment operating profit divided by total revenue, is projected to be between 7.8% and 8.0%, and adjusted EPS is expected to be in the range of $3.85 to $4.15, before any impact from prior-year self-insurance adjustments.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Interest expense is forecast to be between $95 million and $105 million, and the normalized tax rate is expected to be between 29% and 30%, excluding discrete and non-taxable items.</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 cannot provide a reconciliation of forward-looking non-GAAP segment operating margin or adjusted EPS to the corresponding GAAP measure without unreasonable effort due to the uncertainty of timing and the magnitude of items such as acquisition and integration related costs, legal costs and other settlements. These items are inherently difficult to forecast and may result in a GAAP range that is too large and variable to be meaningful.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Conference Call Information</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ABM will host its quarterly conference call for all interested parties on Tuesday, March 10, 2026, at 8:30 AM (ET). The live conference call can be accessed via audio webcast at the “Investors” section of the Company's website, located at </w:t>
      </w:r>
      <w:r>
        <w:rPr>
          <w:rFonts w:ascii="Arial" w:cs="Arial" w:eastAsia="Arial" w:hAnsi="Arial"/>
          <w:sz w:val="20"/>
          <w:szCs w:val="20"/>
          <w:u w:val="single" w:color="auto"/>
          <w:color w:val="0563C1"/>
        </w:rPr>
        <w:t>www.abm.com</w:t>
      </w:r>
      <w:r>
        <w:rPr>
          <w:rFonts w:ascii="Arial" w:cs="Arial" w:eastAsia="Arial" w:hAnsi="Arial"/>
          <w:sz w:val="20"/>
          <w:szCs w:val="20"/>
          <w:color w:val="000000"/>
        </w:rPr>
        <w:t>, or by dialing (877) 451-6152 (domestic) or (201) 389-0879 (international) approximately 15 minutes prior to the</w:t>
      </w:r>
      <w:r>
        <w:rPr>
          <w:rFonts w:ascii="Arial" w:cs="Arial" w:eastAsia="Arial" w:hAnsi="Arial"/>
          <w:sz w:val="20"/>
          <w:szCs w:val="20"/>
          <w:color w:val="0563C1"/>
        </w:rPr>
        <w:t xml:space="preserve"> </w:t>
      </w:r>
      <w:r>
        <w:rPr>
          <w:rFonts w:ascii="Arial" w:cs="Arial" w:eastAsia="Arial" w:hAnsi="Arial"/>
          <w:sz w:val="20"/>
          <w:szCs w:val="20"/>
          <w:color w:val="000000"/>
        </w:rPr>
        <w:t>scheduled time.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A supplemental presentation will accompany the webcast on the Company's website.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replay will be available approximately three hours after the webcast through March 24, 2026, and can be accessed by dialing</w:t>
      </w:r>
    </w:p>
    <w:p>
      <w:pPr>
        <w:ind w:left="540" w:hanging="532"/>
        <w:spacing w:after="0" w:line="229" w:lineRule="auto"/>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512-2921 and then entering ID #13758544. A replay link of the webcast will also be archived on the ABM website for 90</w:t>
      </w:r>
    </w:p>
    <w:p>
      <w:pPr>
        <w:spacing w:after="0"/>
        <w:rPr>
          <w:rFonts w:ascii="Arial" w:cs="Arial" w:eastAsia="Arial" w:hAnsi="Arial"/>
          <w:sz w:val="20"/>
          <w:szCs w:val="20"/>
          <w:color w:val="auto"/>
        </w:rPr>
      </w:pPr>
      <w:r>
        <w:rPr>
          <w:rFonts w:ascii="Arial" w:cs="Arial" w:eastAsia="Arial" w:hAnsi="Arial"/>
          <w:sz w:val="20"/>
          <w:szCs w:val="20"/>
          <w:color w:val="auto"/>
        </w:rPr>
        <w:t>days.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046AC"/>
        </w:rPr>
        <w:t>About ABM</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ABM (NYSE: ABM) is one of the world’s largest providers of integrated facility, engineering, and infrastructure solutions. Every day, our over 100,000 team members deliver essential services that make spaces cleaner, safer, and more efficient, enhancing the overall occupant experience.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ABM serves a wide range of market sectors including commercial real estate, aviation, mission critical, and manufacturing and distribution. With over $8 billion in annual revenue and a blue-chip client base, ABM delivers innovative technologies and sustainable solutions that enhance facilities and empower</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both"/>
        <w:ind w:right="20"/>
        <w:spacing w:after="0" w:line="257" w:lineRule="auto"/>
        <w:rPr>
          <w:sz w:val="20"/>
          <w:szCs w:val="20"/>
          <w:color w:val="auto"/>
        </w:rPr>
      </w:pPr>
      <w:r>
        <w:rPr>
          <w:rFonts w:ascii="Arial" w:cs="Arial" w:eastAsia="Arial" w:hAnsi="Arial"/>
          <w:sz w:val="20"/>
          <w:szCs w:val="20"/>
          <w:color w:val="auto"/>
        </w:rPr>
        <w:t>clients to achieve their goals. Committed to creating smarter, more connected spaces, ABM is investing in the future to meet evolving challenges and build a healthier, thriving world. ABM: Driving possibility, together.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visit www.abm.com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Cautionary Statement under the Private Securities Litigation Reform Act of 1995</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9"/>
          <w:szCs w:val="19"/>
          <w:i w:val="1"/>
          <w:iCs w:val="1"/>
          <w:color w:val="auto"/>
        </w:rPr>
        <w:t>This press release contains both historical and forward-looking statements about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our success depends on our ability to gain profitable business despite competitive market pressures; our results of operations can be adversely affected by labor shortages, turnover, and labor cost increases; we may not be able to attract and retain qualified personnel and senior management we need to support our business; investments in and changes to our businesses, operating structure, or personnel relating to our strategic initiatives, including the implementation of strategic transformations, enhanced business processes, and technology initiatives may not have the desired effects on our financial condition and results of operations; our ability to preserve long-term client relationships is essential to our continued success; our use of subcontractors or joint venture partners to perform work under customer contracts exposes us to liability and financial risk; our international business involves risks different from those we face in the United States that could have an effect on our results of operations and financial condition; decreases in commercial office space utilization due to hybrid work models and increases in office vacancy rates could adversely affect our financial condition; negative changes in general economic conditions, such as recessionary pressures, high interest rates, durable and non-durable goods pricing, changes in energy prices, or changes in consumer goods pricing, could reduce the demand for services and, as a result, reduce our revenue and earnings and adversely affect our financial condition; we may experience breaches of, or disruptions to, our information technology systems or those of our third-party providers or clients, or other compromises of our data that could adversely affect our business; our ongoing implementation of new enterprise resource planning and related boundary systems could adversely impact our ability to operate our business and report our financial results; acquisitions, divestitures, and other strategic transactions could fail to achieve financial or strategic objectives, disrupt our ongoing business, and adversely impact our results of operations; we may not realize the growth opportunities and synergies that are anticipated from the WGNSTAR acquisition; 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 our risk management and safety programs may not have the intended effect of reducing our liability for personal injury or property loss; unfavorable developments in our class and representative actions and other lawsuits alleging various claims could cause us to incur substantial liabilities; we are subject to extensive legal and regulatory requirements, which could limit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both"/>
        <w:spacing w:after="0" w:line="228" w:lineRule="auto"/>
        <w:rPr>
          <w:sz w:val="20"/>
          <w:szCs w:val="20"/>
          <w:color w:val="auto"/>
        </w:rPr>
      </w:pPr>
      <w:r>
        <w:rPr>
          <w:rFonts w:ascii="Arial" w:cs="Arial" w:eastAsia="Arial" w:hAnsi="Arial"/>
          <w:sz w:val="20"/>
          <w:szCs w:val="20"/>
          <w:i w:val="1"/>
          <w:iCs w:val="1"/>
          <w:color w:val="auto"/>
        </w:rPr>
        <w:t>our profitability by increasing the costs of legal and regulatory compliance; 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 our business may be materially affected by changes to fiscal and tax policies; negative or unexpected tax consequences could adversely affect our results of operations; future increases in the level of our borrowings and interest rates could affect our results of operations; impairment of goodwill and long-lived assets could have a material adverse effect on our financial condition and results of operations; 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 our business may be negatively impacted by adverse weather conditions; catastrophic events, disasters, pandemics, and terrorist attacks could disrupt our services; and actions of activist investors could disrupt our business. For additional information on these and other risks and uncertainties we face, see ABM’s risk factors, as they may be amended from time to time, set forth in our filings with the Securities and Exchange Commission, including our most recent Annual Report on Form 10-K and subsequent filings. We urge readers to consider these risks and uncertainties in evaluating our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Use of Non-GAAP Financial Information</w:t>
      </w:r>
    </w:p>
    <w:p>
      <w:pPr>
        <w:spacing w:after="0" w:line="20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i w:val="1"/>
          <w:iCs w:val="1"/>
          <w:color w:val="auto"/>
        </w:rPr>
        <w:t>To supplement ABM’s consolidated financial information, the Company has presented net income and net income per diluted share as adjusted for items impacting comparability for the first quarter of fiscal years 2026 and 2025. These adjustments have been made with the intent of providing financial measures that give management and investors a better understanding of the underlying operational results and trends as well as ABM’s operational performance. In addition, the Company has presented earnings before interest, taxes, depreciation and amortization, and excluding items impacting comparability (adjusted EBITDA) for the first quarter of fiscal years 2026 and 2025. Adjusted EBITDA is among the indicators management uses as a basis for planning and forecasting future periods. The Company also presents total segment operating profit, which is the sum of the segment operating profit of each of its segments, and total segment operating margin, defined as total segment operating profit divided by total revenue, because management believes they are useful as they represent the aggregate value of income/profit created by its segments and exclude items not directly related to the segments for performance evaluation purposes. The Company has also presented Free Cash Flow which is defined as net cash provided by (used in) operating activities less additions to property, plant and equipment.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26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We round amounts to millions but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auto"/>
        </w:rPr>
        <w:t>Contact:</w:t>
      </w:r>
    </w:p>
    <w:p>
      <w:pPr>
        <w:spacing w:after="0" w:line="83" w:lineRule="exact"/>
        <w:rPr>
          <w:sz w:val="20"/>
          <w:szCs w:val="20"/>
          <w:color w:val="auto"/>
        </w:rPr>
      </w:pPr>
    </w:p>
    <w:p>
      <w:pPr>
        <w:spacing w:after="0"/>
        <w:tabs>
          <w:tab w:leader="none" w:pos="2800" w:val="left"/>
        </w:tabs>
        <w:rPr>
          <w:sz w:val="20"/>
          <w:szCs w:val="20"/>
          <w:color w:val="auto"/>
        </w:rPr>
      </w:pPr>
      <w:r>
        <w:rPr>
          <w:rFonts w:ascii="Arial" w:cs="Arial" w:eastAsia="Arial" w:hAnsi="Arial"/>
          <w:sz w:val="20"/>
          <w:szCs w:val="20"/>
          <w:color w:val="auto"/>
        </w:rPr>
        <w:t>Investor Relations:</w:t>
      </w:r>
      <w:r>
        <w:rPr>
          <w:sz w:val="20"/>
          <w:szCs w:val="20"/>
          <w:color w:val="auto"/>
        </w:rPr>
        <w:tab/>
      </w:r>
      <w:r>
        <w:rPr>
          <w:rFonts w:ascii="Arial" w:cs="Arial" w:eastAsia="Arial" w:hAnsi="Arial"/>
          <w:sz w:val="19"/>
          <w:szCs w:val="19"/>
          <w:color w:val="auto"/>
        </w:rPr>
        <w:t>Paul Goldberg</w:t>
      </w:r>
    </w:p>
    <w:p>
      <w:pPr>
        <w:spacing w:after="0" w:line="81"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(212) 297-9721</w:t>
      </w:r>
    </w:p>
    <w:p>
      <w:pPr>
        <w:spacing w:after="0" w:line="81"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ir@abm.com</w:t>
      </w:r>
    </w:p>
    <w:p>
      <w:pPr>
        <w:spacing w:after="0" w:line="200" w:lineRule="exact"/>
        <w:rPr>
          <w:sz w:val="20"/>
          <w:szCs w:val="20"/>
          <w:color w:val="auto"/>
        </w:rPr>
      </w:pPr>
    </w:p>
    <w:p>
      <w:pPr>
        <w:spacing w:after="0" w:line="34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219075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169" w:right="1440" w:bottom="1440" w:gutter="0" w:footer="0" w:header="0"/>
        </w:sectPr>
      </w:pPr>
    </w:p>
    <w:bookmarkStart w:id="9" w:name="page10"/>
    <w:bookmarkEnd w:id="9"/>
    <w:p>
      <w:pPr>
        <w:ind w:right="4740"/>
        <w:spacing w:after="0" w:line="398" w:lineRule="auto"/>
        <w:rPr>
          <w:sz w:val="20"/>
          <w:szCs w:val="20"/>
          <w:color w:val="auto"/>
        </w:rPr>
      </w:pPr>
      <w:r>
        <w:rPr>
          <w:rFonts w:ascii="Arial" w:cs="Arial" w:eastAsia="Arial" w:hAnsi="Arial"/>
          <w:sz w:val="19"/>
          <w:szCs w:val="19"/>
          <w:b w:val="1"/>
          <w:bCs w:val="1"/>
          <w:color w:val="0046AD"/>
        </w:rPr>
        <w:t>ABM INDUSTRIES INCORPORATED AND SUBSIDIARIES CONSOLIDATED INCOME STATEMENT INFORMATION (UNAUDITED)</w:t>
      </w: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26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Three Months Ended January 31,</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ind w:left="560"/>
              <w:spacing w:after="0"/>
              <w:rPr>
                <w:sz w:val="20"/>
                <w:szCs w:val="20"/>
                <w:color w:val="auto"/>
              </w:rPr>
            </w:pPr>
            <w:r>
              <w:rPr>
                <w:rFonts w:ascii="Arial" w:cs="Arial" w:eastAsia="Arial" w:hAnsi="Arial"/>
                <w:sz w:val="16"/>
                <w:szCs w:val="16"/>
                <w:b w:val="1"/>
                <w:bCs w:val="1"/>
                <w:color w:val="auto"/>
              </w:rPr>
              <w:t>Increase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6"/>
                <w:szCs w:val="16"/>
                <w:color w:val="auto"/>
              </w:rPr>
            </w:pPr>
          </w:p>
        </w:tc>
        <w:tc>
          <w:tcPr>
            <w:tcW w:w="1520" w:type="dxa"/>
            <w:vAlign w:val="bottom"/>
          </w:tcPr>
          <w:p>
            <w:pPr>
              <w:ind w:left="540"/>
              <w:spacing w:after="0"/>
              <w:rPr>
                <w:sz w:val="20"/>
                <w:szCs w:val="20"/>
                <w:color w:val="auto"/>
              </w:rPr>
            </w:pPr>
            <w:r>
              <w:rPr>
                <w:rFonts w:ascii="Arial" w:cs="Arial" w:eastAsia="Arial" w:hAnsi="Arial"/>
                <w:sz w:val="16"/>
                <w:szCs w:val="16"/>
                <w:b w:val="1"/>
                <w:bCs w:val="1"/>
                <w:color w:val="auto"/>
              </w:rPr>
              <w:t>(Decrease)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2,243.5</w:t>
            </w:r>
          </w:p>
        </w:tc>
        <w:tc>
          <w:tcPr>
            <w:tcW w:w="1160" w:type="dxa"/>
            <w:vAlign w:val="bottom"/>
            <w:tcBorders>
              <w:bottom w:val="single" w:sz="8" w:color="DCE2EF"/>
            </w:tcBorders>
            <w:gridSpan w:val="2"/>
            <w:shd w:val="clear" w:color="auto" w:fill="DCE2E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2,114.9</w:t>
            </w:r>
          </w:p>
        </w:tc>
        <w:tc>
          <w:tcPr>
            <w:tcW w:w="1520" w:type="dxa"/>
            <w:vAlign w:val="bottom"/>
            <w:tcBorders>
              <w:bottom w:val="single" w:sz="8" w:color="DCE2EF"/>
            </w:tcBorders>
            <w:shd w:val="clear" w:color="auto" w:fill="DCE2EF"/>
          </w:tcPr>
          <w:p>
            <w:pPr>
              <w:ind w:left="1240"/>
              <w:spacing w:after="0"/>
              <w:rPr>
                <w:sz w:val="20"/>
                <w:szCs w:val="20"/>
                <w:color w:val="auto"/>
              </w:rPr>
            </w:pPr>
            <w:r>
              <w:rPr>
                <w:rFonts w:ascii="Arial" w:cs="Arial" w:eastAsia="Arial" w:hAnsi="Arial"/>
                <w:sz w:val="16"/>
                <w:szCs w:val="16"/>
                <w:color w:val="auto"/>
              </w:rPr>
              <w:t>6.1</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0"/>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Operating expenses</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1,983.5</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1,855.1</w:t>
            </w:r>
          </w:p>
        </w:tc>
        <w:tc>
          <w:tcPr>
            <w:tcW w:w="1520" w:type="dxa"/>
            <w:vAlign w:val="bottom"/>
          </w:tcPr>
          <w:p>
            <w:pPr>
              <w:ind w:left="1240"/>
              <w:spacing w:after="0"/>
              <w:rPr>
                <w:sz w:val="20"/>
                <w:szCs w:val="20"/>
                <w:color w:val="auto"/>
              </w:rPr>
            </w:pPr>
            <w:r>
              <w:rPr>
                <w:rFonts w:ascii="Arial" w:cs="Arial" w:eastAsia="Arial" w:hAnsi="Arial"/>
                <w:sz w:val="16"/>
                <w:szCs w:val="16"/>
                <w:color w:val="auto"/>
              </w:rPr>
              <w:t>6.9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5"/>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Selling, general and administrative expenses</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169.8</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169.0</w:t>
            </w:r>
          </w:p>
        </w:tc>
        <w:tc>
          <w:tcPr>
            <w:tcW w:w="1520" w:type="dxa"/>
            <w:vAlign w:val="bottom"/>
            <w:shd w:val="clear" w:color="auto" w:fill="DCE2EF"/>
          </w:tcPr>
          <w:p>
            <w:pPr>
              <w:ind w:left="1240"/>
              <w:spacing w:after="0"/>
              <w:rPr>
                <w:sz w:val="20"/>
                <w:szCs w:val="20"/>
                <w:color w:val="auto"/>
              </w:rPr>
            </w:pPr>
            <w:r>
              <w:rPr>
                <w:rFonts w:ascii="Arial" w:cs="Arial" w:eastAsia="Arial" w:hAnsi="Arial"/>
                <w:sz w:val="16"/>
                <w:szCs w:val="16"/>
                <w:color w:val="auto"/>
              </w:rPr>
              <w:t>0.4</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0"/>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Restructuring and related expenses</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9"/>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Amortization of intangible assets</w:t>
            </w:r>
          </w:p>
        </w:tc>
        <w:tc>
          <w:tcPr>
            <w:tcW w:w="9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11.9</w:t>
            </w:r>
          </w:p>
        </w:tc>
        <w:tc>
          <w:tcPr>
            <w:tcW w:w="220" w:type="dxa"/>
            <w:vAlign w:val="bottom"/>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13.3</w:t>
            </w:r>
          </w:p>
        </w:tc>
        <w:tc>
          <w:tcPr>
            <w:tcW w:w="1520" w:type="dxa"/>
            <w:vAlign w:val="bottom"/>
            <w:shd w:val="clear" w:color="auto" w:fill="DCE2EF"/>
          </w:tcPr>
          <w:p>
            <w:pPr>
              <w:ind w:left="880"/>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0"/>
        </w:trPr>
        <w:tc>
          <w:tcPr>
            <w:tcW w:w="6260" w:type="dxa"/>
            <w:vAlign w:val="bottom"/>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2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1520" w:type="dxa"/>
            <w:vAlign w:val="bottom"/>
          </w:tcPr>
          <w:p>
            <w:pPr>
              <w:ind w:left="880"/>
              <w:spacing w:after="0"/>
              <w:rPr>
                <w:sz w:val="20"/>
                <w:szCs w:val="20"/>
                <w:color w:val="auto"/>
              </w:rPr>
            </w:pPr>
            <w:r>
              <w:rPr>
                <w:rFonts w:ascii="Arial" w:cs="Arial" w:eastAsia="Arial" w:hAnsi="Arial"/>
                <w:sz w:val="16"/>
                <w:szCs w:val="16"/>
                <w:color w:val="auto"/>
              </w:rPr>
              <w:t>(3.7)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1"/>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from unconsolidated affiliates</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1520" w:type="dxa"/>
            <w:vAlign w:val="bottom"/>
            <w:tcBorders>
              <w:bottom w:val="single" w:sz="8" w:color="DCE2EF"/>
            </w:tcBorders>
            <w:shd w:val="clear" w:color="auto" w:fill="DCE2EF"/>
          </w:tcPr>
          <w:p>
            <w:pPr>
              <w:ind w:left="880"/>
              <w:spacing w:after="0"/>
              <w:rPr>
                <w:sz w:val="20"/>
                <w:szCs w:val="20"/>
                <w:color w:val="auto"/>
              </w:rPr>
            </w:pPr>
            <w:r>
              <w:rPr>
                <w:rFonts w:ascii="Arial" w:cs="Arial" w:eastAsia="Arial" w:hAnsi="Arial"/>
                <w:sz w:val="16"/>
                <w:szCs w:val="16"/>
                <w:color w:val="auto"/>
              </w:rPr>
              <w:t>88.3</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7"/>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2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520" w:type="dxa"/>
            <w:vAlign w:val="bottom"/>
          </w:tcPr>
          <w:p>
            <w:pPr>
              <w:ind w:left="880"/>
              <w:spacing w:after="0"/>
              <w:rPr>
                <w:sz w:val="20"/>
                <w:szCs w:val="20"/>
                <w:color w:val="auto"/>
              </w:rPr>
            </w:pPr>
            <w:r>
              <w:rPr>
                <w:rFonts w:ascii="Arial" w:cs="Arial" w:eastAsia="Arial" w:hAnsi="Arial"/>
                <w:sz w:val="16"/>
                <w:szCs w:val="16"/>
                <w:color w:val="auto"/>
              </w:rPr>
              <w:t>(4.9)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8"/>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before income taxes</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52.1</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55.5</w:t>
            </w:r>
          </w:p>
        </w:tc>
        <w:tc>
          <w:tcPr>
            <w:tcW w:w="1520" w:type="dxa"/>
            <w:vAlign w:val="bottom"/>
            <w:tcBorders>
              <w:bottom w:val="single" w:sz="8" w:color="DCE2EF"/>
            </w:tcBorders>
            <w:shd w:val="clear" w:color="auto" w:fill="DCE2EF"/>
          </w:tcPr>
          <w:p>
            <w:pPr>
              <w:ind w:left="880"/>
              <w:spacing w:after="0"/>
              <w:rPr>
                <w:sz w:val="20"/>
                <w:szCs w:val="20"/>
                <w:color w:val="auto"/>
              </w:rPr>
            </w:pPr>
            <w:r>
              <w:rPr>
                <w:rFonts w:ascii="Arial" w:cs="Arial" w:eastAsia="Arial" w:hAnsi="Arial"/>
                <w:sz w:val="16"/>
                <w:szCs w:val="16"/>
                <w:color w:val="auto"/>
              </w:rPr>
              <w:t>(6.0)</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1"/>
        </w:trPr>
        <w:tc>
          <w:tcPr>
            <w:tcW w:w="626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Income tax provision</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220" w:type="dxa"/>
            <w:vAlign w:val="bottom"/>
            <w:tcBorders>
              <w:bottom w:val="single" w:sz="8" w:color="DCE2E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520" w:type="dxa"/>
            <w:vAlign w:val="bottom"/>
            <w:tcBorders>
              <w:bottom w:val="single" w:sz="8" w:color="DCE2EF"/>
            </w:tcBorders>
          </w:tcPr>
          <w:p>
            <w:pPr>
              <w:ind w:left="880"/>
              <w:spacing w:after="0"/>
              <w:rPr>
                <w:sz w:val="20"/>
                <w:szCs w:val="20"/>
                <w:color w:val="auto"/>
              </w:rPr>
            </w:pPr>
            <w:r>
              <w:rPr>
                <w:rFonts w:ascii="Arial" w:cs="Arial" w:eastAsia="Arial" w:hAnsi="Arial"/>
                <w:sz w:val="16"/>
                <w:szCs w:val="16"/>
                <w:color w:val="auto"/>
              </w:rPr>
              <w:t>(12.7)</w:t>
            </w:r>
          </w:p>
        </w:tc>
        <w:tc>
          <w:tcPr>
            <w:tcW w:w="20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Net income</w:t>
            </w: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38.8</w:t>
            </w:r>
          </w:p>
        </w:tc>
        <w:tc>
          <w:tcPr>
            <w:tcW w:w="1160" w:type="dxa"/>
            <w:vAlign w:val="bottom"/>
            <w:gridSpan w:val="2"/>
            <w:shd w:val="clear" w:color="auto" w:fill="DCE2E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43.6</w:t>
            </w:r>
          </w:p>
        </w:tc>
        <w:tc>
          <w:tcPr>
            <w:tcW w:w="1520" w:type="dxa"/>
            <w:vAlign w:val="bottom"/>
            <w:shd w:val="clear" w:color="auto" w:fill="DCE2EF"/>
          </w:tcPr>
          <w:p>
            <w:pPr>
              <w:ind w:left="880"/>
              <w:spacing w:after="0"/>
              <w:rPr>
                <w:sz w:val="20"/>
                <w:szCs w:val="20"/>
                <w:color w:val="auto"/>
              </w:rPr>
            </w:pPr>
            <w:r>
              <w:rPr>
                <w:rFonts w:ascii="Arial" w:cs="Arial" w:eastAsia="Arial" w:hAnsi="Arial"/>
                <w:sz w:val="16"/>
                <w:szCs w:val="16"/>
                <w:color w:val="auto"/>
              </w:rPr>
              <w:t>(11.1)</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62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Net income per common share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6260" w:type="dxa"/>
            <w:vAlign w:val="bottom"/>
            <w:gridSpan w:val="3"/>
            <w:vMerge w:val="continue"/>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60" w:type="dxa"/>
            <w:vAlign w:val="bottom"/>
            <w:shd w:val="clear" w:color="auto" w:fill="DCE2EF"/>
          </w:tcPr>
          <w:p>
            <w:pPr>
              <w:spacing w:after="0"/>
              <w:rPr>
                <w:sz w:val="24"/>
                <w:szCs w:val="24"/>
                <w:color w:val="auto"/>
              </w:rPr>
            </w:pPr>
          </w:p>
        </w:tc>
        <w:tc>
          <w:tcPr>
            <w:tcW w:w="620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Basic</w:t>
            </w: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0.64</w:t>
            </w:r>
          </w:p>
        </w:tc>
        <w:tc>
          <w:tcPr>
            <w:tcW w:w="1160" w:type="dxa"/>
            <w:vAlign w:val="bottom"/>
            <w:gridSpan w:val="2"/>
            <w:shd w:val="clear" w:color="auto" w:fill="DCE2E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0.69</w:t>
            </w:r>
          </w:p>
        </w:tc>
        <w:tc>
          <w:tcPr>
            <w:tcW w:w="1520" w:type="dxa"/>
            <w:vAlign w:val="bottom"/>
            <w:shd w:val="clear" w:color="auto" w:fill="DCE2EF"/>
          </w:tcPr>
          <w:p>
            <w:pPr>
              <w:ind w:left="880"/>
              <w:spacing w:after="0"/>
              <w:rPr>
                <w:sz w:val="20"/>
                <w:szCs w:val="20"/>
                <w:color w:val="auto"/>
              </w:rPr>
            </w:pPr>
            <w:r>
              <w:rPr>
                <w:rFonts w:ascii="Arial" w:cs="Arial" w:eastAsia="Arial" w:hAnsi="Arial"/>
                <w:sz w:val="16"/>
                <w:szCs w:val="16"/>
                <w:color w:val="auto"/>
              </w:rPr>
              <w:t>(7.2)</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0"/>
        </w:trPr>
        <w:tc>
          <w:tcPr>
            <w:tcW w:w="60" w:type="dxa"/>
            <w:vAlign w:val="bottom"/>
          </w:tcPr>
          <w:p>
            <w:pPr>
              <w:spacing w:after="0"/>
              <w:rPr>
                <w:sz w:val="24"/>
                <w:szCs w:val="24"/>
                <w:color w:val="auto"/>
              </w:rPr>
            </w:pPr>
          </w:p>
        </w:tc>
        <w:tc>
          <w:tcPr>
            <w:tcW w:w="620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0.64</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0.69</w:t>
            </w:r>
          </w:p>
        </w:tc>
        <w:tc>
          <w:tcPr>
            <w:tcW w:w="1520" w:type="dxa"/>
            <w:vAlign w:val="bottom"/>
          </w:tcPr>
          <w:p>
            <w:pPr>
              <w:ind w:left="880"/>
              <w:spacing w:after="0"/>
              <w:rPr>
                <w:sz w:val="20"/>
                <w:szCs w:val="20"/>
                <w:color w:val="auto"/>
              </w:rPr>
            </w:pPr>
            <w:r>
              <w:rPr>
                <w:rFonts w:ascii="Arial" w:cs="Arial" w:eastAsia="Arial" w:hAnsi="Arial"/>
                <w:sz w:val="16"/>
                <w:szCs w:val="16"/>
                <w:color w:val="auto"/>
              </w:rPr>
              <w:t>(7.2)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4"/>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Weighted-average common and common equivalent</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spacing w:after="0"/>
              <w:rPr>
                <w:sz w:val="24"/>
                <w:szCs w:val="24"/>
                <w:color w:val="auto"/>
              </w:rPr>
            </w:pPr>
          </w:p>
        </w:tc>
        <w:tc>
          <w:tcPr>
            <w:tcW w:w="15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DCE2EF"/>
          </w:tcPr>
          <w:p>
            <w:pPr>
              <w:spacing w:after="0"/>
              <w:rPr>
                <w:sz w:val="20"/>
                <w:szCs w:val="20"/>
                <w:color w:val="auto"/>
              </w:rPr>
            </w:pPr>
          </w:p>
        </w:tc>
        <w:tc>
          <w:tcPr>
            <w:tcW w:w="6200" w:type="dxa"/>
            <w:vAlign w:val="bottom"/>
            <w:gridSpan w:val="2"/>
            <w:shd w:val="clear" w:color="auto" w:fill="DCE2EF"/>
          </w:tcPr>
          <w:p>
            <w:pPr>
              <w:ind w:left="140"/>
              <w:spacing w:after="0"/>
              <w:rPr>
                <w:sz w:val="20"/>
                <w:szCs w:val="20"/>
                <w:color w:val="auto"/>
              </w:rPr>
            </w:pPr>
            <w:r>
              <w:rPr>
                <w:rFonts w:ascii="Arial" w:cs="Arial" w:eastAsia="Arial" w:hAnsi="Arial"/>
                <w:sz w:val="16"/>
                <w:szCs w:val="16"/>
                <w:b w:val="1"/>
                <w:bCs w:val="1"/>
                <w:color w:val="auto"/>
              </w:rPr>
              <w:t>shares outstanding</w:t>
            </w:r>
          </w:p>
        </w:tc>
        <w:tc>
          <w:tcPr>
            <w:tcW w:w="960" w:type="dxa"/>
            <w:vAlign w:val="bottom"/>
            <w:shd w:val="clear" w:color="auto" w:fill="DCE2EF"/>
          </w:tcPr>
          <w:p>
            <w:pPr>
              <w:spacing w:after="0"/>
              <w:rPr>
                <w:sz w:val="20"/>
                <w:szCs w:val="20"/>
                <w:color w:val="auto"/>
              </w:rPr>
            </w:pPr>
          </w:p>
        </w:tc>
        <w:tc>
          <w:tcPr>
            <w:tcW w:w="560" w:type="dxa"/>
            <w:vAlign w:val="bottom"/>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940" w:type="dxa"/>
            <w:vAlign w:val="bottom"/>
            <w:shd w:val="clear" w:color="auto" w:fill="DCE2EF"/>
          </w:tcPr>
          <w:p>
            <w:pPr>
              <w:spacing w:after="0"/>
              <w:rPr>
                <w:sz w:val="20"/>
                <w:szCs w:val="20"/>
                <w:color w:val="auto"/>
              </w:rPr>
            </w:pPr>
          </w:p>
        </w:tc>
        <w:tc>
          <w:tcPr>
            <w:tcW w:w="580" w:type="dxa"/>
            <w:vAlign w:val="bottom"/>
            <w:shd w:val="clear" w:color="auto" w:fill="DCE2EF"/>
          </w:tcPr>
          <w:p>
            <w:pPr>
              <w:spacing w:after="0"/>
              <w:rPr>
                <w:sz w:val="20"/>
                <w:szCs w:val="20"/>
                <w:color w:val="auto"/>
              </w:rPr>
            </w:pPr>
          </w:p>
        </w:tc>
        <w:tc>
          <w:tcPr>
            <w:tcW w:w="1520" w:type="dxa"/>
            <w:vAlign w:val="bottom"/>
            <w:shd w:val="clear" w:color="auto" w:fill="DCE2EF"/>
          </w:tcPr>
          <w:p>
            <w:pPr>
              <w:spacing w:after="0"/>
              <w:rPr>
                <w:sz w:val="20"/>
                <w:szCs w:val="20"/>
                <w:color w:val="auto"/>
              </w:rPr>
            </w:pPr>
          </w:p>
        </w:tc>
        <w:tc>
          <w:tcPr>
            <w:tcW w:w="200" w:type="dxa"/>
            <w:vAlign w:val="bottom"/>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6200" w:type="dxa"/>
            <w:vAlign w:val="bottom"/>
            <w:gridSpan w:val="2"/>
          </w:tcPr>
          <w:p>
            <w:pPr>
              <w:ind w:left="200"/>
              <w:spacing w:after="0"/>
              <w:rPr>
                <w:sz w:val="20"/>
                <w:szCs w:val="20"/>
                <w:color w:val="auto"/>
              </w:rPr>
            </w:pPr>
            <w:r>
              <w:rPr>
                <w:rFonts w:ascii="Arial" w:cs="Arial" w:eastAsia="Arial" w:hAnsi="Arial"/>
                <w:sz w:val="16"/>
                <w:szCs w:val="16"/>
                <w:color w:val="auto"/>
              </w:rPr>
              <w:t>Basic</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60.3</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62.7</w:t>
            </w:r>
          </w:p>
        </w:tc>
        <w:tc>
          <w:tcPr>
            <w:tcW w:w="1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620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Diluted</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60.7</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63.2</w:t>
            </w:r>
          </w:p>
        </w:tc>
        <w:tc>
          <w:tcPr>
            <w:tcW w:w="15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0.290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0.265</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6027420</wp:posOffset>
            </wp:positionH>
            <wp:positionV relativeFrom="paragraph">
              <wp:posOffset>-4147820</wp:posOffset>
            </wp:positionV>
            <wp:extent cx="162560"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560" cy="32575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-2784475</wp:posOffset>
            </wp:positionV>
            <wp:extent cx="162560" cy="248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560" cy="248285"/>
                    </a:xfrm>
                    <a:prstGeom prst="rect">
                      <a:avLst/>
                    </a:prstGeom>
                    <a:noFill/>
                  </pic:spPr>
                </pic:pic>
              </a:graphicData>
            </a:graphic>
          </wp:anchor>
        </w:drawing>
        <w:drawing>
          <wp:anchor simplePos="0" relativeHeight="251657728" behindDoc="1" locked="0" layoutInCell="0" allowOverlap="1">
            <wp:simplePos x="0" y="0"/>
            <wp:positionH relativeFrom="column">
              <wp:posOffset>6027420</wp:posOffset>
            </wp:positionH>
            <wp:positionV relativeFrom="paragraph">
              <wp:posOffset>-2784475</wp:posOffset>
            </wp:positionV>
            <wp:extent cx="162560" cy="248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2560" cy="24828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-2131695</wp:posOffset>
            </wp:positionV>
            <wp:extent cx="13716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-2131695</wp:posOffset>
            </wp:positionV>
            <wp:extent cx="13716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-1700530</wp:posOffset>
            </wp:positionV>
            <wp:extent cx="13716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-1700530</wp:posOffset>
            </wp:positionV>
            <wp:extent cx="13716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2"/>
          <w:szCs w:val="12"/>
          <w:color w:val="auto"/>
        </w:rPr>
        <w:t>*Not meaningful (due to variance greater than or equal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SELECTED CONSOLIDATED CASH FLOW INFORMATION (UNAUDITED)</w:t>
      </w:r>
    </w:p>
    <w:p>
      <w:pPr>
        <w:spacing w:after="0" w:line="63" w:lineRule="exact"/>
        <w:rPr>
          <w:sz w:val="20"/>
          <w:szCs w:val="20"/>
          <w:color w:val="auto"/>
        </w:rPr>
      </w:pPr>
    </w:p>
    <w:p>
      <w:pPr>
        <w:jc w:val="right"/>
        <w:ind w:right="380"/>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29210</wp:posOffset>
            </wp:positionV>
            <wp:extent cx="21170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1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provided by (used in) operating activities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 of businesses, net of cash acquired</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Taxes withheld from issuance of share-based compensation awards,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Repurchases of common stock, including excise taxes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Borrowings from debt</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borrowings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book cash overdrafts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provided by financing activities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Effect of exchange rate changes on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2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2026</w:t>
      </w:r>
    </w:p>
    <w:p>
      <w:pPr>
        <w:spacing w:after="0" w:line="113" w:lineRule="exact"/>
        <w:rPr>
          <w:sz w:val="20"/>
          <w:szCs w:val="20"/>
          <w:color w:val="auto"/>
        </w:rPr>
      </w:pPr>
    </w:p>
    <w:p>
      <w:pPr>
        <w:ind w:left="640" w:hanging="370"/>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62.0</w:t>
      </w:r>
    </w:p>
    <w:p>
      <w:pPr>
        <w:spacing w:after="0" w:line="15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(13.2)</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0.4</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29210</wp:posOffset>
            </wp:positionV>
            <wp:extent cx="9855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66" w:lineRule="exact"/>
        <w:rPr>
          <w:sz w:val="20"/>
          <w:szCs w:val="20"/>
          <w:color w:val="auto"/>
        </w:rPr>
      </w:pPr>
    </w:p>
    <w:p>
      <w:pPr>
        <w:ind w:left="520" w:hanging="358"/>
        <w:spacing w:after="0"/>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(12.6)</w:t>
      </w:r>
    </w:p>
    <w:p>
      <w:pPr>
        <w:spacing w:after="0" w:line="14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(11.1)</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(91.7)</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(17.3)</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354.5</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(291.0)</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2.6</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(1.2)</w:t>
      </w:r>
    </w:p>
    <w:p>
      <w:pPr>
        <w:spacing w:after="0" w:line="100" w:lineRule="exact"/>
        <w:rPr>
          <w:sz w:val="20"/>
          <w:szCs w:val="20"/>
          <w:color w:val="auto"/>
        </w:rPr>
      </w:pPr>
    </w:p>
    <w:p>
      <w:pPr>
        <w:ind w:left="520" w:hanging="358"/>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(55.2)</w:t>
      </w:r>
    </w:p>
    <w:p>
      <w:pPr>
        <w:spacing w:after="0" w:line="140"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w:t>
      </w:r>
    </w:p>
    <w:p>
      <w:pPr>
        <w:spacing w:after="0" w:line="113" w:lineRule="exact"/>
        <w:rPr>
          <w:sz w:val="20"/>
          <w:szCs w:val="20"/>
          <w:color w:val="auto"/>
        </w:rPr>
      </w:pPr>
    </w:p>
    <w:p>
      <w:pPr>
        <w:ind w:left="440" w:hanging="366"/>
        <w:spacing w:after="0"/>
        <w:tabs>
          <w:tab w:leader="none" w:pos="440" w:val="left"/>
        </w:tabs>
        <w:numPr>
          <w:ilvl w:val="0"/>
          <w:numId w:val="7"/>
        </w:numPr>
        <w:rPr>
          <w:rFonts w:ascii="Arial" w:cs="Arial" w:eastAsia="Arial" w:hAnsi="Arial"/>
          <w:sz w:val="15"/>
          <w:szCs w:val="15"/>
          <w:color w:val="auto"/>
        </w:rPr>
      </w:pPr>
      <w:r>
        <w:rPr>
          <w:rFonts w:ascii="Arial" w:cs="Arial" w:eastAsia="Arial" w:hAnsi="Arial"/>
          <w:sz w:val="15"/>
          <w:szCs w:val="15"/>
          <w:color w:val="auto"/>
        </w:rPr>
        <w:t>(106.2)</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(16.7)</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29210</wp:posOffset>
            </wp:positionV>
            <wp:extent cx="9861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66" w:lineRule="exact"/>
        <w:rPr>
          <w:sz w:val="20"/>
          <w:szCs w:val="20"/>
          <w:color w:val="auto"/>
        </w:rPr>
      </w:pPr>
    </w:p>
    <w:p>
      <w:pPr>
        <w:ind w:left="520" w:hanging="356"/>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(14.4)</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(10.7)</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(21.3)</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(16.4)</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579.9</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(373.0)</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(40.6)</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100" w:lineRule="exact"/>
        <w:rPr>
          <w:sz w:val="20"/>
          <w:szCs w:val="20"/>
          <w:color w:val="auto"/>
        </w:rPr>
      </w:pPr>
    </w:p>
    <w:p>
      <w:pPr>
        <w:ind w:left="540" w:hanging="358"/>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116.9</w:t>
      </w:r>
    </w:p>
    <w:p>
      <w:pPr>
        <w:spacing w:after="0" w:line="151"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5"/>
          <w:szCs w:val="15"/>
          <w:color w:val="auto"/>
        </w:rPr>
        <w:t>(1.8)</w:t>
      </w:r>
    </w:p>
    <w:p>
      <w:pPr>
        <w:sectPr>
          <w:pgSz w:w="11900" w:h="16838" w:orient="portrait"/>
          <w:cols w:equalWidth="0" w:num="3">
            <w:col w:w="7780" w:space="720"/>
            <w:col w:w="1060" w:space="720"/>
            <w:col w:w="940"/>
          </w:cols>
          <w:pgMar w:left="320" w:top="885" w:right="3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CONDENSED CONSOLIDATED BALANCE SHEET INFORMATION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gridSpan w:val="3"/>
          </w:tcPr>
          <w:p>
            <w:pPr>
              <w:ind w:left="6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6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January 31, 2026</w:t>
            </w:r>
          </w:p>
        </w:tc>
        <w:tc>
          <w:tcPr>
            <w:tcW w:w="240" w:type="dxa"/>
            <w:vAlign w:val="bottom"/>
          </w:tcPr>
          <w:p>
            <w:pPr>
              <w:spacing w:after="0"/>
              <w:rPr>
                <w:sz w:val="17"/>
                <w:szCs w:val="17"/>
                <w:color w:val="auto"/>
              </w:rPr>
            </w:pPr>
          </w:p>
        </w:tc>
        <w:tc>
          <w:tcPr>
            <w:tcW w:w="16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October 31, 2025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6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ASSETS</w:t>
            </w:r>
          </w:p>
        </w:tc>
        <w:tc>
          <w:tcPr>
            <w:tcW w:w="880" w:type="dxa"/>
            <w:vAlign w:val="bottom"/>
            <w:tcBorders>
              <w:bottom w:val="single" w:sz="8" w:color="DCE2EF"/>
            </w:tcBorders>
            <w:shd w:val="clear" w:color="auto" w:fill="DCE2EF"/>
          </w:tcPr>
          <w:p>
            <w:pPr>
              <w:spacing w:after="0"/>
              <w:rPr>
                <w:sz w:val="20"/>
                <w:szCs w:val="20"/>
                <w:color w:val="auto"/>
              </w:rPr>
            </w:pPr>
          </w:p>
        </w:tc>
        <w:tc>
          <w:tcPr>
            <w:tcW w:w="22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DCE2EF"/>
            </w:tcBorders>
            <w:shd w:val="clear" w:color="auto" w:fill="DCE2EF"/>
          </w:tcPr>
          <w:p>
            <w:pPr>
              <w:spacing w:after="0"/>
              <w:rPr>
                <w:sz w:val="20"/>
                <w:szCs w:val="20"/>
                <w:color w:val="auto"/>
              </w:rPr>
            </w:pPr>
          </w:p>
        </w:tc>
        <w:tc>
          <w:tcPr>
            <w:tcW w:w="110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DCE2EF"/>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Current assets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Cash and cash equivalents</w:t>
            </w:r>
          </w:p>
        </w:tc>
        <w:tc>
          <w:tcPr>
            <w:tcW w:w="88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100.4</w:t>
            </w:r>
          </w:p>
        </w:tc>
        <w:tc>
          <w:tcPr>
            <w:tcW w:w="1340" w:type="dxa"/>
            <w:vAlign w:val="bottom"/>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Trade accounts receivable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1,493.0</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1,471.1</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Costs incurred in excess of amounts billed</w:t>
            </w:r>
          </w:p>
        </w:tc>
        <w:tc>
          <w:tcPr>
            <w:tcW w:w="88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162.0</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193.7</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Prepaid expenses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117.1</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90"/>
        </w:trPr>
        <w:tc>
          <w:tcPr>
            <w:tcW w:w="60" w:type="dxa"/>
            <w:vAlign w:val="bottom"/>
            <w:tcBorders>
              <w:bottom w:val="single" w:sz="8" w:color="DCE2EF"/>
            </w:tcBorders>
            <w:shd w:val="clear" w:color="auto" w:fill="DCE2EF"/>
          </w:tcPr>
          <w:p>
            <w:pPr>
              <w:spacing w:after="0"/>
              <w:rPr>
                <w:sz w:val="24"/>
                <w:szCs w:val="24"/>
                <w:color w:val="auto"/>
              </w:rPr>
            </w:pPr>
          </w:p>
        </w:tc>
        <w:tc>
          <w:tcPr>
            <w:tcW w:w="758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6"/>
                <w:szCs w:val="16"/>
                <w:color w:val="auto"/>
              </w:rPr>
              <w:t>Other current assets</w:t>
            </w:r>
          </w:p>
        </w:tc>
        <w:tc>
          <w:tcPr>
            <w:tcW w:w="880" w:type="dxa"/>
            <w:vAlign w:val="bottom"/>
            <w:tcBorders>
              <w:bottom w:val="single" w:sz="8" w:color="auto"/>
            </w:tcBorders>
            <w:shd w:val="clear" w:color="auto" w:fill="DCE2EF"/>
          </w:tcPr>
          <w:p>
            <w:pPr>
              <w:spacing w:after="0"/>
              <w:rPr>
                <w:sz w:val="24"/>
                <w:szCs w:val="24"/>
                <w:color w:val="auto"/>
              </w:rPr>
            </w:pPr>
          </w:p>
        </w:tc>
        <w:tc>
          <w:tcPr>
            <w:tcW w:w="2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86.4</w:t>
            </w:r>
          </w:p>
        </w:tc>
        <w:tc>
          <w:tcPr>
            <w:tcW w:w="24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7580" w:type="dxa"/>
            <w:vAlign w:val="bottom"/>
            <w:gridSpan w:val="2"/>
          </w:tcPr>
          <w:p>
            <w:pPr>
              <w:ind w:left="480"/>
              <w:spacing w:after="0"/>
              <w:rPr>
                <w:sz w:val="20"/>
                <w:szCs w:val="20"/>
                <w:color w:val="auto"/>
              </w:rPr>
            </w:pPr>
            <w:r>
              <w:rPr>
                <w:rFonts w:ascii="Arial" w:cs="Arial" w:eastAsia="Arial" w:hAnsi="Arial"/>
                <w:sz w:val="16"/>
                <w:szCs w:val="16"/>
                <w:color w:val="auto"/>
              </w:rPr>
              <w:t>Total current assets</w:t>
            </w:r>
          </w:p>
        </w:tc>
        <w:tc>
          <w:tcPr>
            <w:tcW w:w="8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1,958.9</w:t>
            </w:r>
          </w:p>
        </w:tc>
        <w:tc>
          <w:tcPr>
            <w:tcW w:w="24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1,938.7</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Other investments</w:t>
            </w:r>
          </w:p>
        </w:tc>
        <w:tc>
          <w:tcPr>
            <w:tcW w:w="88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50.0</w:t>
            </w:r>
          </w:p>
        </w:tc>
        <w:tc>
          <w:tcPr>
            <w:tcW w:w="240" w:type="dxa"/>
            <w:vAlign w:val="bottom"/>
            <w:tcBorders>
              <w:bottom w:val="single" w:sz="8" w:color="DCE2EF"/>
            </w:tcBorders>
            <w:shd w:val="clear" w:color="auto" w:fill="DCE2EF"/>
          </w:tcPr>
          <w:p>
            <w:pPr>
              <w:spacing w:after="0"/>
              <w:rPr>
                <w:sz w:val="21"/>
                <w:szCs w:val="21"/>
                <w:color w:val="auto"/>
              </w:rPr>
            </w:pPr>
          </w:p>
        </w:tc>
        <w:tc>
          <w:tcPr>
            <w:tcW w:w="110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76"/>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Property, plant and equipment</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177.5</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291"/>
        </w:trPr>
        <w:tc>
          <w:tcPr>
            <w:tcW w:w="76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Right-of-use assets</w:t>
            </w:r>
          </w:p>
        </w:tc>
        <w:tc>
          <w:tcPr>
            <w:tcW w:w="88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90.5</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76"/>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Other intangible assets, net of accumulated amortization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231.9</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291"/>
        </w:trPr>
        <w:tc>
          <w:tcPr>
            <w:tcW w:w="76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Goodwill</w:t>
            </w:r>
          </w:p>
        </w:tc>
        <w:tc>
          <w:tcPr>
            <w:tcW w:w="88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2,595.3</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2,591.1</w:t>
            </w:r>
          </w:p>
        </w:tc>
        <w:tc>
          <w:tcPr>
            <w:tcW w:w="0" w:type="dxa"/>
            <w:vAlign w:val="bottom"/>
          </w:tcPr>
          <w:p>
            <w:pPr>
              <w:spacing w:after="0"/>
              <w:rPr>
                <w:sz w:val="1"/>
                <w:szCs w:val="1"/>
                <w:color w:val="auto"/>
              </w:rPr>
            </w:pPr>
          </w:p>
        </w:tc>
      </w:tr>
      <w:tr>
        <w:trPr>
          <w:trHeight w:val="283"/>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Other noncurrent assets</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w:t>
            </w:r>
          </w:p>
        </w:tc>
        <w:tc>
          <w:tcPr>
            <w:tcW w:w="2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w:t>
            </w:r>
          </w:p>
        </w:tc>
        <w:tc>
          <w:tcPr>
            <w:tcW w:w="0" w:type="dxa"/>
            <w:vAlign w:val="bottom"/>
          </w:tcPr>
          <w:p>
            <w:pPr>
              <w:spacing w:after="0"/>
              <w:rPr>
                <w:sz w:val="1"/>
                <w:szCs w:val="1"/>
                <w:color w:val="auto"/>
              </w:rPr>
            </w:pPr>
          </w:p>
        </w:tc>
      </w:tr>
      <w:tr>
        <w:trPr>
          <w:trHeight w:val="310"/>
        </w:trPr>
        <w:tc>
          <w:tcPr>
            <w:tcW w:w="76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Total assets</w:t>
            </w:r>
          </w:p>
        </w:tc>
        <w:tc>
          <w:tcPr>
            <w:tcW w:w="8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5,289.0</w:t>
            </w:r>
          </w:p>
        </w:tc>
        <w:tc>
          <w:tcPr>
            <w:tcW w:w="1340" w:type="dxa"/>
            <w:vAlign w:val="bottom"/>
            <w:tcBorders>
              <w:bottom w:val="single" w:sz="8" w:color="DCE2EF"/>
            </w:tcBorders>
            <w:gridSpan w:val="2"/>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5,269.5</w:t>
            </w:r>
          </w:p>
        </w:tc>
        <w:tc>
          <w:tcPr>
            <w:tcW w:w="0" w:type="dxa"/>
            <w:vAlign w:val="bottom"/>
          </w:tcPr>
          <w:p>
            <w:pPr>
              <w:spacing w:after="0"/>
              <w:rPr>
                <w:sz w:val="1"/>
                <w:szCs w:val="1"/>
                <w:color w:val="auto"/>
              </w:rPr>
            </w:pPr>
          </w:p>
        </w:tc>
      </w:tr>
      <w:tr>
        <w:trPr>
          <w:trHeight w:val="246"/>
        </w:trPr>
        <w:tc>
          <w:tcPr>
            <w:tcW w:w="764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LIABILITIES AND STOCKHOLDERS’ EQUITY</w:t>
            </w:r>
          </w:p>
        </w:tc>
        <w:tc>
          <w:tcPr>
            <w:tcW w:w="8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40" w:type="dxa"/>
            <w:vAlign w:val="bottom"/>
            <w:tcBorders>
              <w:top w:val="single" w:sz="8" w:color="DCE2EF"/>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76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Current liabilities</w:t>
            </w:r>
          </w:p>
        </w:tc>
        <w:tc>
          <w:tcPr>
            <w:tcW w:w="88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58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Current portion of long-term debt, net</w:t>
            </w:r>
          </w:p>
        </w:tc>
        <w:tc>
          <w:tcPr>
            <w:tcW w:w="8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29.4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Trade accounts payable</w:t>
            </w:r>
          </w:p>
        </w:tc>
        <w:tc>
          <w:tcPr>
            <w:tcW w:w="88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382.2</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401.2</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Accrued compensation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145.4</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Accrued taxes—other than income</w:t>
            </w:r>
          </w:p>
        </w:tc>
        <w:tc>
          <w:tcPr>
            <w:tcW w:w="88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67.9</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Deferred Revenue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107.1</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Insurance claims</w:t>
            </w:r>
          </w:p>
        </w:tc>
        <w:tc>
          <w:tcPr>
            <w:tcW w:w="88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202.1</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Income taxes payable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Current portion of lease liabilities</w:t>
            </w:r>
          </w:p>
        </w:tc>
        <w:tc>
          <w:tcPr>
            <w:tcW w:w="88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28.1</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Other accrued liabilities</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339.8</w:t>
            </w:r>
          </w:p>
        </w:tc>
        <w:tc>
          <w:tcPr>
            <w:tcW w:w="2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w:t>
            </w:r>
          </w:p>
        </w:tc>
        <w:tc>
          <w:tcPr>
            <w:tcW w:w="0" w:type="dxa"/>
            <w:vAlign w:val="bottom"/>
          </w:tcPr>
          <w:p>
            <w:pPr>
              <w:spacing w:after="0"/>
              <w:rPr>
                <w:sz w:val="1"/>
                <w:szCs w:val="1"/>
                <w:color w:val="auto"/>
              </w:rPr>
            </w:pPr>
          </w:p>
        </w:tc>
      </w:tr>
      <w:tr>
        <w:trPr>
          <w:trHeight w:val="258"/>
        </w:trPr>
        <w:tc>
          <w:tcPr>
            <w:tcW w:w="60" w:type="dxa"/>
            <w:vAlign w:val="bottom"/>
            <w:tcBorders>
              <w:bottom w:val="single" w:sz="8" w:color="DCE2EF"/>
            </w:tcBorders>
            <w:shd w:val="clear" w:color="auto" w:fill="DCE2EF"/>
          </w:tcPr>
          <w:p>
            <w:pPr>
              <w:spacing w:after="0"/>
              <w:rPr>
                <w:sz w:val="22"/>
                <w:szCs w:val="22"/>
                <w:color w:val="auto"/>
              </w:rPr>
            </w:pPr>
          </w:p>
        </w:tc>
        <w:tc>
          <w:tcPr>
            <w:tcW w:w="758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6"/>
                <w:szCs w:val="16"/>
                <w:color w:val="auto"/>
              </w:rPr>
              <w:t>Total current liabilities</w:t>
            </w:r>
          </w:p>
        </w:tc>
        <w:tc>
          <w:tcPr>
            <w:tcW w:w="880" w:type="dxa"/>
            <w:vAlign w:val="bottom"/>
            <w:tcBorders>
              <w:bottom w:val="single" w:sz="8" w:color="auto"/>
            </w:tcBorders>
            <w:shd w:val="clear" w:color="auto" w:fill="DCE2EF"/>
          </w:tcPr>
          <w:p>
            <w:pPr>
              <w:spacing w:after="0"/>
              <w:rPr>
                <w:sz w:val="22"/>
                <w:szCs w:val="22"/>
                <w:color w:val="auto"/>
              </w:rPr>
            </w:pPr>
          </w:p>
        </w:tc>
        <w:tc>
          <w:tcPr>
            <w:tcW w:w="220" w:type="dxa"/>
            <w:vAlign w:val="bottom"/>
            <w:tcBorders>
              <w:bottom w:val="single" w:sz="8" w:color="auto"/>
            </w:tcBorders>
            <w:shd w:val="clear" w:color="auto" w:fill="DCE2EF"/>
          </w:tcPr>
          <w:p>
            <w:pPr>
              <w:spacing w:after="0"/>
              <w:rPr>
                <w:sz w:val="22"/>
                <w:szCs w:val="22"/>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1,306.1</w:t>
            </w:r>
          </w:p>
        </w:tc>
        <w:tc>
          <w:tcPr>
            <w:tcW w:w="240" w:type="dxa"/>
            <w:vAlign w:val="bottom"/>
            <w:tcBorders>
              <w:bottom w:val="single" w:sz="8" w:color="DCE2EF"/>
            </w:tcBorders>
            <w:shd w:val="clear" w:color="auto" w:fill="DCE2EF"/>
          </w:tcPr>
          <w:p>
            <w:pPr>
              <w:spacing w:after="0"/>
              <w:rPr>
                <w:sz w:val="22"/>
                <w:szCs w:val="22"/>
                <w:color w:val="auto"/>
              </w:rPr>
            </w:pPr>
          </w:p>
        </w:tc>
        <w:tc>
          <w:tcPr>
            <w:tcW w:w="1100" w:type="dxa"/>
            <w:vAlign w:val="bottom"/>
            <w:tcBorders>
              <w:bottom w:val="single" w:sz="8" w:color="auto"/>
            </w:tcBorders>
            <w:shd w:val="clear" w:color="auto" w:fill="DCE2EF"/>
          </w:tcPr>
          <w:p>
            <w:pPr>
              <w:spacing w:after="0"/>
              <w:rPr>
                <w:sz w:val="22"/>
                <w:szCs w:val="22"/>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1,305.7</w:t>
            </w:r>
          </w:p>
        </w:tc>
        <w:tc>
          <w:tcPr>
            <w:tcW w:w="0" w:type="dxa"/>
            <w:vAlign w:val="bottom"/>
          </w:tcPr>
          <w:p>
            <w:pPr>
              <w:spacing w:after="0"/>
              <w:rPr>
                <w:sz w:val="1"/>
                <w:szCs w:val="1"/>
                <w:color w:val="auto"/>
              </w:rPr>
            </w:pPr>
          </w:p>
        </w:tc>
      </w:tr>
      <w:tr>
        <w:trPr>
          <w:trHeight w:val="241"/>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Long-term debt, net</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1,600.8</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1,537.1</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6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Long-term lease liabilities</w:t>
            </w:r>
          </w:p>
        </w:tc>
        <w:tc>
          <w:tcPr>
            <w:tcW w:w="88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80.3</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76"/>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Deferred income tax liability, net</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53.8</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91"/>
        </w:trPr>
        <w:tc>
          <w:tcPr>
            <w:tcW w:w="76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Noncurrent insurance claims</w:t>
            </w:r>
          </w:p>
        </w:tc>
        <w:tc>
          <w:tcPr>
            <w:tcW w:w="88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465.0</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459.3</w:t>
            </w:r>
          </w:p>
        </w:tc>
        <w:tc>
          <w:tcPr>
            <w:tcW w:w="0" w:type="dxa"/>
            <w:vAlign w:val="bottom"/>
          </w:tcPr>
          <w:p>
            <w:pPr>
              <w:spacing w:after="0"/>
              <w:rPr>
                <w:sz w:val="1"/>
                <w:szCs w:val="1"/>
                <w:color w:val="auto"/>
              </w:rPr>
            </w:pPr>
          </w:p>
        </w:tc>
      </w:tr>
      <w:tr>
        <w:trPr>
          <w:trHeight w:val="276"/>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Other noncurrent liabilities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54.8</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90"/>
        </w:trPr>
        <w:tc>
          <w:tcPr>
            <w:tcW w:w="76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Noncurrent income taxes payable</w:t>
            </w:r>
          </w:p>
        </w:tc>
        <w:tc>
          <w:tcPr>
            <w:tcW w:w="880" w:type="dxa"/>
            <w:vAlign w:val="bottom"/>
            <w:tcBorders>
              <w:bottom w:val="single" w:sz="8" w:color="auto"/>
            </w:tcBorders>
            <w:shd w:val="clear" w:color="auto" w:fill="DCE2EF"/>
          </w:tcPr>
          <w:p>
            <w:pPr>
              <w:spacing w:after="0"/>
              <w:rPr>
                <w:sz w:val="24"/>
                <w:szCs w:val="24"/>
                <w:color w:val="auto"/>
              </w:rPr>
            </w:pPr>
          </w:p>
        </w:tc>
        <w:tc>
          <w:tcPr>
            <w:tcW w:w="2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4.0</w:t>
            </w:r>
          </w:p>
        </w:tc>
        <w:tc>
          <w:tcPr>
            <w:tcW w:w="24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Total liabilities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3,564.7</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3,483.8</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0" w:type="dxa"/>
            <w:vAlign w:val="bottom"/>
            <w:tcBorders>
              <w:bottom w:val="single" w:sz="8" w:color="DCE2EF"/>
            </w:tcBorders>
            <w:shd w:val="clear" w:color="auto" w:fill="DCE2EF"/>
          </w:tcPr>
          <w:p>
            <w:pPr>
              <w:spacing w:after="0"/>
              <w:rPr>
                <w:sz w:val="24"/>
                <w:szCs w:val="24"/>
                <w:color w:val="auto"/>
              </w:rPr>
            </w:pPr>
          </w:p>
        </w:tc>
        <w:tc>
          <w:tcPr>
            <w:tcW w:w="758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6"/>
                <w:szCs w:val="16"/>
                <w:color w:val="auto"/>
              </w:rPr>
              <w:t>Total stockholders’ equity</w:t>
            </w:r>
          </w:p>
        </w:tc>
        <w:tc>
          <w:tcPr>
            <w:tcW w:w="880" w:type="dxa"/>
            <w:vAlign w:val="bottom"/>
            <w:tcBorders>
              <w:bottom w:val="single" w:sz="8" w:color="auto"/>
            </w:tcBorders>
            <w:shd w:val="clear" w:color="auto" w:fill="DCE2EF"/>
          </w:tcPr>
          <w:p>
            <w:pPr>
              <w:spacing w:after="0"/>
              <w:rPr>
                <w:sz w:val="24"/>
                <w:szCs w:val="24"/>
                <w:color w:val="auto"/>
              </w:rPr>
            </w:pPr>
          </w:p>
        </w:tc>
        <w:tc>
          <w:tcPr>
            <w:tcW w:w="2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1,724.3</w:t>
            </w:r>
          </w:p>
        </w:tc>
        <w:tc>
          <w:tcPr>
            <w:tcW w:w="24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1,785.6</w:t>
            </w:r>
          </w:p>
        </w:tc>
        <w:tc>
          <w:tcPr>
            <w:tcW w:w="0" w:type="dxa"/>
            <w:vAlign w:val="bottom"/>
          </w:tcPr>
          <w:p>
            <w:pPr>
              <w:spacing w:after="0"/>
              <w:rPr>
                <w:sz w:val="1"/>
                <w:szCs w:val="1"/>
                <w:color w:val="auto"/>
              </w:rPr>
            </w:pPr>
          </w:p>
        </w:tc>
      </w:tr>
      <w:tr>
        <w:trPr>
          <w:trHeight w:val="236"/>
        </w:trPr>
        <w:tc>
          <w:tcPr>
            <w:tcW w:w="7640" w:type="dxa"/>
            <w:vAlign w:val="bottom"/>
            <w:gridSpan w:val="3"/>
            <w:vMerge w:val="restart"/>
          </w:tcPr>
          <w:p>
            <w:pPr>
              <w:ind w:left="60"/>
              <w:spacing w:after="0"/>
              <w:rPr>
                <w:sz w:val="20"/>
                <w:szCs w:val="20"/>
                <w:color w:val="auto"/>
              </w:rPr>
            </w:pPr>
            <w:r>
              <w:rPr>
                <w:rFonts w:ascii="Arial" w:cs="Arial" w:eastAsia="Arial" w:hAnsi="Arial"/>
                <w:sz w:val="16"/>
                <w:szCs w:val="16"/>
                <w:color w:val="auto"/>
              </w:rPr>
              <w:t>Total liabilities and stockholders’ equity</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5,289.0</w:t>
            </w:r>
          </w:p>
        </w:tc>
        <w:tc>
          <w:tcPr>
            <w:tcW w:w="13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5,269.5</w:t>
            </w:r>
          </w:p>
        </w:tc>
        <w:tc>
          <w:tcPr>
            <w:tcW w:w="0" w:type="dxa"/>
            <w:vAlign w:val="bottom"/>
          </w:tcPr>
          <w:p>
            <w:pPr>
              <w:spacing w:after="0"/>
              <w:rPr>
                <w:sz w:val="1"/>
                <w:szCs w:val="1"/>
                <w:color w:val="auto"/>
              </w:rPr>
            </w:pPr>
          </w:p>
        </w:tc>
      </w:tr>
      <w:tr>
        <w:trPr>
          <w:trHeight w:val="29"/>
        </w:trPr>
        <w:tc>
          <w:tcPr>
            <w:tcW w:w="7640" w:type="dxa"/>
            <w:vAlign w:val="bottom"/>
            <w:gridSpan w:val="3"/>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-5274310</wp:posOffset>
            </wp:positionV>
            <wp:extent cx="14605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-3830955</wp:posOffset>
            </wp:positionV>
            <wp:extent cx="1460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-3805555</wp:posOffset>
            </wp:positionV>
            <wp:extent cx="1460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-1836420</wp:posOffset>
            </wp:positionV>
            <wp:extent cx="14605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-1656715</wp:posOffset>
            </wp:positionV>
            <wp:extent cx="14605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-576580</wp:posOffset>
            </wp:positionV>
            <wp:extent cx="14605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-216535</wp:posOffset>
            </wp:positionV>
            <wp:extent cx="14605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050" cy="1143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2" w:name="page13"/>
    <w:bookmarkEnd w:id="12"/>
    <w:p>
      <w:pPr>
        <w:ind w:right="4940"/>
        <w:spacing w:after="0" w:line="509" w:lineRule="auto"/>
        <w:rPr>
          <w:sz w:val="20"/>
          <w:szCs w:val="20"/>
          <w:color w:val="auto"/>
        </w:rPr>
      </w:pPr>
      <w:r>
        <w:rPr>
          <w:rFonts w:ascii="Arial" w:cs="Arial" w:eastAsia="Arial" w:hAnsi="Arial"/>
          <w:sz w:val="19"/>
          <w:szCs w:val="19"/>
          <w:b w:val="1"/>
          <w:bCs w:val="1"/>
          <w:color w:val="0046AD"/>
        </w:rPr>
        <w:t>ABM INDUSTRIES INCORPORATED AND SUBSIDIARIES REVENUES AND OPERATING PROFIT BY SEGMENT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8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6"/>
                <w:szCs w:val="16"/>
                <w:b w:val="1"/>
                <w:bCs w:val="1"/>
                <w:color w:val="auto"/>
              </w:rPr>
              <w:t>Three Months Ended January 31,</w:t>
            </w:r>
          </w:p>
        </w:tc>
        <w:tc>
          <w:tcPr>
            <w:tcW w:w="200" w:type="dxa"/>
            <w:vAlign w:val="bottom"/>
          </w:tcPr>
          <w:p>
            <w:pPr>
              <w:spacing w:after="0"/>
              <w:rPr>
                <w:sz w:val="19"/>
                <w:szCs w:val="19"/>
                <w:color w:val="auto"/>
              </w:rPr>
            </w:pPr>
          </w:p>
        </w:tc>
        <w:tc>
          <w:tcPr>
            <w:tcW w:w="13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Increase/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8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2026</w:t>
            </w:r>
          </w:p>
        </w:tc>
        <w:tc>
          <w:tcPr>
            <w:tcW w:w="580" w:type="dxa"/>
            <w:vAlign w:val="bottom"/>
          </w:tcPr>
          <w:p>
            <w:pPr>
              <w:spacing w:after="0"/>
              <w:rPr>
                <w:sz w:val="4"/>
                <w:szCs w:val="4"/>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24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59"/>
              <w:spacing w:after="0" w:line="176" w:lineRule="exact"/>
              <w:rPr>
                <w:sz w:val="20"/>
                <w:szCs w:val="20"/>
                <w:color w:val="auto"/>
              </w:rPr>
            </w:pPr>
            <w:r>
              <w:rPr>
                <w:rFonts w:ascii="Arial" w:cs="Arial" w:eastAsia="Arial" w:hAnsi="Arial"/>
                <w:sz w:val="16"/>
                <w:szCs w:val="16"/>
                <w:b w:val="1"/>
                <w:bCs w:val="1"/>
                <w:color w:val="auto"/>
              </w:rPr>
              <w:t>(Decrease)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6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54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DCE2EF"/>
            </w:tcBorders>
            <w:shd w:val="clear" w:color="auto" w:fill="DCE2EF"/>
          </w:tcPr>
          <w:p>
            <w:pPr>
              <w:spacing w:after="0"/>
              <w:rPr>
                <w:sz w:val="20"/>
                <w:szCs w:val="20"/>
                <w:color w:val="auto"/>
              </w:rPr>
            </w:pPr>
          </w:p>
        </w:tc>
        <w:tc>
          <w:tcPr>
            <w:tcW w:w="220" w:type="dxa"/>
            <w:vAlign w:val="bottom"/>
            <w:tcBorders>
              <w:bottom w:val="single" w:sz="8" w:color="DCE2EF"/>
            </w:tcBorders>
            <w:shd w:val="clear" w:color="auto" w:fill="DCE2EF"/>
          </w:tcPr>
          <w:p>
            <w:pPr>
              <w:spacing w:after="0"/>
              <w:rPr>
                <w:sz w:val="20"/>
                <w:szCs w:val="20"/>
                <w:color w:val="auto"/>
              </w:rPr>
            </w:pPr>
          </w:p>
        </w:tc>
        <w:tc>
          <w:tcPr>
            <w:tcW w:w="94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DCE2EF"/>
            </w:tcBorders>
            <w:shd w:val="clear" w:color="auto" w:fill="DCE2EF"/>
          </w:tcPr>
          <w:p>
            <w:pPr>
              <w:spacing w:after="0"/>
              <w:rPr>
                <w:sz w:val="20"/>
                <w:szCs w:val="20"/>
                <w:color w:val="auto"/>
              </w:rPr>
            </w:pPr>
          </w:p>
        </w:tc>
        <w:tc>
          <w:tcPr>
            <w:tcW w:w="132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DCE2EF"/>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1,065.1</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1,022.9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422.3</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394.3</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7.1</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297.7</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270.1</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10.2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228.7</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225.3</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7"/>
        </w:trPr>
        <w:tc>
          <w:tcPr>
            <w:tcW w:w="624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w:t>
            </w:r>
          </w:p>
        </w:tc>
        <w:tc>
          <w:tcPr>
            <w:tcW w:w="220" w:type="dxa"/>
            <w:vAlign w:val="bottom"/>
            <w:tcBorders>
              <w:bottom w:val="single" w:sz="8" w:color="DCE2E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1520" w:type="dxa"/>
            <w:vAlign w:val="bottom"/>
            <w:tcBorders>
              <w:bottom w:val="single" w:sz="8" w:color="DCE2EF"/>
            </w:tcBorders>
            <w:gridSpan w:val="2"/>
          </w:tcPr>
          <w:p>
            <w:pPr>
              <w:ind w:left="880"/>
              <w:spacing w:after="0"/>
              <w:rPr>
                <w:sz w:val="20"/>
                <w:szCs w:val="20"/>
                <w:color w:val="auto"/>
              </w:rPr>
            </w:pPr>
            <w:r>
              <w:rPr>
                <w:rFonts w:ascii="Arial" w:cs="Arial" w:eastAsia="Arial" w:hAnsi="Arial"/>
                <w:sz w:val="16"/>
                <w:szCs w:val="16"/>
                <w:color w:val="auto"/>
              </w:rPr>
              <w:t>13.6</w:t>
            </w:r>
          </w:p>
        </w:tc>
        <w:tc>
          <w:tcPr>
            <w:tcW w:w="20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Revenues</w:t>
            </w:r>
          </w:p>
        </w:tc>
        <w:tc>
          <w:tcPr>
            <w:tcW w:w="9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2,243.5</w:t>
            </w:r>
          </w:p>
        </w:tc>
        <w:tc>
          <w:tcPr>
            <w:tcW w:w="1160" w:type="dxa"/>
            <w:vAlign w:val="bottom"/>
            <w:gridSpan w:val="2"/>
            <w:shd w:val="clear" w:color="auto" w:fill="DCE2E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2,114.9</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6.1</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624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20" w:type="dxa"/>
            <w:vAlign w:val="bottom"/>
            <w:tcBorders>
              <w:top w:val="single" w:sz="8" w:color="DCE2EF"/>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00" w:type="dxa"/>
            <w:vAlign w:val="bottom"/>
            <w:tcBorders>
              <w:top w:val="single" w:sz="8" w:color="DCE2EF"/>
            </w:tcBorders>
          </w:tcPr>
          <w:p>
            <w:pPr>
              <w:spacing w:after="0"/>
              <w:rPr>
                <w:sz w:val="22"/>
                <w:szCs w:val="22"/>
                <w:color w:val="auto"/>
              </w:rPr>
            </w:pPr>
          </w:p>
        </w:tc>
        <w:tc>
          <w:tcPr>
            <w:tcW w:w="1320" w:type="dxa"/>
            <w:vAlign w:val="bottom"/>
            <w:tcBorders>
              <w:top w:val="single" w:sz="8" w:color="DCE2EF"/>
            </w:tcBorders>
          </w:tcPr>
          <w:p>
            <w:pPr>
              <w:spacing w:after="0"/>
              <w:rPr>
                <w:sz w:val="22"/>
                <w:szCs w:val="22"/>
                <w:color w:val="auto"/>
              </w:rPr>
            </w:pPr>
          </w:p>
        </w:tc>
        <w:tc>
          <w:tcPr>
            <w:tcW w:w="200" w:type="dxa"/>
            <w:vAlign w:val="bottom"/>
            <w:tcBorders>
              <w:top w:val="single" w:sz="8" w:color="DCE2EF"/>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79.7</w:t>
            </w:r>
          </w:p>
        </w:tc>
        <w:tc>
          <w:tcPr>
            <w:tcW w:w="1160" w:type="dxa"/>
            <w:vAlign w:val="bottom"/>
            <w:gridSpan w:val="2"/>
            <w:shd w:val="clear" w:color="auto" w:fill="DCE2E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79.4</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36.3</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39.4</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(7.7)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12.6</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12.2</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21.6</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54.2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8.4</w:t>
            </w:r>
          </w:p>
        </w:tc>
        <w:tc>
          <w:tcPr>
            <w:tcW w:w="220" w:type="dxa"/>
            <w:vAlign w:val="bottom"/>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16.6</w:t>
            </w:r>
          </w:p>
        </w:tc>
        <w:tc>
          <w:tcPr>
            <w:tcW w:w="1520" w:type="dxa"/>
            <w:vAlign w:val="bottom"/>
            <w:gridSpan w:val="2"/>
            <w:shd w:val="clear" w:color="auto" w:fill="DCE2EF"/>
          </w:tcPr>
          <w:p>
            <w:pPr>
              <w:ind w:left="880"/>
              <w:spacing w:after="0"/>
              <w:rPr>
                <w:sz w:val="20"/>
                <w:szCs w:val="20"/>
                <w:color w:val="auto"/>
              </w:rPr>
            </w:pPr>
            <w:r>
              <w:rPr>
                <w:rFonts w:ascii="Arial" w:cs="Arial" w:eastAsia="Arial" w:hAnsi="Arial"/>
                <w:sz w:val="16"/>
                <w:szCs w:val="16"/>
                <w:color w:val="auto"/>
              </w:rPr>
              <w:t>(49.0)</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6240" w:type="dxa"/>
            <w:vAlign w:val="bottom"/>
            <w:gridSpan w:val="3"/>
          </w:tcPr>
          <w:p>
            <w:pPr>
              <w:ind w:left="60"/>
              <w:spacing w:after="0"/>
              <w:rPr>
                <w:sz w:val="20"/>
                <w:szCs w:val="20"/>
                <w:color w:val="auto"/>
              </w:rPr>
            </w:pPr>
            <w:r>
              <w:rPr>
                <w:rFonts w:ascii="Arial" w:cs="Arial" w:eastAsia="Arial" w:hAnsi="Arial"/>
                <w:sz w:val="16"/>
                <w:szCs w:val="16"/>
                <w:b w:val="1"/>
                <w:bCs w:val="1"/>
                <w:color w:val="auto"/>
              </w:rPr>
              <w:t>Segment operating profit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158.6</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161.5</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i w:val="1"/>
                <w:iCs w:val="1"/>
                <w:color w:val="auto"/>
              </w:rPr>
              <w:t>Segment operating margin</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i w:val="1"/>
                <w:iCs w:val="1"/>
                <w:color w:val="auto"/>
              </w:rPr>
              <w:t>7.1 %</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i w:val="1"/>
                <w:iCs w:val="1"/>
                <w:color w:val="auto"/>
              </w:rPr>
              <w:t>7.6 %</w:t>
            </w:r>
          </w:p>
        </w:tc>
        <w:tc>
          <w:tcPr>
            <w:tcW w:w="200" w:type="dxa"/>
            <w:vAlign w:val="bottom"/>
            <w:shd w:val="clear" w:color="auto" w:fill="DCE2EF"/>
          </w:tcPr>
          <w:p>
            <w:pPr>
              <w:spacing w:after="0"/>
              <w:rPr>
                <w:sz w:val="24"/>
                <w:szCs w:val="24"/>
                <w:color w:val="auto"/>
              </w:rPr>
            </w:pPr>
          </w:p>
        </w:tc>
        <w:tc>
          <w:tcPr>
            <w:tcW w:w="13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Corporate</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(81.9)</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Adjustment for income from unconsolidated affiliates, included in Aviation and</w:t>
            </w:r>
          </w:p>
        </w:tc>
        <w:tc>
          <w:tcPr>
            <w:tcW w:w="960" w:type="dxa"/>
            <w:vAlign w:val="bottom"/>
            <w:shd w:val="clear" w:color="auto" w:fill="DCE2EF"/>
          </w:tcPr>
          <w:p>
            <w:pPr>
              <w:spacing w:after="0"/>
              <w:rPr>
                <w:sz w:val="21"/>
                <w:szCs w:val="21"/>
                <w:color w:val="auto"/>
              </w:rPr>
            </w:pPr>
          </w:p>
        </w:tc>
        <w:tc>
          <w:tcPr>
            <w:tcW w:w="580" w:type="dxa"/>
            <w:vAlign w:val="bottom"/>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940" w:type="dxa"/>
            <w:vAlign w:val="bottom"/>
            <w:shd w:val="clear" w:color="auto" w:fill="DCE2EF"/>
          </w:tcPr>
          <w:p>
            <w:pPr>
              <w:spacing w:after="0"/>
              <w:rPr>
                <w:sz w:val="21"/>
                <w:szCs w:val="21"/>
                <w:color w:val="auto"/>
              </w:rPr>
            </w:pPr>
          </w:p>
        </w:tc>
        <w:tc>
          <w:tcPr>
            <w:tcW w:w="58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132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shd w:val="clear" w:color="auto" w:fill="DCE2EF"/>
          </w:tcPr>
          <w:p>
            <w:pPr>
              <w:spacing w:after="0"/>
              <w:rPr>
                <w:sz w:val="20"/>
                <w:szCs w:val="20"/>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DCE2EF"/>
          </w:tcPr>
          <w:p>
            <w:pPr>
              <w:spacing w:after="0"/>
              <w:rPr>
                <w:sz w:val="20"/>
                <w:szCs w:val="20"/>
                <w:color w:val="auto"/>
              </w:rPr>
            </w:pPr>
          </w:p>
        </w:tc>
        <w:tc>
          <w:tcPr>
            <w:tcW w:w="940" w:type="dxa"/>
            <w:vAlign w:val="bottom"/>
            <w:shd w:val="clear" w:color="auto" w:fill="DCE2EF"/>
          </w:tcPr>
          <w:p>
            <w:pPr>
              <w:spacing w:after="0"/>
              <w:rPr>
                <w:sz w:val="20"/>
                <w:szCs w:val="20"/>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1520" w:type="dxa"/>
            <w:vAlign w:val="bottom"/>
            <w:gridSpan w:val="2"/>
            <w:shd w:val="clear" w:color="auto" w:fill="DCE2EF"/>
          </w:tcPr>
          <w:p>
            <w:pPr>
              <w:ind w:left="880"/>
              <w:spacing w:after="0"/>
              <w:rPr>
                <w:sz w:val="20"/>
                <w:szCs w:val="20"/>
                <w:color w:val="auto"/>
              </w:rPr>
            </w:pPr>
            <w:r>
              <w:rPr>
                <w:rFonts w:ascii="Arial" w:cs="Arial" w:eastAsia="Arial" w:hAnsi="Arial"/>
                <w:sz w:val="16"/>
                <w:szCs w:val="16"/>
                <w:color w:val="auto"/>
              </w:rPr>
              <w:t>(88.3)</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Adjustment for tax deductions for energy efficient government buildings, included</w:t>
            </w:r>
          </w:p>
        </w:tc>
        <w:tc>
          <w:tcPr>
            <w:tcW w:w="96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in Technical Solutions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5"/>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operating profit</w:t>
            </w:r>
          </w:p>
        </w:tc>
        <w:tc>
          <w:tcPr>
            <w:tcW w:w="96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74.7</w:t>
            </w:r>
          </w:p>
        </w:tc>
        <w:tc>
          <w:tcPr>
            <w:tcW w:w="220" w:type="dxa"/>
            <w:vAlign w:val="bottom"/>
            <w:tcBorders>
              <w:bottom w:val="single" w:sz="8" w:color="DCE2EF"/>
            </w:tcBorders>
            <w:shd w:val="clear" w:color="auto" w:fill="DCE2EF"/>
          </w:tcPr>
          <w:p>
            <w:pPr>
              <w:spacing w:after="0"/>
              <w:rPr>
                <w:sz w:val="21"/>
                <w:szCs w:val="21"/>
                <w:color w:val="auto"/>
              </w:rPr>
            </w:pPr>
          </w:p>
        </w:tc>
        <w:tc>
          <w:tcPr>
            <w:tcW w:w="94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77.6</w:t>
            </w:r>
          </w:p>
        </w:tc>
        <w:tc>
          <w:tcPr>
            <w:tcW w:w="1520" w:type="dxa"/>
            <w:vAlign w:val="bottom"/>
            <w:tcBorders>
              <w:bottom w:val="single" w:sz="8" w:color="DCE2EF"/>
            </w:tcBorders>
            <w:gridSpan w:val="2"/>
            <w:shd w:val="clear" w:color="auto" w:fill="DCE2EF"/>
          </w:tcPr>
          <w:p>
            <w:pPr>
              <w:ind w:left="880"/>
              <w:spacing w:after="0"/>
              <w:rPr>
                <w:sz w:val="20"/>
                <w:szCs w:val="20"/>
                <w:color w:val="auto"/>
              </w:rPr>
            </w:pPr>
            <w:r>
              <w:rPr>
                <w:rFonts w:ascii="Arial" w:cs="Arial" w:eastAsia="Arial" w:hAnsi="Arial"/>
                <w:sz w:val="16"/>
                <w:szCs w:val="16"/>
                <w:color w:val="auto"/>
              </w:rPr>
              <w:t>(3.7)</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Income from unconsolidated affiliates</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0.8</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88.3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0"/>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(24.0)</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(22.9)</w:t>
            </w:r>
          </w:p>
        </w:tc>
        <w:tc>
          <w:tcPr>
            <w:tcW w:w="1520" w:type="dxa"/>
            <w:vAlign w:val="bottom"/>
            <w:tcBorders>
              <w:bottom w:val="single" w:sz="8" w:color="DCE2EF"/>
            </w:tcBorders>
            <w:gridSpan w:val="2"/>
            <w:shd w:val="clear" w:color="auto" w:fill="DCE2EF"/>
          </w:tcPr>
          <w:p>
            <w:pPr>
              <w:ind w:left="880"/>
              <w:spacing w:after="0"/>
              <w:rPr>
                <w:sz w:val="20"/>
                <w:szCs w:val="20"/>
                <w:color w:val="auto"/>
              </w:rPr>
            </w:pPr>
            <w:r>
              <w:rPr>
                <w:rFonts w:ascii="Arial" w:cs="Arial" w:eastAsia="Arial" w:hAnsi="Arial"/>
                <w:sz w:val="16"/>
                <w:szCs w:val="16"/>
                <w:color w:val="auto"/>
              </w:rPr>
              <w:t>(4.9)</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52.1</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55.5</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(6.0)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Income tax provision</w:t>
            </w:r>
          </w:p>
        </w:tc>
        <w:tc>
          <w:tcPr>
            <w:tcW w:w="96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(13.4)</w:t>
            </w:r>
          </w:p>
        </w:tc>
        <w:tc>
          <w:tcPr>
            <w:tcW w:w="220" w:type="dxa"/>
            <w:vAlign w:val="bottom"/>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(11.9)</w:t>
            </w:r>
          </w:p>
        </w:tc>
        <w:tc>
          <w:tcPr>
            <w:tcW w:w="1520" w:type="dxa"/>
            <w:vAlign w:val="bottom"/>
            <w:gridSpan w:val="2"/>
            <w:shd w:val="clear" w:color="auto" w:fill="DCE2EF"/>
          </w:tcPr>
          <w:p>
            <w:pPr>
              <w:ind w:left="880"/>
              <w:spacing w:after="0"/>
              <w:rPr>
                <w:sz w:val="20"/>
                <w:szCs w:val="20"/>
                <w:color w:val="auto"/>
              </w:rPr>
            </w:pPr>
            <w:r>
              <w:rPr>
                <w:rFonts w:ascii="Arial" w:cs="Arial" w:eastAsia="Arial" w:hAnsi="Arial"/>
                <w:sz w:val="16"/>
                <w:szCs w:val="16"/>
                <w:color w:val="auto"/>
              </w:rPr>
              <w:t>(12.7)</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240" w:type="dxa"/>
            <w:vAlign w:val="bottom"/>
            <w:gridSpan w:val="3"/>
          </w:tcPr>
          <w:p>
            <w:pPr>
              <w:ind w:left="60"/>
              <w:spacing w:after="0"/>
              <w:rPr>
                <w:sz w:val="20"/>
                <w:szCs w:val="20"/>
                <w:color w:val="auto"/>
              </w:rPr>
            </w:pPr>
            <w:r>
              <w:rPr>
                <w:rFonts w:ascii="Arial" w:cs="Arial" w:eastAsia="Arial" w:hAnsi="Arial"/>
                <w:sz w:val="16"/>
                <w:szCs w:val="16"/>
                <w:b w:val="1"/>
                <w:bCs w:val="1"/>
                <w:color w:val="auto"/>
              </w:rPr>
              <w:t>Net income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38.8</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43.6</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(11.1)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-3350895</wp:posOffset>
            </wp:positionV>
            <wp:extent cx="1454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-3325495</wp:posOffset>
            </wp:positionV>
            <wp:extent cx="1454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-3531235</wp:posOffset>
            </wp:positionV>
            <wp:extent cx="1454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-3350895</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-3325495</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-3531235</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-576580</wp:posOffset>
            </wp:positionV>
            <wp:extent cx="145415"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-576580</wp:posOffset>
            </wp:positionV>
            <wp:extent cx="13716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3" w:name="page14"/>
    <w:bookmarkEnd w:id="13"/>
    <w:p>
      <w:pPr>
        <w:spacing w:after="0"/>
        <w:rPr>
          <w:sz w:val="20"/>
          <w:szCs w:val="20"/>
          <w:color w:val="auto"/>
        </w:rPr>
      </w:pPr>
      <w:r>
        <w:rPr>
          <w:rFonts w:ascii="Arial" w:cs="Arial" w:eastAsia="Arial" w:hAnsi="Arial"/>
          <w:sz w:val="12"/>
          <w:szCs w:val="12"/>
          <w:color w:val="auto"/>
        </w:rPr>
        <w:t>*Not meaningful (due to variance greater than or equal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23" w:right="1440" w:bottom="1440" w:gutter="0" w:footer="0" w:header="0"/>
        </w:sectPr>
      </w:pPr>
    </w:p>
    <w:bookmarkStart w:id="14" w:name="page15"/>
    <w:bookmarkEnd w:id="14"/>
    <w:p>
      <w:pPr>
        <w:ind w:right="4160"/>
        <w:spacing w:after="0" w:line="297" w:lineRule="auto"/>
        <w:rPr>
          <w:sz w:val="20"/>
          <w:szCs w:val="20"/>
          <w:color w:val="auto"/>
        </w:rPr>
      </w:pPr>
      <w:r>
        <w:rPr>
          <w:rFonts w:ascii="Arial" w:cs="Arial" w:eastAsia="Arial" w:hAnsi="Arial"/>
          <w:sz w:val="19"/>
          <w:szCs w:val="19"/>
          <w:b w:val="1"/>
          <w:bCs w:val="1"/>
          <w:color w:val="0046AD"/>
        </w:rPr>
        <w:t>ABM INDUSTRIES INCORPORATED AND SUBSIDIARIES RECONCILIATIONS OF NON-GAAP FINANCIAL MEASURES (UNAUDITED)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4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 share amounts)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50"/>
        </w:trPr>
        <w:tc>
          <w:tcPr>
            <w:tcW w:w="1980" w:type="dxa"/>
            <w:vAlign w:val="bottom"/>
            <w:tcBorders>
              <w:top w:val="single" w:sz="8" w:color="auto"/>
            </w:tcBorders>
          </w:tcPr>
          <w:p>
            <w:pPr>
              <w:spacing w:after="0"/>
              <w:rPr>
                <w:sz w:val="21"/>
                <w:szCs w:val="21"/>
                <w:color w:val="auto"/>
              </w:rPr>
            </w:pPr>
          </w:p>
        </w:tc>
        <w:tc>
          <w:tcPr>
            <w:tcW w:w="5500" w:type="dxa"/>
            <w:vAlign w:val="bottom"/>
          </w:tcPr>
          <w:p>
            <w:pPr>
              <w:spacing w:after="0"/>
              <w:rPr>
                <w:sz w:val="21"/>
                <w:szCs w:val="21"/>
                <w:color w:val="auto"/>
              </w:rPr>
            </w:pPr>
          </w:p>
        </w:tc>
        <w:tc>
          <w:tcPr>
            <w:tcW w:w="3200" w:type="dxa"/>
            <w:vAlign w:val="bottom"/>
            <w:tcBorders>
              <w:bottom w:val="single" w:sz="8" w:color="auto"/>
            </w:tcBorders>
            <w:gridSpan w:val="5"/>
          </w:tcPr>
          <w:p>
            <w:pPr>
              <w:jc w:val="right"/>
              <w:ind w:right="104"/>
              <w:spacing w:after="0"/>
              <w:rPr>
                <w:sz w:val="20"/>
                <w:szCs w:val="20"/>
                <w:color w:val="auto"/>
              </w:rPr>
            </w:pPr>
            <w:r>
              <w:rPr>
                <w:rFonts w:ascii="Arial" w:cs="Arial" w:eastAsia="Arial" w:hAnsi="Arial"/>
                <w:sz w:val="15"/>
                <w:szCs w:val="15"/>
                <w:b w:val="1"/>
                <w:bCs w:val="1"/>
                <w:color w:val="auto"/>
              </w:rPr>
              <w:t>Three Months Ended January 31,</w:t>
            </w:r>
          </w:p>
        </w:tc>
        <w:tc>
          <w:tcPr>
            <w:tcW w:w="440" w:type="dxa"/>
            <w:vAlign w:val="bottom"/>
            <w:tcBorders>
              <w:bottom w:val="single" w:sz="8" w:color="auto"/>
            </w:tcBorders>
          </w:tcPr>
          <w:p>
            <w:pPr>
              <w:spacing w:after="0"/>
              <w:rPr>
                <w:sz w:val="21"/>
                <w:szCs w:val="21"/>
                <w:color w:val="auto"/>
              </w:rPr>
            </w:pPr>
          </w:p>
        </w:tc>
      </w:tr>
      <w:tr>
        <w:trPr>
          <w:trHeight w:val="231"/>
        </w:trPr>
        <w:tc>
          <w:tcPr>
            <w:tcW w:w="7480" w:type="dxa"/>
            <w:vAlign w:val="bottom"/>
            <w:gridSpan w:val="2"/>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2025</w:t>
            </w:r>
          </w:p>
        </w:tc>
        <w:tc>
          <w:tcPr>
            <w:tcW w:w="440" w:type="dxa"/>
            <w:vAlign w:val="bottom"/>
            <w:tcBorders>
              <w:bottom w:val="single" w:sz="8" w:color="auto"/>
            </w:tcBorders>
          </w:tcPr>
          <w:p>
            <w:pPr>
              <w:spacing w:after="0"/>
              <w:rPr>
                <w:sz w:val="20"/>
                <w:szCs w:val="20"/>
                <w:color w:val="auto"/>
              </w:rPr>
            </w:pPr>
          </w:p>
        </w:tc>
      </w:tr>
      <w:tr>
        <w:trPr>
          <w:trHeight w:val="236"/>
        </w:trPr>
        <w:tc>
          <w:tcPr>
            <w:tcW w:w="85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Income to Adjusted Net Income</w:t>
            </w:r>
          </w:p>
        </w:tc>
        <w:tc>
          <w:tcPr>
            <w:tcW w:w="220" w:type="dxa"/>
            <w:vAlign w:val="bottom"/>
            <w:tcBorders>
              <w:bottom w:val="single" w:sz="8" w:color="DCE2EF"/>
            </w:tcBorders>
            <w:shd w:val="clear" w:color="auto" w:fill="DCE2EF"/>
          </w:tcPr>
          <w:p>
            <w:pPr>
              <w:spacing w:after="0"/>
              <w:rPr>
                <w:sz w:val="20"/>
                <w:szCs w:val="20"/>
                <w:color w:val="auto"/>
              </w:rPr>
            </w:pPr>
          </w:p>
        </w:tc>
        <w:tc>
          <w:tcPr>
            <w:tcW w:w="440" w:type="dxa"/>
            <w:vAlign w:val="bottom"/>
            <w:tcBorders>
              <w:bottom w:val="single" w:sz="8" w:color="DCE2EF"/>
            </w:tcBorders>
            <w:shd w:val="clear" w:color="auto" w:fill="DCE2EF"/>
          </w:tcPr>
          <w:p>
            <w:pPr>
              <w:spacing w:after="0"/>
              <w:rPr>
                <w:sz w:val="20"/>
                <w:szCs w:val="20"/>
                <w:color w:val="auto"/>
              </w:rPr>
            </w:pPr>
          </w:p>
        </w:tc>
        <w:tc>
          <w:tcPr>
            <w:tcW w:w="220" w:type="dxa"/>
            <w:vAlign w:val="bottom"/>
            <w:tcBorders>
              <w:bottom w:val="single" w:sz="8" w:color="DCE2EF"/>
            </w:tcBorders>
            <w:shd w:val="clear" w:color="auto" w:fill="DCE2EF"/>
          </w:tcPr>
          <w:p>
            <w:pPr>
              <w:spacing w:after="0"/>
              <w:rPr>
                <w:sz w:val="20"/>
                <w:szCs w:val="20"/>
                <w:color w:val="auto"/>
              </w:rPr>
            </w:pPr>
          </w:p>
        </w:tc>
        <w:tc>
          <w:tcPr>
            <w:tcW w:w="1260" w:type="dxa"/>
            <w:vAlign w:val="bottom"/>
            <w:tcBorders>
              <w:bottom w:val="single" w:sz="8" w:color="DCE2EF"/>
            </w:tcBorders>
            <w:shd w:val="clear" w:color="auto" w:fill="DCE2EF"/>
          </w:tcPr>
          <w:p>
            <w:pPr>
              <w:spacing w:after="0"/>
              <w:rPr>
                <w:sz w:val="20"/>
                <w:szCs w:val="20"/>
                <w:color w:val="auto"/>
              </w:rPr>
            </w:pPr>
          </w:p>
        </w:tc>
        <w:tc>
          <w:tcPr>
            <w:tcW w:w="440" w:type="dxa"/>
            <w:vAlign w:val="bottom"/>
            <w:tcBorders>
              <w:bottom w:val="single" w:sz="8" w:color="DCE2EF"/>
            </w:tcBorders>
            <w:shd w:val="clear" w:color="auto" w:fill="DCE2EF"/>
          </w:tcPr>
          <w:p>
            <w:pPr>
              <w:spacing w:after="0"/>
              <w:rPr>
                <w:sz w:val="20"/>
                <w:szCs w:val="20"/>
                <w:color w:val="auto"/>
              </w:rPr>
            </w:pPr>
          </w:p>
        </w:tc>
      </w:tr>
      <w:tr>
        <w:trPr>
          <w:trHeight w:val="254"/>
        </w:trPr>
        <w:tc>
          <w:tcPr>
            <w:tcW w:w="8540" w:type="dxa"/>
            <w:vAlign w:val="bottom"/>
            <w:gridSpan w:val="3"/>
          </w:tcPr>
          <w:p>
            <w:pPr>
              <w:ind w:left="60"/>
              <w:spacing w:after="0"/>
              <w:rPr>
                <w:sz w:val="20"/>
                <w:szCs w:val="20"/>
                <w:color w:val="auto"/>
              </w:rPr>
            </w:pPr>
            <w:r>
              <w:rPr>
                <w:rFonts w:ascii="Arial" w:cs="Arial" w:eastAsia="Arial" w:hAnsi="Arial"/>
                <w:sz w:val="15"/>
                <w:szCs w:val="15"/>
                <w:color w:val="auto"/>
              </w:rPr>
              <w:t>Net income</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38.8</w:t>
            </w:r>
          </w:p>
        </w:tc>
        <w:tc>
          <w:tcPr>
            <w:tcW w:w="148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43.6</w:t>
            </w:r>
          </w:p>
        </w:tc>
      </w:tr>
      <w:tr>
        <w:trPr>
          <w:trHeight w:val="259"/>
        </w:trPr>
        <w:tc>
          <w:tcPr>
            <w:tcW w:w="8540" w:type="dxa"/>
            <w:vAlign w:val="bottom"/>
            <w:gridSpan w:val="3"/>
            <w:shd w:val="clear" w:color="auto" w:fill="DCE2EF"/>
          </w:tcPr>
          <w:p>
            <w:pPr>
              <w:ind w:left="60"/>
              <w:spacing w:after="0"/>
              <w:rPr>
                <w:sz w:val="20"/>
                <w:szCs w:val="20"/>
                <w:color w:val="auto"/>
              </w:rPr>
            </w:pPr>
            <w:r>
              <w:rPr>
                <w:rFonts w:ascii="Arial" w:cs="Arial" w:eastAsia="Arial" w:hAnsi="Arial"/>
                <w:sz w:val="15"/>
                <w:szCs w:val="15"/>
                <w:color w:val="auto"/>
              </w:rPr>
              <w:t>Items impacting comparability</w:t>
            </w:r>
            <w:r>
              <w:rPr>
                <w:rFonts w:ascii="Arial" w:cs="Arial" w:eastAsia="Arial" w:hAnsi="Arial"/>
                <w:sz w:val="20"/>
                <w:szCs w:val="20"/>
                <w:color w:val="auto"/>
                <w:vertAlign w:val="superscript"/>
              </w:rPr>
              <w:t>(a)(b)</w:t>
            </w:r>
          </w:p>
        </w:tc>
        <w:tc>
          <w:tcPr>
            <w:tcW w:w="220" w:type="dxa"/>
            <w:vAlign w:val="bottom"/>
            <w:shd w:val="clear" w:color="auto" w:fill="DCE2EF"/>
          </w:tcPr>
          <w:p>
            <w:pPr>
              <w:spacing w:after="0"/>
              <w:rPr>
                <w:sz w:val="22"/>
                <w:szCs w:val="22"/>
                <w:color w:val="auto"/>
              </w:rPr>
            </w:pPr>
          </w:p>
        </w:tc>
        <w:tc>
          <w:tcPr>
            <w:tcW w:w="44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260" w:type="dxa"/>
            <w:vAlign w:val="bottom"/>
            <w:shd w:val="clear" w:color="auto" w:fill="DCE2EF"/>
          </w:tcPr>
          <w:p>
            <w:pPr>
              <w:spacing w:after="0"/>
              <w:rPr>
                <w:sz w:val="22"/>
                <w:szCs w:val="22"/>
                <w:color w:val="auto"/>
              </w:rPr>
            </w:pPr>
          </w:p>
        </w:tc>
        <w:tc>
          <w:tcPr>
            <w:tcW w:w="440" w:type="dxa"/>
            <w:vAlign w:val="bottom"/>
            <w:shd w:val="clear" w:color="auto" w:fill="DCE2EF"/>
          </w:tcPr>
          <w:p>
            <w:pPr>
              <w:spacing w:after="0"/>
              <w:rPr>
                <w:sz w:val="22"/>
                <w:szCs w:val="22"/>
                <w:color w:val="auto"/>
              </w:rPr>
            </w:pPr>
          </w:p>
        </w:tc>
      </w:tr>
      <w:tr>
        <w:trPr>
          <w:trHeight w:val="257"/>
        </w:trPr>
        <w:tc>
          <w:tcPr>
            <w:tcW w:w="8540" w:type="dxa"/>
            <w:vAlign w:val="bottom"/>
            <w:gridSpan w:val="3"/>
          </w:tcPr>
          <w:p>
            <w:pPr>
              <w:ind w:left="200"/>
              <w:spacing w:after="0"/>
              <w:rPr>
                <w:sz w:val="20"/>
                <w:szCs w:val="20"/>
                <w:color w:val="auto"/>
              </w:rPr>
            </w:pPr>
            <w:r>
              <w:rPr>
                <w:rFonts w:ascii="Arial" w:cs="Arial" w:eastAsia="Arial" w:hAnsi="Arial"/>
                <w:sz w:val="15"/>
                <w:szCs w:val="15"/>
                <w:color w:val="auto"/>
              </w:rPr>
              <w:t>Restructuring and related</w:t>
            </w:r>
            <w:r>
              <w:rPr>
                <w:rFonts w:ascii="Arial" w:cs="Arial" w:eastAsia="Arial" w:hAnsi="Arial"/>
                <w:sz w:val="20"/>
                <w:szCs w:val="20"/>
                <w:color w:val="auto"/>
                <w:vertAlign w:val="superscript"/>
              </w:rPr>
              <w:t>(c)</w:t>
            </w:r>
          </w:p>
        </w:tc>
        <w:tc>
          <w:tcPr>
            <w:tcW w:w="2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3.7</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7"/>
        </w:trPr>
        <w:tc>
          <w:tcPr>
            <w:tcW w:w="8540" w:type="dxa"/>
            <w:vAlign w:val="bottom"/>
            <w:gridSpan w:val="3"/>
            <w:shd w:val="clear" w:color="auto" w:fill="DCE2EF"/>
          </w:tcPr>
          <w:p>
            <w:pPr>
              <w:ind w:left="200"/>
              <w:spacing w:after="0"/>
              <w:rPr>
                <w:sz w:val="20"/>
                <w:szCs w:val="20"/>
                <w:color w:val="auto"/>
              </w:rPr>
            </w:pPr>
            <w:r>
              <w:rPr>
                <w:rFonts w:ascii="Arial" w:cs="Arial" w:eastAsia="Arial" w:hAnsi="Arial"/>
                <w:sz w:val="15"/>
                <w:szCs w:val="15"/>
                <w:color w:val="auto"/>
              </w:rPr>
              <w:t>Legal costs and other settlements</w:t>
            </w:r>
          </w:p>
        </w:tc>
        <w:tc>
          <w:tcPr>
            <w:tcW w:w="22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CE2EF"/>
          </w:tcPr>
          <w:p>
            <w:pPr>
              <w:spacing w:after="0"/>
              <w:rPr>
                <w:sz w:val="22"/>
                <w:szCs w:val="22"/>
                <w:color w:val="auto"/>
              </w:rPr>
            </w:pPr>
          </w:p>
        </w:tc>
        <w:tc>
          <w:tcPr>
            <w:tcW w:w="126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4.8</w:t>
            </w:r>
          </w:p>
        </w:tc>
      </w:tr>
      <w:tr>
        <w:trPr>
          <w:trHeight w:val="257"/>
        </w:trPr>
        <w:tc>
          <w:tcPr>
            <w:tcW w:w="8540" w:type="dxa"/>
            <w:vAlign w:val="bottom"/>
            <w:gridSpan w:val="3"/>
          </w:tcPr>
          <w:p>
            <w:pPr>
              <w:ind w:left="200"/>
              <w:spacing w:after="0"/>
              <w:rPr>
                <w:sz w:val="20"/>
                <w:szCs w:val="20"/>
                <w:color w:val="auto"/>
              </w:rPr>
            </w:pPr>
            <w:r>
              <w:rPr>
                <w:rFonts w:ascii="Arial" w:cs="Arial" w:eastAsia="Arial" w:hAnsi="Arial"/>
                <w:sz w:val="15"/>
                <w:szCs w:val="15"/>
                <w:color w:val="auto"/>
              </w:rPr>
              <w:t>Acquisition and integration related costs</w:t>
            </w:r>
            <w:r>
              <w:rPr>
                <w:rFonts w:ascii="Arial" w:cs="Arial" w:eastAsia="Arial" w:hAnsi="Arial"/>
                <w:sz w:val="20"/>
                <w:szCs w:val="20"/>
                <w:color w:val="auto"/>
                <w:vertAlign w:val="superscript"/>
              </w:rPr>
              <w:t>(d)</w:t>
            </w:r>
          </w:p>
        </w:tc>
        <w:tc>
          <w:tcPr>
            <w:tcW w:w="2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2.7</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57"/>
        </w:trPr>
        <w:tc>
          <w:tcPr>
            <w:tcW w:w="8540" w:type="dxa"/>
            <w:vAlign w:val="bottom"/>
            <w:gridSpan w:val="3"/>
            <w:shd w:val="clear" w:color="auto" w:fill="DCE2EF"/>
          </w:tcPr>
          <w:p>
            <w:pPr>
              <w:ind w:left="220"/>
              <w:spacing w:after="0"/>
              <w:rPr>
                <w:sz w:val="20"/>
                <w:szCs w:val="20"/>
                <w:color w:val="auto"/>
              </w:rPr>
            </w:pPr>
            <w:r>
              <w:rPr>
                <w:rFonts w:ascii="Arial" w:cs="Arial" w:eastAsia="Arial" w:hAnsi="Arial"/>
                <w:sz w:val="15"/>
                <w:szCs w:val="15"/>
                <w:color w:val="auto"/>
              </w:rPr>
              <w:t>Transformation initiative costs</w:t>
            </w:r>
            <w:r>
              <w:rPr>
                <w:rFonts w:ascii="Arial" w:cs="Arial" w:eastAsia="Arial" w:hAnsi="Arial"/>
                <w:sz w:val="20"/>
                <w:szCs w:val="20"/>
                <w:color w:val="auto"/>
                <w:vertAlign w:val="superscript"/>
              </w:rPr>
              <w:t>(e)</w:t>
            </w:r>
          </w:p>
        </w:tc>
        <w:tc>
          <w:tcPr>
            <w:tcW w:w="22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8.9</w:t>
            </w:r>
          </w:p>
        </w:tc>
        <w:tc>
          <w:tcPr>
            <w:tcW w:w="220" w:type="dxa"/>
            <w:vAlign w:val="bottom"/>
            <w:shd w:val="clear" w:color="auto" w:fill="DCE2EF"/>
          </w:tcPr>
          <w:p>
            <w:pPr>
              <w:spacing w:after="0"/>
              <w:rPr>
                <w:sz w:val="22"/>
                <w:szCs w:val="22"/>
                <w:color w:val="auto"/>
              </w:rPr>
            </w:pPr>
          </w:p>
        </w:tc>
        <w:tc>
          <w:tcPr>
            <w:tcW w:w="126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8.3</w:t>
            </w:r>
          </w:p>
        </w:tc>
      </w:tr>
      <w:tr>
        <w:trPr>
          <w:trHeight w:val="253"/>
        </w:trPr>
        <w:tc>
          <w:tcPr>
            <w:tcW w:w="7480" w:type="dxa"/>
            <w:vAlign w:val="bottom"/>
            <w:gridSpan w:val="2"/>
          </w:tcPr>
          <w:p>
            <w:pPr>
              <w:ind w:left="200"/>
              <w:spacing w:after="0"/>
              <w:rPr>
                <w:sz w:val="20"/>
                <w:szCs w:val="20"/>
                <w:color w:val="auto"/>
              </w:rPr>
            </w:pPr>
            <w:r>
              <w:rPr>
                <w:rFonts w:ascii="Arial" w:cs="Arial" w:eastAsia="Arial" w:hAnsi="Arial"/>
                <w:sz w:val="15"/>
                <w:szCs w:val="15"/>
                <w:color w:val="auto"/>
              </w:rPr>
              <w:t>Other</w:t>
            </w:r>
          </w:p>
        </w:tc>
        <w:tc>
          <w:tcPr>
            <w:tcW w:w="10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c>
          <w:tcPr>
            <w:tcW w:w="22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9"/>
        </w:trPr>
        <w:tc>
          <w:tcPr>
            <w:tcW w:w="8540" w:type="dxa"/>
            <w:vAlign w:val="bottom"/>
            <w:gridSpan w:val="3"/>
            <w:shd w:val="clear" w:color="auto" w:fill="DCE2EF"/>
          </w:tcPr>
          <w:p>
            <w:pPr>
              <w:ind w:left="60"/>
              <w:spacing w:after="0"/>
              <w:rPr>
                <w:sz w:val="20"/>
                <w:szCs w:val="20"/>
                <w:color w:val="auto"/>
              </w:rPr>
            </w:pPr>
            <w:r>
              <w:rPr>
                <w:rFonts w:ascii="Arial" w:cs="Arial" w:eastAsia="Arial" w:hAnsi="Arial"/>
                <w:sz w:val="15"/>
                <w:szCs w:val="15"/>
                <w:color w:val="auto"/>
              </w:rPr>
              <w:t>Total items impacting comparability</w:t>
            </w:r>
          </w:p>
        </w:tc>
        <w:tc>
          <w:tcPr>
            <w:tcW w:w="220" w:type="dxa"/>
            <w:vAlign w:val="bottom"/>
            <w:shd w:val="clear" w:color="auto" w:fill="DCE2EF"/>
          </w:tcPr>
          <w:p>
            <w:pPr>
              <w:spacing w:after="0"/>
              <w:rPr>
                <w:sz w:val="20"/>
                <w:szCs w:val="20"/>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16.0</w:t>
            </w:r>
          </w:p>
        </w:tc>
        <w:tc>
          <w:tcPr>
            <w:tcW w:w="220" w:type="dxa"/>
            <w:vAlign w:val="bottom"/>
            <w:shd w:val="clear" w:color="auto" w:fill="DCE2EF"/>
          </w:tcPr>
          <w:p>
            <w:pPr>
              <w:spacing w:after="0"/>
              <w:rPr>
                <w:sz w:val="20"/>
                <w:szCs w:val="20"/>
                <w:color w:val="auto"/>
              </w:rPr>
            </w:pPr>
          </w:p>
        </w:tc>
        <w:tc>
          <w:tcPr>
            <w:tcW w:w="1260" w:type="dxa"/>
            <w:vAlign w:val="bottom"/>
            <w:shd w:val="clear" w:color="auto" w:fill="DCE2EF"/>
          </w:tcPr>
          <w:p>
            <w:pPr>
              <w:spacing w:after="0"/>
              <w:rPr>
                <w:sz w:val="20"/>
                <w:szCs w:val="20"/>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16.4</w:t>
            </w:r>
          </w:p>
        </w:tc>
      </w:tr>
      <w:tr>
        <w:trPr>
          <w:trHeight w:val="257"/>
        </w:trPr>
        <w:tc>
          <w:tcPr>
            <w:tcW w:w="7480" w:type="dxa"/>
            <w:vAlign w:val="bottom"/>
            <w:gridSpan w:val="2"/>
          </w:tcPr>
          <w:p>
            <w:pPr>
              <w:ind w:left="60"/>
              <w:spacing w:after="0"/>
              <w:rPr>
                <w:sz w:val="20"/>
                <w:szCs w:val="20"/>
                <w:color w:val="auto"/>
              </w:rPr>
            </w:pPr>
            <w:r>
              <w:rPr>
                <w:rFonts w:ascii="Arial" w:cs="Arial" w:eastAsia="Arial" w:hAnsi="Arial"/>
                <w:sz w:val="15"/>
                <w:szCs w:val="15"/>
                <w:color w:val="auto"/>
              </w:rPr>
              <w:t xml:space="preserve">Income tax benefit </w:t>
            </w:r>
            <w:r>
              <w:rPr>
                <w:rFonts w:ascii="Arial" w:cs="Arial" w:eastAsia="Arial" w:hAnsi="Arial"/>
                <w:sz w:val="20"/>
                <w:szCs w:val="20"/>
                <w:color w:val="auto"/>
                <w:vertAlign w:val="superscript"/>
              </w:rPr>
              <w:t>(f)</w:t>
            </w:r>
          </w:p>
        </w:tc>
        <w:tc>
          <w:tcPr>
            <w:tcW w:w="10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22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r>
      <w:tr>
        <w:trPr>
          <w:trHeight w:val="230"/>
        </w:trPr>
        <w:tc>
          <w:tcPr>
            <w:tcW w:w="7480" w:type="dxa"/>
            <w:vAlign w:val="bottom"/>
            <w:tcBorders>
              <w:bottom w:val="single" w:sz="8" w:color="DCE2EF"/>
            </w:tcBorders>
            <w:gridSpan w:val="2"/>
            <w:shd w:val="clear" w:color="auto" w:fill="DCE2EF"/>
          </w:tcPr>
          <w:p>
            <w:pPr>
              <w:ind w:left="60"/>
              <w:spacing w:after="0"/>
              <w:rPr>
                <w:sz w:val="20"/>
                <w:szCs w:val="20"/>
                <w:color w:val="auto"/>
              </w:rPr>
            </w:pPr>
            <w:r>
              <w:rPr>
                <w:rFonts w:ascii="Arial" w:cs="Arial" w:eastAsia="Arial" w:hAnsi="Arial"/>
                <w:sz w:val="15"/>
                <w:szCs w:val="15"/>
                <w:color w:val="auto"/>
              </w:rPr>
              <w:t>Items impacting comparability, net of taxes</w:t>
            </w:r>
          </w:p>
        </w:tc>
        <w:tc>
          <w:tcPr>
            <w:tcW w:w="1060" w:type="dxa"/>
            <w:vAlign w:val="bottom"/>
            <w:tcBorders>
              <w:bottom w:val="single" w:sz="8" w:color="auto"/>
            </w:tcBorders>
            <w:shd w:val="clear" w:color="auto" w:fill="DCE2EF"/>
          </w:tcPr>
          <w:p>
            <w:pPr>
              <w:spacing w:after="0"/>
              <w:rPr>
                <w:sz w:val="20"/>
                <w:szCs w:val="20"/>
                <w:color w:val="auto"/>
              </w:rPr>
            </w:pPr>
          </w:p>
        </w:tc>
        <w:tc>
          <w:tcPr>
            <w:tcW w:w="220" w:type="dxa"/>
            <w:vAlign w:val="bottom"/>
            <w:tcBorders>
              <w:bottom w:val="single" w:sz="8" w:color="auto"/>
            </w:tcBorders>
            <w:shd w:val="clear" w:color="auto" w:fill="DCE2EF"/>
          </w:tcPr>
          <w:p>
            <w:pPr>
              <w:spacing w:after="0"/>
              <w:rPr>
                <w:sz w:val="20"/>
                <w:szCs w:val="20"/>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11.6</w:t>
            </w:r>
          </w:p>
        </w:tc>
        <w:tc>
          <w:tcPr>
            <w:tcW w:w="220" w:type="dxa"/>
            <w:vAlign w:val="bottom"/>
            <w:tcBorders>
              <w:bottom w:val="single" w:sz="8" w:color="DCE2EF"/>
            </w:tcBorders>
            <w:shd w:val="clear" w:color="auto" w:fill="DCE2EF"/>
          </w:tcPr>
          <w:p>
            <w:pPr>
              <w:spacing w:after="0"/>
              <w:rPr>
                <w:sz w:val="20"/>
                <w:szCs w:val="20"/>
                <w:color w:val="auto"/>
              </w:rPr>
            </w:pPr>
          </w:p>
        </w:tc>
        <w:tc>
          <w:tcPr>
            <w:tcW w:w="1260" w:type="dxa"/>
            <w:vAlign w:val="bottom"/>
            <w:tcBorders>
              <w:bottom w:val="single" w:sz="8" w:color="auto"/>
            </w:tcBorders>
            <w:shd w:val="clear" w:color="auto" w:fill="DCE2EF"/>
          </w:tcPr>
          <w:p>
            <w:pPr>
              <w:spacing w:after="0"/>
              <w:rPr>
                <w:sz w:val="20"/>
                <w:szCs w:val="20"/>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11.7</w:t>
            </w:r>
          </w:p>
        </w:tc>
      </w:tr>
      <w:tr>
        <w:trPr>
          <w:trHeight w:val="237"/>
        </w:trPr>
        <w:tc>
          <w:tcPr>
            <w:tcW w:w="7480" w:type="dxa"/>
            <w:vAlign w:val="bottom"/>
            <w:gridSpan w:val="2"/>
          </w:tcPr>
          <w:p>
            <w:pPr>
              <w:ind w:left="60"/>
              <w:spacing w:after="0"/>
              <w:rPr>
                <w:sz w:val="20"/>
                <w:szCs w:val="20"/>
                <w:color w:val="auto"/>
              </w:rPr>
            </w:pPr>
            <w:r>
              <w:rPr>
                <w:rFonts w:ascii="Arial" w:cs="Arial" w:eastAsia="Arial" w:hAnsi="Arial"/>
                <w:sz w:val="15"/>
                <w:szCs w:val="15"/>
                <w:color w:val="auto"/>
              </w:rPr>
              <w:t>Adjusted net income</w:t>
            </w: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50.4</w:t>
            </w:r>
          </w:p>
        </w:tc>
        <w:tc>
          <w:tcPr>
            <w:tcW w:w="220" w:type="dxa"/>
            <w:vAlign w:val="bottom"/>
          </w:tcPr>
          <w:p>
            <w:pPr>
              <w:spacing w:after="0"/>
              <w:rPr>
                <w:sz w:val="20"/>
                <w:szCs w:val="20"/>
                <w:color w:val="auto"/>
              </w:rPr>
            </w:pP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-1973580</wp:posOffset>
            </wp:positionV>
            <wp:extent cx="13716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-662305</wp:posOffset>
            </wp:positionV>
            <wp:extent cx="13716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-336550</wp:posOffset>
            </wp:positionV>
            <wp:extent cx="13716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-173355</wp:posOffset>
            </wp:positionV>
            <wp:extent cx="13716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48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5"/>
                <w:szCs w:val="15"/>
                <w:b w:val="1"/>
                <w:bCs w:val="1"/>
                <w:color w:val="auto"/>
              </w:rPr>
              <w:t>Three Months Ended January 31,</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480" w:type="dxa"/>
            <w:vAlign w:val="bottom"/>
          </w:tcPr>
          <w:p>
            <w:pPr>
              <w:spacing w:after="0"/>
              <w:rPr>
                <w:sz w:val="21"/>
                <w:szCs w:val="21"/>
                <w:color w:val="auto"/>
              </w:rPr>
            </w:pPr>
          </w:p>
        </w:tc>
        <w:tc>
          <w:tcPr>
            <w:tcW w:w="1220" w:type="dxa"/>
            <w:vAlign w:val="bottom"/>
          </w:tcPr>
          <w:p>
            <w:pPr>
              <w:jc w:val="right"/>
              <w:ind w:right="104"/>
              <w:spacing w:after="0"/>
              <w:rPr>
                <w:sz w:val="20"/>
                <w:szCs w:val="20"/>
                <w:color w:val="auto"/>
              </w:rPr>
            </w:pPr>
            <w:r>
              <w:rPr>
                <w:rFonts w:ascii="Arial" w:cs="Arial" w:eastAsia="Arial" w:hAnsi="Arial"/>
                <w:sz w:val="15"/>
                <w:szCs w:val="15"/>
                <w:b w:val="1"/>
                <w:bCs w:val="1"/>
                <w:color w:val="auto"/>
              </w:rPr>
              <w:t>2026</w:t>
            </w:r>
          </w:p>
        </w:tc>
        <w:tc>
          <w:tcPr>
            <w:tcW w:w="5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2025</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8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Income to Adjusted EBITDA</w:t>
            </w:r>
          </w:p>
        </w:tc>
        <w:tc>
          <w:tcPr>
            <w:tcW w:w="1220" w:type="dxa"/>
            <w:vAlign w:val="bottom"/>
            <w:tcBorders>
              <w:top w:val="single" w:sz="8" w:color="auto"/>
              <w:bottom w:val="single" w:sz="8" w:color="DCE2EF"/>
            </w:tcBorders>
            <w:shd w:val="clear" w:color="auto" w:fill="DCE2EF"/>
          </w:tcPr>
          <w:p>
            <w:pPr>
              <w:spacing w:after="0"/>
              <w:rPr>
                <w:sz w:val="20"/>
                <w:szCs w:val="20"/>
                <w:color w:val="auto"/>
              </w:rPr>
            </w:pPr>
          </w:p>
        </w:tc>
        <w:tc>
          <w:tcPr>
            <w:tcW w:w="500" w:type="dxa"/>
            <w:vAlign w:val="bottom"/>
            <w:tcBorders>
              <w:top w:val="single" w:sz="8" w:color="auto"/>
              <w:bottom w:val="single" w:sz="8" w:color="DCE2EF"/>
            </w:tcBorders>
            <w:shd w:val="clear" w:color="auto" w:fill="DCE2EF"/>
          </w:tcPr>
          <w:p>
            <w:pPr>
              <w:spacing w:after="0"/>
              <w:rPr>
                <w:sz w:val="20"/>
                <w:szCs w:val="20"/>
                <w:color w:val="auto"/>
              </w:rPr>
            </w:pPr>
          </w:p>
        </w:tc>
        <w:tc>
          <w:tcPr>
            <w:tcW w:w="220" w:type="dxa"/>
            <w:vAlign w:val="bottom"/>
            <w:tcBorders>
              <w:bottom w:val="single" w:sz="8" w:color="DCE2EF"/>
            </w:tcBorders>
            <w:shd w:val="clear" w:color="auto" w:fill="DCE2EF"/>
          </w:tcPr>
          <w:p>
            <w:pPr>
              <w:spacing w:after="0"/>
              <w:rPr>
                <w:sz w:val="20"/>
                <w:szCs w:val="20"/>
                <w:color w:val="auto"/>
              </w:rPr>
            </w:pPr>
          </w:p>
        </w:tc>
        <w:tc>
          <w:tcPr>
            <w:tcW w:w="1200" w:type="dxa"/>
            <w:vAlign w:val="bottom"/>
            <w:tcBorders>
              <w:top w:val="single" w:sz="8" w:color="auto"/>
              <w:bottom w:val="single" w:sz="8" w:color="DCE2EF"/>
            </w:tcBorders>
            <w:shd w:val="clear" w:color="auto" w:fill="DCE2EF"/>
          </w:tcPr>
          <w:p>
            <w:pPr>
              <w:spacing w:after="0"/>
              <w:rPr>
                <w:sz w:val="20"/>
                <w:szCs w:val="20"/>
                <w:color w:val="auto"/>
              </w:rPr>
            </w:pPr>
          </w:p>
        </w:tc>
        <w:tc>
          <w:tcPr>
            <w:tcW w:w="500" w:type="dxa"/>
            <w:vAlign w:val="bottom"/>
            <w:tcBorders>
              <w:top w:val="single" w:sz="8" w:color="auto"/>
              <w:bottom w:val="single" w:sz="8" w:color="DCE2EF"/>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480" w:type="dxa"/>
            <w:vAlign w:val="bottom"/>
          </w:tcPr>
          <w:p>
            <w:pPr>
              <w:ind w:left="60"/>
              <w:spacing w:after="0"/>
              <w:rPr>
                <w:sz w:val="20"/>
                <w:szCs w:val="20"/>
                <w:color w:val="auto"/>
              </w:rPr>
            </w:pPr>
            <w:r>
              <w:rPr>
                <w:rFonts w:ascii="Arial" w:cs="Arial" w:eastAsia="Arial" w:hAnsi="Arial"/>
                <w:sz w:val="15"/>
                <w:szCs w:val="15"/>
                <w:b w:val="1"/>
                <w:bCs w:val="1"/>
                <w:color w:val="auto"/>
              </w:rPr>
              <w:t>Net Income</w:t>
            </w: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38.8</w:t>
            </w:r>
          </w:p>
        </w:tc>
        <w:tc>
          <w:tcPr>
            <w:tcW w:w="14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43.6</w:t>
            </w:r>
          </w:p>
        </w:tc>
        <w:tc>
          <w:tcPr>
            <w:tcW w:w="0" w:type="dxa"/>
            <w:vAlign w:val="bottom"/>
          </w:tcPr>
          <w:p>
            <w:pPr>
              <w:spacing w:after="0"/>
              <w:rPr>
                <w:sz w:val="1"/>
                <w:szCs w:val="1"/>
                <w:color w:val="auto"/>
              </w:rPr>
            </w:pPr>
          </w:p>
        </w:tc>
      </w:tr>
      <w:tr>
        <w:trPr>
          <w:trHeight w:val="257"/>
        </w:trPr>
        <w:tc>
          <w:tcPr>
            <w:tcW w:w="7480" w:type="dxa"/>
            <w:vAlign w:val="bottom"/>
            <w:shd w:val="clear" w:color="auto" w:fill="DCE2EF"/>
          </w:tcPr>
          <w:p>
            <w:pPr>
              <w:ind w:left="140"/>
              <w:spacing w:after="0"/>
              <w:rPr>
                <w:sz w:val="20"/>
                <w:szCs w:val="20"/>
                <w:color w:val="auto"/>
              </w:rPr>
            </w:pPr>
            <w:r>
              <w:rPr>
                <w:rFonts w:ascii="Arial" w:cs="Arial" w:eastAsia="Arial" w:hAnsi="Arial"/>
                <w:sz w:val="15"/>
                <w:szCs w:val="15"/>
                <w:color w:val="auto"/>
              </w:rPr>
              <w:t>Items impacting comparability</w:t>
            </w:r>
          </w:p>
        </w:tc>
        <w:tc>
          <w:tcPr>
            <w:tcW w:w="1220" w:type="dxa"/>
            <w:vAlign w:val="bottom"/>
            <w:shd w:val="clear" w:color="auto" w:fill="DCE2EF"/>
          </w:tcPr>
          <w:p>
            <w:pPr>
              <w:spacing w:after="0"/>
              <w:rPr>
                <w:sz w:val="22"/>
                <w:szCs w:val="22"/>
                <w:color w:val="auto"/>
              </w:rPr>
            </w:pPr>
          </w:p>
        </w:tc>
        <w:tc>
          <w:tcPr>
            <w:tcW w:w="5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16.0</w:t>
            </w:r>
          </w:p>
        </w:tc>
        <w:tc>
          <w:tcPr>
            <w:tcW w:w="220" w:type="dxa"/>
            <w:vAlign w:val="bottom"/>
            <w:shd w:val="clear" w:color="auto" w:fill="DCE2EF"/>
          </w:tcPr>
          <w:p>
            <w:pPr>
              <w:spacing w:after="0"/>
              <w:rPr>
                <w:sz w:val="22"/>
                <w:szCs w:val="22"/>
                <w:color w:val="auto"/>
              </w:rPr>
            </w:pPr>
          </w:p>
        </w:tc>
        <w:tc>
          <w:tcPr>
            <w:tcW w:w="1200" w:type="dxa"/>
            <w:vAlign w:val="bottom"/>
            <w:shd w:val="clear" w:color="auto" w:fill="DCE2EF"/>
          </w:tcPr>
          <w:p>
            <w:pPr>
              <w:spacing w:after="0"/>
              <w:rPr>
                <w:sz w:val="22"/>
                <w:szCs w:val="22"/>
                <w:color w:val="auto"/>
              </w:rPr>
            </w:pPr>
          </w:p>
        </w:tc>
        <w:tc>
          <w:tcPr>
            <w:tcW w:w="5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253"/>
        </w:trPr>
        <w:tc>
          <w:tcPr>
            <w:tcW w:w="7480" w:type="dxa"/>
            <w:vAlign w:val="bottom"/>
          </w:tcPr>
          <w:p>
            <w:pPr>
              <w:ind w:left="140"/>
              <w:spacing w:after="0"/>
              <w:rPr>
                <w:sz w:val="20"/>
                <w:szCs w:val="20"/>
                <w:color w:val="auto"/>
              </w:rPr>
            </w:pPr>
            <w:r>
              <w:rPr>
                <w:rFonts w:ascii="Arial" w:cs="Arial" w:eastAsia="Arial" w:hAnsi="Arial"/>
                <w:sz w:val="15"/>
                <w:szCs w:val="15"/>
                <w:color w:val="auto"/>
              </w:rPr>
              <w:t>Income taxes provision</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13.4</w:t>
            </w: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60"/>
        </w:trPr>
        <w:tc>
          <w:tcPr>
            <w:tcW w:w="7480" w:type="dxa"/>
            <w:vAlign w:val="bottom"/>
            <w:shd w:val="clear" w:color="auto" w:fill="DCE2EF"/>
          </w:tcPr>
          <w:p>
            <w:pPr>
              <w:ind w:left="140"/>
              <w:spacing w:after="0"/>
              <w:rPr>
                <w:sz w:val="20"/>
                <w:szCs w:val="20"/>
                <w:color w:val="auto"/>
              </w:rPr>
            </w:pPr>
            <w:r>
              <w:rPr>
                <w:rFonts w:ascii="Arial" w:cs="Arial" w:eastAsia="Arial" w:hAnsi="Arial"/>
                <w:sz w:val="15"/>
                <w:szCs w:val="15"/>
                <w:color w:val="auto"/>
              </w:rPr>
              <w:t>Interest expense</w:t>
            </w:r>
          </w:p>
        </w:tc>
        <w:tc>
          <w:tcPr>
            <w:tcW w:w="1220" w:type="dxa"/>
            <w:vAlign w:val="bottom"/>
            <w:shd w:val="clear" w:color="auto" w:fill="DCE2EF"/>
          </w:tcPr>
          <w:p>
            <w:pPr>
              <w:spacing w:after="0"/>
              <w:rPr>
                <w:sz w:val="22"/>
                <w:szCs w:val="22"/>
                <w:color w:val="auto"/>
              </w:rPr>
            </w:pPr>
          </w:p>
        </w:tc>
        <w:tc>
          <w:tcPr>
            <w:tcW w:w="5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24.0</w:t>
            </w:r>
          </w:p>
        </w:tc>
        <w:tc>
          <w:tcPr>
            <w:tcW w:w="220" w:type="dxa"/>
            <w:vAlign w:val="bottom"/>
            <w:shd w:val="clear" w:color="auto" w:fill="DCE2EF"/>
          </w:tcPr>
          <w:p>
            <w:pPr>
              <w:spacing w:after="0"/>
              <w:rPr>
                <w:sz w:val="22"/>
                <w:szCs w:val="22"/>
                <w:color w:val="auto"/>
              </w:rPr>
            </w:pPr>
          </w:p>
        </w:tc>
        <w:tc>
          <w:tcPr>
            <w:tcW w:w="1200" w:type="dxa"/>
            <w:vAlign w:val="bottom"/>
            <w:shd w:val="clear" w:color="auto" w:fill="DCE2EF"/>
          </w:tcPr>
          <w:p>
            <w:pPr>
              <w:spacing w:after="0"/>
              <w:rPr>
                <w:sz w:val="22"/>
                <w:szCs w:val="22"/>
                <w:color w:val="auto"/>
              </w:rPr>
            </w:pPr>
          </w:p>
        </w:tc>
        <w:tc>
          <w:tcPr>
            <w:tcW w:w="5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22.9</w:t>
            </w:r>
          </w:p>
        </w:tc>
        <w:tc>
          <w:tcPr>
            <w:tcW w:w="0" w:type="dxa"/>
            <w:vAlign w:val="bottom"/>
          </w:tcPr>
          <w:p>
            <w:pPr>
              <w:spacing w:after="0"/>
              <w:rPr>
                <w:sz w:val="1"/>
                <w:szCs w:val="1"/>
                <w:color w:val="auto"/>
              </w:rPr>
            </w:pPr>
          </w:p>
        </w:tc>
      </w:tr>
      <w:tr>
        <w:trPr>
          <w:trHeight w:val="253"/>
        </w:trPr>
        <w:tc>
          <w:tcPr>
            <w:tcW w:w="748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w:t>
            </w:r>
          </w:p>
        </w:tc>
        <w:tc>
          <w:tcPr>
            <w:tcW w:w="22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240"/>
        </w:trPr>
        <w:tc>
          <w:tcPr>
            <w:tcW w:w="7480" w:type="dxa"/>
            <w:vAlign w:val="bottom"/>
            <w:shd w:val="clear" w:color="auto" w:fill="DCE2EF"/>
          </w:tcPr>
          <w:p>
            <w:pPr>
              <w:ind w:left="60"/>
              <w:spacing w:after="0"/>
              <w:rPr>
                <w:sz w:val="20"/>
                <w:szCs w:val="20"/>
                <w:color w:val="auto"/>
              </w:rPr>
            </w:pPr>
            <w:r>
              <w:rPr>
                <w:rFonts w:ascii="Arial" w:cs="Arial" w:eastAsia="Arial" w:hAnsi="Arial"/>
                <w:sz w:val="15"/>
                <w:szCs w:val="15"/>
                <w:color w:val="auto"/>
              </w:rPr>
              <w:t>Adjusted EBITDA</w:t>
            </w:r>
          </w:p>
        </w:tc>
        <w:tc>
          <w:tcPr>
            <w:tcW w:w="1220" w:type="dxa"/>
            <w:vAlign w:val="bottom"/>
            <w:shd w:val="clear" w:color="auto" w:fill="DCE2EF"/>
          </w:tcPr>
          <w:p>
            <w:pPr>
              <w:jc w:val="right"/>
              <w:ind w:right="64"/>
              <w:spacing w:after="0"/>
              <w:rPr>
                <w:sz w:val="20"/>
                <w:szCs w:val="20"/>
                <w:color w:val="auto"/>
              </w:rPr>
            </w:pPr>
            <w:r>
              <w:rPr>
                <w:rFonts w:ascii="Arial" w:cs="Arial" w:eastAsia="Arial" w:hAnsi="Arial"/>
                <w:sz w:val="15"/>
                <w:szCs w:val="15"/>
                <w:color w:val="auto"/>
              </w:rPr>
              <w:t>$</w:t>
            </w:r>
          </w:p>
        </w:tc>
        <w:tc>
          <w:tcPr>
            <w:tcW w:w="5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117.8</w:t>
            </w:r>
          </w:p>
        </w:tc>
        <w:tc>
          <w:tcPr>
            <w:tcW w:w="142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120.6</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Net Income margin as a % of revenues</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74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1.7 %</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2.1 %</w:t>
            </w:r>
          </w:p>
        </w:tc>
        <w:tc>
          <w:tcPr>
            <w:tcW w:w="0" w:type="dxa"/>
            <w:vAlign w:val="bottom"/>
          </w:tcPr>
          <w:p>
            <w:pPr>
              <w:spacing w:after="0"/>
              <w:rPr>
                <w:sz w:val="1"/>
                <w:szCs w:val="1"/>
                <w:color w:val="auto"/>
              </w:rPr>
            </w:pPr>
          </w:p>
        </w:tc>
      </w:tr>
      <w:tr>
        <w:trPr>
          <w:trHeight w:val="81"/>
        </w:trPr>
        <w:tc>
          <w:tcPr>
            <w:tcW w:w="74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-1335405</wp:posOffset>
            </wp:positionV>
            <wp:extent cx="13716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-349885</wp:posOffset>
            </wp:positionV>
            <wp:extent cx="13716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48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5"/>
                <w:szCs w:val="15"/>
                <w:b w:val="1"/>
                <w:bCs w:val="1"/>
                <w:color w:val="auto"/>
              </w:rPr>
              <w:t>Three Months Ended January 31,</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480" w:type="dxa"/>
            <w:vAlign w:val="bottom"/>
          </w:tcPr>
          <w:p>
            <w:pPr>
              <w:spacing w:after="0"/>
              <w:rPr>
                <w:sz w:val="20"/>
                <w:szCs w:val="20"/>
                <w:color w:val="auto"/>
              </w:rPr>
            </w:pPr>
          </w:p>
        </w:tc>
        <w:tc>
          <w:tcPr>
            <w:tcW w:w="1280" w:type="dxa"/>
            <w:vAlign w:val="bottom"/>
          </w:tcPr>
          <w:p>
            <w:pPr>
              <w:jc w:val="right"/>
              <w:ind w:right="164"/>
              <w:spacing w:after="0"/>
              <w:rPr>
                <w:sz w:val="20"/>
                <w:szCs w:val="20"/>
                <w:color w:val="auto"/>
              </w:rPr>
            </w:pPr>
            <w:r>
              <w:rPr>
                <w:rFonts w:ascii="Arial" w:cs="Arial" w:eastAsia="Arial" w:hAnsi="Arial"/>
                <w:sz w:val="15"/>
                <w:szCs w:val="15"/>
                <w:b w:val="1"/>
                <w:bCs w:val="1"/>
                <w:color w:val="auto"/>
              </w:rPr>
              <w:t>2026</w:t>
            </w:r>
          </w:p>
        </w:tc>
        <w:tc>
          <w:tcPr>
            <w:tcW w:w="440" w:type="dxa"/>
            <w:vAlign w:val="bottom"/>
          </w:tcPr>
          <w:p>
            <w:pPr>
              <w:spacing w:after="0"/>
              <w:rPr>
                <w:sz w:val="20"/>
                <w:szCs w:val="20"/>
                <w:color w:val="auto"/>
              </w:rPr>
            </w:pPr>
          </w:p>
        </w:tc>
        <w:tc>
          <w:tcPr>
            <w:tcW w:w="1480" w:type="dxa"/>
            <w:vAlign w:val="bottom"/>
            <w:gridSpan w:val="2"/>
          </w:tcPr>
          <w:p>
            <w:pPr>
              <w:jc w:val="right"/>
              <w:ind w:right="164"/>
              <w:spacing w:after="0"/>
              <w:rPr>
                <w:sz w:val="20"/>
                <w:szCs w:val="20"/>
                <w:color w:val="auto"/>
              </w:rPr>
            </w:pPr>
            <w:r>
              <w:rPr>
                <w:rFonts w:ascii="Arial" w:cs="Arial" w:eastAsia="Arial" w:hAnsi="Arial"/>
                <w:sz w:val="15"/>
                <w:szCs w:val="15"/>
                <w:b w:val="1"/>
                <w:bCs w:val="1"/>
                <w:color w:val="auto"/>
              </w:rPr>
              <w:t>2025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48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Income per Diluted Share to Adjusted Net Income per Diluted Share</w:t>
            </w:r>
          </w:p>
        </w:tc>
        <w:tc>
          <w:tcPr>
            <w:tcW w:w="1280" w:type="dxa"/>
            <w:vAlign w:val="bottom"/>
            <w:tcBorders>
              <w:top w:val="single" w:sz="8" w:color="auto"/>
            </w:tcBorders>
            <w:shd w:val="clear" w:color="auto" w:fill="DCE2EF"/>
          </w:tcPr>
          <w:p>
            <w:pPr>
              <w:spacing w:after="0"/>
              <w:rPr>
                <w:sz w:val="20"/>
                <w:szCs w:val="20"/>
                <w:color w:val="auto"/>
              </w:rPr>
            </w:pPr>
          </w:p>
        </w:tc>
        <w:tc>
          <w:tcPr>
            <w:tcW w:w="440" w:type="dxa"/>
            <w:vAlign w:val="bottom"/>
            <w:tcBorders>
              <w:top w:val="single" w:sz="8" w:color="auto"/>
            </w:tcBorders>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1260" w:type="dxa"/>
            <w:vAlign w:val="bottom"/>
            <w:tcBorders>
              <w:top w:val="single" w:sz="8" w:color="auto"/>
            </w:tcBorders>
            <w:shd w:val="clear" w:color="auto" w:fill="DCE2EF"/>
          </w:tcPr>
          <w:p>
            <w:pPr>
              <w:spacing w:after="0"/>
              <w:rPr>
                <w:sz w:val="20"/>
                <w:szCs w:val="20"/>
                <w:color w:val="auto"/>
              </w:rPr>
            </w:pPr>
          </w:p>
        </w:tc>
        <w:tc>
          <w:tcPr>
            <w:tcW w:w="440" w:type="dxa"/>
            <w:vAlign w:val="bottom"/>
            <w:tcBorders>
              <w:top w:val="single" w:sz="8" w:color="auto"/>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7480" w:type="dxa"/>
            <w:vAlign w:val="bottom"/>
            <w:shd w:val="clear" w:color="auto" w:fill="DCE2EF"/>
          </w:tcPr>
          <w:p>
            <w:pPr>
              <w:spacing w:after="0"/>
              <w:rPr>
                <w:sz w:val="13"/>
                <w:szCs w:val="13"/>
                <w:color w:val="auto"/>
              </w:rPr>
            </w:pPr>
          </w:p>
        </w:tc>
        <w:tc>
          <w:tcPr>
            <w:tcW w:w="1280" w:type="dxa"/>
            <w:vAlign w:val="bottom"/>
            <w:shd w:val="clear" w:color="auto" w:fill="DCE2EF"/>
          </w:tcPr>
          <w:p>
            <w:pPr>
              <w:spacing w:after="0"/>
              <w:rPr>
                <w:sz w:val="13"/>
                <w:szCs w:val="13"/>
                <w:color w:val="auto"/>
              </w:rPr>
            </w:pPr>
          </w:p>
        </w:tc>
        <w:tc>
          <w:tcPr>
            <w:tcW w:w="44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1260" w:type="dxa"/>
            <w:vAlign w:val="bottom"/>
            <w:shd w:val="clear" w:color="auto" w:fill="DCE2EF"/>
          </w:tcPr>
          <w:p>
            <w:pPr>
              <w:spacing w:after="0"/>
              <w:rPr>
                <w:sz w:val="13"/>
                <w:szCs w:val="13"/>
                <w:color w:val="auto"/>
              </w:rPr>
            </w:pPr>
          </w:p>
        </w:tc>
        <w:tc>
          <w:tcPr>
            <w:tcW w:w="44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7480" w:type="dxa"/>
            <w:vAlign w:val="bottom"/>
          </w:tcPr>
          <w:p>
            <w:pPr>
              <w:ind w:left="60"/>
              <w:spacing w:after="0"/>
              <w:rPr>
                <w:sz w:val="20"/>
                <w:szCs w:val="20"/>
                <w:color w:val="auto"/>
              </w:rPr>
            </w:pPr>
            <w:r>
              <w:rPr>
                <w:rFonts w:ascii="Arial" w:cs="Arial" w:eastAsia="Arial" w:hAnsi="Arial"/>
                <w:sz w:val="15"/>
                <w:szCs w:val="15"/>
                <w:color w:val="auto"/>
              </w:rPr>
              <w:t>Net income per diluted share</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0.64</w:t>
            </w:r>
          </w:p>
        </w:tc>
        <w:tc>
          <w:tcPr>
            <w:tcW w:w="148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0.69</w:t>
            </w:r>
          </w:p>
        </w:tc>
        <w:tc>
          <w:tcPr>
            <w:tcW w:w="0" w:type="dxa"/>
            <w:vAlign w:val="bottom"/>
          </w:tcPr>
          <w:p>
            <w:pPr>
              <w:spacing w:after="0"/>
              <w:rPr>
                <w:sz w:val="1"/>
                <w:szCs w:val="1"/>
                <w:color w:val="auto"/>
              </w:rPr>
            </w:pPr>
          </w:p>
        </w:tc>
      </w:tr>
      <w:tr>
        <w:trPr>
          <w:trHeight w:val="257"/>
        </w:trPr>
        <w:tc>
          <w:tcPr>
            <w:tcW w:w="748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color w:val="auto"/>
              </w:rPr>
              <w:t>Items impacting comparability, net of taxes</w:t>
            </w:r>
          </w:p>
        </w:tc>
        <w:tc>
          <w:tcPr>
            <w:tcW w:w="1280" w:type="dxa"/>
            <w:vAlign w:val="bottom"/>
            <w:tcBorders>
              <w:bottom w:val="single" w:sz="8" w:color="auto"/>
            </w:tcBorders>
            <w:shd w:val="clear" w:color="auto" w:fill="DCE2EF"/>
          </w:tcPr>
          <w:p>
            <w:pPr>
              <w:spacing w:after="0"/>
              <w:rPr>
                <w:sz w:val="22"/>
                <w:szCs w:val="22"/>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0.19</w:t>
            </w:r>
          </w:p>
        </w:tc>
        <w:tc>
          <w:tcPr>
            <w:tcW w:w="22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auto"/>
            </w:tcBorders>
            <w:shd w:val="clear" w:color="auto" w:fill="DCE2EF"/>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0.19</w:t>
            </w:r>
          </w:p>
        </w:tc>
        <w:tc>
          <w:tcPr>
            <w:tcW w:w="0" w:type="dxa"/>
            <w:vAlign w:val="bottom"/>
          </w:tcPr>
          <w:p>
            <w:pPr>
              <w:spacing w:after="0"/>
              <w:rPr>
                <w:sz w:val="1"/>
                <w:szCs w:val="1"/>
                <w:color w:val="auto"/>
              </w:rPr>
            </w:pPr>
          </w:p>
        </w:tc>
      </w:tr>
      <w:tr>
        <w:trPr>
          <w:trHeight w:val="233"/>
        </w:trPr>
        <w:tc>
          <w:tcPr>
            <w:tcW w:w="7480" w:type="dxa"/>
            <w:vAlign w:val="bottom"/>
          </w:tcPr>
          <w:p>
            <w:pPr>
              <w:ind w:left="60"/>
              <w:spacing w:after="0"/>
              <w:rPr>
                <w:sz w:val="20"/>
                <w:szCs w:val="20"/>
                <w:color w:val="auto"/>
              </w:rPr>
            </w:pPr>
            <w:r>
              <w:rPr>
                <w:rFonts w:ascii="Arial" w:cs="Arial" w:eastAsia="Arial" w:hAnsi="Arial"/>
                <w:sz w:val="15"/>
                <w:szCs w:val="15"/>
                <w:color w:val="auto"/>
              </w:rPr>
              <w:t>Adjusted net income per diluted share</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0.83</w:t>
            </w:r>
          </w:p>
        </w:tc>
        <w:tc>
          <w:tcPr>
            <w:tcW w:w="148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0.87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480" w:type="dxa"/>
            <w:vAlign w:val="bottom"/>
            <w:shd w:val="clear" w:color="auto" w:fill="DCE2EF"/>
          </w:tcPr>
          <w:p>
            <w:pPr>
              <w:ind w:left="60"/>
              <w:spacing w:after="0"/>
              <w:rPr>
                <w:sz w:val="20"/>
                <w:szCs w:val="20"/>
                <w:color w:val="auto"/>
              </w:rPr>
            </w:pPr>
            <w:r>
              <w:rPr>
                <w:rFonts w:ascii="Arial" w:cs="Arial" w:eastAsia="Arial" w:hAnsi="Arial"/>
                <w:sz w:val="15"/>
                <w:szCs w:val="15"/>
                <w:color w:val="auto"/>
              </w:rPr>
              <w:t>Diluted shares</w:t>
            </w:r>
          </w:p>
        </w:tc>
        <w:tc>
          <w:tcPr>
            <w:tcW w:w="1280" w:type="dxa"/>
            <w:vAlign w:val="bottom"/>
            <w:shd w:val="clear" w:color="auto" w:fill="DCE2EF"/>
          </w:tcPr>
          <w:p>
            <w:pPr>
              <w:spacing w:after="0"/>
              <w:rPr>
                <w:sz w:val="16"/>
                <w:szCs w:val="16"/>
                <w:color w:val="auto"/>
              </w:rPr>
            </w:pPr>
          </w:p>
        </w:tc>
        <w:tc>
          <w:tcPr>
            <w:tcW w:w="4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60.7</w:t>
            </w:r>
          </w:p>
        </w:tc>
        <w:tc>
          <w:tcPr>
            <w:tcW w:w="220" w:type="dxa"/>
            <w:vAlign w:val="bottom"/>
            <w:shd w:val="clear" w:color="auto" w:fill="DCE2EF"/>
          </w:tcPr>
          <w:p>
            <w:pPr>
              <w:spacing w:after="0"/>
              <w:rPr>
                <w:sz w:val="16"/>
                <w:szCs w:val="16"/>
                <w:color w:val="auto"/>
              </w:rPr>
            </w:pPr>
          </w:p>
        </w:tc>
        <w:tc>
          <w:tcPr>
            <w:tcW w:w="1260" w:type="dxa"/>
            <w:vAlign w:val="bottom"/>
            <w:shd w:val="clear" w:color="auto" w:fill="DCE2EF"/>
          </w:tcPr>
          <w:p>
            <w:pPr>
              <w:spacing w:after="0"/>
              <w:rPr>
                <w:sz w:val="16"/>
                <w:szCs w:val="16"/>
                <w:color w:val="auto"/>
              </w:rPr>
            </w:pPr>
          </w:p>
        </w:tc>
        <w:tc>
          <w:tcPr>
            <w:tcW w:w="4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63.2</w:t>
            </w:r>
          </w:p>
        </w:tc>
        <w:tc>
          <w:tcPr>
            <w:tcW w:w="0" w:type="dxa"/>
            <w:vAlign w:val="bottom"/>
          </w:tcPr>
          <w:p>
            <w:pPr>
              <w:spacing w:after="0"/>
              <w:rPr>
                <w:sz w:val="1"/>
                <w:szCs w:val="1"/>
                <w:color w:val="auto"/>
              </w:rPr>
            </w:pPr>
          </w:p>
        </w:tc>
      </w:tr>
      <w:tr>
        <w:trPr>
          <w:trHeight w:val="56"/>
        </w:trPr>
        <w:tc>
          <w:tcPr>
            <w:tcW w:w="7480" w:type="dxa"/>
            <w:vAlign w:val="bottom"/>
            <w:shd w:val="clear" w:color="auto" w:fill="DCE2EF"/>
          </w:tcPr>
          <w:p>
            <w:pPr>
              <w:spacing w:after="0"/>
              <w:rPr>
                <w:sz w:val="4"/>
                <w:szCs w:val="4"/>
                <w:color w:val="auto"/>
              </w:rPr>
            </w:pPr>
          </w:p>
        </w:tc>
        <w:tc>
          <w:tcPr>
            <w:tcW w:w="1280" w:type="dxa"/>
            <w:vAlign w:val="bottom"/>
            <w:shd w:val="clear" w:color="auto" w:fill="DCE2EF"/>
          </w:tcPr>
          <w:p>
            <w:pPr>
              <w:spacing w:after="0"/>
              <w:rPr>
                <w:sz w:val="4"/>
                <w:szCs w:val="4"/>
                <w:color w:val="auto"/>
              </w:rPr>
            </w:pPr>
          </w:p>
        </w:tc>
        <w:tc>
          <w:tcPr>
            <w:tcW w:w="440" w:type="dxa"/>
            <w:vAlign w:val="bottom"/>
            <w:vMerge w:val="continue"/>
            <w:shd w:val="clear" w:color="auto" w:fill="DCE2EF"/>
          </w:tcPr>
          <w:p>
            <w:pPr>
              <w:spacing w:after="0"/>
              <w:rPr>
                <w:sz w:val="4"/>
                <w:szCs w:val="4"/>
                <w:color w:val="auto"/>
              </w:rPr>
            </w:pPr>
          </w:p>
        </w:tc>
        <w:tc>
          <w:tcPr>
            <w:tcW w:w="220" w:type="dxa"/>
            <w:vAlign w:val="bottom"/>
            <w:shd w:val="clear" w:color="auto" w:fill="DCE2EF"/>
          </w:tcPr>
          <w:p>
            <w:pPr>
              <w:spacing w:after="0"/>
              <w:rPr>
                <w:sz w:val="4"/>
                <w:szCs w:val="4"/>
                <w:color w:val="auto"/>
              </w:rPr>
            </w:pPr>
          </w:p>
        </w:tc>
        <w:tc>
          <w:tcPr>
            <w:tcW w:w="1260" w:type="dxa"/>
            <w:vAlign w:val="bottom"/>
            <w:shd w:val="clear" w:color="auto" w:fill="DCE2EF"/>
          </w:tcPr>
          <w:p>
            <w:pPr>
              <w:spacing w:after="0"/>
              <w:rPr>
                <w:sz w:val="4"/>
                <w:szCs w:val="4"/>
                <w:color w:val="auto"/>
              </w:rPr>
            </w:pPr>
          </w:p>
        </w:tc>
        <w:tc>
          <w:tcPr>
            <w:tcW w:w="440" w:type="dxa"/>
            <w:vAlign w:val="bottom"/>
            <w:vMerge w:val="continue"/>
            <w:shd w:val="clear" w:color="auto" w:fill="DCE2E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-944880</wp:posOffset>
            </wp:positionV>
            <wp:extent cx="13716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-361950</wp:posOffset>
            </wp:positionV>
            <wp:extent cx="13716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5" w:right="459" w:bottom="1440" w:gutter="0" w:footer="0" w:header="0"/>
        </w:sectPr>
      </w:pPr>
    </w:p>
    <w:bookmarkStart w:id="15" w:name="page16"/>
    <w:bookmarkEnd w:id="15"/>
    <w:p>
      <w:pPr>
        <w:ind w:left="8100"/>
        <w:spacing w:after="0"/>
        <w:rPr>
          <w:sz w:val="20"/>
          <w:szCs w:val="20"/>
          <w:color w:val="auto"/>
        </w:rPr>
      </w:pPr>
      <w:r>
        <w:rPr>
          <w:rFonts w:ascii="Arial" w:cs="Arial" w:eastAsia="Arial" w:hAnsi="Arial"/>
          <w:sz w:val="15"/>
          <w:szCs w:val="15"/>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22860</wp:posOffset>
            </wp:positionV>
            <wp:extent cx="23056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2025</w:t>
            </w:r>
          </w:p>
        </w:tc>
        <w:tc>
          <w:tcPr>
            <w:tcW w:w="600" w:type="dxa"/>
            <w:vAlign w:val="bottom"/>
            <w:tcBorders>
              <w:bottom w:val="single" w:sz="8" w:color="auto"/>
            </w:tcBorders>
          </w:tcPr>
          <w:p>
            <w:pPr>
              <w:spacing w:after="0"/>
              <w:rPr>
                <w:sz w:val="18"/>
                <w:szCs w:val="18"/>
                <w:color w:val="auto"/>
              </w:rPr>
            </w:pPr>
          </w:p>
        </w:tc>
      </w:tr>
      <w:tr>
        <w:trPr>
          <w:trHeight w:val="231"/>
        </w:trPr>
        <w:tc>
          <w:tcPr>
            <w:tcW w:w="8540" w:type="dxa"/>
            <w:vAlign w:val="bottom"/>
            <w:gridSpan w:val="2"/>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Cash Provided by (Used in) Operating Activities to Free Cash Flow</w:t>
            </w:r>
          </w:p>
        </w:tc>
        <w:tc>
          <w:tcPr>
            <w:tcW w:w="180" w:type="dxa"/>
            <w:vAlign w:val="bottom"/>
            <w:shd w:val="clear" w:color="auto" w:fill="DCE2EF"/>
          </w:tcPr>
          <w:p>
            <w:pPr>
              <w:spacing w:after="0"/>
              <w:rPr>
                <w:sz w:val="20"/>
                <w:szCs w:val="20"/>
                <w:color w:val="auto"/>
              </w:rPr>
            </w:pPr>
          </w:p>
        </w:tc>
        <w:tc>
          <w:tcPr>
            <w:tcW w:w="480" w:type="dxa"/>
            <w:vAlign w:val="bottom"/>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1100" w:type="dxa"/>
            <w:vAlign w:val="bottom"/>
            <w:shd w:val="clear" w:color="auto" w:fill="DCE2EF"/>
          </w:tcPr>
          <w:p>
            <w:pPr>
              <w:spacing w:after="0"/>
              <w:rPr>
                <w:sz w:val="20"/>
                <w:szCs w:val="20"/>
                <w:color w:val="auto"/>
              </w:rPr>
            </w:pPr>
          </w:p>
        </w:tc>
        <w:tc>
          <w:tcPr>
            <w:tcW w:w="600" w:type="dxa"/>
            <w:vAlign w:val="bottom"/>
            <w:shd w:val="clear" w:color="auto" w:fill="DCE2EF"/>
          </w:tcPr>
          <w:p>
            <w:pPr>
              <w:spacing w:after="0"/>
              <w:rPr>
                <w:sz w:val="20"/>
                <w:szCs w:val="20"/>
                <w:color w:val="auto"/>
              </w:rPr>
            </w:pPr>
          </w:p>
        </w:tc>
      </w:tr>
      <w:tr>
        <w:trPr>
          <w:trHeight w:val="160"/>
        </w:trPr>
        <w:tc>
          <w:tcPr>
            <w:tcW w:w="7480" w:type="dxa"/>
            <w:vAlign w:val="bottom"/>
            <w:shd w:val="clear" w:color="auto" w:fill="DCE2EF"/>
          </w:tcPr>
          <w:p>
            <w:pPr>
              <w:spacing w:after="0"/>
              <w:rPr>
                <w:sz w:val="13"/>
                <w:szCs w:val="13"/>
                <w:color w:val="auto"/>
              </w:rPr>
            </w:pPr>
          </w:p>
        </w:tc>
        <w:tc>
          <w:tcPr>
            <w:tcW w:w="1060" w:type="dxa"/>
            <w:vAlign w:val="bottom"/>
            <w:shd w:val="clear" w:color="auto" w:fill="DCE2EF"/>
          </w:tcPr>
          <w:p>
            <w:pPr>
              <w:spacing w:after="0"/>
              <w:rPr>
                <w:sz w:val="13"/>
                <w:szCs w:val="13"/>
                <w:color w:val="auto"/>
              </w:rPr>
            </w:pPr>
          </w:p>
        </w:tc>
        <w:tc>
          <w:tcPr>
            <w:tcW w:w="180" w:type="dxa"/>
            <w:vAlign w:val="bottom"/>
            <w:shd w:val="clear" w:color="auto" w:fill="DCE2EF"/>
          </w:tcPr>
          <w:p>
            <w:pPr>
              <w:spacing w:after="0"/>
              <w:rPr>
                <w:sz w:val="13"/>
                <w:szCs w:val="13"/>
                <w:color w:val="auto"/>
              </w:rPr>
            </w:pPr>
          </w:p>
        </w:tc>
        <w:tc>
          <w:tcPr>
            <w:tcW w:w="48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1100" w:type="dxa"/>
            <w:vAlign w:val="bottom"/>
            <w:shd w:val="clear" w:color="auto" w:fill="DCE2EF"/>
          </w:tcPr>
          <w:p>
            <w:pPr>
              <w:spacing w:after="0"/>
              <w:rPr>
                <w:sz w:val="13"/>
                <w:szCs w:val="13"/>
                <w:color w:val="auto"/>
              </w:rPr>
            </w:pPr>
          </w:p>
        </w:tc>
        <w:tc>
          <w:tcPr>
            <w:tcW w:w="600" w:type="dxa"/>
            <w:vAlign w:val="bottom"/>
            <w:shd w:val="clear" w:color="auto" w:fill="DCE2EF"/>
          </w:tcPr>
          <w:p>
            <w:pPr>
              <w:spacing w:after="0"/>
              <w:rPr>
                <w:sz w:val="13"/>
                <w:szCs w:val="13"/>
                <w:color w:val="auto"/>
              </w:rPr>
            </w:pPr>
          </w:p>
        </w:tc>
      </w:tr>
      <w:tr>
        <w:trPr>
          <w:trHeight w:val="253"/>
        </w:trPr>
        <w:tc>
          <w:tcPr>
            <w:tcW w:w="8540" w:type="dxa"/>
            <w:vAlign w:val="bottom"/>
            <w:gridSpan w:val="2"/>
          </w:tcPr>
          <w:p>
            <w:pPr>
              <w:ind w:left="60"/>
              <w:spacing w:after="0"/>
              <w:rPr>
                <w:sz w:val="20"/>
                <w:szCs w:val="20"/>
                <w:color w:val="auto"/>
              </w:rPr>
            </w:pPr>
            <w:r>
              <w:rPr>
                <w:rFonts w:ascii="Arial" w:cs="Arial" w:eastAsia="Arial" w:hAnsi="Arial"/>
                <w:sz w:val="15"/>
                <w:szCs w:val="15"/>
                <w:color w:val="auto"/>
              </w:rPr>
              <w:t>Net cash provided by (used in) operating activities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62.0</w:t>
            </w:r>
          </w:p>
        </w:tc>
        <w:tc>
          <w:tcPr>
            <w:tcW w:w="132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(106.2)</w:t>
            </w:r>
          </w:p>
        </w:tc>
      </w:tr>
      <w:tr>
        <w:trPr>
          <w:trHeight w:val="256"/>
        </w:trPr>
        <w:tc>
          <w:tcPr>
            <w:tcW w:w="748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color w:val="auto"/>
              </w:rPr>
              <w:t>Additions to property, plant and equipment</w:t>
            </w:r>
          </w:p>
        </w:tc>
        <w:tc>
          <w:tcPr>
            <w:tcW w:w="1060" w:type="dxa"/>
            <w:vAlign w:val="bottom"/>
            <w:tcBorders>
              <w:bottom w:val="single" w:sz="8" w:color="auto"/>
            </w:tcBorders>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spacing w:after="0"/>
              <w:rPr>
                <w:sz w:val="22"/>
                <w:szCs w:val="22"/>
                <w:color w:val="auto"/>
              </w:rPr>
            </w:pPr>
          </w:p>
        </w:tc>
        <w:tc>
          <w:tcPr>
            <w:tcW w:w="4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(13.2)</w:t>
            </w:r>
          </w:p>
        </w:tc>
        <w:tc>
          <w:tcPr>
            <w:tcW w:w="220" w:type="dxa"/>
            <w:vAlign w:val="bottom"/>
            <w:tcBorders>
              <w:bottom w:val="single" w:sz="8" w:color="DCE2EF"/>
            </w:tcBorders>
            <w:shd w:val="clear" w:color="auto" w:fill="DCE2EF"/>
          </w:tcPr>
          <w:p>
            <w:pPr>
              <w:spacing w:after="0"/>
              <w:rPr>
                <w:sz w:val="22"/>
                <w:szCs w:val="22"/>
                <w:color w:val="auto"/>
              </w:rPr>
            </w:pPr>
          </w:p>
        </w:tc>
        <w:tc>
          <w:tcPr>
            <w:tcW w:w="1100" w:type="dxa"/>
            <w:vAlign w:val="bottom"/>
            <w:tcBorders>
              <w:bottom w:val="single" w:sz="8" w:color="auto"/>
            </w:tcBorders>
            <w:shd w:val="clear" w:color="auto" w:fill="DCE2EF"/>
          </w:tcPr>
          <w:p>
            <w:pPr>
              <w:spacing w:after="0"/>
              <w:rPr>
                <w:sz w:val="22"/>
                <w:szCs w:val="22"/>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(16.7)</w:t>
            </w:r>
          </w:p>
        </w:tc>
      </w:tr>
      <w:tr>
        <w:trPr>
          <w:trHeight w:val="233"/>
        </w:trPr>
        <w:tc>
          <w:tcPr>
            <w:tcW w:w="8540" w:type="dxa"/>
            <w:vAlign w:val="bottom"/>
            <w:gridSpan w:val="2"/>
          </w:tcPr>
          <w:p>
            <w:pPr>
              <w:ind w:left="60"/>
              <w:spacing w:after="0"/>
              <w:rPr>
                <w:sz w:val="20"/>
                <w:szCs w:val="20"/>
                <w:color w:val="auto"/>
              </w:rPr>
            </w:pPr>
            <w:r>
              <w:rPr>
                <w:rFonts w:ascii="Arial" w:cs="Arial" w:eastAsia="Arial" w:hAnsi="Arial"/>
                <w:sz w:val="15"/>
                <w:szCs w:val="15"/>
                <w:color w:val="auto"/>
              </w:rPr>
              <w:t>Free cash flow</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48.9</w:t>
            </w:r>
          </w:p>
        </w:tc>
        <w:tc>
          <w:tcPr>
            <w:tcW w:w="132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(122.9)</w:t>
            </w:r>
          </w:p>
        </w:tc>
      </w:tr>
      <w:tr>
        <w:trPr>
          <w:trHeight w:val="27"/>
        </w:trPr>
        <w:tc>
          <w:tcPr>
            <w:tcW w:w="748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-782320</wp:posOffset>
            </wp:positionV>
            <wp:extent cx="13716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-199390</wp:posOffset>
            </wp:positionV>
            <wp:extent cx="13716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80"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13"/>
          <w:szCs w:val="13"/>
          <w:color w:val="auto"/>
          <w:vertAlign w:val="superscript"/>
        </w:rPr>
      </w:pPr>
      <w:r>
        <w:rPr>
          <w:rFonts w:ascii="Arial" w:cs="Arial" w:eastAsia="Arial" w:hAnsi="Arial"/>
          <w:sz w:val="10"/>
          <w:szCs w:val="10"/>
          <w:color w:val="auto"/>
        </w:rPr>
        <w:t>The Company adjusts income to exclude the impact of certain items that are unusual, non-recurring, or otherwise do not reflect management's views of the underlying operational results and trends of the Company.</w:t>
      </w:r>
    </w:p>
    <w:p>
      <w:pPr>
        <w:spacing w:after="0" w:line="93" w:lineRule="exact"/>
        <w:rPr>
          <w:rFonts w:ascii="Arial" w:cs="Arial" w:eastAsia="Arial" w:hAnsi="Arial"/>
          <w:sz w:val="13"/>
          <w:szCs w:val="13"/>
          <w:color w:val="auto"/>
          <w:vertAlign w:val="superscript"/>
        </w:rPr>
      </w:pPr>
    </w:p>
    <w:p>
      <w:pPr>
        <w:jc w:val="both"/>
        <w:ind w:firstLine="8"/>
        <w:spacing w:after="0" w:line="274" w:lineRule="auto"/>
        <w:tabs>
          <w:tab w:leader="none" w:pos="117" w:val="left"/>
        </w:tabs>
        <w:numPr>
          <w:ilvl w:val="0"/>
          <w:numId w:val="10"/>
        </w:numPr>
        <w:rPr>
          <w:rFonts w:ascii="Arial" w:cs="Arial" w:eastAsia="Arial" w:hAnsi="Arial"/>
          <w:sz w:val="13"/>
          <w:szCs w:val="13"/>
          <w:color w:val="auto"/>
          <w:vertAlign w:val="superscript"/>
        </w:rPr>
      </w:pPr>
      <w:r>
        <w:rPr>
          <w:rFonts w:ascii="Arial" w:cs="Arial" w:eastAsia="Arial" w:hAnsi="Arial"/>
          <w:sz w:val="10"/>
          <w:szCs w:val="10"/>
          <w:color w:val="auto"/>
        </w:rPr>
        <w:t>After communications with the staff of the Securities and Exchange Commission, we have revised the definition of our non-GAAP financial measures, including adjusted net income, adjusted earnings per share, and adjusted EBITDA, to no longer exclude the positive or negative impact of “prior year self-insurance adjustments”. Prior year self-insurance adjustments reflect the net changes to our self-insurance reserves for our general liability, workers’ compensation, automobile, and health insurance programs, related to claims from incidents that occurred in previous years. This definitional change has been applied to our first quarter 2026 results and retroactively to all presented periods to ensure comparability.</w:t>
      </w:r>
    </w:p>
    <w:p>
      <w:pPr>
        <w:spacing w:after="0" w:line="214" w:lineRule="exact"/>
        <w:rPr>
          <w:rFonts w:ascii="Arial" w:cs="Arial" w:eastAsia="Arial" w:hAnsi="Arial"/>
          <w:sz w:val="13"/>
          <w:szCs w:val="13"/>
          <w:color w:val="auto"/>
          <w:vertAlign w:val="superscript"/>
        </w:rPr>
      </w:pPr>
    </w:p>
    <w:p>
      <w:pPr>
        <w:ind w:left="120" w:hanging="112"/>
        <w:spacing w:after="0"/>
        <w:tabs>
          <w:tab w:leader="none" w:pos="120" w:val="left"/>
        </w:tabs>
        <w:numPr>
          <w:ilvl w:val="0"/>
          <w:numId w:val="10"/>
        </w:numPr>
        <w:rPr>
          <w:rFonts w:ascii="Arial" w:cs="Arial" w:eastAsia="Arial" w:hAnsi="Arial"/>
          <w:sz w:val="13"/>
          <w:szCs w:val="13"/>
          <w:color w:val="auto"/>
          <w:vertAlign w:val="superscript"/>
        </w:rPr>
      </w:pPr>
      <w:r>
        <w:rPr>
          <w:rFonts w:ascii="Arial" w:cs="Arial" w:eastAsia="Arial" w:hAnsi="Arial"/>
          <w:sz w:val="10"/>
          <w:szCs w:val="10"/>
          <w:color w:val="auto"/>
        </w:rPr>
        <w:t>Represents costs associated with restructuring program to further streamline our operations and improve the efficiency of our support functions.</w:t>
      </w:r>
    </w:p>
    <w:p>
      <w:pPr>
        <w:spacing w:after="0" w:line="93" w:lineRule="exact"/>
        <w:rPr>
          <w:rFonts w:ascii="Arial" w:cs="Arial" w:eastAsia="Arial" w:hAnsi="Arial"/>
          <w:sz w:val="13"/>
          <w:szCs w:val="13"/>
          <w:color w:val="auto"/>
          <w:vertAlign w:val="superscript"/>
        </w:rPr>
      </w:pPr>
    </w:p>
    <w:p>
      <w:pPr>
        <w:ind w:left="120" w:hanging="112"/>
        <w:spacing w:after="0"/>
        <w:tabs>
          <w:tab w:leader="none" w:pos="120" w:val="left"/>
        </w:tabs>
        <w:numPr>
          <w:ilvl w:val="0"/>
          <w:numId w:val="10"/>
        </w:numPr>
        <w:rPr>
          <w:rFonts w:ascii="Arial" w:cs="Arial" w:eastAsia="Arial" w:hAnsi="Arial"/>
          <w:sz w:val="13"/>
          <w:szCs w:val="13"/>
          <w:color w:val="auto"/>
          <w:vertAlign w:val="superscript"/>
        </w:rPr>
      </w:pPr>
      <w:r>
        <w:rPr>
          <w:rFonts w:ascii="Arial" w:cs="Arial" w:eastAsia="Arial" w:hAnsi="Arial"/>
          <w:sz w:val="10"/>
          <w:szCs w:val="10"/>
          <w:color w:val="auto"/>
        </w:rPr>
        <w:t>Represents acquisition and integration related costs associated with recent acquisitions.</w:t>
      </w:r>
    </w:p>
    <w:p>
      <w:pPr>
        <w:spacing w:after="0" w:line="93" w:lineRule="exact"/>
        <w:rPr>
          <w:rFonts w:ascii="Arial" w:cs="Arial" w:eastAsia="Arial" w:hAnsi="Arial"/>
          <w:sz w:val="13"/>
          <w:szCs w:val="13"/>
          <w:color w:val="auto"/>
          <w:vertAlign w:val="superscript"/>
        </w:rPr>
      </w:pPr>
    </w:p>
    <w:p>
      <w:pPr>
        <w:jc w:val="both"/>
        <w:ind w:firstLine="8"/>
        <w:spacing w:after="0" w:line="439" w:lineRule="auto"/>
        <w:tabs>
          <w:tab w:leader="none" w:pos="117" w:val="left"/>
        </w:tabs>
        <w:numPr>
          <w:ilvl w:val="0"/>
          <w:numId w:val="10"/>
        </w:numPr>
        <w:rPr>
          <w:rFonts w:ascii="Arial" w:cs="Arial" w:eastAsia="Arial" w:hAnsi="Arial"/>
          <w:sz w:val="13"/>
          <w:szCs w:val="13"/>
          <w:color w:val="auto"/>
          <w:vertAlign w:val="superscript"/>
        </w:rPr>
      </w:pPr>
      <w:r>
        <w:rPr>
          <w:rFonts w:ascii="Arial" w:cs="Arial" w:eastAsia="Arial" w:hAnsi="Arial"/>
          <w:sz w:val="10"/>
          <w:szCs w:val="10"/>
          <w:color w:val="auto"/>
        </w:rPr>
        <w:t>Represents discrete transformational costs that primarily consist of general and administrative costs for developing technological needs and alternatives, project management, testing, training and data conversion, consulting and professional fees for i) new enterprise resource planning system, ii) client facing technology, iii) workforce management tools and iv) data analytics. These costs are not expected to recur beyond the deployment of these initiatives.</w:t>
      </w:r>
    </w:p>
    <w:p>
      <w:pPr>
        <w:spacing w:after="0" w:line="29" w:lineRule="exact"/>
        <w:rPr>
          <w:rFonts w:ascii="Arial" w:cs="Arial" w:eastAsia="Arial" w:hAnsi="Arial"/>
          <w:sz w:val="13"/>
          <w:szCs w:val="13"/>
          <w:color w:val="auto"/>
          <w:vertAlign w:val="superscript"/>
        </w:rPr>
      </w:pPr>
    </w:p>
    <w:p>
      <w:pPr>
        <w:ind w:firstLine="8"/>
        <w:spacing w:after="0" w:line="286" w:lineRule="auto"/>
        <w:tabs>
          <w:tab w:leader="none" w:pos="96" w:val="left"/>
        </w:tabs>
        <w:numPr>
          <w:ilvl w:val="0"/>
          <w:numId w:val="10"/>
        </w:numPr>
        <w:rPr>
          <w:rFonts w:ascii="Arial" w:cs="Arial" w:eastAsia="Arial" w:hAnsi="Arial"/>
          <w:sz w:val="13"/>
          <w:szCs w:val="13"/>
          <w:color w:val="auto"/>
          <w:vertAlign w:val="superscript"/>
        </w:rPr>
      </w:pPr>
      <w:r>
        <w:rPr>
          <w:rFonts w:ascii="Arial" w:cs="Arial" w:eastAsia="Arial" w:hAnsi="Arial"/>
          <w:sz w:val="10"/>
          <w:szCs w:val="10"/>
          <w:color w:val="auto"/>
        </w:rPr>
        <w:t>The Company's tax impact is calculated using the federal and state statutory rate of 27.72% and 28.11% for FY2026 and FY2025, respectively. We calculate tax from the underlying whole-dollar amounts, as a result, certain amounts may not recalculate based on reported numbers due to rounding.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844"/>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2026-03-10T06:14:07Z</dcterms:created>
  <dcterms:modified xsi:type="dcterms:W3CDTF">2026-03-10T06:14:07Z</dcterms:modified>
</cp:coreProperties>
</file>