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963930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9" w:lineRule="exact"/>
        <w:rPr>
          <w:sz w:val="24"/>
          <w:szCs w:val="24"/>
          <w:color w:val="auto"/>
        </w:rPr>
      </w:pPr>
    </w:p>
    <w:p>
      <w:pPr>
        <w:ind w:left="720" w:hanging="685"/>
        <w:spacing w:after="0" w:line="26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July 31, 2017</w:t>
      </w:r>
    </w:p>
    <w:p>
      <w:pPr>
        <w:spacing w:after="0" w:line="12"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2" w:lineRule="exact"/>
        <w:rPr>
          <w:sz w:val="24"/>
          <w:szCs w:val="24"/>
          <w:color w:val="auto"/>
        </w:rPr>
      </w:pPr>
    </w:p>
    <w:p>
      <w:pPr>
        <w:ind w:left="720" w:hanging="685"/>
        <w:spacing w:after="0" w:line="27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-3810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09" w:lineRule="exact"/>
        <w:rPr>
          <w:sz w:val="24"/>
          <w:szCs w:val="24"/>
          <w:color w:val="auto"/>
        </w:rPr>
      </w:pPr>
    </w:p>
    <w:tbl>
      <w:tblPr>
        <w:tblLayout w:type="fixed"/>
        <w:tblInd w:w="440" w:type="dxa"/>
        <w:tblCellMar>
          <w:top w:w="0" w:type="dxa"/>
          <w:left w:w="0" w:type="dxa"/>
          <w:bottom w:w="0" w:type="dxa"/>
          <w:right w:w="0" w:type="dxa"/>
        </w:tblCellMar>
      </w:tblPr>
      <w:tr>
        <w:trPr>
          <w:trHeight w:val="253"/>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57"/>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43"/>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295"/>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53"/>
        </w:trPr>
        <w:tc>
          <w:tcPr>
            <w:tcW w:w="2760" w:type="dxa"/>
            <w:vAlign w:val="bottom"/>
          </w:tcPr>
          <w:p>
            <w:pPr>
              <w:spacing w:after="0"/>
              <w:rPr>
                <w:sz w:val="21"/>
                <w:szCs w:val="21"/>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16"/>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2"/>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03"/>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-2128520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440" w:right="279" w:bottom="1440" w:gutter="0" w:footer="0" w:header="0"/>
        </w:sectPr>
      </w:pPr>
    </w:p>
    <w:bookmarkStart w:id="1" w:name="page2"/>
    <w:bookmarkEnd w:id="1"/>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19"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ind w:right="1200"/>
        <w:spacing w:after="0" w:line="32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September 1, 2017: 65,135,908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2">
              <w:r>
                <w:rPr>
                  <w:rFonts w:ascii="Arial" w:cs="Arial" w:eastAsia="Arial" w:hAnsi="Arial"/>
                  <w:sz w:val="15"/>
                  <w:szCs w:val="15"/>
                  <w:color w:val="0000EE"/>
                  <w:w w:val="95"/>
                </w:rPr>
                <w:t>18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1">
              <w:r>
                <w:rPr>
                  <w:rFonts w:ascii="Arial" w:cs="Arial" w:eastAsia="Arial" w:hAnsi="Arial"/>
                  <w:sz w:val="15"/>
                  <w:szCs w:val="15"/>
                  <w:color w:val="0000EE"/>
                  <w:w w:val="95"/>
                </w:rPr>
                <w:t>37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3">
              <w:r>
                <w:rPr>
                  <w:rFonts w:ascii="Arial" w:cs="Arial" w:eastAsia="Arial" w:hAnsi="Arial"/>
                  <w:sz w:val="15"/>
                  <w:szCs w:val="15"/>
                  <w:color w:val="0000EE"/>
                  <w:w w:val="95"/>
                </w:rPr>
                <w:t>39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4">
              <w:r>
                <w:rPr>
                  <w:rFonts w:ascii="Arial" w:cs="Arial" w:eastAsia="Arial" w:hAnsi="Arial"/>
                  <w:sz w:val="15"/>
                  <w:szCs w:val="15"/>
                  <w:color w:val="0000EE"/>
                  <w:w w:val="95"/>
                </w:rPr>
                <w:t>40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5">
              <w:r>
                <w:rPr>
                  <w:rFonts w:ascii="Arial" w:cs="Arial" w:eastAsia="Arial" w:hAnsi="Arial"/>
                  <w:sz w:val="15"/>
                  <w:szCs w:val="15"/>
                  <w:color w:val="0000EE"/>
                  <w:w w:val="95"/>
                </w:rPr>
                <w:t>41</w:t>
              </w:r>
            </w:hyperlink>
          </w:p>
        </w:tc>
      </w:tr>
    </w:tbl>
    <w:p>
      <w:pPr>
        <w:sectPr>
          <w:pgSz w:w="11900" w:h="16838" w:orient="portrait"/>
          <w:cols w:equalWidth="0" w:num="1">
            <w:col w:w="11360"/>
          </w:cols>
          <w:pgMar w:left="280" w:top="49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risks and uncertainties that could cause our actual results to be materially different from those expressed in our forward-looking statements include the following:</w:t>
      </w:r>
    </w:p>
    <w:p>
      <w:pPr>
        <w:spacing w:after="0" w:line="15" w:lineRule="exact"/>
        <w:rPr>
          <w:sz w:val="20"/>
          <w:szCs w:val="20"/>
          <w:color w:val="auto"/>
        </w:rPr>
      </w:pPr>
    </w:p>
    <w:p>
      <w:pPr>
        <w:ind w:left="660" w:right="2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growth opportunities and cost synergies that are anticipated from the acquisition of GCA Services Group (“GCA”);</w:t>
      </w:r>
    </w:p>
    <w:p>
      <w:pPr>
        <w:spacing w:after="0" w:line="1" w:lineRule="exact"/>
        <w:rPr>
          <w:rFonts w:ascii="Arial" w:cs="Arial" w:eastAsia="Arial" w:hAnsi="Arial"/>
          <w:sz w:val="18"/>
          <w:szCs w:val="18"/>
          <w:color w:val="auto"/>
        </w:rPr>
      </w:pPr>
    </w:p>
    <w:p>
      <w:pPr>
        <w:ind w:left="660" w:hanging="328"/>
        <w:spacing w:after="0" w:line="28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a substantial amount of debt to complete the acquisition of GCA, and to service our debt we will require a significant amount of cash;</w:t>
      </w:r>
    </w:p>
    <w:p>
      <w:pPr>
        <w:spacing w:after="0" w:line="1" w:lineRule="exact"/>
        <w:rPr>
          <w:rFonts w:ascii="Arial" w:cs="Arial" w:eastAsia="Arial" w:hAnsi="Arial"/>
          <w:sz w:val="18"/>
          <w:szCs w:val="18"/>
          <w:color w:val="auto"/>
        </w:rPr>
      </w:pPr>
    </w:p>
    <w:p>
      <w:pPr>
        <w:ind w:left="660" w:hanging="328"/>
        <w:spacing w:after="0" w:line="28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estimates of ultimate insurance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be successful in achieving anticipated improvements;</w:t>
      </w:r>
    </w:p>
    <w:p>
      <w:pPr>
        <w:spacing w:after="0" w:line="63"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preserving long-term client relationships, passing through costs to clients, responding to competitive pressures, and retaining qualified personnel;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tax liabilities or changes in tax laws;</w:t>
      </w:r>
    </w:p>
    <w:p>
      <w:pPr>
        <w:spacing w:after="0" w:line="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Hurricane Harvey on our business is currently unknown, as the flooding it caused has disrupted operations at our Shared Services Center in Sugar Land, Texas and impacted services we provide to clients in the Houston area, and the timeframe to resume operations and provision of services to impacted clients is uncertain;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general economic conditions and resulting reductions in commercial office building occupancy;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joint venture partners to perform their obligations;</w:t>
      </w:r>
    </w:p>
    <w:p>
      <w:pPr>
        <w:spacing w:after="0" w:line="90"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other incidents at facilities in which we operate;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responding to cyber-security incidents and business interruptions;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associated with participation in multiemployer pension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activist investors;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catastrophic events, and terrorist attacks.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amounts)</w:t>
            </w:r>
          </w:p>
        </w:tc>
        <w:tc>
          <w:tcPr>
            <w:tcW w:w="260" w:type="dxa"/>
            <w:vAlign w:val="bottom"/>
          </w:tcPr>
          <w:p>
            <w:pPr>
              <w:spacing w:after="0"/>
              <w:rPr>
                <w:sz w:val="13"/>
                <w:szCs w:val="13"/>
                <w:color w:val="auto"/>
              </w:rPr>
            </w:pPr>
          </w:p>
        </w:tc>
        <w:tc>
          <w:tcPr>
            <w:tcW w:w="16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July 31, 2017</w:t>
            </w:r>
          </w:p>
        </w:tc>
        <w:tc>
          <w:tcPr>
            <w:tcW w:w="240" w:type="dxa"/>
            <w:vAlign w:val="bottom"/>
          </w:tcPr>
          <w:p>
            <w:pPr>
              <w:spacing w:after="0"/>
              <w:rPr>
                <w:sz w:val="13"/>
                <w:szCs w:val="13"/>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2016</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20" w:type="dxa"/>
            <w:vAlign w:val="bottom"/>
            <w:gridSpan w:val="2"/>
          </w:tcPr>
          <w:p>
            <w:pPr>
              <w:ind w:left="360"/>
              <w:spacing w:after="0" w:line="166" w:lineRule="exact"/>
              <w:rPr>
                <w:sz w:val="20"/>
                <w:szCs w:val="20"/>
                <w:color w:val="auto"/>
              </w:rPr>
            </w:pPr>
            <w:r>
              <w:rPr>
                <w:rFonts w:ascii="Arial" w:cs="Arial" w:eastAsia="Arial" w:hAnsi="Arial"/>
                <w:sz w:val="15"/>
                <w:szCs w:val="15"/>
                <w:color w:val="auto"/>
              </w:rPr>
              <w:t>Trade accounts receivable, net of allowances of $21.5</w:t>
            </w:r>
          </w:p>
        </w:tc>
        <w:tc>
          <w:tcPr>
            <w:tcW w:w="260" w:type="dxa"/>
            <w:vAlign w:val="bottom"/>
          </w:tcPr>
          <w:p>
            <w:pPr>
              <w:spacing w:after="0"/>
              <w:rPr>
                <w:sz w:val="14"/>
                <w:szCs w:val="14"/>
                <w:color w:val="auto"/>
              </w:rPr>
            </w:pPr>
          </w:p>
        </w:tc>
        <w:tc>
          <w:tcPr>
            <w:tcW w:w="1560" w:type="dxa"/>
            <w:vAlign w:val="bottom"/>
            <w:vMerge w:val="restart"/>
          </w:tcPr>
          <w:p>
            <w:pPr>
              <w:jc w:val="right"/>
              <w:ind w:right="43"/>
              <w:spacing w:after="0"/>
              <w:rPr>
                <w:sz w:val="20"/>
                <w:szCs w:val="20"/>
                <w:color w:val="auto"/>
              </w:rPr>
            </w:pPr>
            <w:r>
              <w:rPr>
                <w:rFonts w:ascii="Arial" w:cs="Arial" w:eastAsia="Arial" w:hAnsi="Arial"/>
                <w:sz w:val="15"/>
                <w:szCs w:val="15"/>
                <w:color w:val="auto"/>
              </w:rPr>
              <w:t>875.3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803.7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2"/>
          </w:tcPr>
          <w:p>
            <w:pPr>
              <w:ind w:left="480"/>
              <w:spacing w:after="0"/>
              <w:rPr>
                <w:sz w:val="20"/>
                <w:szCs w:val="20"/>
                <w:color w:val="auto"/>
              </w:rPr>
            </w:pPr>
            <w:r>
              <w:rPr>
                <w:rFonts w:ascii="Arial" w:cs="Arial" w:eastAsia="Arial" w:hAnsi="Arial"/>
                <w:sz w:val="15"/>
                <w:szCs w:val="15"/>
                <w:color w:val="auto"/>
              </w:rPr>
              <w:t>and $15.9 at July 31, 2017 and October 31, 2016, respectively</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Prepaid expenses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Other current assets</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31.3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Assets held for sale</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680"/>
              <w:spacing w:after="0"/>
              <w:rPr>
                <w:sz w:val="20"/>
                <w:szCs w:val="20"/>
                <w:color w:val="auto"/>
              </w:rPr>
            </w:pPr>
            <w:r>
              <w:rPr>
                <w:rFonts w:ascii="Arial" w:cs="Arial" w:eastAsia="Arial" w:hAnsi="Arial"/>
                <w:sz w:val="15"/>
                <w:szCs w:val="15"/>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1,049.0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991.3</w:t>
            </w:r>
          </w:p>
        </w:tc>
        <w:tc>
          <w:tcPr>
            <w:tcW w:w="0" w:type="dxa"/>
            <w:vAlign w:val="bottom"/>
          </w:tcPr>
          <w:p>
            <w:pPr>
              <w:spacing w:after="0"/>
              <w:rPr>
                <w:sz w:val="1"/>
                <w:szCs w:val="1"/>
                <w:color w:val="auto"/>
              </w:rPr>
            </w:pPr>
          </w:p>
        </w:tc>
      </w:tr>
      <w:tr>
        <w:trPr>
          <w:trHeight w:val="25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investments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6"/>
        </w:trPr>
        <w:tc>
          <w:tcPr>
            <w:tcW w:w="7540" w:type="dxa"/>
            <w:vAlign w:val="bottom"/>
            <w:gridSpan w:val="3"/>
          </w:tcPr>
          <w:p>
            <w:pPr>
              <w:ind w:left="20"/>
              <w:spacing w:after="0" w:line="166" w:lineRule="exact"/>
              <w:rPr>
                <w:sz w:val="20"/>
                <w:szCs w:val="20"/>
                <w:color w:val="auto"/>
              </w:rPr>
            </w:pPr>
            <w:r>
              <w:rPr>
                <w:rFonts w:ascii="Arial" w:cs="Arial" w:eastAsia="Arial" w:hAnsi="Arial"/>
                <w:sz w:val="15"/>
                <w:szCs w:val="15"/>
                <w:color w:val="auto"/>
              </w:rPr>
              <w:t>Property, plant and equipment, net of accumulated depreciation of $185.0</w:t>
            </w:r>
          </w:p>
        </w:tc>
        <w:tc>
          <w:tcPr>
            <w:tcW w:w="260" w:type="dxa"/>
            <w:vAlign w:val="bottom"/>
          </w:tcPr>
          <w:p>
            <w:pPr>
              <w:spacing w:after="0"/>
              <w:rPr>
                <w:sz w:val="14"/>
                <w:szCs w:val="14"/>
                <w:color w:val="auto"/>
              </w:rPr>
            </w:pPr>
          </w:p>
        </w:tc>
        <w:tc>
          <w:tcPr>
            <w:tcW w:w="1560" w:type="dxa"/>
            <w:vAlign w:val="bottom"/>
            <w:vMerge w:val="restart"/>
          </w:tcPr>
          <w:p>
            <w:pPr>
              <w:jc w:val="right"/>
              <w:ind w:right="43"/>
              <w:spacing w:after="0"/>
              <w:rPr>
                <w:sz w:val="20"/>
                <w:szCs w:val="20"/>
                <w:color w:val="auto"/>
              </w:rPr>
            </w:pPr>
            <w:r>
              <w:rPr>
                <w:rFonts w:ascii="Arial" w:cs="Arial" w:eastAsia="Arial" w:hAnsi="Arial"/>
                <w:sz w:val="15"/>
                <w:szCs w:val="15"/>
                <w:color w:val="auto"/>
              </w:rPr>
              <w:t>100.9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Arial" w:cs="Arial" w:eastAsia="Arial" w:hAnsi="Arial"/>
                <w:sz w:val="15"/>
                <w:szCs w:val="15"/>
                <w:color w:val="auto"/>
              </w:rPr>
              <w:t>and $163.4 at July 31, 2017 and October 31, 2016, respectively</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5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5"/>
                <w:szCs w:val="15"/>
                <w:color w:val="auto"/>
              </w:rPr>
              <w:t>Other intangible assets, net of accumulated amortization of $174.9</w:t>
            </w:r>
          </w:p>
        </w:tc>
        <w:tc>
          <w:tcPr>
            <w:tcW w:w="2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103.8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and $157.0 at July 31, 2017 and October 31, 2016, respectively</w:t>
            </w:r>
          </w:p>
        </w:tc>
        <w:tc>
          <w:tcPr>
            <w:tcW w:w="26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926.9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912.8</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taxes, net</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267"/>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2,352.9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2,278.8</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5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Trade accounts payable</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23"/>
                <w:szCs w:val="23"/>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174.3</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Accrued compensation</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Accrued taxes—other than income</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Insurance claims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Income taxes payable</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Legal settlements from discontinued operations</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Other accrued liabilities</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137.1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135.9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Liabilities held for sale</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680"/>
              <w:spacing w:after="0"/>
              <w:rPr>
                <w:sz w:val="20"/>
                <w:szCs w:val="20"/>
                <w:color w:val="auto"/>
              </w:rPr>
            </w:pPr>
            <w:r>
              <w:rPr>
                <w:rFonts w:ascii="Arial" w:cs="Arial" w:eastAsia="Arial" w:hAnsi="Arial"/>
                <w:sz w:val="15"/>
                <w:szCs w:val="15"/>
                <w:color w:val="auto"/>
              </w:rPr>
              <w:t>Total current liabilities</w:t>
            </w:r>
          </w:p>
        </w:tc>
        <w:tc>
          <w:tcPr>
            <w:tcW w:w="26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690.1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596.8</w:t>
            </w:r>
          </w:p>
        </w:tc>
        <w:tc>
          <w:tcPr>
            <w:tcW w:w="0" w:type="dxa"/>
            <w:vAlign w:val="bottom"/>
          </w:tcPr>
          <w:p>
            <w:pPr>
              <w:spacing w:after="0"/>
              <w:rPr>
                <w:sz w:val="1"/>
                <w:szCs w:val="1"/>
                <w:color w:val="auto"/>
              </w:rPr>
            </w:pPr>
          </w:p>
        </w:tc>
      </w:tr>
      <w:tr>
        <w:trPr>
          <w:trHeight w:val="25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Noncurrent income taxes payable</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Line of credit</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264.7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27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 liability, net</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67"/>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Noncurrent insurance claims</w:t>
            </w:r>
          </w:p>
        </w:tc>
        <w:tc>
          <w:tcPr>
            <w:tcW w:w="260" w:type="dxa"/>
            <w:vAlign w:val="bottom"/>
          </w:tcPr>
          <w:p>
            <w:pPr>
              <w:spacing w:after="0"/>
              <w:rPr>
                <w:sz w:val="23"/>
                <w:szCs w:val="23"/>
                <w:color w:val="auto"/>
              </w:rPr>
            </w:pPr>
          </w:p>
        </w:tc>
        <w:tc>
          <w:tcPr>
            <w:tcW w:w="1560" w:type="dxa"/>
            <w:vAlign w:val="bottom"/>
          </w:tcPr>
          <w:p>
            <w:pPr>
              <w:jc w:val="right"/>
              <w:ind w:right="43"/>
              <w:spacing w:after="0"/>
              <w:rPr>
                <w:sz w:val="20"/>
                <w:szCs w:val="20"/>
                <w:color w:val="auto"/>
              </w:rPr>
            </w:pPr>
            <w:r>
              <w:rPr>
                <w:rFonts w:ascii="Arial" w:cs="Arial" w:eastAsia="Arial" w:hAnsi="Arial"/>
                <w:sz w:val="15"/>
                <w:szCs w:val="15"/>
                <w:color w:val="auto"/>
              </w:rPr>
              <w:t>355.5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331.6</w:t>
            </w:r>
          </w:p>
        </w:tc>
        <w:tc>
          <w:tcPr>
            <w:tcW w:w="0" w:type="dxa"/>
            <w:vAlign w:val="bottom"/>
          </w:tcPr>
          <w:p>
            <w:pPr>
              <w:spacing w:after="0"/>
              <w:rPr>
                <w:sz w:val="1"/>
                <w:szCs w:val="1"/>
                <w:color w:val="auto"/>
              </w:rPr>
            </w:pPr>
          </w:p>
        </w:tc>
      </w:tr>
      <w:tr>
        <w:trPr>
          <w:trHeight w:val="2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55.2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1,384.3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1,304.8</w:t>
            </w:r>
          </w:p>
        </w:tc>
        <w:tc>
          <w:tcPr>
            <w:tcW w:w="0" w:type="dxa"/>
            <w:vAlign w:val="bottom"/>
          </w:tcPr>
          <w:p>
            <w:pPr>
              <w:spacing w:after="0"/>
              <w:rPr>
                <w:sz w:val="1"/>
                <w:szCs w:val="1"/>
                <w:color w:val="auto"/>
              </w:rPr>
            </w:pPr>
          </w:p>
        </w:tc>
      </w:tr>
      <w:tr>
        <w:trPr>
          <w:trHeight w:val="25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54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520" w:type="dxa"/>
            <w:vAlign w:val="bottom"/>
            <w:gridSpan w:val="2"/>
          </w:tcPr>
          <w:p>
            <w:pPr>
              <w:ind w:left="360"/>
              <w:spacing w:after="0" w:line="166" w:lineRule="exact"/>
              <w:rPr>
                <w:sz w:val="20"/>
                <w:szCs w:val="20"/>
                <w:color w:val="auto"/>
              </w:rPr>
            </w:pPr>
            <w:r>
              <w:rPr>
                <w:rFonts w:ascii="Arial" w:cs="Arial" w:eastAsia="Arial" w:hAnsi="Arial"/>
                <w:sz w:val="15"/>
                <w:szCs w:val="15"/>
                <w:color w:val="auto"/>
              </w:rPr>
              <w:t>Common stock, $0.01 par value; 100,000,000 shares authorized;</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2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55,793,807 and 55,599,322 shares issued and outstanding at</w:t>
            </w:r>
          </w:p>
        </w:tc>
        <w:tc>
          <w:tcPr>
            <w:tcW w:w="260" w:type="dxa"/>
            <w:vAlign w:val="bottom"/>
          </w:tcPr>
          <w:p>
            <w:pPr>
              <w:spacing w:after="0"/>
              <w:rPr>
                <w:sz w:val="14"/>
                <w:szCs w:val="14"/>
                <w:color w:val="auto"/>
              </w:rPr>
            </w:pPr>
          </w:p>
        </w:tc>
        <w:tc>
          <w:tcPr>
            <w:tcW w:w="1560" w:type="dxa"/>
            <w:vAlign w:val="bottom"/>
            <w:vMerge w:val="restart"/>
          </w:tcPr>
          <w:p>
            <w:pPr>
              <w:jc w:val="right"/>
              <w:ind w:right="43"/>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July 31, 2017 and October 31, 2016, respectively</w:t>
            </w:r>
          </w:p>
        </w:tc>
        <w:tc>
          <w:tcPr>
            <w:tcW w:w="2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248.6</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Retained earnings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734.9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756.4</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968.6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974.0</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2,352.9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4" w:right="239" w:bottom="9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44" w:right="239" w:bottom="984"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July 31,</w:t>
            </w:r>
          </w:p>
        </w:tc>
        <w:tc>
          <w:tcPr>
            <w:tcW w:w="240" w:type="dxa"/>
            <w:vAlign w:val="bottom"/>
          </w:tcPr>
          <w:p>
            <w:pPr>
              <w:spacing w:after="0"/>
              <w:rPr>
                <w:sz w:val="19"/>
                <w:szCs w:val="19"/>
                <w:color w:val="auto"/>
              </w:rPr>
            </w:pPr>
          </w:p>
        </w:tc>
        <w:tc>
          <w:tcPr>
            <w:tcW w:w="2600" w:type="dxa"/>
            <w:vAlign w:val="bottom"/>
            <w:gridSpan w:val="4"/>
          </w:tcPr>
          <w:p>
            <w:pPr>
              <w:jc w:val="right"/>
              <w:ind w:right="281"/>
              <w:spacing w:after="0"/>
              <w:rPr>
                <w:sz w:val="20"/>
                <w:szCs w:val="20"/>
                <w:color w:val="auto"/>
              </w:rPr>
            </w:pPr>
            <w:r>
              <w:rPr>
                <w:rFonts w:ascii="Arial" w:cs="Arial" w:eastAsia="Arial" w:hAnsi="Arial"/>
                <w:sz w:val="16"/>
                <w:szCs w:val="16"/>
                <w:b w:val="1"/>
                <w:bCs w:val="1"/>
                <w:color w:val="auto"/>
              </w:rPr>
              <w:t>Nine Months Ended July 31,</w:t>
            </w:r>
          </w:p>
        </w:tc>
      </w:tr>
      <w:tr>
        <w:trPr>
          <w:trHeight w:val="223"/>
        </w:trPr>
        <w:tc>
          <w:tcPr>
            <w:tcW w:w="536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1,318.4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3,955.6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3,822.4</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1,184.5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1,161.3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3,544.1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3,430.1</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299.2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310.2</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18.8</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Restructuring and related expenses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19.3</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Impairment recovery and gain on sale</w:t>
            </w:r>
          </w:p>
        </w:tc>
        <w:tc>
          <w:tcPr>
            <w:tcW w:w="280" w:type="dxa"/>
            <w:vAlign w:val="bottom"/>
          </w:tcPr>
          <w:p>
            <w:pPr>
              <w:spacing w:after="0"/>
              <w:rPr>
                <w:sz w:val="23"/>
                <w:szCs w:val="23"/>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52"/>
        </w:trPr>
        <w:tc>
          <w:tcPr>
            <w:tcW w:w="5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22.6</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97.4</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44.0</w:t>
            </w:r>
          </w:p>
        </w:tc>
      </w:tr>
      <w:tr>
        <w:trPr>
          <w:trHeight w:val="26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5.3</w:t>
            </w:r>
          </w:p>
        </w:tc>
      </w:tr>
      <w:tr>
        <w:trPr>
          <w:trHeight w:val="270"/>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50"/>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21"/>
                <w:szCs w:val="21"/>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41.6</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r>
      <w:tr>
        <w:trPr>
          <w:trHeight w:val="248"/>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21"/>
                <w:szCs w:val="21"/>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53.3</w:t>
            </w:r>
          </w:p>
        </w:tc>
      </w:tr>
      <w:tr>
        <w:trPr>
          <w:trHeight w:val="27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0"/>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49.4</w:t>
            </w:r>
          </w:p>
        </w:tc>
      </w:tr>
      <w:tr>
        <w:trPr>
          <w:trHeight w:val="264"/>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70"/>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Other, net of taxes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79"/>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31.9</w:t>
            </w:r>
          </w:p>
        </w:tc>
      </w:tr>
      <w:tr>
        <w:trPr>
          <w:trHeight w:val="251"/>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common share — Basic</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3"/>
                <w:szCs w:val="23"/>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0.94</w:t>
            </w:r>
          </w:p>
        </w:tc>
      </w:tr>
      <w:tr>
        <w:trPr>
          <w:trHeight w:val="272"/>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76"/>
        </w:trPr>
        <w:tc>
          <w:tcPr>
            <w:tcW w:w="2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0.88</w:t>
            </w:r>
          </w:p>
        </w:tc>
      </w:tr>
      <w:tr>
        <w:trPr>
          <w:trHeight w:val="25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common share — Diluted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3"/>
                <w:szCs w:val="23"/>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0.94</w:t>
            </w:r>
          </w:p>
        </w:tc>
      </w:tr>
      <w:tr>
        <w:trPr>
          <w:trHeight w:val="272"/>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76"/>
        </w:trPr>
        <w:tc>
          <w:tcPr>
            <w:tcW w:w="20" w:type="dxa"/>
            <w:vAlign w:val="bottom"/>
            <w:tcBorders>
              <w:bottom w:val="single" w:sz="8" w:color="CCEEFF"/>
            </w:tcBorders>
          </w:tcPr>
          <w:p>
            <w:pPr>
              <w:spacing w:after="0"/>
              <w:rPr>
                <w:sz w:val="23"/>
                <w:szCs w:val="23"/>
                <w:color w:val="auto"/>
              </w:rPr>
            </w:pPr>
          </w:p>
        </w:tc>
        <w:tc>
          <w:tcPr>
            <w:tcW w:w="53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0.87</w:t>
            </w:r>
          </w:p>
        </w:tc>
      </w:tr>
      <w:tr>
        <w:trPr>
          <w:trHeight w:val="140"/>
        </w:trPr>
        <w:tc>
          <w:tcPr>
            <w:tcW w:w="536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rPr>
              <w:t>Weighted-average common and common</w:t>
            </w: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equivalent shares outstanding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5340" w:type="dxa"/>
            <w:vAlign w:val="bottom"/>
            <w:gridSpan w:val="2"/>
          </w:tcPr>
          <w:p>
            <w:pPr>
              <w:ind w:left="36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56.4</w:t>
            </w:r>
          </w:p>
        </w:tc>
      </w:tr>
      <w:tr>
        <w:trPr>
          <w:trHeight w:val="272"/>
        </w:trPr>
        <w:tc>
          <w:tcPr>
            <w:tcW w:w="20" w:type="dxa"/>
            <w:vAlign w:val="bottom"/>
            <w:shd w:val="clear" w:color="auto" w:fill="CCEEFF"/>
          </w:tcPr>
          <w:p>
            <w:pPr>
              <w:spacing w:after="0"/>
              <w:rPr>
                <w:sz w:val="23"/>
                <w:szCs w:val="23"/>
                <w:color w:val="auto"/>
              </w:rPr>
            </w:pPr>
          </w:p>
        </w:tc>
        <w:tc>
          <w:tcPr>
            <w:tcW w:w="53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56.9</w:t>
            </w:r>
          </w:p>
        </w:tc>
      </w:tr>
      <w:tr>
        <w:trPr>
          <w:trHeight w:val="274"/>
        </w:trPr>
        <w:tc>
          <w:tcPr>
            <w:tcW w:w="536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0.170</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0.165</w:t>
            </w:r>
          </w:p>
        </w:tc>
        <w:tc>
          <w:tcPr>
            <w:tcW w:w="100" w:type="dxa"/>
            <w:vAlign w:val="bottom"/>
          </w:tcPr>
          <w:p>
            <w:pPr>
              <w:spacing w:after="0"/>
              <w:rPr>
                <w:sz w:val="23"/>
                <w:szCs w:val="23"/>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0.510</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0.495</w:t>
            </w: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45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4"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27305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4"/>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70"/>
        </w:trPr>
        <w:tc>
          <w:tcPr>
            <w:tcW w:w="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14"/>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49.4</w:t>
            </w:r>
          </w:p>
        </w:tc>
      </w:tr>
      <w:tr>
        <w:trPr>
          <w:trHeight w:val="56"/>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08"/>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r>
      <w:tr>
        <w:trPr>
          <w:trHeight w:val="202"/>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49"/>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74"/>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 continuing</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4"/>
        </w:trPr>
        <w:tc>
          <w:tcPr>
            <w:tcW w:w="4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operations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8"/>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43.1</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Impairment recovery and gain on sale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Provision for bad debt</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Gain on sale of assets</w:t>
            </w:r>
          </w:p>
        </w:tc>
        <w:tc>
          <w:tcPr>
            <w:tcW w:w="3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4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Trade accounts receivable</w:t>
            </w:r>
          </w:p>
        </w:tc>
        <w:tc>
          <w:tcPr>
            <w:tcW w:w="3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4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Other noncurrent assets</w:t>
            </w:r>
          </w:p>
        </w:tc>
        <w:tc>
          <w:tcPr>
            <w:tcW w:w="3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4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Insurance claims</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32.5</w:t>
            </w:r>
          </w:p>
        </w:tc>
      </w:tr>
      <w:tr>
        <w:trPr>
          <w:trHeight w:val="62"/>
        </w:trPr>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62"/>
        </w:trPr>
        <w:tc>
          <w:tcPr>
            <w:tcW w:w="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08"/>
        </w:trPr>
        <w:tc>
          <w:tcPr>
            <w:tcW w:w="4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Other noncurrent liabilities</w:t>
            </w: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62"/>
        </w:trPr>
        <w:tc>
          <w:tcPr>
            <w:tcW w:w="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76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r>
      <w:tr>
        <w:trPr>
          <w:trHeight w:val="246"/>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100.7</w:t>
            </w: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253"/>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75.1</w:t>
            </w:r>
          </w:p>
        </w:tc>
      </w:tr>
      <w:tr>
        <w:trPr>
          <w:trHeight w:val="195"/>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70"/>
        </w:trPr>
        <w:tc>
          <w:tcPr>
            <w:tcW w:w="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bl>
    <w:p>
      <w:pPr>
        <w:spacing w:after="0" w:line="14" w:lineRule="exact"/>
        <w:rPr>
          <w:sz w:val="20"/>
          <w:szCs w:val="20"/>
          <w:color w:val="auto"/>
        </w:rPr>
      </w:pPr>
    </w:p>
    <w:p>
      <w:pPr>
        <w:sectPr>
          <w:pgSz w:w="11900" w:h="16838" w:orient="portrait"/>
          <w:cols w:equalWidth="0" w:num="1">
            <w:col w:w="11420"/>
          </w:cols>
          <w:pgMar w:left="240" w:top="525" w:right="239" w:bottom="0" w:gutter="0" w:footer="0" w:header="0"/>
        </w:sectPr>
      </w:pPr>
    </w:p>
    <w:p>
      <w:pPr>
        <w:ind w:left="40"/>
        <w:spacing w:after="0"/>
        <w:rPr>
          <w:sz w:val="20"/>
          <w:szCs w:val="20"/>
          <w:color w:val="auto"/>
        </w:rPr>
      </w:pPr>
      <w:r>
        <w:rPr>
          <w:rFonts w:ascii="Arial" w:cs="Arial" w:eastAsia="Arial" w:hAnsi="Arial"/>
          <w:sz w:val="14"/>
          <w:szCs w:val="14"/>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 of assets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businesses,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redemption of auction rate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 of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Arial" w:cs="Arial" w:eastAsia="Arial" w:hAnsi="Arial"/>
          <w:sz w:val="13"/>
          <w:szCs w:val="13"/>
          <w:color w:val="auto"/>
        </w:rPr>
        <w:t>(42.2)</w:t>
      </w:r>
    </w:p>
    <w:p>
      <w:pPr>
        <w:spacing w:after="0" w:line="121"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1.4</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35.5</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(18.6)</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(23.9)</w:t>
      </w:r>
    </w:p>
    <w:p>
      <w:pPr>
        <w:spacing w:after="0" w:line="107"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w:t>
      </w:r>
    </w:p>
    <w:p>
      <w:pPr>
        <w:spacing w:after="0" w:line="123" w:lineRule="exact"/>
        <w:rPr>
          <w:sz w:val="20"/>
          <w:szCs w:val="20"/>
          <w:color w:val="auto"/>
        </w:rPr>
      </w:pPr>
    </w:p>
    <w:p>
      <w:pPr>
        <w:jc w:val="right"/>
        <w:ind w:right="420"/>
        <w:spacing w:after="0"/>
        <w:rPr>
          <w:sz w:val="20"/>
          <w:szCs w:val="20"/>
          <w:color w:val="auto"/>
        </w:rPr>
      </w:pPr>
      <w:r>
        <w:rPr>
          <w:rFonts w:ascii="Arial" w:cs="Arial" w:eastAsia="Arial" w:hAnsi="Arial"/>
          <w:sz w:val="13"/>
          <w:szCs w:val="13"/>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59055</wp:posOffset>
            </wp:positionV>
            <wp:extent cx="951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4"/>
          <w:szCs w:val="14"/>
          <w:color w:val="auto"/>
        </w:rPr>
        <w:t>(27.4)</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0.6</w:t>
      </w:r>
    </w:p>
    <w:p>
      <w:pPr>
        <w:spacing w:after="0" w:line="16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(81.0)</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(102.8)</w:t>
      </w:r>
    </w:p>
    <w:p>
      <w:pPr>
        <w:spacing w:after="0" w:line="9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52070</wp:posOffset>
            </wp:positionV>
            <wp:extent cx="926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3">
            <w:col w:w="8680" w:space="720"/>
            <w:col w:w="780" w:space="720"/>
            <w:col w:w="520"/>
          </w:cols>
          <w:pgMar w:left="240" w:top="525" w:right="2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Proceeds from issuance of share-based compensation awards, net of taxes withheld</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4"/>
                <w:szCs w:val="14"/>
                <w:color w:val="auto"/>
              </w:rPr>
              <w:t>Repurchases of common stock</w:t>
            </w:r>
          </w:p>
        </w:tc>
        <w:tc>
          <w:tcPr>
            <w:tcW w:w="540" w:type="dxa"/>
            <w:vAlign w:val="bottom"/>
          </w:tcPr>
          <w:p>
            <w:pPr>
              <w:spacing w:after="0"/>
              <w:rPr>
                <w:sz w:val="18"/>
                <w:szCs w:val="18"/>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4"/>
                <w:szCs w:val="14"/>
                <w:color w:val="auto"/>
              </w:rPr>
              <w:t>Deferred financing costs paid</w:t>
            </w:r>
          </w:p>
        </w:tc>
        <w:tc>
          <w:tcPr>
            <w:tcW w:w="5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Borrowings from line of credit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779.3</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5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(674.6)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4"/>
                <w:szCs w:val="14"/>
                <w:color w:val="auto"/>
              </w:rPr>
              <w:t>Changes in book cash overdrafts</w:t>
            </w:r>
          </w:p>
        </w:tc>
        <w:tc>
          <w:tcPr>
            <w:tcW w:w="5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contingent consideration</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4"/>
                <w:szCs w:val="14"/>
                <w:color w:val="auto"/>
              </w:rPr>
              <w:t>Repayment of capital lease obligations</w:t>
            </w:r>
          </w:p>
        </w:tc>
        <w:tc>
          <w:tcPr>
            <w:tcW w:w="5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62"/>
        </w:trPr>
        <w:tc>
          <w:tcPr>
            <w:tcW w:w="834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5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56"/>
        </w:trPr>
        <w:tc>
          <w:tcPr>
            <w:tcW w:w="83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5" w:right="239" w:bottom="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525"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integrated facility solutions, customized by industry, that enable our clients to deliver exceptional facilities experiences.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83820</wp:posOffset>
            </wp:positionV>
            <wp:extent cx="5814695" cy="857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4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Through these groups, we offer a full complement of solutions, including janitorial, facilities engineering, and parking, on a stand-alone basis or in combination with each other or with specialized mechanical and electrical technical solutions.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fiscal year ended October 31, 2016. Unless otherwise noted, all references to years are to our fiscal year, which ends on October 31.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Services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As of October 31, 2016, the assets and liabilities of our Government Services business were classified as held-for-sale. On May 31, 2017, we sold our Government Services business for $35.5 million. In connection with the sale, during the third quarter of 2017, we recorded a pre-tax gain of $1.1 million, subject to final working capital adjustments. The reported results for this business are through the date of sale. Future results could include run-off costs associated with this former business. Based on the terms of the agreement to sell this business, we reclassified certain of the prior year balances from held-for-sale to held-and-used.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 Reclassifications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We have revised our prior period segment information to reflect this reorganization and a related reclassification of certain Corporate expenses. See Note 14, “Segment Information,” for further information. Concurrent with the reorganization, we recategorized certain expenses that were historically included in operating expenses to selling, general and administrative expenses. To conform to the new categorization, we reclassified operating expenses of $5.2 million and $15.1 million for the three- and nine-month periods ended July 31, 2016, respectively, to selling, general and administrative expenses. In addition, certain amounts in the statements of cash flows have been reclassified to conform with the current year presentation.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Rounding</w:t>
      </w:r>
    </w:p>
    <w:p>
      <w:pPr>
        <w:spacing w:after="0" w:line="11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Reimbursement Revenue by Segment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These revenues and expenses are reported in equal amounts as costs reimbursed from our managed locations: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July 31,</w:t>
            </w:r>
          </w:p>
        </w:tc>
        <w:tc>
          <w:tcPr>
            <w:tcW w:w="240" w:type="dxa"/>
            <w:vAlign w:val="bottom"/>
          </w:tcPr>
          <w:p>
            <w:pPr>
              <w:spacing w:after="0"/>
              <w:rPr>
                <w:sz w:val="20"/>
                <w:szCs w:val="20"/>
                <w:color w:val="auto"/>
              </w:rPr>
            </w:pPr>
          </w:p>
        </w:tc>
        <w:tc>
          <w:tcPr>
            <w:tcW w:w="26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rPr>
              <w:t>Nine Months Ended July 31,</w:t>
            </w:r>
          </w:p>
        </w:tc>
      </w:tr>
      <w:tr>
        <w:trPr>
          <w:trHeight w:val="227"/>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171.1</w:t>
            </w:r>
          </w:p>
        </w:tc>
      </w:tr>
      <w:tr>
        <w:trPr>
          <w:trHeight w:val="26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Aviation</w:t>
            </w:r>
          </w:p>
        </w:tc>
        <w:tc>
          <w:tcPr>
            <w:tcW w:w="28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60.2</w:t>
            </w:r>
          </w:p>
        </w:tc>
      </w:tr>
      <w:tr>
        <w:trPr>
          <w:trHeight w:val="270"/>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Emerging Industries Group</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r>
      <w:tr>
        <w:trPr>
          <w:trHeight w:val="255"/>
        </w:trPr>
        <w:tc>
          <w:tcPr>
            <w:tcW w:w="53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243.8</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expect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activities to be complete by the end of 2017, with remaining costs primarily related to external support fees and office consolidations. As described in Note 14, “Segment Information,” we include restructuring and related costs within corporate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Related Liabilities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External</w:t>
            </w: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5"/>
                <w:szCs w:val="15"/>
                <w:b w:val="1"/>
                <w:bCs w:val="1"/>
                <w:color w:val="auto"/>
              </w:rPr>
              <w:t>Employee</w:t>
            </w:r>
          </w:p>
        </w:tc>
        <w:tc>
          <w:tcPr>
            <w:tcW w:w="1140" w:type="dxa"/>
            <w:vAlign w:val="bottom"/>
            <w:gridSpan w:val="3"/>
          </w:tcPr>
          <w:p>
            <w:pPr>
              <w:ind w:left="40"/>
              <w:spacing w:after="0"/>
              <w:rPr>
                <w:sz w:val="20"/>
                <w:szCs w:val="20"/>
                <w:color w:val="auto"/>
              </w:rPr>
            </w:pPr>
            <w:r>
              <w:rPr>
                <w:rFonts w:ascii="Arial" w:cs="Arial" w:eastAsia="Arial" w:hAnsi="Arial"/>
                <w:sz w:val="15"/>
                <w:szCs w:val="15"/>
                <w:b w:val="1"/>
                <w:bCs w:val="1"/>
                <w:color w:val="auto"/>
              </w:rPr>
              <w:t>Other Project</w:t>
            </w:r>
          </w:p>
        </w:tc>
        <w:tc>
          <w:tcPr>
            <w:tcW w:w="14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Lease Exit</w:t>
            </w:r>
          </w:p>
        </w:tc>
        <w:tc>
          <w:tcPr>
            <w:tcW w:w="260" w:type="dxa"/>
            <w:vAlign w:val="bottom"/>
          </w:tcPr>
          <w:p>
            <w:pPr>
              <w:spacing w:after="0"/>
              <w:rPr>
                <w:sz w:val="15"/>
                <w:szCs w:val="15"/>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2"/>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rPr>
              <w:t>Support Fees</w:t>
            </w:r>
          </w:p>
        </w:tc>
        <w:tc>
          <w:tcPr>
            <w:tcW w:w="1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5"/>
                <w:szCs w:val="15"/>
                <w:b w:val="1"/>
                <w:bCs w:val="1"/>
                <w:color w:val="auto"/>
              </w:rPr>
              <w:t>Severance</w:t>
            </w: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Fees</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October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36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18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Non-cash charges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July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 xml:space="preserve">We have incurred cumulative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charges of $57.6 million, including external support fees of $24.5 million, employee severance costs of $14.3 million, other project fees of $9.4 million, and asset impairment and lease exit costs each in the amount of $4.7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GCA Services Group</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11, 2017, we entered into an Agreement and Plan of Merger with GCA Holding Corp. (the “Merger Agreement”) to acquire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GCA Services Group. On September 1, 2017, we completed the acquisition pursuant to the Merger Agreement. Refer to Note 15, “Subsequent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Events,” for additional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The purchase price includes up to $1.0 million of undiscounted contingent consideration that is based on the expected achievement of certain pre-established revenue goals. See Note 7, “Fair Value of Financial Instruments,” regarding our valuation of contingent consideration liabilities. As of December 1, 2016, the operations of MSI are included in our Technical Solutions segment.</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As of December 1, 2016, the operations of OFJ are included in our Aviation segment.</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September 30, 2016, we acquired all of the outstanding stock of BRBIBR Limited, a company which holds all of the outstanding shares of 8 Solutions Ltd. (“8 Solutions”), a provider of technical cleaning services to data centers in the United Kingdom and certain other locations, for a purchase price of $16.1 million. As of September 30, 2016, the operations of 8 Solutions are included in our Business &amp; Industry segment. 8 Solutions has been renamed ABM Critical Solutions Limited.</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services to clients in the United Kingdom, for a purchase price of $81.0 million. This acquisition expanded the geographical reach of our technical solutions business to the United Kingdom, resulting in the allocation of a significant portion of the purchase price to goodwill. As such, we recorded goodwill and intangible assets of $53.8 million and $22.5 million, respectively. The goodwill associated with this acquisition is not deductible for tax purposes. As of December 1, 2015, the operations of Westway are included in our Technical Solutions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Other Supplemental Financial Information</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Pro forma and other supplemental financial information is not presented for our other acquisitions, as they are not considered material business combinations individually or on a combined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generally relate to litigation we retained and insurance reserves. For the nine months ended July 31, 2017, we incurred a net loss from discontinued operations of $73.2 million (a pretax loss of $123.7 million). As described in Note 11, “Commitments and Contingencies,” this loss primarily relates to the settlements of the Augustus and Karapetyan cases. We recorded the liability for these settlements within “Legal settlements from discontinued operations” on the accompanying unaudited consolidated balance sheets.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gridSpan w:val="8"/>
          </w:tcPr>
          <w:p>
            <w:pPr>
              <w:ind w:left="120"/>
              <w:spacing w:after="0"/>
              <w:rPr>
                <w:sz w:val="20"/>
                <w:szCs w:val="20"/>
                <w:color w:val="auto"/>
              </w:rPr>
            </w:pPr>
            <w:r>
              <w:rPr>
                <w:rFonts w:ascii="Arial" w:cs="Arial" w:eastAsia="Arial" w:hAnsi="Arial"/>
                <w:sz w:val="17"/>
                <w:szCs w:val="17"/>
                <w:b w:val="1"/>
                <w:bCs w:val="1"/>
                <w:color w:val="auto"/>
              </w:rPr>
              <w:t>Three Months Ended July 31,</w:t>
            </w:r>
          </w:p>
        </w:tc>
        <w:tc>
          <w:tcPr>
            <w:tcW w:w="20" w:type="dxa"/>
            <w:vAlign w:val="bottom"/>
          </w:tcPr>
          <w:p>
            <w:pPr>
              <w:spacing w:after="0"/>
              <w:rPr>
                <w:sz w:val="21"/>
                <w:szCs w:val="21"/>
                <w:color w:val="auto"/>
              </w:rPr>
            </w:pPr>
          </w:p>
        </w:tc>
        <w:tc>
          <w:tcPr>
            <w:tcW w:w="3060" w:type="dxa"/>
            <w:vAlign w:val="bottom"/>
            <w:gridSpan w:val="6"/>
          </w:tcPr>
          <w:p>
            <w:pPr>
              <w:spacing w:after="0"/>
              <w:rPr>
                <w:sz w:val="20"/>
                <w:szCs w:val="20"/>
                <w:color w:val="auto"/>
              </w:rPr>
            </w:pPr>
            <w:r>
              <w:rPr>
                <w:rFonts w:ascii="Arial" w:cs="Arial" w:eastAsia="Arial" w:hAnsi="Arial"/>
                <w:sz w:val="17"/>
                <w:szCs w:val="17"/>
                <w:b w:val="1"/>
                <w:bCs w:val="1"/>
                <w:color w:val="auto"/>
              </w:rPr>
              <w:t>Nine Months Ended July 31,</w:t>
            </w:r>
          </w:p>
        </w:tc>
        <w:tc>
          <w:tcPr>
            <w:tcW w:w="0" w:type="dxa"/>
            <w:vAlign w:val="bottom"/>
          </w:tcPr>
          <w:p>
            <w:pPr>
              <w:spacing w:after="0"/>
              <w:rPr>
                <w:sz w:val="1"/>
                <w:szCs w:val="1"/>
                <w:color w:val="auto"/>
              </w:rPr>
            </w:pPr>
          </w:p>
        </w:tc>
      </w:tr>
      <w:tr>
        <w:trPr>
          <w:trHeight w:val="225"/>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64"/>
        </w:trPr>
        <w:tc>
          <w:tcPr>
            <w:tcW w:w="5160" w:type="dxa"/>
            <w:vAlign w:val="bottom"/>
            <w:gridSpan w:val="4"/>
          </w:tcPr>
          <w:p>
            <w:pPr>
              <w:ind w:left="40"/>
              <w:spacing w:after="0"/>
              <w:rPr>
                <w:sz w:val="20"/>
                <w:szCs w:val="20"/>
                <w:color w:val="auto"/>
              </w:rPr>
            </w:pPr>
            <w:r>
              <w:rPr>
                <w:rFonts w:ascii="Arial" w:cs="Arial" w:eastAsia="Arial" w:hAnsi="Arial"/>
                <w:sz w:val="17"/>
                <w:szCs w:val="17"/>
                <w:color w:val="auto"/>
              </w:rPr>
              <w:t>Net loss from discontinued operations</w:t>
            </w:r>
          </w:p>
        </w:tc>
        <w:tc>
          <w:tcPr>
            <w:tcW w:w="24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Net income</w:t>
            </w: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60" w:type="dxa"/>
            <w:vAlign w:val="bottom"/>
            <w:gridSpan w:val="4"/>
            <w:shd w:val="clear" w:color="auto" w:fill="CCEEFF"/>
          </w:tcPr>
          <w:p>
            <w:pPr>
              <w:ind w:left="40"/>
              <w:spacing w:after="0" w:line="186"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512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outstanding — Basic</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56.2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63"/>
        </w:trPr>
        <w:tc>
          <w:tcPr>
            <w:tcW w:w="5160" w:type="dxa"/>
            <w:vAlign w:val="bottom"/>
            <w:gridSpan w:val="4"/>
          </w:tcPr>
          <w:p>
            <w:pPr>
              <w:ind w:left="40"/>
              <w:spacing w:after="0"/>
              <w:rPr>
                <w:sz w:val="20"/>
                <w:szCs w:val="20"/>
                <w:color w:val="auto"/>
              </w:rPr>
            </w:pPr>
            <w:r>
              <w:rPr>
                <w:rFonts w:ascii="Arial" w:cs="Arial" w:eastAsia="Arial" w:hAnsi="Arial"/>
                <w:sz w:val="17"/>
                <w:szCs w:val="17"/>
                <w:color w:val="auto"/>
              </w:rPr>
              <w:t>Effect of dilutive securities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Restricted stock units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Stock options</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Performance shares</w:t>
            </w:r>
          </w:p>
        </w:tc>
        <w:tc>
          <w:tcPr>
            <w:tcW w:w="24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66"/>
        </w:trPr>
        <w:tc>
          <w:tcPr>
            <w:tcW w:w="5160" w:type="dxa"/>
            <w:vAlign w:val="bottom"/>
            <w:gridSpan w:val="4"/>
          </w:tcPr>
          <w:p>
            <w:pPr>
              <w:ind w:left="40"/>
              <w:spacing w:after="0" w:line="166"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56.6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56.8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56.6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7"/>
                <w:szCs w:val="17"/>
                <w:b w:val="1"/>
                <w:bCs w:val="1"/>
                <w:color w:val="auto"/>
              </w:rPr>
              <w:t>outstanding — Diluted</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160" w:type="dxa"/>
            <w:vAlign w:val="bottom"/>
            <w:gridSpan w:val="4"/>
          </w:tcPr>
          <w:p>
            <w:pPr>
              <w:ind w:left="40"/>
              <w:spacing w:after="0"/>
              <w:rPr>
                <w:sz w:val="20"/>
                <w:szCs w:val="20"/>
                <w:color w:val="auto"/>
              </w:rPr>
            </w:pPr>
            <w:r>
              <w:rPr>
                <w:rFonts w:ascii="Arial" w:cs="Arial" w:eastAsia="Arial" w:hAnsi="Arial"/>
                <w:sz w:val="17"/>
                <w:szCs w:val="17"/>
                <w:b w:val="1"/>
                <w:bCs w:val="1"/>
                <w:color w:val="auto"/>
              </w:rPr>
              <w:t>Net income per common share — Basic</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0.59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0.58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0.94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Loss from discontinued operations</w:t>
            </w:r>
          </w:p>
        </w:tc>
        <w:tc>
          <w:tcPr>
            <w:tcW w:w="24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37"/>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shd w:val="clear" w:color="auto" w:fill="CCEEFF"/>
              </w:rPr>
              <w:t>Net income</w:t>
            </w: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0.59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0.55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shd w:val="clear" w:color="auto" w:fill="CCEEFF"/>
              </w:rPr>
              <w:t>Net income per common share — Diluted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0.94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Loss from discontinued operations</w:t>
            </w:r>
          </w:p>
        </w:tc>
        <w:tc>
          <w:tcPr>
            <w:tcW w:w="24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0.55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340" w:type="dxa"/>
            <w:vAlign w:val="bottom"/>
            <w:gridSpan w:val="13"/>
          </w:tcPr>
          <w:p>
            <w:pPr>
              <w:spacing w:after="0"/>
              <w:rPr>
                <w:sz w:val="20"/>
                <w:szCs w:val="20"/>
                <w:color w:val="auto"/>
              </w:rPr>
            </w:pPr>
            <w:r>
              <w:rPr>
                <w:rFonts w:ascii="Arial" w:cs="Arial" w:eastAsia="Arial" w:hAnsi="Arial"/>
                <w:sz w:val="18"/>
                <w:szCs w:val="18"/>
                <w:b w:val="1"/>
                <w:bCs w:val="1"/>
                <w:color w:val="auto"/>
              </w:rPr>
              <w:t>Anti-Dilutive Outstanding Stock Awards Issued Under Share-Based Compensation Plans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8"/>
          </w:tcPr>
          <w:p>
            <w:pPr>
              <w:ind w:left="140"/>
              <w:spacing w:after="0"/>
              <w:rPr>
                <w:sz w:val="20"/>
                <w:szCs w:val="20"/>
                <w:color w:val="auto"/>
              </w:rPr>
            </w:pPr>
            <w:r>
              <w:rPr>
                <w:rFonts w:ascii="Arial" w:cs="Arial" w:eastAsia="Arial" w:hAnsi="Arial"/>
                <w:sz w:val="17"/>
                <w:szCs w:val="17"/>
                <w:b w:val="1"/>
                <w:bCs w:val="1"/>
                <w:color w:val="auto"/>
              </w:rPr>
              <w:t>Three Months Ended July 31,</w:t>
            </w:r>
          </w:p>
        </w:tc>
        <w:tc>
          <w:tcPr>
            <w:tcW w:w="20" w:type="dxa"/>
            <w:vAlign w:val="bottom"/>
          </w:tcPr>
          <w:p>
            <w:pPr>
              <w:spacing w:after="0"/>
              <w:rPr>
                <w:sz w:val="24"/>
                <w:szCs w:val="24"/>
                <w:color w:val="auto"/>
              </w:rPr>
            </w:pPr>
          </w:p>
        </w:tc>
        <w:tc>
          <w:tcPr>
            <w:tcW w:w="3060" w:type="dxa"/>
            <w:vAlign w:val="bottom"/>
            <w:gridSpan w:val="6"/>
          </w:tcPr>
          <w:p>
            <w:pPr>
              <w:jc w:val="right"/>
              <w:ind w:right="675"/>
              <w:spacing w:after="0"/>
              <w:rPr>
                <w:sz w:val="20"/>
                <w:szCs w:val="20"/>
                <w:color w:val="auto"/>
              </w:rPr>
            </w:pPr>
            <w:r>
              <w:rPr>
                <w:rFonts w:ascii="Arial" w:cs="Arial" w:eastAsia="Arial" w:hAnsi="Arial"/>
                <w:sz w:val="17"/>
                <w:szCs w:val="17"/>
                <w:b w:val="1"/>
                <w:bCs w:val="1"/>
                <w:color w:val="auto"/>
              </w:rPr>
              <w:t>Nine Months Ended July 31,</w:t>
            </w:r>
          </w:p>
        </w:tc>
        <w:tc>
          <w:tcPr>
            <w:tcW w:w="0" w:type="dxa"/>
            <w:vAlign w:val="bottom"/>
          </w:tcPr>
          <w:p>
            <w:pPr>
              <w:spacing w:after="0"/>
              <w:rPr>
                <w:sz w:val="1"/>
                <w:szCs w:val="1"/>
                <w:color w:val="auto"/>
              </w:rPr>
            </w:pPr>
          </w:p>
        </w:tc>
      </w:tr>
      <w:tr>
        <w:trPr>
          <w:trHeight w:val="225"/>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Anti-dilutive</w:t>
            </w: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0" w:right="239" w:bottom="1440" w:gutter="0" w:footer="0" w:header="0"/>
        </w:sectPr>
      </w:pPr>
    </w:p>
    <w:bookmarkStart w:id="12" w:name="page13"/>
    <w:bookmarkEnd w:id="12"/>
    <w:p>
      <w:pPr>
        <w:ind w:right="7180" w:firstLine="8"/>
        <w:spacing w:after="0" w:line="465" w:lineRule="auto"/>
        <w:tabs>
          <w:tab w:leader="none" w:pos="2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Fair Value Hierarchy of Our Financial Instruments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6"/>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2017</w:t>
            </w:r>
          </w:p>
        </w:tc>
        <w:tc>
          <w:tcPr>
            <w:tcW w:w="18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(7)</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r>
    </w:tbl>
    <w:p>
      <w:pPr>
        <w:spacing w:after="0" w:line="144" w:lineRule="exact"/>
        <w:rPr>
          <w:sz w:val="20"/>
          <w:szCs w:val="20"/>
          <w:color w:val="auto"/>
        </w:rPr>
      </w:pPr>
    </w:p>
    <w:p>
      <w:pPr>
        <w:jc w:val="both"/>
        <w:ind w:firstLine="8"/>
        <w:spacing w:after="0" w:line="475"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jc w:val="both"/>
        <w:ind w:firstLine="8"/>
        <w:spacing w:after="0" w:line="283"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unaudited consolidated balance sheets. See Note 8, “Auction Rate Securities,” for further information.</w:t>
      </w:r>
    </w:p>
    <w:p>
      <w:pPr>
        <w:spacing w:after="0" w:line="104" w:lineRule="exact"/>
        <w:rPr>
          <w:rFonts w:ascii="Arial" w:cs="Arial" w:eastAsia="Arial" w:hAnsi="Arial"/>
          <w:sz w:val="18"/>
          <w:szCs w:val="18"/>
          <w:color w:val="auto"/>
          <w:vertAlign w:val="superscript"/>
        </w:rPr>
      </w:pPr>
    </w:p>
    <w:p>
      <w:pPr>
        <w:jc w:val="both"/>
        <w:ind w:firstLine="8"/>
        <w:spacing w:after="0" w:line="283"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These interest rate swaps are included in “Other noncurrent assets” on the accompanying unaudited consolidated balance sheets. See Note 10, “Credit Facility,” for further information.</w:t>
      </w:r>
    </w:p>
    <w:p>
      <w:pPr>
        <w:spacing w:after="0" w:line="81"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32" w:lineRule="exact"/>
        <w:rPr>
          <w:rFonts w:ascii="Arial" w:cs="Arial" w:eastAsia="Arial" w:hAnsi="Arial"/>
          <w:sz w:val="21"/>
          <w:szCs w:val="21"/>
          <w:color w:val="auto"/>
          <w:vertAlign w:val="superscript"/>
        </w:rPr>
      </w:pPr>
    </w:p>
    <w:p>
      <w:pPr>
        <w:jc w:val="both"/>
        <w:ind w:firstLine="8"/>
        <w:spacing w:after="0" w:line="447" w:lineRule="auto"/>
        <w:tabs>
          <w:tab w:leader="none" w:pos="17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9, “Insurance,” for further information.</w:t>
      </w:r>
    </w:p>
    <w:p>
      <w:pPr>
        <w:spacing w:after="0" w:line="1" w:lineRule="exact"/>
        <w:rPr>
          <w:rFonts w:ascii="Arial" w:cs="Arial" w:eastAsia="Arial" w:hAnsi="Arial"/>
          <w:sz w:val="19"/>
          <w:szCs w:val="19"/>
          <w:color w:val="auto"/>
          <w:vertAlign w:val="superscript"/>
        </w:rPr>
      </w:pPr>
    </w:p>
    <w:p>
      <w:pPr>
        <w:jc w:val="both"/>
        <w:ind w:firstLine="8"/>
        <w:spacing w:after="0" w:line="283"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Certain of our acquisitions involve the payment of contingent consideration. The fair value of these liabilities is based on the expected achievement of certain pre-established revenue goals. At October 31, 2016, we had one contingent consideration liability included in “Other accrued liabilities” on the accompanying unaudited consolidated balance sheets. During the nine months ended July 31, 2017, the revenue-related target for that acquisition was achieved, resulting in the payment of $3.8 million to the seller. In connection with the MSI acquisition, we recorded one new contingent consideration liability during 2017, which is included in “Other noncurrent liabilities” on the accompanying unaudited consolidated balance sheets.</w:t>
      </w:r>
    </w:p>
    <w:p>
      <w:pPr>
        <w:spacing w:after="0" w:line="104" w:lineRule="exact"/>
        <w:rPr>
          <w:rFonts w:ascii="Arial" w:cs="Arial" w:eastAsia="Arial" w:hAnsi="Arial"/>
          <w:sz w:val="18"/>
          <w:szCs w:val="18"/>
          <w:color w:val="auto"/>
          <w:vertAlign w:val="superscript"/>
        </w:rPr>
      </w:pPr>
    </w:p>
    <w:p>
      <w:pPr>
        <w:ind w:right="20" w:firstLine="8"/>
        <w:spacing w:after="0" w:line="299"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outstanding borrowings under our syndicated line of credit. Due to variable interest rates, the carrying value of outstanding borrowings under our line of credit approximates the fair value. See Note 10, “Credit Facility,” for further information.</w:t>
      </w:r>
    </w:p>
    <w:p>
      <w:pPr>
        <w:spacing w:after="0" w:line="77" w:lineRule="exact"/>
        <w:rPr>
          <w:sz w:val="20"/>
          <w:szCs w:val="20"/>
          <w:color w:val="auto"/>
        </w:rPr>
      </w:pPr>
    </w:p>
    <w:p>
      <w:pPr>
        <w:ind w:right="920" w:firstLine="648"/>
        <w:spacing w:after="0" w:line="438" w:lineRule="auto"/>
        <w:rPr>
          <w:sz w:val="20"/>
          <w:szCs w:val="20"/>
          <w:color w:val="auto"/>
        </w:rPr>
      </w:pPr>
      <w:r>
        <w:rPr>
          <w:rFonts w:ascii="Arial" w:cs="Arial" w:eastAsia="Arial" w:hAnsi="Arial"/>
          <w:sz w:val="18"/>
          <w:szCs w:val="18"/>
          <w:color w:val="auto"/>
        </w:rPr>
        <w:t xml:space="preserve">During the nine months ended July 31, 2017, we had no transfers of assets or liabilities between any of the hierarchy levels. </w:t>
      </w:r>
      <w:r>
        <w:rPr>
          <w:rFonts w:ascii="Arial" w:cs="Arial" w:eastAsia="Arial" w:hAnsi="Arial"/>
          <w:sz w:val="18"/>
          <w:szCs w:val="18"/>
          <w:b w:val="1"/>
          <w:bCs w:val="1"/>
          <w:i w:val="1"/>
          <w:iCs w:val="1"/>
          <w:color w:val="auto"/>
        </w:rPr>
        <w:t>Non-Financial Assets Measured at Fair Value on a Non-Recurring Basis</w:t>
      </w:r>
    </w:p>
    <w:p>
      <w:pPr>
        <w:spacing w:after="0" w:line="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measure certain assets at fair value on a non-recurring basis, which are subject to fair value adjustments in certain circumstances. These assets can include: goodwill; intangible assets; property, plant and equipment; and long-lived assets that have been reduced to fair value when they are held for sale.</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2017, we received an offer from a strategic buyer to purchase our Government Services business for approximately $35.0 million, which was higher than our previous estimate of fair value less costs to sell. As a result, during the second quarter of 2017, we recorded a $17.4 million impairment recovery to adjust the fair value of certain previously impaired assets to the valuation of the assets as implied by the agreed-upon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0" w:right="239" w:bottom="1440" w:gutter="0" w:footer="0" w:header="0"/>
        </w:sectPr>
      </w:pPr>
    </w:p>
    <w:bookmarkStart w:id="13" w:name="page14"/>
    <w:bookmarkEnd w:id="13"/>
    <w:p>
      <w:pPr>
        <w:jc w:val="both"/>
        <w:spacing w:after="0" w:line="292" w:lineRule="auto"/>
        <w:rPr>
          <w:sz w:val="20"/>
          <w:szCs w:val="20"/>
          <w:color w:val="auto"/>
        </w:rPr>
      </w:pPr>
      <w:r>
        <w:rPr>
          <w:rFonts w:ascii="Arial" w:cs="Arial" w:eastAsia="Arial" w:hAnsi="Arial"/>
          <w:sz w:val="18"/>
          <w:szCs w:val="18"/>
          <w:color w:val="auto"/>
        </w:rPr>
        <w:t>price, less estimated costs to sell. The initial measurement of the impairment recovery represented a Level 3 input under the fair value hierarchy.</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addition, on November 1, 2016, we reorganized our reportable segments and goodwill reporting units. In connection with this reorganization, we performed a goodwill impairment test immediately before and after the segment realignment. We estimated the fair value of goodwill using the income and market approaches, which utilize expected cash flows using Level 3 inputs. This analysis required the exercise of significant judgments, including the identification of reporting units as well as the evaluation of recent indicators of market activity, estimated future cash flows, discount rates, and other factors. As a result of this analysis, we concluded that the estimated fair value of each reporting unit substantially exceeded its carrying value and that no further evaluation of impairment was necessary.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AUCTION RATE SECURITIES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July 31, 2017 and October 31, 2016, we held investments in auction rate securities from two different issuers that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At July 31, 2017 and October 31, 2016, there were no unrealized gains or losses on our auction rate securities included in accumulated other comprehensive loss, net of taxes (“AOCL”), and the total amount of other-than-temporary impairment credit loss on our auction rate security investments included in our retained earnings was $2.0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July 31, 2017</w:t>
            </w:r>
          </w:p>
        </w:tc>
        <w:tc>
          <w:tcPr>
            <w:tcW w:w="120" w:type="dxa"/>
            <w:vAlign w:val="bottom"/>
            <w:tcBorders>
              <w:bottom w:val="single" w:sz="8" w:color="CCEEFF"/>
            </w:tcBorders>
          </w:tcPr>
          <w:p>
            <w:pPr>
              <w:spacing w:after="0"/>
              <w:rPr>
                <w:sz w:val="22"/>
                <w:szCs w:val="22"/>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2016</w:t>
            </w:r>
          </w:p>
        </w:tc>
      </w:tr>
      <w:tr>
        <w:trPr>
          <w:trHeight w:val="251"/>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+ 0.33% and L + 0.62%</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+ 0.46% and L + 1.30%</w:t>
            </w:r>
          </w:p>
        </w:tc>
      </w:tr>
      <w:tr>
        <w:trPr>
          <w:trHeight w:val="265"/>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 10 years</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L – One Month LIBOR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INSURANCE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w:t>
      </w:r>
    </w:p>
    <w:p>
      <w:pPr>
        <w:spacing w:after="0" w:line="12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refine our best estimate of insurance claims reserves as information becomes available. The results of actuarial studies are used to estimate our insurance rates and insurance reserves for future periods and to adjust reserves, if appropriate, for prior years. During 2017, we performed both an actuarial review and an annual actuarial evaluation. As a result of these studies, we increased our reserves for claims related to prior periods by $22.3 million during 2017, as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Studies Performed During 2017</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January 31, 2017, we performed an actuarial review of the majority of our casualty insurance programs, considering changes in claim developments and claim payment activity for the period commencing May 1, 2016 and ending October 31, 2016. During the three months ended July 31, 2017, we performed an annual actuarial evaluation of the majority of our casualty insurance programs, evaluating all changes made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8"/>
          <w:szCs w:val="18"/>
          <w:color w:val="auto"/>
        </w:rPr>
        <w:t>claims reserves and claim payment activity for the period commencing May 1, 2016 and ending April 30, 2017 for all policy years having open claims. The studies excluded claims relating to certain previously acquired businesses, which we expect to evaluate during the fourth quarter of 2017.</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Both the actuarial review and annual actuarial evaluation indicated safety initiatives we have implemented have had a modest impact on our claim costs in the most recent years, however there have been unfavorable developments in ultimate losses that we estimated for general liability and workers’ compensation claims related to prior years, as described below.</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actuarial studies indicated a decrease over the most recent years in the total number of reported claims related to our general liability program, particularly with respect to bodily injury claims, in addition to property damage claims. However, we experienced adverse developments in prior year claims, which are largely attributable to adjustments related to certain bodily injury claims and to losses for property damage.</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experiencing a reduced frequency of claims in our workers’ compensation program. However, due to increases in projected costs and severity of claims for a number of prior year claims in California and New York, we increased our estimate of ultimate losses for workers’ compensation. Statutory, regulatory, and legal developments have contributed to the increase in our estimated losses.</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Based on the results of the actuarial studies performed during 2017, which included analyzing recent loss development patterns, comparing the loss development against benchmarks, and applying actuarial projection methods to determine the estimate of ultimate losses, we increased our total reserves for known claims as well as our estimate of the loss amounts associated with incurred but not reported claims by $10.0 million during the first half of 2017 and by an additional $12.3 million during the third quarter of 2017, for a total adjustment related to prior year claims of $22.3 million during 2017. This adjustment was $9.5 million lower than the total adjustment related to prior year claims of $31.8 million in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Related Balances and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31, 2017</w:t>
            </w:r>
          </w:p>
        </w:tc>
        <w:tc>
          <w:tcPr>
            <w:tcW w:w="20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65"/>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28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5"/>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Insurance recoverables</w:t>
            </w: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July 31, 2017 and October 31, 2016, insurance recoverables are included in “Other current assets” and “Other noncurrent assets” on the accompanying unaudited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Used to Collateralize Our Insurance Obligations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31, 2017</w:t>
            </w:r>
          </w:p>
        </w:tc>
        <w:tc>
          <w:tcPr>
            <w:tcW w:w="20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October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65"/>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Restricted insurance deposits</w:t>
            </w:r>
          </w:p>
        </w:tc>
        <w:tc>
          <w:tcPr>
            <w:tcW w:w="3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5"/>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0" w:type="dxa"/>
            <w:vAlign w:val="bottom"/>
            <w:vMerge w:val="restart"/>
          </w:tcPr>
          <w:p>
            <w:pPr>
              <w:jc w:val="right"/>
              <w:ind w:right="1510"/>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CREDIT FACILITY</w:t>
      </w:r>
    </w:p>
    <w:p>
      <w:pPr>
        <w:spacing w:after="0" w:line="1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On November 30, 2010, we entered into a $800.0 million syndicated credit agreement pursuant to which we obtained an unsecured revolving credit facility (the “2010 Facility”). This credit agreement, as amended from time to time, is referred to as the “2010 Credit Agreement.”</w:t>
      </w:r>
    </w:p>
    <w:p>
      <w:pPr>
        <w:spacing w:after="0" w:line="3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2010 Credit Agreement contained certain financial covenants that included a maximum leverage ratio of 3.25 to 1.0 and a minimum fixed charge coverage ratio of 1.50 to 1.0. In addition, we were required to maintain a consolidated net worth in an amount not less than the sum of (i) $570.0 million, (ii) 50% of our consolidated net income (with no deduction for net loss), and (iii) 100% of our aggregate increases in stockholders’ equity beginning on November 30, 2010. As of July 31, 2017, we were in compliance with the covenants under our 2010 Credit Agreement.</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On September 1, 2017, we refinanced and replaced our 2010 Facility with a new syndicated secured credit facility. Refer to Note 15, “Subsequent Events,” for additional details.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b w:val="1"/>
                <w:bCs w:val="1"/>
                <w:color w:val="auto"/>
              </w:rPr>
              <w:t>July 31, 2017</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6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borrowings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r>
      <w:tr>
        <w:trPr>
          <w:trHeight w:val="261"/>
        </w:trPr>
        <w:tc>
          <w:tcPr>
            <w:tcW w:w="6940" w:type="dxa"/>
            <w:vAlign w:val="bottom"/>
            <w:gridSpan w:val="3"/>
          </w:tcPr>
          <w:p>
            <w:pPr>
              <w:ind w:left="40"/>
              <w:spacing w:after="0"/>
              <w:rPr>
                <w:sz w:val="20"/>
                <w:szCs w:val="20"/>
                <w:color w:val="auto"/>
              </w:rPr>
            </w:pPr>
            <w:r>
              <w:rPr>
                <w:rFonts w:ascii="Arial" w:cs="Arial" w:eastAsia="Arial" w:hAnsi="Arial"/>
                <w:sz w:val="18"/>
                <w:szCs w:val="18"/>
                <w:color w:val="auto"/>
              </w:rPr>
              <w:t>Standby letters of credit</w:t>
            </w:r>
          </w:p>
        </w:tc>
        <w:tc>
          <w:tcPr>
            <w:tcW w:w="360" w:type="dxa"/>
            <w:vAlign w:val="bottom"/>
          </w:tcPr>
          <w:p>
            <w:pPr>
              <w:spacing w:after="0"/>
              <w:rPr>
                <w:sz w:val="22"/>
                <w:szCs w:val="22"/>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130.9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2010 Facility. Under these arrangements, we typically pay a fixed interest rate in exchange for LIBOR-based variable interest throughout the life of the agreement.</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we entered into three interest rate swap agreements with effective dates of April 7, 2016 and May 11, 2016, an underlying aggregate notional amount of $105.0 million, and a fixed interest rate of 1.05%. These swaps were designated and accounted for as cash flow hedges from inception and mature on April 7, 2021 and May 11, 2021. See Note 7, “Fair Value of Financial Instruments,” regarding the valuation of our interest rate swaps.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initially report the effective portion of a derivative’s mark-to-market gain or loss as a component of AOCL and subsequently reclassify the gain or loss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July 31, 2017 and October 31, 2016, the amounts recorded in AOCL were $1.4 million and $0.2 million, respectively. At July 31, 2017, the amount expected to be reclassified from AOCL to earnings during the next twelve months was $0.6 million.</w:t>
      </w:r>
    </w:p>
    <w:p>
      <w:pPr>
        <w:spacing w:after="0" w:line="89" w:lineRule="exact"/>
        <w:rPr>
          <w:sz w:val="20"/>
          <w:szCs w:val="20"/>
          <w:color w:val="auto"/>
        </w:rPr>
      </w:pPr>
    </w:p>
    <w:p>
      <w:pPr>
        <w:ind w:right="7780" w:firstLine="8"/>
        <w:spacing w:after="0" w:line="465" w:lineRule="auto"/>
        <w:tabs>
          <w:tab w:leader="none" w:pos="29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Letters of Credit and Surety Bonds</w:t>
      </w:r>
    </w:p>
    <w:p>
      <w:pPr>
        <w:spacing w:after="0" w:line="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July 31, 2017, these letters of credit and surety bonds totaled $127.7 million and $523.0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July 31, 2017 and October 31, 2016, total guarantees were $ 127.7 million and $60.9 million, respectively, and these guarantees extend through 2036 and 2031,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0" w:right="239" w:bottom="1440" w:gutter="0" w:footer="0" w:header="0"/>
        </w:sectPr>
      </w:pPr>
    </w:p>
    <w:bookmarkStart w:id="16" w:name="page17"/>
    <w:bookmarkEnd w:id="16"/>
    <w:p>
      <w:pPr>
        <w:jc w:val="both"/>
        <w:spacing w:after="0" w:line="292" w:lineRule="auto"/>
        <w:rPr>
          <w:sz w:val="20"/>
          <w:szCs w:val="20"/>
          <w:color w:val="auto"/>
        </w:rPr>
      </w:pPr>
      <w:r>
        <w:rPr>
          <w:rFonts w:ascii="Arial" w:cs="Arial" w:eastAsia="Arial" w:hAnsi="Arial"/>
          <w:sz w:val="18"/>
          <w:szCs w:val="18"/>
          <w:color w:val="auto"/>
        </w:rPr>
        <w:t>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 Audits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 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July 31, 2017, the total amount accrued for all probable litigation losses where a reasonable estimate of the loss could be made was $71.7 million. This $71.7 million includes the remaining accrual of $60.0 million in connection with the unpaid portion of the $115.0 million settlement of the Augustus and Karapetyan cases discussed below, as well as an accrual of $4.8 million for payroll taxes related to the Augustus settlement. The remaining payments under the Augustus settlement were made on August 29, 2017.</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$18 million. Factors underlying this estimated range of loss may change from time to time, and actual results may vary significantly from this estimate.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77"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The Consolidated Cases of Augustus, Hall, and Davis, et al. v. American Commercial Security Services, filed July 12, 2005, in the Superior Court of California, Los Angeles County (the “Augustus case”)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7" w:name="page18"/>
    <w:bookmarkEnd w:id="17"/>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is a certified class action involving violations of certain California state laws relating to rest breaks. The case centered on whether requiring security guards to remain on call during rest breaks violated Section 226.7 of the California Labor Code. On July 31, 2012, the Superior Court of California, Los Angeles County (the “Superior Court”), entered summary judgment in favor of plaintiffs in the amount of approximately $89.7 million (the “common fund”). Subsequently, the Superior Court also awarded plaintiffs’ attorneys’ fees of approximately $4.5 million in addition to approximately 30% of the common fund. Under California law, post-judgment interest on a judgment accrues at a rate of 10% simple interest per year from the date the judgment is entered until it is satisfied.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The plaintiffs filed a petition for review with the California Supreme Court on March 4, 2015, and on April 29, 2015, the California Supreme Court granted the plaintiffs’ petition. On December 22, 2016, the California Supreme Court rendered its decision, holding that on-call and on-duty rest breaks are prohibited by California law, and reversed the Appeals Court judgment on this issue. The amount of post-judgment interest as of December 22, 2016 was approximately $41.2 million.</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with plaintiffs Jennifer Augustus, Delores Hall, Emanuel Davis, and Carlton Anthony Waite, on behalf of themselves and the settlement class members, to settle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on a class-wide basis for $110.0 million (the “Augustus Settlement Agreement”). On March 17, 2017, the Augustus Settlement Agreement was amended to address certain procedural matters, and it received final approval of the Superior Court on July 6, 2017. The Augustus Settlement Agreement called for two payments of $55.0 million each. The first payment was made on July 19, 2017, and the second payment, plus an additional payment of $4.8 million for payroll taxes, was made on August 29, 2017.</w:t>
      </w:r>
    </w:p>
    <w:p>
      <w:pPr>
        <w:spacing w:after="0" w:line="139"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Karapetyan v. ABM Industries Incorporated and ABM Security Services, Inc., et al. filed on October 23, 2015, pending in the United States District Court for the Central District of California (the “Karapetyan case”)</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is a putative class action in which the plaintiff seeks to represent a class of security guards who worked during time periods subsequent to the class period in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The plaintiff alleges that ABM violated certain California state laws relating to meal and rest breaks and other wage and hour claims. On April 17, 2017, ABM Industries Incorporated, ABM Security Services, Inc., ABM Onsite Services, Inc., and ABM Onsite Services – West, Inc.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(the “Karapetyan Settlement Agreement”) on a class-wide basis for $5.0 million. This settlement is contingent upon the final approval by the United States District Court for the Central District of California.</w:t>
      </w:r>
    </w:p>
    <w:p>
      <w:pPr>
        <w:spacing w:after="0" w:line="139" w:lineRule="exact"/>
        <w:rPr>
          <w:sz w:val="20"/>
          <w:szCs w:val="20"/>
          <w:color w:val="auto"/>
        </w:rPr>
      </w:pPr>
    </w:p>
    <w:p>
      <w:pPr>
        <w:ind w:left="660" w:right="20"/>
        <w:spacing w:after="0" w:line="289"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2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On January 18, 2017, the appeals court invited the parties to file supplemental letter briefs. ABM and plaintiffs each filed their respective supplemental letter briefs with the court on February 8, 2017.</w:t>
      </w:r>
    </w:p>
    <w:p>
      <w:pPr>
        <w:spacing w:after="0" w:line="179" w:lineRule="exact"/>
        <w:rPr>
          <w:sz w:val="20"/>
          <w:szCs w:val="20"/>
          <w:color w:val="auto"/>
        </w:rPr>
      </w:pPr>
    </w:p>
    <w:p>
      <w:pPr>
        <w:ind w:left="660"/>
        <w:spacing w:after="0" w:line="289" w:lineRule="auto"/>
        <w:rPr>
          <w:sz w:val="20"/>
          <w:szCs w:val="20"/>
          <w:color w:val="auto"/>
        </w:rPr>
      </w:pPr>
      <w:r>
        <w:rPr>
          <w:rFonts w:ascii="Arial" w:cs="Arial" w:eastAsia="Arial" w:hAnsi="Arial"/>
          <w:sz w:val="18"/>
          <w:szCs w:val="18"/>
          <w:i w:val="1"/>
          <w:iCs w:val="1"/>
          <w:color w:val="auto"/>
        </w:rPr>
        <w:t>Hussein and Hirsi v. Air Serv Corporation filed on January 20, 2016, pending in the United States District Court for the Western District of Washington at Seattle (the “Hussein case”)</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is a certified class action involving a class of certain hourly Air Serv employees at Seattle-Tacoma International Airport in SeaTac, Washington. The plaintiffs allege that Air Serv violated a minimum wage requirement in an ordinance applicable to certain employers in the local city of SeaTac (the “Ordinance”). Plaintiffs seek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There are disputes in federal court concerning the legality of the Ordinance, its applicability to employers at SeaTac airport, and whether the plaintiffs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0" w:right="239" w:bottom="144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18"/>
          <w:szCs w:val="18"/>
          <w:color w:val="auto"/>
        </w:rPr>
        <w:t xml:space="preserve">are entitled to retroactive wages, double damages, interest, and attorneys’ fees. On February 7, 2017, a new lawsuit styled </w:t>
      </w:r>
      <w:r>
        <w:rPr>
          <w:rFonts w:ascii="Arial" w:cs="Arial" w:eastAsia="Arial" w:hAnsi="Arial"/>
          <w:sz w:val="18"/>
          <w:szCs w:val="18"/>
          <w:i w:val="1"/>
          <w:iCs w:val="1"/>
          <w:color w:val="auto"/>
        </w:rPr>
        <w:t>Abdirizak Isse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Air Serv Corporation (the “Isse case”)</w:t>
      </w:r>
      <w:r>
        <w:rPr>
          <w:rFonts w:ascii="Arial" w:cs="Arial" w:eastAsia="Arial" w:hAnsi="Arial"/>
          <w:sz w:val="18"/>
          <w:szCs w:val="18"/>
          <w:color w:val="auto"/>
        </w:rPr>
        <w:t>, pending in the Superior Court of Washington for King County, was filed against Air Serv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sixty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 failure to comply with both the minimum wage provision and the sick and safe time provision of the Ordinance. The plaintiffs seek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has since been expanded to approximately two hundred twenty individual plaintiffs. In the event of a judgment against us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or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we intend to seek reimbursement from our clients.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July 31, 2017, authorization for $134.1 million of repurchases remained under our share repurchase program. We do not anticipate additional repurchases in the near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29845</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60" w:type="dxa"/>
            <w:vAlign w:val="bottom"/>
          </w:tcPr>
          <w:p>
            <w:pPr>
              <w:spacing w:after="0"/>
              <w:rPr>
                <w:sz w:val="18"/>
                <w:szCs w:val="18"/>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5"/>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31.42</w:t>
            </w:r>
          </w:p>
        </w:tc>
      </w:tr>
      <w:tr>
        <w:trPr>
          <w:trHeight w:val="275"/>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3"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Our quarterly provision for income taxes from continuing operations is calculated using an estimated annual effective income tax rate, which is adjusted for discrete items that occur during the reporting period.</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income taxes for the three and nine months ended July 31, 2017 were favorably impacted by a benefit of $15.8 million, including interest of $1.2 million, related to expiring statute of limitations for an uncertain tax position. In addition, the nine months ended July 31, 2017 also benefited from $2.7 million of excess tax benefits related to the vesting of share-based compensation awards, $1.8 million of tax deductions for energy efficient government buildings, and the 2017 Work Opportunity Tax Credits (“WOTC”) for new hires.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income taxes for the three and nine months ended July 31, 2016 were favorably impacted by a benefit of $19.0 million, including interest of $1.0 million, related to expiring statutes of limitations for uncertain tax positions, $1.8 million of excess tax benefits related to the vesting of share-based compensation awards, and the 2016 WOTC for new hires. In addition, the nine months ended July 31, 2016 also benefited from $4.9 million of WOTC from the retroactive reinstatement of the WOTC for calendar year 2015 and $1.2 million of tax deductions for energy efficient government buildings.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14. SEGMENT INFORMATION</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After establishing this industry-based structure, our reportable segments consist of Business &amp; Industry (“B&amp;I”), Aviation, Emerging Industries Group, and Technical Solutions, as further described below. Refer to Note 2, “Basis of Presentation and Significant Accounting Policies,” for information related to our former Government Services business.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0" w:type="dxa"/>
            <w:vAlign w:val="bottom"/>
            <w:tcBorders>
              <w:top w:val="single" w:sz="8" w:color="auto"/>
              <w:left w:val="single" w:sz="8" w:color="auto"/>
              <w:bottom w:val="single" w:sz="8" w:color="auto"/>
            </w:tcBorders>
            <w:shd w:val="clear" w:color="auto" w:fill="CCEEFF"/>
          </w:tcPr>
          <w:p>
            <w:pPr>
              <w:spacing w:after="0"/>
              <w:rPr>
                <w:sz w:val="23"/>
                <w:szCs w:val="23"/>
                <w:color w:val="auto"/>
              </w:rPr>
            </w:pPr>
          </w:p>
        </w:tc>
        <w:tc>
          <w:tcPr>
            <w:tcW w:w="700" w:type="dxa"/>
            <w:vAlign w:val="bottom"/>
            <w:tcBorders>
              <w:top w:val="single" w:sz="8" w:color="auto"/>
              <w:bottom w:val="single" w:sz="8" w:color="auto"/>
            </w:tcBorders>
            <w:shd w:val="clear" w:color="auto" w:fill="CCEEFF"/>
          </w:tcPr>
          <w:p>
            <w:pPr>
              <w:spacing w:after="0"/>
              <w:rPr>
                <w:sz w:val="23"/>
                <w:szCs w:val="23"/>
                <w:color w:val="auto"/>
              </w:rPr>
            </w:pPr>
          </w:p>
        </w:tc>
        <w:tc>
          <w:tcPr>
            <w:tcW w:w="2340" w:type="dxa"/>
            <w:vAlign w:val="bottom"/>
            <w:tcBorders>
              <w:top w:val="single" w:sz="8" w:color="auto"/>
              <w:bottom w:val="single" w:sz="8" w:color="auto"/>
            </w:tcBorders>
            <w:shd w:val="clear" w:color="auto" w:fill="CCEEFF"/>
          </w:tcPr>
          <w:p>
            <w:pPr>
              <w:spacing w:after="0"/>
              <w:rPr>
                <w:sz w:val="23"/>
                <w:szCs w:val="23"/>
                <w:color w:val="auto"/>
              </w:rPr>
            </w:pPr>
          </w:p>
        </w:tc>
        <w:tc>
          <w:tcPr>
            <w:tcW w:w="5440" w:type="dxa"/>
            <w:vAlign w:val="bottom"/>
            <w:tcBorders>
              <w:top w:val="single" w:sz="8" w:color="auto"/>
              <w:bottom w:val="single" w:sz="8" w:color="auto"/>
            </w:tcBorders>
            <w:gridSpan w:val="10"/>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ONGOING REPORTABLE SEGMENTS AND DESCRIPTIONS</w:t>
            </w:r>
          </w:p>
        </w:tc>
        <w:tc>
          <w:tcPr>
            <w:tcW w:w="13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1" w:lineRule="exact"/>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jc w:val="center"/>
              <w:ind w:right="490"/>
              <w:spacing w:after="0" w:line="202" w:lineRule="exact"/>
              <w:rPr>
                <w:sz w:val="20"/>
                <w:szCs w:val="20"/>
                <w:color w:val="auto"/>
              </w:rPr>
            </w:pPr>
            <w:r>
              <w:rPr>
                <w:rFonts w:ascii="Arial" w:cs="Arial" w:eastAsia="Arial" w:hAnsi="Arial"/>
                <w:sz w:val="18"/>
                <w:szCs w:val="18"/>
                <w:color w:val="auto"/>
                <w:w w:val="96"/>
              </w:rPr>
              <w:t>B&amp;I</w:t>
            </w: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sports and entertainment venues, and industrial and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manufacturing sites.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5" w:lineRule="exact"/>
              <w:rPr>
                <w:sz w:val="20"/>
                <w:szCs w:val="20"/>
                <w:color w:val="auto"/>
              </w:rPr>
            </w:pPr>
            <w:r>
              <w:rPr>
                <w:rFonts w:ascii="Arial" w:cs="Arial" w:eastAsia="Arial" w:hAnsi="Arial"/>
                <w:sz w:val="18"/>
                <w:szCs w:val="18"/>
                <w:color w:val="auto"/>
              </w:rPr>
              <w:t>Aviation includes services supporting airlines and airports ranging from parking and janitorial to</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vMerge w:val="restart"/>
          </w:tcPr>
          <w:p>
            <w:pPr>
              <w:jc w:val="center"/>
              <w:ind w:right="490"/>
              <w:spacing w:after="0"/>
              <w:rPr>
                <w:sz w:val="20"/>
                <w:szCs w:val="20"/>
                <w:color w:val="auto"/>
              </w:rPr>
            </w:pPr>
            <w:r>
              <w:rPr>
                <w:rFonts w:ascii="Arial" w:cs="Arial" w:eastAsia="Arial" w:hAnsi="Arial"/>
                <w:sz w:val="18"/>
                <w:szCs w:val="18"/>
                <w:color w:val="auto"/>
                <w:w w:val="99"/>
              </w:rPr>
              <w:t>Aviation</w:t>
            </w: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2" w:lineRule="exact"/>
              <w:rPr>
                <w:sz w:val="20"/>
                <w:szCs w:val="20"/>
                <w:color w:val="auto"/>
              </w:rPr>
            </w:pPr>
            <w:r>
              <w:rPr>
                <w:rFonts w:ascii="Arial" w:cs="Arial" w:eastAsia="Arial" w:hAnsi="Arial"/>
                <w:sz w:val="18"/>
                <w:szCs w:val="18"/>
                <w:color w:val="auto"/>
              </w:rPr>
              <w:t>passenger assistance, catering, air cabin maintenance, and transportation. Aviation also includes an</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200" w:type="dxa"/>
            <w:vAlign w:val="bottom"/>
            <w:tcBorders>
              <w:right w:val="single" w:sz="8" w:color="auto"/>
            </w:tcBorders>
            <w:gridSpan w:val="13"/>
            <w:vMerge w:val="restart"/>
          </w:tcPr>
          <w:p>
            <w:pPr>
              <w:ind w:left="20"/>
              <w:spacing w:after="0" w:line="202" w:lineRule="exact"/>
              <w:rPr>
                <w:sz w:val="20"/>
                <w:szCs w:val="20"/>
                <w:color w:val="auto"/>
              </w:rPr>
            </w:pPr>
            <w:r>
              <w:rPr>
                <w:rFonts w:ascii="Arial" w:cs="Arial" w:eastAsia="Arial" w:hAnsi="Arial"/>
                <w:sz w:val="18"/>
                <w:szCs w:val="18"/>
                <w:color w:val="auto"/>
              </w:rPr>
              <w:t>investment in an unconsolidated affiliate that was previously part of our government business under</w:t>
            </w:r>
          </w:p>
        </w:tc>
        <w:tc>
          <w:tcPr>
            <w:tcW w:w="0" w:type="dxa"/>
            <w:vAlign w:val="bottom"/>
          </w:tcPr>
          <w:p>
            <w:pPr>
              <w:spacing w:after="0"/>
              <w:rPr>
                <w:sz w:val="1"/>
                <w:szCs w:val="1"/>
                <w:color w:val="auto"/>
              </w:rPr>
            </w:pPr>
          </w:p>
        </w:tc>
      </w:tr>
      <w:tr>
        <w:trPr>
          <w:trHeight w:val="68"/>
        </w:trPr>
        <w:tc>
          <w:tcPr>
            <w:tcW w:w="40" w:type="dxa"/>
            <w:vAlign w:val="bottom"/>
            <w:tcBorders>
              <w:lef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200" w:type="dxa"/>
            <w:vAlign w:val="bottom"/>
            <w:tcBorders>
              <w:right w:val="single" w:sz="8" w:color="auto"/>
            </w:tcBorders>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49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our legacy Building &amp; Energy Solutions segment.</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5" w:lineRule="exact"/>
              <w:rPr>
                <w:sz w:val="20"/>
                <w:szCs w:val="20"/>
                <w:color w:val="auto"/>
              </w:rPr>
            </w:pPr>
            <w:r>
              <w:rPr>
                <w:rFonts w:ascii="Arial" w:cs="Arial" w:eastAsia="Arial" w:hAnsi="Arial"/>
                <w:sz w:val="18"/>
                <w:szCs w:val="18"/>
                <w:color w:val="auto"/>
              </w:rPr>
              <w:t>Our Emerging Industries Group is comprised of our Education, Healthcare, and High Tech industry</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3040" w:type="dxa"/>
            <w:vAlign w:val="bottom"/>
            <w:gridSpan w:val="2"/>
          </w:tcPr>
          <w:p>
            <w:pPr>
              <w:jc w:val="center"/>
              <w:ind w:left="37"/>
              <w:spacing w:after="0" w:line="202" w:lineRule="exact"/>
              <w:rPr>
                <w:sz w:val="20"/>
                <w:szCs w:val="20"/>
                <w:color w:val="auto"/>
              </w:rPr>
            </w:pPr>
            <w:r>
              <w:rPr>
                <w:rFonts w:ascii="Arial" w:cs="Arial" w:eastAsia="Arial" w:hAnsi="Arial"/>
                <w:sz w:val="18"/>
                <w:szCs w:val="18"/>
                <w:color w:val="auto"/>
              </w:rPr>
              <w:t>Emerging Industries Group</w:t>
            </w: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2" w:lineRule="exact"/>
              <w:rPr>
                <w:sz w:val="20"/>
                <w:szCs w:val="20"/>
                <w:color w:val="auto"/>
              </w:rPr>
            </w:pPr>
            <w:r>
              <w:rPr>
                <w:rFonts w:ascii="Arial" w:cs="Arial" w:eastAsia="Arial" w:hAnsi="Arial"/>
                <w:sz w:val="18"/>
                <w:szCs w:val="18"/>
                <w:color w:val="auto"/>
              </w:rPr>
              <w:t>groups. Services include janitorial, facilities engineering, and parking services for clients in these</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13"/>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jc w:val="center"/>
              <w:ind w:right="510"/>
              <w:spacing w:after="0" w:line="202" w:lineRule="exact"/>
              <w:rPr>
                <w:sz w:val="20"/>
                <w:szCs w:val="20"/>
                <w:color w:val="auto"/>
              </w:rPr>
            </w:pPr>
            <w:r>
              <w:rPr>
                <w:rFonts w:ascii="Arial" w:cs="Arial" w:eastAsia="Arial" w:hAnsi="Arial"/>
                <w:sz w:val="18"/>
                <w:szCs w:val="18"/>
                <w:color w:val="auto"/>
                <w:w w:val="98"/>
              </w:rPr>
              <w:t>Technical Solutions</w:t>
            </w:r>
          </w:p>
        </w:tc>
        <w:tc>
          <w:tcPr>
            <w:tcW w:w="140" w:type="dxa"/>
            <w:vAlign w:val="bottom"/>
            <w:tcBorders>
              <w:right w:val="single" w:sz="8" w:color="auto"/>
            </w:tcBorders>
          </w:tcPr>
          <w:p>
            <w:pPr>
              <w:spacing w:after="0"/>
              <w:rPr>
                <w:sz w:val="17"/>
                <w:szCs w:val="17"/>
                <w:color w:val="auto"/>
              </w:rPr>
            </w:pPr>
          </w:p>
        </w:tc>
        <w:tc>
          <w:tcPr>
            <w:tcW w:w="372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be leveraged for cross-selling within B&amp;I,</w:t>
            </w:r>
          </w:p>
        </w:tc>
        <w:tc>
          <w:tcPr>
            <w:tcW w:w="1240" w:type="dxa"/>
            <w:vAlign w:val="bottom"/>
          </w:tcPr>
          <w:p>
            <w:pPr>
              <w:jc w:val="right"/>
              <w:ind w:right="20"/>
              <w:spacing w:after="0" w:line="202" w:lineRule="exact"/>
              <w:rPr>
                <w:sz w:val="20"/>
                <w:szCs w:val="20"/>
                <w:color w:val="auto"/>
              </w:rPr>
            </w:pPr>
            <w:r>
              <w:rPr>
                <w:rFonts w:ascii="Arial" w:cs="Arial" w:eastAsia="Arial" w:hAnsi="Arial"/>
                <w:sz w:val="18"/>
                <w:szCs w:val="18"/>
                <w:color w:val="auto"/>
              </w:rPr>
              <w:t>Aviation, and</w:t>
            </w:r>
          </w:p>
        </w:tc>
        <w:tc>
          <w:tcPr>
            <w:tcW w:w="3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5"/>
              </w:rPr>
              <w:t>the</w:t>
            </w:r>
          </w:p>
        </w:tc>
        <w:tc>
          <w:tcPr>
            <w:tcW w:w="1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Emerging Industries</w:t>
            </w:r>
          </w:p>
        </w:tc>
        <w:tc>
          <w:tcPr>
            <w:tcW w:w="112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Group, both</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domestically and internationally.</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51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Three Months Ended July 31,</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Nine Months Ended July 31,</w:t>
            </w:r>
          </w:p>
        </w:tc>
        <w:tc>
          <w:tcPr>
            <w:tcW w:w="0" w:type="dxa"/>
            <w:vAlign w:val="bottom"/>
          </w:tcPr>
          <w:p>
            <w:pPr>
              <w:spacing w:after="0"/>
              <w:rPr>
                <w:sz w:val="1"/>
                <w:szCs w:val="1"/>
                <w:color w:val="auto"/>
              </w:rPr>
            </w:pPr>
          </w:p>
        </w:tc>
      </w:tr>
      <w:tr>
        <w:trPr>
          <w:trHeight w:val="223"/>
        </w:trPr>
        <w:tc>
          <w:tcPr>
            <w:tcW w:w="30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50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0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8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right w:val="single" w:sz="8" w:color="CCEEFF"/>
            </w:tcBorders>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749.9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733.4</w:t>
            </w: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2,237.5</w:t>
            </w:r>
          </w:p>
        </w:tc>
        <w:tc>
          <w:tcPr>
            <w:tcW w:w="100" w:type="dxa"/>
            <w:vAlign w:val="bottom"/>
          </w:tcPr>
          <w:p>
            <w:pPr>
              <w:spacing w:after="0"/>
              <w:rPr>
                <w:sz w:val="23"/>
                <w:szCs w:val="23"/>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2,207.4</w:t>
            </w:r>
          </w:p>
        </w:tc>
        <w:tc>
          <w:tcPr>
            <w:tcW w:w="0" w:type="dxa"/>
            <w:vAlign w:val="bottom"/>
          </w:tcPr>
          <w:p>
            <w:pPr>
              <w:spacing w:after="0"/>
              <w:rPr>
                <w:sz w:val="1"/>
                <w:szCs w:val="1"/>
                <w:color w:val="auto"/>
              </w:rPr>
            </w:pPr>
          </w:p>
        </w:tc>
      </w:tr>
      <w:tr>
        <w:trPr>
          <w:trHeight w:val="272"/>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140" w:type="dxa"/>
            <w:vAlign w:val="bottom"/>
            <w:tcBorders>
              <w:right w:val="single" w:sz="8" w:color="CCEEFF"/>
            </w:tcBorders>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723.3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625.9</w:t>
            </w:r>
          </w:p>
        </w:tc>
        <w:tc>
          <w:tcPr>
            <w:tcW w:w="0" w:type="dxa"/>
            <w:vAlign w:val="bottom"/>
          </w:tcPr>
          <w:p>
            <w:pPr>
              <w:spacing w:after="0"/>
              <w:rPr>
                <w:sz w:val="1"/>
                <w:szCs w:val="1"/>
                <w:color w:val="auto"/>
              </w:rPr>
            </w:pPr>
          </w:p>
        </w:tc>
      </w:tr>
      <w:tr>
        <w:trPr>
          <w:trHeight w:val="268"/>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583.2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594.7</w:t>
            </w:r>
          </w:p>
        </w:tc>
        <w:tc>
          <w:tcPr>
            <w:tcW w:w="0" w:type="dxa"/>
            <w:vAlign w:val="bottom"/>
          </w:tcPr>
          <w:p>
            <w:pPr>
              <w:spacing w:after="0"/>
              <w:rPr>
                <w:sz w:val="1"/>
                <w:szCs w:val="1"/>
                <w:color w:val="auto"/>
              </w:rPr>
            </w:pPr>
          </w:p>
        </w:tc>
      </w:tr>
      <w:tr>
        <w:trPr>
          <w:trHeight w:val="272"/>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140" w:type="dxa"/>
            <w:vAlign w:val="bottom"/>
            <w:tcBorders>
              <w:right w:val="single" w:sz="8" w:color="CCEEFF"/>
            </w:tcBorders>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309.8</w:t>
            </w: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14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37"/>
        </w:trPr>
        <w:tc>
          <w:tcPr>
            <w:tcW w:w="40" w:type="dxa"/>
            <w:vAlign w:val="bottom"/>
            <w:tcBorders>
              <w:lef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3,822.4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1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8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Business &amp; Industry</w:t>
            </w:r>
          </w:p>
        </w:tc>
        <w:tc>
          <w:tcPr>
            <w:tcW w:w="140" w:type="dxa"/>
            <w:vAlign w:val="bottom"/>
            <w:tcBorders>
              <w:right w:val="single" w:sz="8" w:color="CCEEFF"/>
            </w:tcBorders>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68"/>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2"/>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Emerging Industries Group</w:t>
            </w:r>
          </w:p>
        </w:tc>
        <w:tc>
          <w:tcPr>
            <w:tcW w:w="140" w:type="dxa"/>
            <w:vAlign w:val="bottom"/>
            <w:tcBorders>
              <w:right w:val="single" w:sz="8" w:color="CCEEFF"/>
            </w:tcBorders>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68"/>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72"/>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140" w:type="dxa"/>
            <w:vAlign w:val="bottom"/>
            <w:tcBorders>
              <w:right w:val="single" w:sz="8" w:color="CCEEFF"/>
            </w:tcBorders>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8"/>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190"/>
        </w:trPr>
        <w:tc>
          <w:tcPr>
            <w:tcW w:w="5160" w:type="dxa"/>
            <w:vAlign w:val="bottom"/>
            <w:tcBorders>
              <w:left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CCEEFF"/>
            </w:tcBorders>
            <w:shd w:val="clear" w:color="auto" w:fill="CCEEFF"/>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Aviation and Government Services</w:t>
            </w:r>
          </w:p>
        </w:tc>
        <w:tc>
          <w:tcPr>
            <w:tcW w:w="140" w:type="dxa"/>
            <w:vAlign w:val="bottom"/>
            <w:tcBorders>
              <w:righ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8"/>
        </w:trPr>
        <w:tc>
          <w:tcPr>
            <w:tcW w:w="5160" w:type="dxa"/>
            <w:vAlign w:val="bottom"/>
            <w:gridSpan w:val="5"/>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included in Technical Solutions</w:t>
            </w:r>
          </w:p>
        </w:tc>
        <w:tc>
          <w:tcPr>
            <w:tcW w:w="14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0"/>
        </w:trPr>
        <w:tc>
          <w:tcPr>
            <w:tcW w:w="40" w:type="dxa"/>
            <w:vAlign w:val="bottom"/>
            <w:tcBorders>
              <w:lef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50"/>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308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right w:val="single" w:sz="8" w:color="CCEEFF"/>
            </w:tcBorders>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9"/>
        </w:trPr>
        <w:tc>
          <w:tcPr>
            <w:tcW w:w="5160" w:type="dxa"/>
            <w:vAlign w:val="bottom"/>
            <w:gridSpan w:val="5"/>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18.0</w:t>
            </w: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w:t>
      </w:r>
    </w:p>
    <w:p>
      <w:pPr>
        <w:sectPr>
          <w:pgSz w:w="11900" w:h="16838" w:orient="portrait"/>
          <w:cols w:equalWidth="0" w:num="1">
            <w:col w:w="11420"/>
          </w:cols>
          <w:pgMar w:left="240" w:top="520" w:right="23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20" w:right="239" w:bottom="1440" w:gutter="0" w:footer="0" w:header="0"/>
          <w:type w:val="continuous"/>
        </w:sectPr>
      </w:pPr>
    </w:p>
    <w:bookmarkStart w:id="20" w:name="page21"/>
    <w:bookmarkEnd w:id="20"/>
    <w:p>
      <w:pPr>
        <w:ind w:right="8380" w:firstLine="8"/>
        <w:spacing w:after="0" w:line="439"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Acquisition of GCA Services Group</w:t>
      </w:r>
    </w:p>
    <w:p>
      <w:pPr>
        <w:spacing w:after="0" w:line="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September 1, 2017, we acquired GCA Holding Corp., the parent company of GCA Services Group (“GCA”), from affiliates of Thomas H. Lee Partners, L.P., Goldman Sachs Merchant Banking Division, and other GCA shareholders. GCA is a provider of integrated facility services to educational institutions and commercial facilities. We acquired this business for approximately $1.25 billion, consisting of $851.0 million in cash, subject to certain adjustments as set forth in the Merger Agreement, and approximately 9.5 million shares of ABM common stock. As a result of this transaction, affiliates of Thomas H. Lee Partners, L.P. and Goldman Sachs Merchant Banking Division own, in the aggregate, approximately 14% of our outstanding shares.</w:t>
      </w:r>
    </w:p>
    <w:p>
      <w:pPr>
        <w:spacing w:after="0" w:line="1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Due to the timing of the acquisition and subsequent integration of GCA’s standalone operations, GCA will be separately managed and reported for the fourth quarter of 2017. We will begin to integrate GCA into our industry group model in the first quarter of 2018. While we are currently evaluating the impact of this acquisition on our reportable segments, we anticipate our Education industry group will become a reportable segment in the first quarter of 2018.</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will account for this acquisition under the acquisition method of accounting. The accounting for this acquisition was incomplete at the time the Financial Statements were issued.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connection with the GCA acquisition, we refinanced and replaced our 2010 Facility with a new syndicated secured credit facility (the “New Credit Facility”) consisting of a $ 900 million revolving credit facility and an $ 800 million amortizing term loan with a five-year term. The revolving credit facility reduces to $800 million after one year and has an expiration date of September 1, 2022.</w:t>
      </w:r>
    </w:p>
    <w:p>
      <w:pPr>
        <w:spacing w:after="0" w:line="1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interest rate on the revolving credit facility and the term loan is 1-month LIBOR plus a spread that is based upon our leverage ratio. The spread ranges from 1.00% to 2.25% for Eurocurrency loans and zero to 1.25% for base rate loans. We also pay a commitment fee, ranging from 0.200% to 0.350%, based upon our leverage ratio, on the average daily unused portion of the revolving credit facility.</w:t>
      </w:r>
    </w:p>
    <w:p>
      <w:pPr>
        <w:spacing w:after="0" w:line="109"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Financial covenants under the New Credit Facility include a maximum leverage ratio of 4.75 to 1.0, which adjusts to 3.50 to 1.0 by July 2020, and a minimum fixed charge ratio of 1.50 to 1.0. We expect to be in compliance with the covenants under the New Credit Facility.</w:t>
      </w:r>
    </w:p>
    <w:p>
      <w:pPr>
        <w:spacing w:after="0" w:line="17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The obligations under the New Credit Facility are guaranteed by the material, domestic wholly owned subsidiaries of ABM, and are secured by a pledge of substantially all of the existing and future property and assets of ABM and the subsidiary guarantors, including a pledge of the capital stock of the domestic subsidiaries of ABM and 65% of the capital stock of certain foreign subsidiaries held by ABM and the subsidiary guarantors, subject to certain exceptions.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Hurricane Harvey</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Hurricane Harvey made landfall near Corpus Christi, Texas, on Friday, August 25, 2017 and also impacted the Houston area as a tropical storm with significant rain and flooding. The impact of Hurricane Harvey on our business is currently unknown, as the flooding it caused has disrupted operations at our Shared Services Center in Sugar Land, Texas, and impacted services we provide to clients in the Houston area, and the timeframe to resume operations and provision of services to impacted clients is uncertain. We have begun to mobilize continuity plans and set up both satellite and regional offices to minimize Hurricane Harvey’s impact on our business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2016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 Our MD&amp;A is comprised of the following sections:</w:t>
      </w:r>
    </w:p>
    <w:p>
      <w:pPr>
        <w:spacing w:after="0" w:line="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and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facilities experiences.</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a three-phase approach: During Phase 1, which we completed on November 1, 2016, we realigned our organization; Phase 2, which we are currently in, focuses on improvements to our operational framework to promote efficiencies and process enhancements; and in Phase 3, on the foundation of benefits realized from Phases 1 and 2, we anticipate accelerating growth with our industry-based go-to-market service model.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Developments in 2017</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been identifying enterprise-wide standard operating procedures (the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xml:space="preserve">”) and are migrating more of our back office functions to our Shared Services Center in Houston, Texas. We are continuing to consolidate our procurement activities and are also making investments in technology platforms to help drive and sustain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performance. Our Talent Development Group has improved front line leader training initiatives, centralized talent acquisition for staff and management, and completed a full talent assessment program identifying emerging leaders throughout the organization. By prioritizing these initiatives, we believe that we are building a foundation that should enable us to deliver leading industry-based facility solutions.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our Government Services Business</w:t>
      </w:r>
    </w:p>
    <w:p>
      <w:pPr>
        <w:spacing w:after="0" w:line="2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During the fourth quarter of 2016, in connection with the key priorities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made the decision to divest our Government Services business. On May 31, 2017, we sold this business for $ 35.5 million. In connection with the sale, during the third quarter of 2017, we recorded a pre-tax gain of approximately $1.1 million, subject to final working capital adjustments. The reported results for this business are through the date of sale. Future results could include run-off costs associated with this former business. As this business has been sold and is no longer part of our ongoing operations, we have excluded a discussion of results for the periods in this report.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Strategic Acquisition</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September 1, 2017, we acquired GCA Holding Corp., the parent company of GCA Services Group (“GCA”), for approximately $1.25 billion, consisting of $851.0 million in cash and approximately 9.5 million shares of ABM common stock. GCA is a provider of integrated facility services to educational institutions and commercial facilities. We funded the cash portion of the purchase price through borrowings under our new credit facility and a five-year term loan. Refer to Note 15, “Subsequent Events,” in the Financial Statements for more information on this transaction.</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expect this acquisition to be transformative and to accelerate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GCA’s client-centric goals and philosophies align closely with those of ABM, particularly our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As a result of this acquisition, the revenue within our Education industry group is expected to increase from $250 million to approximately $850 million annually. We also estimate a $500 million increase in annual revenue within our other industry groups, including Business &amp; Industry, High Tech, and Aviation. We also anticipate opportunities to cross-sell the services of our Technical Solutions business to GCA’s existing educational base. As such, we expect this acquisition will strengthen all of our industry groups and, in particular, positions our Education industry group as a leader in this market segment.</w:t>
      </w:r>
    </w:p>
    <w:p>
      <w:pPr>
        <w:spacing w:after="0" w:line="12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Due to the timing of the acquisition and subsequent integration of GCA’s standalone operations, GCA will be separately managed and reported for the fourth quarter of 2017. We will begin to integrate GCA into our industry group model in the first quarter of 2018. While we are currently evaluating the impact of this acquisition on our reportable segments, we anticipate our Education industry group will become a reportable segment in the first quarter of 2018.</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cost synergies of approximately $20 million to $30 million annually within two years. In conjunction with the acquisition, we expect to incur one-time transaction and integration related expenses of approximately $70 million, which includes approximately $ 17 million of financing costs that will be amortized over the term of the new credit facility. We will also incur higher interest expense as a result of an increased level of debt, as well as higher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88265</wp:posOffset>
            </wp:positionV>
            <wp:extent cx="1612265" cy="1003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Restructuring and Related Costs</w:t>
      </w:r>
    </w:p>
    <w:p>
      <w:pPr>
        <w:spacing w:after="0" w:line="16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In connection with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originally anticipated total pre-tax restructuring and related charges would range from $45 million to $60 million. Additional costs have been incurred to date, mainly related to additional use of external advisors for initial pricing and furthering of procurement efforts to enhance and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As a result, we anticipate total pre-tax restructuring and related charges to be slightly higher than the range we originally estimated.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500" w:type="dxa"/>
            <w:vAlign w:val="bottom"/>
            <w:gridSpan w:val="3"/>
          </w:tcPr>
          <w:p>
            <w:pPr>
              <w:ind w:left="100"/>
              <w:spacing w:after="0"/>
              <w:rPr>
                <w:sz w:val="20"/>
                <w:szCs w:val="20"/>
                <w:color w:val="auto"/>
              </w:rPr>
            </w:pPr>
            <w:r>
              <w:rPr>
                <w:rFonts w:ascii="Arial" w:cs="Arial" w:eastAsia="Arial" w:hAnsi="Arial"/>
                <w:sz w:val="18"/>
                <w:szCs w:val="18"/>
                <w:b w:val="1"/>
                <w:bCs w:val="1"/>
                <w:color w:val="auto"/>
              </w:rPr>
              <w:t>Three Months Ended July</w:t>
            </w:r>
          </w:p>
        </w:tc>
        <w:tc>
          <w:tcPr>
            <w:tcW w:w="14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 July</w:t>
            </w: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4"/>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8"/>
                <w:szCs w:val="18"/>
                <w:color w:val="auto"/>
              </w:rPr>
            </w:pPr>
          </w:p>
        </w:tc>
        <w:tc>
          <w:tcPr>
            <w:tcW w:w="1920" w:type="dxa"/>
            <w:vAlign w:val="bottom"/>
          </w:tcPr>
          <w:p>
            <w:pPr>
              <w:jc w:val="right"/>
              <w:ind w:right="770"/>
              <w:spacing w:after="0"/>
              <w:rPr>
                <w:sz w:val="20"/>
                <w:szCs w:val="20"/>
                <w:color w:val="auto"/>
              </w:rPr>
            </w:pPr>
            <w:r>
              <w:rPr>
                <w:rFonts w:ascii="Arial" w:cs="Arial" w:eastAsia="Arial" w:hAnsi="Arial"/>
                <w:sz w:val="18"/>
                <w:szCs w:val="18"/>
                <w:b w:val="1"/>
                <w:bCs w:val="1"/>
                <w:color w:val="auto"/>
              </w:rPr>
              <w:t>31, 2017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31, 2017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External Support Fees</w:t>
            </w:r>
          </w:p>
        </w:tc>
        <w:tc>
          <w:tcPr>
            <w:tcW w:w="4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65"/>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Employee Severance</w:t>
            </w:r>
          </w:p>
        </w:tc>
        <w:tc>
          <w:tcPr>
            <w:tcW w:w="48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5"/>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Project Fees</w:t>
            </w:r>
          </w:p>
        </w:tc>
        <w:tc>
          <w:tcPr>
            <w:tcW w:w="48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65"/>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Asset Impairment</w:t>
            </w:r>
          </w:p>
        </w:tc>
        <w:tc>
          <w:tcPr>
            <w:tcW w:w="480" w:type="dxa"/>
            <w:vAlign w:val="bottom"/>
          </w:tcPr>
          <w:p>
            <w:pPr>
              <w:spacing w:after="0"/>
              <w:rPr>
                <w:sz w:val="23"/>
                <w:szCs w:val="23"/>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5"/>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Exit</w:t>
            </w:r>
          </w:p>
        </w:tc>
        <w:tc>
          <w:tcPr>
            <w:tcW w:w="48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9"/>
        </w:trPr>
        <w:tc>
          <w:tcPr>
            <w:tcW w:w="39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57.6</w:t>
            </w:r>
          </w:p>
        </w:tc>
      </w:tr>
      <w:tr>
        <w:trPr>
          <w:trHeight w:val="67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jc w:val="right"/>
              <w:ind w:right="4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 xml:space="preserve">Segment Reporting Under Our </w:t>
      </w:r>
      <w:r>
        <w:rPr>
          <w:rFonts w:ascii="Arial" w:cs="Arial" w:eastAsia="Arial" w:hAnsi="Arial"/>
          <w:sz w:val="18"/>
          <w:szCs w:val="18"/>
          <w:b w:val="1"/>
          <w:bCs w:val="1"/>
          <w:i w:val="1"/>
          <w:iCs w:val="1"/>
          <w:color w:val="FF9900"/>
        </w:rPr>
        <w:t>2020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0070C0"/>
        </w:rPr>
        <w:t>Vision</w:t>
      </w:r>
    </w:p>
    <w:p>
      <w:pPr>
        <w:spacing w:after="0" w:line="22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As a result of the realignment of our business completed during Phase 1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are now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71120</wp:posOffset>
            </wp:positionV>
            <wp:extent cx="5814695" cy="857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4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After establishing this industry-based structure, our reportable segments consist of Business &amp; Industry (“B&amp;I”), Aviation, Emerging Industries Group, and Technical Solutions, as further described below. Refer to “Divestiture of our Government Services Business” above for information related to our former Government Services business.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940" w:type="dxa"/>
            <w:vAlign w:val="bottom"/>
            <w:tcBorders>
              <w:top w:val="single" w:sz="8" w:color="auto"/>
              <w:left w:val="single" w:sz="8" w:color="auto"/>
              <w:bottom w:val="single" w:sz="8" w:color="auto"/>
            </w:tcBorders>
            <w:shd w:val="clear" w:color="auto" w:fill="CCEEFF"/>
          </w:tcPr>
          <w:p>
            <w:pPr>
              <w:spacing w:after="0"/>
              <w:rPr>
                <w:sz w:val="23"/>
                <w:szCs w:val="23"/>
                <w:color w:val="auto"/>
              </w:rPr>
            </w:pPr>
          </w:p>
        </w:tc>
        <w:tc>
          <w:tcPr>
            <w:tcW w:w="8480" w:type="dxa"/>
            <w:vAlign w:val="bottom"/>
            <w:tcBorders>
              <w:top w:val="single" w:sz="8" w:color="auto"/>
              <w:bottom w:val="single" w:sz="8" w:color="auto"/>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ONGOING REPORTABLE SEGMENTS AND DESCRIPTIONS</w:t>
            </w:r>
          </w:p>
        </w:tc>
        <w:tc>
          <w:tcPr>
            <w:tcW w:w="0" w:type="dxa"/>
            <w:vAlign w:val="bottom"/>
          </w:tcPr>
          <w:p>
            <w:pPr>
              <w:spacing w:after="0"/>
              <w:rPr>
                <w:sz w:val="1"/>
                <w:szCs w:val="1"/>
                <w:color w:val="auto"/>
              </w:rPr>
            </w:pPr>
          </w:p>
        </w:tc>
      </w:tr>
      <w:tr>
        <w:trPr>
          <w:trHeight w:val="201"/>
        </w:trPr>
        <w:tc>
          <w:tcPr>
            <w:tcW w:w="2940" w:type="dxa"/>
            <w:vAlign w:val="bottom"/>
            <w:tcBorders>
              <w:lef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jc w:val="center"/>
              <w:ind w:left="210"/>
              <w:spacing w:after="0" w:line="202" w:lineRule="exact"/>
              <w:rPr>
                <w:sz w:val="20"/>
                <w:szCs w:val="20"/>
                <w:color w:val="auto"/>
              </w:rPr>
            </w:pPr>
            <w:r>
              <w:rPr>
                <w:rFonts w:ascii="Arial" w:cs="Arial" w:eastAsia="Arial" w:hAnsi="Arial"/>
                <w:sz w:val="18"/>
                <w:szCs w:val="18"/>
                <w:color w:val="auto"/>
                <w:w w:val="96"/>
              </w:rPr>
              <w:t>B&amp;I</w:t>
            </w: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sports and entertainment venues, and industrial and</w:t>
            </w:r>
          </w:p>
        </w:tc>
        <w:tc>
          <w:tcPr>
            <w:tcW w:w="0" w:type="dxa"/>
            <w:vAlign w:val="bottom"/>
          </w:tcPr>
          <w:p>
            <w:pPr>
              <w:spacing w:after="0"/>
              <w:rPr>
                <w:sz w:val="1"/>
                <w:szCs w:val="1"/>
                <w:color w:val="auto"/>
              </w:rPr>
            </w:pPr>
          </w:p>
        </w:tc>
      </w:tr>
      <w:tr>
        <w:trPr>
          <w:trHeight w:val="248"/>
        </w:trPr>
        <w:tc>
          <w:tcPr>
            <w:tcW w:w="294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manufacturing sites.</w:t>
            </w:r>
          </w:p>
        </w:tc>
        <w:tc>
          <w:tcPr>
            <w:tcW w:w="0" w:type="dxa"/>
            <w:vAlign w:val="bottom"/>
          </w:tcPr>
          <w:p>
            <w:pPr>
              <w:spacing w:after="0"/>
              <w:rPr>
                <w:sz w:val="1"/>
                <w:szCs w:val="1"/>
                <w:color w:val="auto"/>
              </w:rPr>
            </w:pPr>
          </w:p>
        </w:tc>
      </w:tr>
      <w:tr>
        <w:trPr>
          <w:trHeight w:val="205"/>
        </w:trPr>
        <w:tc>
          <w:tcPr>
            <w:tcW w:w="2940" w:type="dxa"/>
            <w:vAlign w:val="bottom"/>
            <w:tcBorders>
              <w:lef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Aviation includes services supporting airlines and airports ranging from parking and janitorial to</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vMerge w:val="restart"/>
          </w:tcPr>
          <w:p>
            <w:pPr>
              <w:jc w:val="center"/>
              <w:ind w:left="210"/>
              <w:spacing w:after="0"/>
              <w:rPr>
                <w:sz w:val="20"/>
                <w:szCs w:val="20"/>
                <w:color w:val="auto"/>
              </w:rPr>
            </w:pPr>
            <w:r>
              <w:rPr>
                <w:rFonts w:ascii="Arial" w:cs="Arial" w:eastAsia="Arial" w:hAnsi="Arial"/>
                <w:sz w:val="18"/>
                <w:szCs w:val="18"/>
                <w:color w:val="auto"/>
                <w:w w:val="99"/>
              </w:rPr>
              <w:t>Aviation</w:t>
            </w: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passenger assistance, catering, air cabin maintenance, and transportation. Aviation also includes an</w:t>
            </w: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tcBorders>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2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investment in an unconsolidated affiliate that was previously part of our government business under</w:t>
            </w:r>
          </w:p>
        </w:tc>
        <w:tc>
          <w:tcPr>
            <w:tcW w:w="0" w:type="dxa"/>
            <w:vAlign w:val="bottom"/>
          </w:tcPr>
          <w:p>
            <w:pPr>
              <w:spacing w:after="0"/>
              <w:rPr>
                <w:sz w:val="1"/>
                <w:szCs w:val="1"/>
                <w:color w:val="auto"/>
              </w:rPr>
            </w:pPr>
          </w:p>
        </w:tc>
      </w:tr>
      <w:tr>
        <w:trPr>
          <w:trHeight w:val="68"/>
        </w:trPr>
        <w:tc>
          <w:tcPr>
            <w:tcW w:w="2940" w:type="dxa"/>
            <w:vAlign w:val="bottom"/>
            <w:tcBorders>
              <w:lef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8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94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our legacy Building &amp; Energy Solutions segment.</w:t>
            </w:r>
          </w:p>
        </w:tc>
        <w:tc>
          <w:tcPr>
            <w:tcW w:w="0" w:type="dxa"/>
            <w:vAlign w:val="bottom"/>
          </w:tcPr>
          <w:p>
            <w:pPr>
              <w:spacing w:after="0"/>
              <w:rPr>
                <w:sz w:val="1"/>
                <w:szCs w:val="1"/>
                <w:color w:val="auto"/>
              </w:rPr>
            </w:pPr>
          </w:p>
        </w:tc>
      </w:tr>
      <w:tr>
        <w:trPr>
          <w:trHeight w:val="205"/>
        </w:trPr>
        <w:tc>
          <w:tcPr>
            <w:tcW w:w="2940" w:type="dxa"/>
            <w:vAlign w:val="bottom"/>
            <w:tcBorders>
              <w:lef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Our Emerging Industries Group is comprised of our Education, Healthcare, and High Tech industry</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jc w:val="center"/>
              <w:ind w:left="210"/>
              <w:spacing w:after="0" w:line="202" w:lineRule="exact"/>
              <w:rPr>
                <w:sz w:val="20"/>
                <w:szCs w:val="20"/>
                <w:color w:val="auto"/>
              </w:rPr>
            </w:pPr>
            <w:r>
              <w:rPr>
                <w:rFonts w:ascii="Arial" w:cs="Arial" w:eastAsia="Arial" w:hAnsi="Arial"/>
                <w:sz w:val="18"/>
                <w:szCs w:val="18"/>
                <w:color w:val="auto"/>
              </w:rPr>
              <w:t>Emerging Industries Group</w:t>
            </w: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groups. Services include janitorial, facilities engineering, and parking services for clients in these</w:t>
            </w:r>
          </w:p>
        </w:tc>
        <w:tc>
          <w:tcPr>
            <w:tcW w:w="0" w:type="dxa"/>
            <w:vAlign w:val="bottom"/>
          </w:tcPr>
          <w:p>
            <w:pPr>
              <w:spacing w:after="0"/>
              <w:rPr>
                <w:sz w:val="1"/>
                <w:szCs w:val="1"/>
                <w:color w:val="auto"/>
              </w:rPr>
            </w:pPr>
          </w:p>
        </w:tc>
      </w:tr>
      <w:tr>
        <w:trPr>
          <w:trHeight w:val="248"/>
        </w:trPr>
        <w:tc>
          <w:tcPr>
            <w:tcW w:w="294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industries.</w:t>
            </w:r>
          </w:p>
        </w:tc>
        <w:tc>
          <w:tcPr>
            <w:tcW w:w="0" w:type="dxa"/>
            <w:vAlign w:val="bottom"/>
          </w:tcPr>
          <w:p>
            <w:pPr>
              <w:spacing w:after="0"/>
              <w:rPr>
                <w:sz w:val="1"/>
                <w:szCs w:val="1"/>
                <w:color w:val="auto"/>
              </w:rPr>
            </w:pPr>
          </w:p>
        </w:tc>
      </w:tr>
      <w:tr>
        <w:trPr>
          <w:trHeight w:val="205"/>
        </w:trPr>
        <w:tc>
          <w:tcPr>
            <w:tcW w:w="2940" w:type="dxa"/>
            <w:vAlign w:val="bottom"/>
            <w:tcBorders>
              <w:lef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Technical Solutions provides specialized mechanical and electrical services. These services can also</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jc w:val="center"/>
              <w:ind w:left="190"/>
              <w:spacing w:after="0" w:line="202" w:lineRule="exact"/>
              <w:rPr>
                <w:sz w:val="20"/>
                <w:szCs w:val="20"/>
                <w:color w:val="auto"/>
              </w:rPr>
            </w:pPr>
            <w:r>
              <w:rPr>
                <w:rFonts w:ascii="Arial" w:cs="Arial" w:eastAsia="Arial" w:hAnsi="Arial"/>
                <w:sz w:val="18"/>
                <w:szCs w:val="18"/>
                <w:color w:val="auto"/>
                <w:w w:val="98"/>
              </w:rPr>
              <w:t>Technical Solutions</w:t>
            </w:r>
          </w:p>
        </w:tc>
        <w:tc>
          <w:tcPr>
            <w:tcW w:w="28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leveraged for cross-selling within B&amp;I, Aviation, and the Emerging Industries Group, both</w:t>
            </w:r>
          </w:p>
        </w:tc>
        <w:tc>
          <w:tcPr>
            <w:tcW w:w="0" w:type="dxa"/>
            <w:vAlign w:val="bottom"/>
          </w:tcPr>
          <w:p>
            <w:pPr>
              <w:spacing w:after="0"/>
              <w:rPr>
                <w:sz w:val="1"/>
                <w:szCs w:val="1"/>
                <w:color w:val="auto"/>
              </w:rPr>
            </w:pPr>
          </w:p>
        </w:tc>
      </w:tr>
      <w:tr>
        <w:trPr>
          <w:trHeight w:val="248"/>
        </w:trPr>
        <w:tc>
          <w:tcPr>
            <w:tcW w:w="294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domestically and internationally.</w:t>
            </w:r>
          </w:p>
        </w:tc>
        <w:tc>
          <w:tcPr>
            <w:tcW w:w="0" w:type="dxa"/>
            <w:vAlign w:val="bottom"/>
          </w:tcPr>
          <w:p>
            <w:pPr>
              <w:spacing w:after="0"/>
              <w:rPr>
                <w:sz w:val="1"/>
                <w:szCs w:val="1"/>
                <w:color w:val="auto"/>
              </w:rPr>
            </w:pPr>
          </w:p>
        </w:tc>
      </w:tr>
      <w:tr>
        <w:trPr>
          <w:trHeight w:val="388"/>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auto"/>
              </w:rPr>
              <w:t>Prior Year Reclassifications</w:t>
            </w:r>
          </w:p>
        </w:tc>
        <w:tc>
          <w:tcPr>
            <w:tcW w:w="2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revised our prior period segment information to reflect this reorganization and a related reclassification of certain Corporate expenses. Concurrent with the reorganization, we recategorized certain expenses that were historically included in operating expenses to selling, general and administrative expenses. To conform to the new categorization, we reclassified operating expenses of $5.2 million and $15.1 million for the three- and nine-month periods ended July 31, 2016, respectively, to selling, general and administrative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Developments and Trends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with plaintiffs Jennifer Augustus, Delores Hall, Emanuel Davis, and Carlton Anthony Waite, on behalf of themselves and the settlement class members, to settle the </w:t>
      </w:r>
      <w:r>
        <w:rPr>
          <w:rFonts w:ascii="Arial" w:cs="Arial" w:eastAsia="Arial" w:hAnsi="Arial"/>
          <w:sz w:val="18"/>
          <w:szCs w:val="18"/>
          <w:i w:val="1"/>
          <w:iCs w:val="1"/>
          <w:color w:val="auto"/>
        </w:rPr>
        <w:t>Consolidated Cases of Augustus, Hall, and Davis, et al. v. American Commercial</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 Services</w:t>
      </w:r>
      <w:r>
        <w:rPr>
          <w:rFonts w:ascii="Arial" w:cs="Arial" w:eastAsia="Arial" w:hAnsi="Arial"/>
          <w:sz w:val="18"/>
          <w:szCs w:val="18"/>
          <w:color w:val="auto"/>
        </w:rPr>
        <w:t>, on a class-wide basis for $ 110.0 million (the “Augustus Settlement Agreement”). On March 17, 2017, the Augustus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Agreement was amended to address certain procedural matters, and it received final approval of the Superior Court of California, Los Angeles County on July 6, 2017. The Augustus Settlement Agreement called for two payments of $55.0 million each. The first payment was made on July 19, 2017, and the second payment, plus an additional payment of $4.8 million for payroll taxes, was made on August 29, 2017. We funded the payments from operating cash flows and from borrowings under our credit facility.</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In connection with </w:t>
      </w:r>
      <w:r>
        <w:rPr>
          <w:rFonts w:ascii="Arial" w:cs="Arial" w:eastAsia="Arial" w:hAnsi="Arial"/>
          <w:sz w:val="18"/>
          <w:szCs w:val="18"/>
          <w:i w:val="1"/>
          <w:iCs w:val="1"/>
          <w:color w:val="auto"/>
        </w:rPr>
        <w:t>Karapetyan v. ABM Industries Incorporated and ABM Security Services, Inc., et al.</w:t>
      </w:r>
      <w:r>
        <w:rPr>
          <w:rFonts w:ascii="Arial" w:cs="Arial" w:eastAsia="Arial" w:hAnsi="Arial"/>
          <w:sz w:val="18"/>
          <w:szCs w:val="18"/>
          <w:color w:val="auto"/>
        </w:rPr>
        <w:t xml:space="preserv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we entered into a Class Action Settlement and Release with plaintiff Vardan Karapetyan, on behalf of himself and the settlement class members, to settle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on a class-wide basis for $5.0 million.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is a putative class action that alleges violations of certain California state laws relating to meal and rest breaks and other wage and hour claims. This settlement is contingent upon the final approval by the United States District Court for the Central District of California.</w:t>
      </w:r>
    </w:p>
    <w:p>
      <w:pPr>
        <w:spacing w:after="0" w:line="13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These settlements are tax deductible and will result in an estimated $50 million in cash tax savings, the majority of which we expect to receive in 2018.</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January 31, 2017, we performed an actuarial review of the majority of our casualty insurance programs, considering changes in claim developments and claim payment activity for the period commencing May 1, 2016 and ending October 31, 2016. During the three months ended July 31, 2017, we performed an annual actuarial evaluation of the majority of our casualty insurance programs, evaluating all changes made to claims reserves and claim payment activity for the period commencing May 1, 2016 and ending April 30, 2017 for all policy years having open claims. As a result of these studies, we increased our total reserves for claims related to prior periods by $22.3 million during the nine months ended July 31, 2017. The studies excluded claims relating to certain previously acquired businesses, which we expect to evaluate during the fourth quarter of 2017.</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Both the actuarial review and annual actuarial evaluation indicated safety initiatives we have implemented have had a modest impact on our claim costs in the most recent years, however there have been unfavorable developments in ultimate losses that we estimated for general liability and workers’ compensation claims related to prior years, as described below.</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actuarial studies indicated a decrease over the most recent years in the total number of reported claims related to our general liability program, particularly with respect to bodily injury claims, in addition to property damage claims. However, we experienced adverse developments in prior year claims, which are largely attributable to adjustments related to certain bodily injury claims and to losses for property damage.</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experiencing a reduced frequency of claims in our workers’ compensation program. However, due to increases in projected costs and severity of claims for a number of prior year claims in California and New York, we increased our estimate of ultimate losses for workers’ compensation. Statutory, regulatory, and legal developments have contributed to the increase in our estimated losses.</w:t>
      </w:r>
    </w:p>
    <w:p>
      <w:pPr>
        <w:spacing w:after="0" w:line="10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Based on the results of the actuarial studies performed during 2017, which included analyzing recent loss development patterns, comparing the loss development against benchmarks, and applying actuarial projection methods to determine the estimate of ultimate losses, we increased our total reserves for known claims as well as our estimate of the loss amounts associated with incurred but not reported claims by $10.0 million during the first half of 2017 and by an additional $12.3 million during the third quarter of 2017, for a total adjustment related to prior year claims of $22.3 million during 2017. This adjustment was $9.5 million lower than the total adjustment related to prior year claims of $31.8 million in 2016.</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Key Financial Highlights</w:t>
      </w:r>
    </w:p>
    <w:p>
      <w:pPr>
        <w:spacing w:after="0" w:line="171" w:lineRule="exact"/>
        <w:rPr>
          <w:sz w:val="20"/>
          <w:szCs w:val="20"/>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increased by $21.5 million, or 1.7%, during the three months ended July 31, 2017, as compared to the three months ended July 31, 2016.</w:t>
      </w:r>
    </w:p>
    <w:p>
      <w:pPr>
        <w:spacing w:after="0" w:line="9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Operating profit increased by $4.1 million, or 22.0%, during the three months ended July 31, 2017, as compared to the three months ended July 31, 2016. The increase in operating profit is primarily attributable to a lower self-insurance adjustment, a decrease in legal settlement costs, and procurement and 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one additional working day and a contract termination within our Aviation business.</w:t>
      </w:r>
    </w:p>
    <w:p>
      <w:pPr>
        <w:spacing w:after="0" w:line="11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income taxes from continuing operations for the three months ended July 31, 2017 were favorably impacted by a tax benefit of $15.8 million, including interest of $1.2 million, related to expiring statute of limitations for an uncertain tax position.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provided by operating activities of continuing operations was $82.6 million during the nine months ended July 31, 2017.</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of $28.4 million were paid to shareholders, and dividends totaling $0.510 per common share were declared during the nine months ended July 31, 2017.</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July 31, 2017, total outstanding borrowings under our line of credit were $264.7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3820"/>
        <w:spacing w:after="0" w:line="455" w:lineRule="auto"/>
        <w:rPr>
          <w:sz w:val="20"/>
          <w:szCs w:val="20"/>
          <w:color w:val="auto"/>
        </w:rPr>
      </w:pPr>
      <w:r>
        <w:rPr>
          <w:rFonts w:ascii="Arial" w:cs="Arial" w:eastAsia="Arial" w:hAnsi="Arial"/>
          <w:sz w:val="18"/>
          <w:szCs w:val="18"/>
          <w:b w:val="1"/>
          <w:bCs w:val="1"/>
          <w:i w:val="1"/>
          <w:iCs w:val="1"/>
          <w:color w:val="auto"/>
        </w:rPr>
        <w:t>Three Months Ended July 31, 2017 Compared with the Three Months Ended July 31, 2016 Consolidated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July 31,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7"/>
        </w:trPr>
        <w:tc>
          <w:tcPr>
            <w:tcW w:w="53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1,318.4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1.7%</w:t>
            </w: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1,184.5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1,161.3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2.0%</w:t>
            </w:r>
          </w:p>
        </w:tc>
      </w:tr>
      <w:tr>
        <w:trPr>
          <w:trHeight w:val="278"/>
        </w:trPr>
        <w:tc>
          <w:tcPr>
            <w:tcW w:w="4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 bps</w:t>
            </w:r>
          </w:p>
        </w:tc>
        <w:tc>
          <w:tcPr>
            <w:tcW w:w="1340" w:type="dxa"/>
            <w:vAlign w:val="bottom"/>
            <w:shd w:val="clear" w:color="auto" w:fill="CCEEFF"/>
          </w:tcPr>
          <w:p>
            <w:pPr>
              <w:spacing w:after="0"/>
              <w:rPr>
                <w:sz w:val="24"/>
                <w:szCs w:val="24"/>
                <w:color w:val="auto"/>
              </w:rPr>
            </w:pP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rPr>
              <w:t>(6.3)%</w:t>
            </w:r>
          </w:p>
        </w:tc>
      </w:tr>
      <w:tr>
        <w:trPr>
          <w:trHeight w:val="278"/>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4.6%</w:t>
            </w:r>
          </w:p>
        </w:tc>
      </w:tr>
      <w:tr>
        <w:trPr>
          <w:trHeight w:val="262"/>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Restructuring and related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57.8%</w:t>
            </w:r>
          </w:p>
        </w:tc>
      </w:tr>
      <w:tr>
        <w:trPr>
          <w:trHeight w:val="278"/>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Impairment recovery and gain on sale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46"/>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22.0%</w:t>
            </w:r>
          </w:p>
        </w:tc>
      </w:tr>
      <w:tr>
        <w:trPr>
          <w:trHeight w:val="274"/>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(41.6)%</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3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rPr>
              <w:t>(6.6)%</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16.9%</w:t>
            </w:r>
          </w:p>
        </w:tc>
      </w:tr>
      <w:tr>
        <w:trPr>
          <w:trHeight w:val="264"/>
        </w:trPr>
        <w:tc>
          <w:tcPr>
            <w:tcW w:w="53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3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w w:val="99"/>
              </w:rPr>
              <w:t>(20.0)%</w:t>
            </w:r>
          </w:p>
        </w:tc>
      </w:tr>
      <w:tr>
        <w:trPr>
          <w:trHeight w:val="257"/>
        </w:trPr>
        <w:tc>
          <w:tcPr>
            <w:tcW w:w="53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0.2%</w:t>
            </w:r>
          </w:p>
        </w:tc>
      </w:tr>
      <w:tr>
        <w:trPr>
          <w:trHeight w:val="264"/>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Net loss from discontinued operations</w:t>
            </w:r>
          </w:p>
        </w:tc>
        <w:tc>
          <w:tcPr>
            <w:tcW w:w="36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32.9</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340" w:type="dxa"/>
            <w:vAlign w:val="bottom"/>
            <w:tcBorders>
              <w:top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rPr>
              <w:t>5.9%</w:t>
            </w:r>
          </w:p>
        </w:tc>
      </w:tr>
      <w:tr>
        <w:trPr>
          <w:trHeight w:val="256"/>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3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64"/>
        </w:trPr>
        <w:tc>
          <w:tcPr>
            <w:tcW w:w="40" w:type="dxa"/>
            <w:vAlign w:val="bottom"/>
            <w:tcBorders>
              <w:bottom w:val="single" w:sz="8" w:color="CCEEFF"/>
            </w:tcBorders>
          </w:tcPr>
          <w:p>
            <w:pPr>
              <w:spacing w:after="0"/>
              <w:rPr>
                <w:sz w:val="22"/>
                <w:szCs w:val="22"/>
                <w:color w:val="auto"/>
              </w:rPr>
            </w:pPr>
          </w:p>
        </w:tc>
        <w:tc>
          <w:tcPr>
            <w:tcW w:w="52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 of taxes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3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NM*</w:t>
            </w:r>
          </w:p>
        </w:tc>
      </w:tr>
      <w:tr>
        <w:trPr>
          <w:trHeight w:val="243"/>
        </w:trPr>
        <w:tc>
          <w:tcPr>
            <w:tcW w:w="5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increased by $21.5 million, or 1.7%, during the three months ended July 31, 2017, as compared to the three months ended July 31, 2016. The increase in revenues was primarily attributable to organic growth in Aviation and B&amp;I and to $8.7 million of incremental revenues from acquisitions. This increase was partially offset by the sale of our Government Services business on May 31, 2017, the completion of a large energy savings performance contract (“ESPC”), and the loss of certain contracts in our Emerging Industries Group.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expenses increased by $23.2 million, or 2.0%, during the three months ended July 31, 2017, as compared to the three months ended July 31, 2016. Gross margin decreased by 30 bps to 10.2% in the three months ended July 31, 2017 from 10.5% in the three months ended July 31, 2016. The decrease in gross margin was primarily associated with a contract termination within our Aviation business and one additional working day during the three months ended July 31, 2017. This decrease was partially offset by a lower self-insurance adjustment related to prior year claims as a result of an actuarial evaluation completed in the three months ended July 31, 2017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Selling, general and administrative expenses decreased by $6.7 million, or 6.3%, during the three months ended July 31, 2017, as compared to the three months ended July 31, 2016. The decrease in selling, general and administrative expenses was primarily related to $7.2 million lower legal settlement costs and to 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decrease was partially offset by $2.2 million of transaction expenses related to the GCA acquisition and $1.5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which was reduced by a reversal of certain incentive plans.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Restructuring and related expenses increased by $1.9 million, or 57.8%, during the three months ended July 31, 2017, as compared to the three months ended July 31, 2016 as a result of our additional use of external advisors related to Phase 2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from Continuing Operations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income taxes from continuing operations for the three months ended July 31, 2017 were favorably impacted by a tax benefit of $15.8 million, including interest of $1.2 million, related to expiring statute of limitations for an uncertain tax position, a decrease of $3.2 million when compared to a tax benefit of $19.0 million, including interest of $1.0 million, during the three months ended July 31,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During the three months ended July 31, 2017 we recognized as a component of our comprehensive income a foreign currency translation gain of $3.6 million compared with a loss of $12.6 million during the three months ended July 31, 2016. This change was related to the weakening of the U.S. Dollar (“USD”) against the Great Britain Pound (“GBP”) during the three months ended July 31, 2017.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6"/>
          </w:tcPr>
          <w:p>
            <w:pPr>
              <w:ind w:left="120"/>
              <w:spacing w:after="0"/>
              <w:rPr>
                <w:sz w:val="20"/>
                <w:szCs w:val="20"/>
                <w:color w:val="auto"/>
              </w:rPr>
            </w:pPr>
            <w:r>
              <w:rPr>
                <w:rFonts w:ascii="Arial" w:cs="Arial" w:eastAsia="Arial" w:hAnsi="Arial"/>
                <w:sz w:val="15"/>
                <w:szCs w:val="15"/>
                <w:b w:val="1"/>
                <w:bCs w:val="1"/>
                <w:color w:val="auto"/>
              </w:rPr>
              <w:t>Three Months Ended July 31,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41"/>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2"/>
          </w:tcPr>
          <w:p>
            <w:pPr>
              <w:jc w:val="right"/>
              <w:ind w:right="438"/>
              <w:spacing w:after="0"/>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749.9</w:t>
            </w:r>
          </w:p>
        </w:tc>
        <w:tc>
          <w:tcPr>
            <w:tcW w:w="5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733.4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16.5</w:t>
            </w:r>
          </w:p>
        </w:tc>
        <w:tc>
          <w:tcPr>
            <w:tcW w:w="1360" w:type="dxa"/>
            <w:vAlign w:val="bottom"/>
          </w:tcPr>
          <w:p>
            <w:pPr>
              <w:jc w:val="center"/>
              <w:ind w:left="1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8"/>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259.1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2"/>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Emerging Industries Group</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100"/>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w:t>
            </w:r>
          </w:p>
        </w:tc>
        <w:tc>
          <w:tcPr>
            <w:tcW w:w="1360" w:type="dxa"/>
            <w:vAlign w:val="bottom"/>
          </w:tcPr>
          <w:p>
            <w:pPr>
              <w:jc w:val="center"/>
              <w:ind w:left="38"/>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8"/>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3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Government Services</w:t>
            </w:r>
          </w:p>
        </w:tc>
        <w:tc>
          <w:tcPr>
            <w:tcW w:w="4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360" w:type="dxa"/>
            <w:vAlign w:val="bottom"/>
            <w:tcBorders>
              <w:bottom w:val="single" w:sz="8" w:color="CCEEFF"/>
            </w:tcBorders>
          </w:tcPr>
          <w:p>
            <w:pPr>
              <w:jc w:val="center"/>
              <w:ind w:left="18"/>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1,318.4</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1,296.9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68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42.2</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5.6 %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4"/>
                <w:szCs w:val="14"/>
                <w:i w:val="1"/>
                <w:iCs w:val="1"/>
                <w:color w:val="auto"/>
              </w:rPr>
              <w:t>7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3.8 %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4"/>
                <w:szCs w:val="14"/>
                <w:i w:val="1"/>
                <w:iCs w:val="1"/>
                <w:color w:val="auto"/>
              </w:rPr>
              <w:t>(142)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Emerging Industries Group</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8.4 %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4"/>
                <w:szCs w:val="14"/>
                <w:i w:val="1"/>
                <w:iCs w:val="1"/>
                <w:color w:val="auto"/>
              </w:rPr>
              <w:t>(231)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3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8.7 %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4"/>
                <w:szCs w:val="14"/>
                <w:i w:val="1"/>
                <w:iCs w:val="1"/>
                <w:color w:val="auto"/>
              </w:rPr>
              <w:t>48 bps</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36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4"/>
                <w:szCs w:val="14"/>
                <w:i w:val="1"/>
                <w:iCs w:val="1"/>
                <w:color w:val="auto"/>
              </w:rPr>
              <w:t>NM*</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3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8"/>
        </w:trPr>
        <w:tc>
          <w:tcPr>
            <w:tcW w:w="5680" w:type="dxa"/>
            <w:vAlign w:val="bottom"/>
            <w:gridSpan w:val="7"/>
          </w:tcPr>
          <w:p>
            <w:pPr>
              <w:ind w:left="2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360" w:type="dxa"/>
            <w:vAlign w:val="bottom"/>
          </w:tcPr>
          <w:p>
            <w:pPr>
              <w:jc w:val="center"/>
              <w:ind w:left="18"/>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60" w:type="dxa"/>
            <w:vAlign w:val="bottom"/>
            <w:gridSpan w:val="4"/>
            <w:shd w:val="clear" w:color="auto" w:fill="CCEEFF"/>
          </w:tcPr>
          <w:p>
            <w:pPr>
              <w:spacing w:after="0"/>
              <w:rPr>
                <w:sz w:val="20"/>
                <w:szCs w:val="20"/>
                <w:color w:val="auto"/>
              </w:rPr>
            </w:pPr>
            <w:r>
              <w:rPr>
                <w:rFonts w:ascii="Arial" w:cs="Arial" w:eastAsia="Arial" w:hAnsi="Arial"/>
                <w:sz w:val="16"/>
                <w:szCs w:val="16"/>
                <w:color w:val="auto"/>
                <w:shd w:val="clear" w:color="auto" w:fill="CCEEFF"/>
              </w:rPr>
              <w:t>Adjustment for tax deductions for energy efficient government buildings,</w:t>
            </w:r>
          </w:p>
        </w:tc>
        <w:tc>
          <w:tcPr>
            <w:tcW w:w="2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included in Technical Solutions</w:t>
            </w: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360" w:type="dxa"/>
            <w:vAlign w:val="bottom"/>
            <w:tcBorders>
              <w:bottom w:val="single" w:sz="8" w:color="CCEEFF"/>
            </w:tcBorders>
            <w:shd w:val="clear" w:color="auto" w:fill="CCEEFF"/>
          </w:tcPr>
          <w:p>
            <w:pPr>
              <w:jc w:val="right"/>
              <w:ind w:right="398"/>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w:t>
            </w:r>
          </w:p>
        </w:tc>
        <w:tc>
          <w:tcPr>
            <w:tcW w:w="1360" w:type="dxa"/>
            <w:vAlign w:val="bottom"/>
          </w:tcPr>
          <w:p>
            <w:pPr>
              <w:jc w:val="center"/>
              <w:ind w:left="18"/>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ind w:left="2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Business &amp; Industry</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Three Months Ended July 31,</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380" w:type="dxa"/>
            <w:vAlign w:val="bottom"/>
          </w:tcPr>
          <w:p>
            <w:pPr>
              <w:jc w:val="right"/>
              <w:ind w:right="576"/>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60"/>
              <w:spacing w:after="0"/>
              <w:rPr>
                <w:sz w:val="20"/>
                <w:szCs w:val="20"/>
                <w:color w:val="auto"/>
              </w:rPr>
            </w:pPr>
            <w:r>
              <w:rPr>
                <w:rFonts w:ascii="Arial" w:cs="Arial" w:eastAsia="Arial" w:hAnsi="Arial"/>
                <w:sz w:val="18"/>
                <w:szCs w:val="18"/>
                <w:b w:val="1"/>
                <w:bCs w:val="1"/>
                <w:color w:val="auto"/>
              </w:rPr>
              <w:t>Increase</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00"/>
              <w:spacing w:after="0"/>
              <w:rPr>
                <w:sz w:val="20"/>
                <w:szCs w:val="20"/>
                <w:color w:val="auto"/>
              </w:rPr>
            </w:pPr>
            <w:r>
              <w:rPr>
                <w:rFonts w:ascii="Arial" w:cs="Arial" w:eastAsia="Arial" w:hAnsi="Arial"/>
                <w:sz w:val="18"/>
                <w:szCs w:val="18"/>
                <w:color w:val="auto"/>
              </w:rPr>
              <w:t>16.5</w:t>
            </w:r>
          </w:p>
        </w:tc>
        <w:tc>
          <w:tcPr>
            <w:tcW w:w="136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gridSpan w:val="2"/>
          </w:tcPr>
          <w:p>
            <w:pPr>
              <w:jc w:val="right"/>
              <w:ind w:right="99"/>
              <w:spacing w:after="0"/>
              <w:rPr>
                <w:sz w:val="20"/>
                <w:szCs w:val="20"/>
                <w:color w:val="auto"/>
              </w:rPr>
            </w:pPr>
            <w:r>
              <w:rPr>
                <w:rFonts w:ascii="Arial" w:cs="Arial" w:eastAsia="Arial" w:hAnsi="Arial"/>
                <w:sz w:val="18"/>
                <w:szCs w:val="18"/>
                <w:color w:val="auto"/>
                <w:w w:val="96"/>
              </w:rPr>
              <w:t>40.7</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600"/>
              <w:spacing w:after="0"/>
              <w:rPr>
                <w:sz w:val="20"/>
                <w:szCs w:val="20"/>
                <w:color w:val="auto"/>
              </w:rPr>
            </w:pPr>
            <w:r>
              <w:rPr>
                <w:rFonts w:ascii="Arial" w:cs="Arial" w:eastAsia="Arial" w:hAnsi="Arial"/>
                <w:sz w:val="18"/>
                <w:szCs w:val="18"/>
                <w:color w:val="auto"/>
              </w:rPr>
              <w:t>1.5</w:t>
            </w:r>
          </w:p>
        </w:tc>
        <w:tc>
          <w:tcPr>
            <w:tcW w:w="1360" w:type="dxa"/>
            <w:vAlign w:val="bottom"/>
          </w:tcPr>
          <w:p>
            <w:pPr>
              <w:jc w:val="right"/>
              <w:ind w:right="61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0"/>
              <w:spacing w:after="0"/>
              <w:rPr>
                <w:sz w:val="20"/>
                <w:szCs w:val="20"/>
                <w:color w:val="auto"/>
              </w:rPr>
            </w:pPr>
            <w:r>
              <w:rPr>
                <w:rFonts w:ascii="Arial" w:cs="Arial" w:eastAsia="Arial" w:hAnsi="Arial"/>
                <w:sz w:val="14"/>
                <w:szCs w:val="14"/>
                <w:i w:val="1"/>
                <w:iCs w:val="1"/>
                <w:color w:val="auto"/>
              </w:rPr>
              <w:t>7 bps</w:t>
            </w: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B&amp;I revenues increased by $16.5 million, or 2.2%, during the three months ended July 31, 2017, as compared to the three months ended July 31, 2016. The increase was primarily attributable to expansion within our existing U.S. janitorial and facility services accounts, including additional tag revenue. Management reimbursement revenues for this segment totaled $59.3 million and $57.4 million for the three months ended July 31,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$1.5 million, or 3.6%, during the three months ended July 31, 2017, as compared to the three months ended July 31, 2016. Operating profit margin increased by 7 bps in the three months ended July 31, 2017. The increase in operating profit margin was primarily associated with higher margin revenues, lower legal settlement costs, and cost control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one additional working day during the three months ended July 31, 2017 and lower profit margins associated with certain leased location arrangements.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Aviation</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40.0</w:t>
            </w:r>
          </w:p>
        </w:tc>
        <w:tc>
          <w:tcPr>
            <w:tcW w:w="16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18.2%</w:t>
            </w: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560" w:type="dxa"/>
            <w:vAlign w:val="bottom"/>
          </w:tcPr>
          <w:p>
            <w:pPr>
              <w:jc w:val="right"/>
              <w:ind w:right="314"/>
              <w:spacing w:after="0"/>
              <w:rPr>
                <w:sz w:val="20"/>
                <w:szCs w:val="20"/>
                <w:color w:val="auto"/>
              </w:rPr>
            </w:pPr>
            <w:r>
              <w:rPr>
                <w:rFonts w:ascii="Arial" w:cs="Arial" w:eastAsia="Arial" w:hAnsi="Arial"/>
                <w:sz w:val="18"/>
                <w:szCs w:val="18"/>
                <w:color w:val="auto"/>
              </w:rPr>
              <w:t>(2.1)</w:t>
            </w:r>
          </w:p>
        </w:tc>
        <w:tc>
          <w:tcPr>
            <w:tcW w:w="1620" w:type="dxa"/>
            <w:vAlign w:val="bottom"/>
          </w:tcPr>
          <w:p>
            <w:pPr>
              <w:jc w:val="right"/>
              <w:ind w:right="490"/>
              <w:spacing w:after="0"/>
              <w:rPr>
                <w:sz w:val="20"/>
                <w:szCs w:val="20"/>
                <w:color w:val="auto"/>
              </w:rPr>
            </w:pPr>
            <w:r>
              <w:rPr>
                <w:rFonts w:ascii="Arial" w:cs="Arial" w:eastAsia="Arial" w:hAnsi="Arial"/>
                <w:sz w:val="18"/>
                <w:szCs w:val="18"/>
                <w:color w:val="auto"/>
              </w:rPr>
              <w:t>(25.9)%</w:t>
            </w: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14"/>
              <w:spacing w:after="0"/>
              <w:rPr>
                <w:sz w:val="20"/>
                <w:szCs w:val="20"/>
                <w:color w:val="auto"/>
              </w:rPr>
            </w:pPr>
            <w:r>
              <w:rPr>
                <w:rFonts w:ascii="Arial" w:cs="Arial" w:eastAsia="Arial" w:hAnsi="Arial"/>
                <w:sz w:val="14"/>
                <w:szCs w:val="14"/>
                <w:i w:val="1"/>
                <w:iCs w:val="1"/>
                <w:color w:val="auto"/>
              </w:rPr>
              <w:t>(142) bps</w:t>
            </w:r>
          </w:p>
        </w:tc>
        <w:tc>
          <w:tcPr>
            <w:tcW w:w="162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Aviation revenues increased by $40.0 million, or 18.2%, during the three months ended July 31, 2017, as compared to the three months ended July 31, 2016. The increase was primarily attributable to organic growth in parking, transportation, cabin cleaning, and passenger services. Management reimbursement revenues for this segment totaled $21.9 million and $19.4 million for the three months ended July 31, 2017 and 2016, respectively.</w:t>
      </w:r>
    </w:p>
    <w:p>
      <w:pPr>
        <w:spacing w:after="0" w:line="1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Operating profit decreased by $2.1 million, or 25.9%, during the three months ended July 31, 2017, as compared to the three months ended July 31, 2016. Operating profit margin decreased by 142 bps to 2.4% in the three months ended July 31, 2017 from 3.8% in the three months ended July 31, 2016. The decrease in operating profit margin was primarily attributable to a contract termination. This decrease was partially offset by savings and lower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6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(10.1)</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(5.0)%</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(5.3)</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(31.1)%</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(231) bps</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Emerging Industries Group revenues decreased by $10.1 million, or 5.0%, during the three months ended July 31, 2017, as compared to the three months ended July 31, 2016. The decrease was primarily related to the losses of certain High Tech accounts and Education facility services contracts.</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decreased by $5.3 million, or 31.1%, during the three months ended July 31, 2017, as compared to the three months ended July 31, 2016. Operating profit margin decreased by 231 bps to 6.1% in the three months ended July 31, 2017 from 8.4% in the three months ended July 31, 2016. The decrease in operating profit margin was primarily attributable to lower contribution margin from certain High Tech contracts, including the loss of a multi-location janitorial account, higher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one additional working day during the three months ended July 31, 2017.</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Technical Solutions</w:t>
            </w: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(8.7)</w:t>
            </w:r>
          </w:p>
        </w:tc>
        <w:tc>
          <w:tcPr>
            <w:tcW w:w="15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(7.6)%</w:t>
            </w: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(0.2)</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(2.5)%</w:t>
            </w: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9.2%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74"/>
              <w:spacing w:after="0"/>
              <w:rPr>
                <w:sz w:val="20"/>
                <w:szCs w:val="20"/>
                <w:color w:val="auto"/>
              </w:rPr>
            </w:pPr>
            <w:r>
              <w:rPr>
                <w:rFonts w:ascii="Arial" w:cs="Arial" w:eastAsia="Arial" w:hAnsi="Arial"/>
                <w:sz w:val="14"/>
                <w:szCs w:val="14"/>
                <w:i w:val="1"/>
                <w:iCs w:val="1"/>
                <w:color w:val="auto"/>
              </w:rPr>
              <w:t>48 bps</w:t>
            </w:r>
          </w:p>
        </w:tc>
        <w:tc>
          <w:tcPr>
            <w:tcW w:w="156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Technical Solutions revenues decreased by $8.7 million, or 7.6%, during the three months ended July 31, 2017, as compared to the three months ended July 31, 2016. This decrease was primarily attributable to the completion of a large ESPC project, partially offset by incremental revenues from acquisitions of $2.8 million.</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decreased by $0.2 million, or 2.5%, during the three months ended July 31, 2017, as compared to the three months ended July 31, 2016. Operating profit margin increased by 48 bps to 9.2% in the three months ended July 31, 2017 from 8.7% in the three months ended July 31, 2016. The increase in operating profit margin was primarily attributable to the completion of a relatively lower margin ESPC project, the management of our selling, general and administrative expenses, a reduction in bad debt, and higher operational tax deductions for energy efficient government building projects.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1"/>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(7.5)</w:t>
            </w:r>
          </w:p>
        </w:tc>
        <w:tc>
          <w:tcPr>
            <w:tcW w:w="13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(13.7)%</w:t>
            </w:r>
          </w:p>
        </w:tc>
      </w:tr>
    </w:tbl>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Corporate expenses decreased by $7.5 million, or 13.7%, during the three months ended July 31, 2017, as compared to the three months ended July 31, 2016. The decrease in corporate expenses was primarily related to:</w:t>
      </w:r>
    </w:p>
    <w:p>
      <w:pPr>
        <w:spacing w:after="0" w:line="98" w:lineRule="exact"/>
        <w:rPr>
          <w:sz w:val="20"/>
          <w:szCs w:val="20"/>
          <w:color w:val="auto"/>
        </w:rPr>
      </w:pPr>
    </w:p>
    <w:p>
      <w:pPr>
        <w:ind w:left="660" w:right="20" w:hanging="328"/>
        <w:spacing w:after="0" w:line="29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$7.5 million decrease in self-insurance expense related to prior year claims as a result of an actuarial evaluation completed in the three months ended July 31, 2017;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$4.6 million lower legal settlement costs.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 million of transaction expenses related to the GCA acquisition;</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$2.0 million increase in costs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w:t>
      </w:r>
    </w:p>
    <w:p>
      <w:pPr>
        <w:spacing w:after="0" w:line="173" w:lineRule="exact"/>
        <w:rPr>
          <w:rFonts w:ascii="Arial" w:cs="Arial" w:eastAsia="Arial" w:hAnsi="Arial"/>
          <w:sz w:val="18"/>
          <w:szCs w:val="18"/>
          <w:color w:val="auto"/>
        </w:rPr>
      </w:pPr>
    </w:p>
    <w:p>
      <w:pPr>
        <w:ind w:left="660" w:hanging="328"/>
        <w:spacing w:after="0" w:line="30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$1.9 million increase in restructuring and related costs as a result of our additional use of external advisors related to Phase 2 of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4020"/>
        <w:spacing w:after="0" w:line="489" w:lineRule="auto"/>
        <w:rPr>
          <w:sz w:val="20"/>
          <w:szCs w:val="20"/>
          <w:color w:val="auto"/>
        </w:rPr>
      </w:pPr>
      <w:r>
        <w:rPr>
          <w:rFonts w:ascii="Arial" w:cs="Arial" w:eastAsia="Arial" w:hAnsi="Arial"/>
          <w:sz w:val="18"/>
          <w:szCs w:val="18"/>
          <w:b w:val="1"/>
          <w:bCs w:val="1"/>
          <w:i w:val="1"/>
          <w:iCs w:val="1"/>
          <w:color w:val="auto"/>
        </w:rPr>
        <w:t>Nine Months Ended July 31, 2017 Compared with the Nine Months Ended July 31, 2016 Consolidated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 July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7"/>
        </w:trPr>
        <w:tc>
          <w:tcPr>
            <w:tcW w:w="5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3,955.6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3,822.4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133.2</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3.5%</w:t>
            </w:r>
          </w:p>
        </w:tc>
      </w:tr>
      <w:tr>
        <w:trPr>
          <w:trHeight w:val="262"/>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3,544.1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3,430.1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114.0</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3.3%</w:t>
            </w:r>
          </w:p>
        </w:tc>
      </w:tr>
      <w:tr>
        <w:trPr>
          <w:trHeight w:val="278"/>
        </w:trPr>
        <w:tc>
          <w:tcPr>
            <w:tcW w:w="40" w:type="dxa"/>
            <w:vAlign w:val="bottom"/>
            <w:shd w:val="clear" w:color="auto" w:fill="CCEEFF"/>
          </w:tcPr>
          <w:p>
            <w:pPr>
              <w:spacing w:after="0"/>
              <w:rPr>
                <w:sz w:val="24"/>
                <w:szCs w:val="24"/>
                <w:color w:val="auto"/>
              </w:rPr>
            </w:pPr>
          </w:p>
        </w:tc>
        <w:tc>
          <w:tcPr>
            <w:tcW w:w="56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14 bps</w:t>
            </w:r>
          </w:p>
        </w:tc>
        <w:tc>
          <w:tcPr>
            <w:tcW w:w="1240" w:type="dxa"/>
            <w:vAlign w:val="bottom"/>
            <w:shd w:val="clear" w:color="auto" w:fill="CCEEFF"/>
          </w:tcPr>
          <w:p>
            <w:pPr>
              <w:spacing w:after="0"/>
              <w:rPr>
                <w:sz w:val="24"/>
                <w:szCs w:val="24"/>
                <w:color w:val="auto"/>
              </w:rPr>
            </w:pPr>
          </w:p>
        </w:tc>
      </w:tr>
      <w:tr>
        <w:trPr>
          <w:trHeight w:val="262"/>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(3.6)%</w:t>
            </w:r>
          </w:p>
        </w:tc>
      </w:tr>
      <w:tr>
        <w:trPr>
          <w:trHeight w:val="278"/>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(7.3)%</w:t>
            </w:r>
          </w:p>
        </w:tc>
      </w:tr>
      <w:tr>
        <w:trPr>
          <w:trHeight w:val="262"/>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(17.3)%</w:t>
            </w:r>
          </w:p>
        </w:tc>
      </w:tr>
      <w:tr>
        <w:trPr>
          <w:trHeight w:val="278"/>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Impairment recovery and gain on sale</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46"/>
        </w:trPr>
        <w:tc>
          <w:tcPr>
            <w:tcW w:w="56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53.4</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74"/>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(33.8)%</w:t>
            </w:r>
          </w:p>
        </w:tc>
      </w:tr>
      <w:tr>
        <w:trPr>
          <w:trHeight w:val="264"/>
        </w:trPr>
        <w:tc>
          <w:tcPr>
            <w:tcW w:w="5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40" w:type="dxa"/>
            <w:vAlign w:val="bottom"/>
            <w:tcBorders>
              <w:bottom w:val="single" w:sz="8" w:color="CCEEFF"/>
            </w:tcBorders>
          </w:tcPr>
          <w:p>
            <w:pPr>
              <w:jc w:val="center"/>
              <w:ind w:left="19"/>
              <w:spacing w:after="0"/>
              <w:rPr>
                <w:sz w:val="20"/>
                <w:szCs w:val="20"/>
                <w:color w:val="auto"/>
              </w:rPr>
            </w:pPr>
            <w:r>
              <w:rPr>
                <w:rFonts w:ascii="Arial" w:cs="Arial" w:eastAsia="Arial" w:hAnsi="Arial"/>
                <w:sz w:val="16"/>
                <w:szCs w:val="16"/>
                <w:color w:val="auto"/>
              </w:rPr>
              <w:t>(18.0)%</w:t>
            </w:r>
          </w:p>
        </w:tc>
      </w:tr>
      <w:tr>
        <w:trPr>
          <w:trHeight w:val="257"/>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50.3</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64"/>
        </w:trPr>
        <w:tc>
          <w:tcPr>
            <w:tcW w:w="5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Income tax (provision) benefit</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51.3%</w:t>
            </w:r>
          </w:p>
        </w:tc>
      </w:tr>
      <w:tr>
        <w:trPr>
          <w:trHeight w:val="264"/>
        </w:trPr>
        <w:tc>
          <w:tcPr>
            <w:tcW w:w="5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loss from discontinued operations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(85.0)%</w:t>
            </w:r>
          </w:p>
        </w:tc>
      </w:tr>
      <w:tr>
        <w:trPr>
          <w:trHeight w:val="256"/>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NM*</w:t>
            </w:r>
          </w:p>
        </w:tc>
      </w:tr>
      <w:tr>
        <w:trPr>
          <w:trHeight w:val="264"/>
        </w:trPr>
        <w:tc>
          <w:tcPr>
            <w:tcW w:w="40" w:type="dxa"/>
            <w:vAlign w:val="bottom"/>
            <w:tcBorders>
              <w:bottom w:val="single" w:sz="8" w:color="CCEEFF"/>
            </w:tcBorders>
          </w:tcPr>
          <w:p>
            <w:pPr>
              <w:spacing w:after="0"/>
              <w:rPr>
                <w:sz w:val="22"/>
                <w:szCs w:val="22"/>
                <w:color w:val="auto"/>
              </w:rPr>
            </w:pPr>
          </w:p>
        </w:tc>
        <w:tc>
          <w:tcPr>
            <w:tcW w:w="56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 of taxes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NM*</w:t>
            </w:r>
          </w:p>
        </w:tc>
      </w:tr>
      <w:tr>
        <w:trPr>
          <w:trHeight w:val="243"/>
        </w:trPr>
        <w:tc>
          <w:tcPr>
            <w:tcW w:w="5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4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(41.7)%</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increased by $133.2 million, or 3.5%, during the nine months ended July 31, 2017, as compared to the nine months ended July 31, 2016. The increase in revenues was primarily attributable to organic growth in Aviation and B&amp;I and to $29.5 million of incremental revenues from acquisitions. This increase was partially offset by the completion of a large ESPC project and the loss of certain contracts in our Emerging Industries Group.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expenses increased by $ 114.0 million, or 3.3%, during the nine months ended July 31, 2017, as compared to the nine months ended July 31, 2016. Gross margin increased by 14 bps to 10.4% in the nine months ended July 31, 2017 from 10.3% in the nine months ended July 31, 2016. The increase in gross margin was primarily attributable to a lower self-insurance adjustment related to prior year claims as a result of an actuarial evaluation completed in the three months ended July 31, 2017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increase was partially offset by a contract termination within our Aviation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Selling, general and administrative expenses decreased by $11.0 million, or 3.6%, during the nine months ended July 31, 2017, as compared to the nine months ended July 31, 2016. The decrease in selling, general and administrative expenses was primarily related to:</w:t>
      </w:r>
    </w:p>
    <w:p>
      <w:pPr>
        <w:spacing w:after="0" w:line="91" w:lineRule="exact"/>
        <w:rPr>
          <w:sz w:val="20"/>
          <w:szCs w:val="20"/>
          <w:color w:val="auto"/>
        </w:rPr>
      </w:pPr>
    </w:p>
    <w:p>
      <w:pPr>
        <w:ind w:left="660" w:right="2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$8.9 million reduction in bad debt expense primarily associated with the absence of specific reserves for certain client receivables that were recorded in the nine months ended July 31, 2016;</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$8.0 million lower legal settlement costs;</w:t>
      </w:r>
    </w:p>
    <w:p>
      <w:pPr>
        <w:sectPr>
          <w:pgSz w:w="11900" w:h="16838" w:orient="portrait"/>
          <w:cols w:equalWidth="0" w:num="1">
            <w:col w:w="11420"/>
          </w:cols>
          <w:pgMar w:left="240" w:top="52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20" w:right="239" w:bottom="1440" w:gutter="0" w:footer="0" w:header="0"/>
          <w:type w:val="continuous"/>
        </w:sectPr>
      </w:pPr>
    </w:p>
    <w:bookmarkStart w:id="32" w:name="page33"/>
    <w:bookmarkEnd w:id="32"/>
    <w:p>
      <w:pPr>
        <w:ind w:left="66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$3.2 million reimbursement of previously expensed fees associated with a concluded internal investigation into a foreign entity formerly affiliated with a joint venture during the nine months ended July 31, 2017;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69" w:lineRule="exact"/>
        <w:rPr>
          <w:sz w:val="20"/>
          <w:szCs w:val="20"/>
          <w:color w:val="auto"/>
        </w:rPr>
      </w:pPr>
    </w:p>
    <w:p>
      <w:pPr>
        <w:ind w:left="660" w:right="20" w:hanging="328"/>
        <w:spacing w:after="0" w:line="29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$4.6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which was reduced by a reversal of certain incentive plans;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$2.3 million increase in legal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$2.2 million of transaction expenses related to the GCA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Restructuring and related expenses decreased by $3.3 million, or 17.3%, during the nine months ended July 31, 2017, as compared to the nine months ended July 31, 2016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Recovery and Gain on Sale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during the third quarter of 2017, we recorded a pre-tax gain of approximately $1.1 million, subject to final working capital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from Continuing Operations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July 31, 2017 we had an income tax provision of $11.3 million, compared with an income tax benefit of $11.7 million during the nine months ended July 31, 2016. The 2017 period benefited from $15.8 million, including interest of $1.2 million, related to expiring statute of limitations for an uncertain tax position, compared with $19.0 million, including interest of $1.0 million, in the 2016 period. The 2017 period benefited from $2.7 million of excess tax benefits related to the vesting of share-based compensation awards and $1.8 million of tax deductions for energy efficient government buildings, compared with $1.8 million and $1.2 million in the 2016 period, respectively. The 2016 period benefited from Work Opportunity Tax Credits (“WOTC”) of $4.9 million from the retroactive reinstatement of the WOTC for calendar year 2015. Both periods benefited from in-year WOTC.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from Discontinued Operations</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 xml:space="preserve">Net loss from discontinued operations was $73.2 million during the nine months ended July 31, 2017 related to a legal reserve established in connection with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settlement agreements. Refer to </w:t>
      </w:r>
      <w:r>
        <w:rPr>
          <w:rFonts w:ascii="Arial" w:cs="Arial" w:eastAsia="Arial" w:hAnsi="Arial"/>
          <w:sz w:val="18"/>
          <w:szCs w:val="18"/>
          <w:i w:val="1"/>
          <w:iCs w:val="1"/>
          <w:color w:val="auto"/>
        </w:rPr>
        <w:t>“</w:t>
      </w:r>
      <w:r>
        <w:rPr>
          <w:rFonts w:ascii="Arial" w:cs="Arial" w:eastAsia="Arial" w:hAnsi="Arial"/>
          <w:sz w:val="18"/>
          <w:szCs w:val="18"/>
          <w:color w:val="auto"/>
        </w:rPr>
        <w:t>Developments and Trends—Legal,” above, for additional details.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nine months ended July 31, 2017 we recognized as a component of our comprehensive income a foreign currency translation gain of $9.8 million compared with a loss of $17.0 million during the nine months ended July 31, 2016. This change was related to the weakening of the USD against the GBP during the nine months ended July 31, 2017.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6"/>
          </w:tcPr>
          <w:p>
            <w:pPr>
              <w:ind w:left="100"/>
              <w:spacing w:after="0"/>
              <w:rPr>
                <w:sz w:val="20"/>
                <w:szCs w:val="20"/>
                <w:color w:val="auto"/>
              </w:rPr>
            </w:pPr>
            <w:r>
              <w:rPr>
                <w:rFonts w:ascii="Arial" w:cs="Arial" w:eastAsia="Arial" w:hAnsi="Arial"/>
                <w:sz w:val="15"/>
                <w:szCs w:val="15"/>
                <w:b w:val="1"/>
                <w:bCs w:val="1"/>
                <w:color w:val="auto"/>
              </w:rPr>
              <w:t>Nine Months Ended July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2"/>
          </w:tcPr>
          <w:p>
            <w:pPr>
              <w:ind w:left="420"/>
              <w:spacing w:after="0"/>
              <w:rPr>
                <w:sz w:val="20"/>
                <w:szCs w:val="20"/>
                <w:color w:val="auto"/>
              </w:rPr>
            </w:pPr>
            <w:r>
              <w:rPr>
                <w:rFonts w:ascii="Arial" w:cs="Arial" w:eastAsia="Arial" w:hAnsi="Arial"/>
                <w:sz w:val="15"/>
                <w:szCs w:val="15"/>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2,237.5</w:t>
            </w:r>
          </w:p>
        </w:tc>
        <w:tc>
          <w:tcPr>
            <w:tcW w:w="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2,207.4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78"/>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723.3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97.4</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62"/>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583.2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594.7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8"/>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325.2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8"/>
              </w:rPr>
              <w:t>5.0%</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84.6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c>
          <w:tcPr>
            <w:tcW w:w="1460" w:type="dxa"/>
            <w:vAlign w:val="bottom"/>
            <w:tcBorders>
              <w:bottom w:val="single" w:sz="8" w:color="CCEEFF"/>
            </w:tcBorders>
          </w:tcPr>
          <w:p>
            <w:pPr>
              <w:jc w:val="center"/>
              <w:ind w:left="18"/>
              <w:spacing w:after="0"/>
              <w:rPr>
                <w:sz w:val="20"/>
                <w:szCs w:val="20"/>
                <w:color w:val="auto"/>
              </w:rPr>
            </w:pPr>
            <w:r>
              <w:rPr>
                <w:rFonts w:ascii="Arial" w:cs="Arial" w:eastAsia="Arial" w:hAnsi="Arial"/>
                <w:sz w:val="16"/>
                <w:szCs w:val="16"/>
                <w:color w:val="auto"/>
                <w:w w:val="98"/>
              </w:rPr>
              <w:t>2.3%</w:t>
            </w:r>
          </w:p>
        </w:tc>
        <w:tc>
          <w:tcPr>
            <w:tcW w:w="0" w:type="dxa"/>
            <w:vAlign w:val="bottom"/>
          </w:tcPr>
          <w:p>
            <w:pPr>
              <w:spacing w:after="0"/>
              <w:rPr>
                <w:sz w:val="1"/>
                <w:szCs w:val="1"/>
                <w:color w:val="auto"/>
              </w:rPr>
            </w:pPr>
          </w:p>
        </w:tc>
      </w:tr>
      <w:tr>
        <w:trPr>
          <w:trHeight w:val="242"/>
        </w:trPr>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3,955.6</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133.2</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8"/>
              </w:rPr>
              <w:t>3.5%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0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115.6</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4.6 %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56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2.8 %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(18)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Emerging Industries Group</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9"/>
              </w:rPr>
              <w:t>(19.5)%</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6.2%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7.5 %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(135)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46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8.8%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5.9 %</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286 bps</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24.1</w:t>
            </w:r>
          </w:p>
        </w:tc>
        <w:tc>
          <w:tcPr>
            <w:tcW w:w="14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(loss) margin</w:t>
            </w: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25.2%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i w:val="1"/>
                <w:iCs w:val="1"/>
                <w:color w:val="auto"/>
              </w:rPr>
              <w:t>NM*</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8"/>
              </w:rPr>
              <w:t>9.2%</w:t>
            </w:r>
          </w:p>
        </w:tc>
        <w:tc>
          <w:tcPr>
            <w:tcW w:w="0" w:type="dxa"/>
            <w:vAlign w:val="bottom"/>
          </w:tcPr>
          <w:p>
            <w:pPr>
              <w:spacing w:after="0"/>
              <w:rPr>
                <w:sz w:val="1"/>
                <w:szCs w:val="1"/>
                <w:color w:val="auto"/>
              </w:rPr>
            </w:pPr>
          </w:p>
        </w:tc>
      </w:tr>
      <w:tr>
        <w:trPr>
          <w:trHeight w:val="198"/>
        </w:trPr>
        <w:tc>
          <w:tcPr>
            <w:tcW w:w="5680" w:type="dxa"/>
            <w:vAlign w:val="bottom"/>
            <w:gridSpan w:val="7"/>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6"/>
        </w:trPr>
        <w:tc>
          <w:tcPr>
            <w:tcW w:w="5680" w:type="dxa"/>
            <w:vAlign w:val="bottom"/>
            <w:gridSpan w:val="7"/>
            <w:shd w:val="clear" w:color="auto" w:fill="CCEEFF"/>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60" w:type="dxa"/>
            <w:vAlign w:val="bottom"/>
            <w:shd w:val="clear" w:color="auto" w:fill="CCEEFF"/>
          </w:tcPr>
          <w:p>
            <w:pPr>
              <w:jc w:val="center"/>
              <w:ind w:left="18"/>
              <w:spacing w:after="0"/>
              <w:rPr>
                <w:sz w:val="20"/>
                <w:szCs w:val="20"/>
                <w:color w:val="auto"/>
              </w:rPr>
            </w:pPr>
            <w:r>
              <w:rPr>
                <w:rFonts w:ascii="Arial" w:cs="Arial" w:eastAsia="Arial" w:hAnsi="Arial"/>
                <w:sz w:val="16"/>
                <w:szCs w:val="16"/>
                <w:color w:val="auto"/>
                <w:w w:val="99"/>
              </w:rPr>
              <w:t>(43.1)%</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97.4</w:t>
            </w:r>
          </w:p>
        </w:tc>
        <w:tc>
          <w:tcPr>
            <w:tcW w:w="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53.4</w:t>
            </w:r>
          </w:p>
        </w:tc>
        <w:tc>
          <w:tcPr>
            <w:tcW w:w="1460" w:type="dxa"/>
            <w:vAlign w:val="bottom"/>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Business &amp; Industry</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Pr>
          <w:p>
            <w:pPr>
              <w:spacing w:after="0"/>
              <w:rPr>
                <w:sz w:val="19"/>
                <w:szCs w:val="19"/>
                <w:color w:val="auto"/>
              </w:rPr>
            </w:pPr>
          </w:p>
        </w:tc>
        <w:tc>
          <w:tcPr>
            <w:tcW w:w="1260" w:type="dxa"/>
            <w:vAlign w:val="bottom"/>
          </w:tcPr>
          <w:p>
            <w:pPr>
              <w:ind w:left="32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Increase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2,207.4</w:t>
            </w: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0"/>
              <w:spacing w:after="0"/>
              <w:rPr>
                <w:sz w:val="20"/>
                <w:szCs w:val="20"/>
                <w:color w:val="auto"/>
              </w:rPr>
            </w:pPr>
            <w:r>
              <w:rPr>
                <w:rFonts w:ascii="Arial" w:cs="Arial" w:eastAsia="Arial" w:hAnsi="Arial"/>
                <w:sz w:val="18"/>
                <w:szCs w:val="18"/>
                <w:color w:val="auto"/>
              </w:rPr>
              <w:t>30.1</w:t>
            </w:r>
          </w:p>
        </w:tc>
        <w:tc>
          <w:tcPr>
            <w:tcW w:w="146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5"/>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0"/>
              <w:spacing w:after="0"/>
              <w:rPr>
                <w:sz w:val="20"/>
                <w:szCs w:val="20"/>
                <w:color w:val="auto"/>
              </w:rPr>
            </w:pPr>
            <w:r>
              <w:rPr>
                <w:rFonts w:ascii="Arial" w:cs="Arial" w:eastAsia="Arial" w:hAnsi="Arial"/>
                <w:sz w:val="18"/>
                <w:szCs w:val="18"/>
                <w:color w:val="auto"/>
              </w:rPr>
              <w:t>13.8</w:t>
            </w:r>
          </w:p>
        </w:tc>
        <w:tc>
          <w:tcPr>
            <w:tcW w:w="1460" w:type="dxa"/>
            <w:vAlign w:val="bottom"/>
          </w:tcPr>
          <w:p>
            <w:pPr>
              <w:jc w:val="right"/>
              <w:ind w:right="558"/>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5"/>
        </w:trPr>
        <w:tc>
          <w:tcPr>
            <w:tcW w:w="4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4.6%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0"/>
              <w:spacing w:after="0"/>
              <w:rPr>
                <w:sz w:val="20"/>
                <w:szCs w:val="20"/>
                <w:color w:val="auto"/>
              </w:rPr>
            </w:pPr>
            <w:r>
              <w:rPr>
                <w:rFonts w:ascii="Arial" w:cs="Arial" w:eastAsia="Arial" w:hAnsi="Arial"/>
                <w:sz w:val="14"/>
                <w:szCs w:val="14"/>
                <w:i w:val="1"/>
                <w:iCs w:val="1"/>
                <w:color w:val="auto"/>
              </w:rPr>
              <w:t>56 bps</w:t>
            </w: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B&amp;I revenues increased by $30.1 million, or 1.4%, during the nine months ended July 31, 2017, as compared to the nine months ended July 31, 2016. The increase was primarily attributable to the expansion of existing facility services and janitorial accounts. Management reimbursement revenues for this segment totaled $175.3 million and $171.1 million for the nine months ended July 31,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$13.8 million, or 13.6%, during the nine months ended July 31, 2017, as compared to the nine months ended July 31, 2016. Operating profit margin increased by 56 bps to 5.2% in the nine months ended July 31, 2017 from 4.6% in the nine months ended July 31, 2016. The increase in operating profit margin was primarily associated with higher margin revenues, cost control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lower legal settlement costs, and the absence of a specific reserve for a client receivable. This increase was partially offset by lower profit margins associated with certain leased location arrangements.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1"/>
        </w:trPr>
        <w:tc>
          <w:tcPr>
            <w:tcW w:w="36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Aviation</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50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 July 31,</w:t>
            </w:r>
          </w:p>
        </w:tc>
        <w:tc>
          <w:tcPr>
            <w:tcW w:w="5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4"/>
        </w:trPr>
        <w:tc>
          <w:tcPr>
            <w:tcW w:w="36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60" w:type="dxa"/>
            <w:vAlign w:val="bottom"/>
            <w:gridSpan w:val="2"/>
          </w:tcPr>
          <w:p>
            <w:pPr>
              <w:ind w:left="4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3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723.3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625.9</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97.4</w:t>
            </w:r>
          </w:p>
        </w:tc>
        <w:tc>
          <w:tcPr>
            <w:tcW w:w="15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15.6%</w:t>
            </w:r>
          </w:p>
        </w:tc>
      </w:tr>
      <w:tr>
        <w:trPr>
          <w:trHeight w:val="265"/>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tcPr>
          <w:p>
            <w:pPr>
              <w:jc w:val="right"/>
              <w:ind w:right="537"/>
              <w:spacing w:after="0"/>
              <w:rPr>
                <w:sz w:val="20"/>
                <w:szCs w:val="20"/>
                <w:color w:val="auto"/>
              </w:rPr>
            </w:pPr>
            <w:r>
              <w:rPr>
                <w:rFonts w:ascii="Arial" w:cs="Arial" w:eastAsia="Arial" w:hAnsi="Arial"/>
                <w:sz w:val="18"/>
                <w:szCs w:val="18"/>
                <w:color w:val="auto"/>
              </w:rPr>
              <w:t>1.5</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8.2%</w:t>
            </w:r>
          </w:p>
        </w:tc>
      </w:tr>
      <w:tr>
        <w:trPr>
          <w:trHeight w:val="183"/>
        </w:trPr>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77"/>
              <w:spacing w:after="0"/>
              <w:rPr>
                <w:sz w:val="20"/>
                <w:szCs w:val="20"/>
                <w:color w:val="auto"/>
              </w:rPr>
            </w:pPr>
            <w:r>
              <w:rPr>
                <w:rFonts w:ascii="Arial" w:cs="Arial" w:eastAsia="Arial" w:hAnsi="Arial"/>
                <w:sz w:val="14"/>
                <w:szCs w:val="14"/>
                <w:i w:val="1"/>
                <w:iCs w:val="1"/>
                <w:color w:val="auto"/>
              </w:rPr>
              <w:t>)</w:t>
            </w:r>
          </w:p>
        </w:tc>
        <w:tc>
          <w:tcPr>
            <w:tcW w:w="1540" w:type="dxa"/>
            <w:vAlign w:val="bottom"/>
            <w:shd w:val="clear" w:color="auto" w:fill="CCEEFF"/>
          </w:tcPr>
          <w:p>
            <w:pPr>
              <w:spacing w:after="0"/>
              <w:rPr>
                <w:sz w:val="15"/>
                <w:szCs w:val="15"/>
                <w:color w:val="auto"/>
              </w:rPr>
            </w:pPr>
          </w:p>
        </w:tc>
      </w:tr>
      <w:tr>
        <w:trPr>
          <w:trHeight w:val="200"/>
        </w:trPr>
        <w:tc>
          <w:tcPr>
            <w:tcW w:w="40" w:type="dxa"/>
            <w:vAlign w:val="bottom"/>
            <w:shd w:val="clear" w:color="auto" w:fill="CCEEFF"/>
          </w:tcPr>
          <w:p>
            <w:pPr>
              <w:spacing w:after="0"/>
              <w:rPr>
                <w:sz w:val="17"/>
                <w:szCs w:val="17"/>
                <w:color w:val="auto"/>
              </w:rPr>
            </w:pP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97"/>
              <w:spacing w:after="0"/>
              <w:rPr>
                <w:sz w:val="20"/>
                <w:szCs w:val="20"/>
                <w:color w:val="auto"/>
              </w:rPr>
            </w:pPr>
            <w:r>
              <w:rPr>
                <w:rFonts w:ascii="Arial" w:cs="Arial" w:eastAsia="Arial" w:hAnsi="Arial"/>
                <w:sz w:val="14"/>
                <w:szCs w:val="14"/>
                <w:i w:val="1"/>
                <w:iCs w:val="1"/>
                <w:color w:val="auto"/>
              </w:rPr>
              <w:t>(18bps</w:t>
            </w:r>
          </w:p>
        </w:tc>
        <w:tc>
          <w:tcPr>
            <w:tcW w:w="1540" w:type="dxa"/>
            <w:vAlign w:val="bottom"/>
            <w:shd w:val="clear" w:color="auto" w:fill="CCEEFF"/>
          </w:tcPr>
          <w:p>
            <w:pPr>
              <w:spacing w:after="0"/>
              <w:rPr>
                <w:sz w:val="17"/>
                <w:szCs w:val="17"/>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Aviation revenues increased by $97.4 million, or 15.6%, during the nine months ended July 31, 2017, as compared to the nine months ended July 31, 2016. The increase was primarily attributable to organic growth in parking, transportation, facility services, passenger services, and cabin cleaning. Management reimbursement revenues for this segment totaled $54.7 million and $60.2 million for the nine months ended July 31, 2017 and 2016, respectively.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Operating profit increased by $1.5 million, or 8.2%, during the nine months ended July 31, 2017, as compared to the nine months ended July 31, 2016. Operating profit margin decreased by 18 bps to 2.7% in the nine months ended July 31, 2017 from 2.8% in the nine months ended July 31, 2016. The decrease in operating profit margin was primarily attributable to a contract termination in the nine months ended July 31, 2017. This decrease was partially offset by lower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absence of both a penalty imposed by a regulatory agency and a specific reserve established for a client receivable.</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6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583.2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(11.5)</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(1.9)%</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(8.7)</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(19.5)%</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(135) bps</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Emerging Industries Group revenues decreased by $11.5 million, or 1.9%, during the nine months ended July 31, 2017, as compared to the nine months ended July 31, 2016. The decrease was primarily related to the losses of certain High Tech accounts and Education facility services contracts. The decrease in revenues for this segment was partially offset by net new janitorial business in the Education and Healthcare industry groups.</w:t>
      </w:r>
    </w:p>
    <w:p>
      <w:pPr>
        <w:spacing w:after="0" w:line="1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Operating profit decreased by $8.7 million, or 19.5%, during the nine months ended July 31, 2017, as compared to the nine months ended July 31, 2016. Operating profit margin decreased by 135 bps to 6.2% in the nine months ended July 31, 2017 from 7.5% in the nine months ended July 31, 2016. The decrease in operating profit margin was primarily attributable to lower contribution margin from certain High Tech contracts, including the loss of a multi-location janitorial account, and higher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Technical Solutions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15.4</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5.0%</w:t>
            </w:r>
          </w:p>
        </w:tc>
      </w:tr>
      <w:tr>
        <w:trPr>
          <w:trHeight w:val="265"/>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tcPr>
          <w:p>
            <w:pPr>
              <w:jc w:val="right"/>
              <w:ind w:right="614"/>
              <w:spacing w:after="0"/>
              <w:rPr>
                <w:sz w:val="20"/>
                <w:szCs w:val="20"/>
                <w:color w:val="auto"/>
              </w:rPr>
            </w:pPr>
            <w:r>
              <w:rPr>
                <w:rFonts w:ascii="Arial" w:cs="Arial" w:eastAsia="Arial" w:hAnsi="Arial"/>
                <w:sz w:val="18"/>
                <w:szCs w:val="18"/>
                <w:color w:val="auto"/>
              </w:rPr>
              <w:t>10.2</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55.6%</w:t>
            </w:r>
          </w:p>
        </w:tc>
      </w:tr>
      <w:tr>
        <w:trPr>
          <w:trHeight w:val="275"/>
        </w:trPr>
        <w:tc>
          <w:tcPr>
            <w:tcW w:w="20" w:type="dxa"/>
            <w:vAlign w:val="bottom"/>
            <w:shd w:val="clear" w:color="auto" w:fill="CCEEFF"/>
          </w:tcPr>
          <w:p>
            <w:pPr>
              <w:spacing w:after="0"/>
              <w:rPr>
                <w:sz w:val="23"/>
                <w:szCs w:val="23"/>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286 bps</w:t>
            </w:r>
          </w:p>
        </w:tc>
        <w:tc>
          <w:tcPr>
            <w:tcW w:w="1340" w:type="dxa"/>
            <w:vAlign w:val="bottom"/>
            <w:shd w:val="clear" w:color="auto" w:fill="CCEEFF"/>
          </w:tcPr>
          <w:p>
            <w:pPr>
              <w:spacing w:after="0"/>
              <w:rPr>
                <w:sz w:val="23"/>
                <w:szCs w:val="23"/>
                <w:color w:val="auto"/>
              </w:rPr>
            </w:pPr>
          </w:p>
        </w:tc>
      </w:tr>
    </w:tbl>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Technical Solutions revenues increased by $15.4 million, or 5.0%, during the nine months ended July 31, 2017, as compared to the nine months ended July 31, 2016. This increase was primarily attributable to incremental revenues from acquisitions of $14.8 million and higher project revenues, partially offset by the completion of a large ESPC project.</w:t>
      </w:r>
    </w:p>
    <w:p>
      <w:pPr>
        <w:spacing w:after="0" w:line="1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Operating profit increased by $10.2 million, or 55.6%, during the nine months ended July 31, 2017, as compared to the nine months ended July 31, 2016. Operating profit margin increased by 286 bps to 8.8% in the nine months ended July 31, 2017 from 5.9% in the nine months ended July 31, 2016. The increase in operating profit margin was primarily attributable to the completion of a relatively lower margin ESPC project, the management of our selling, general and administrative expenses, higher operational tax deductions for energy efficient government building projects, and a reduction in bad debt.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51"/>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Corporate</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1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Nine Months Ended July 31,</w:t>
            </w:r>
          </w:p>
        </w:tc>
        <w:tc>
          <w:tcPr>
            <w:tcW w:w="6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4"/>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1180" w:type="dxa"/>
            <w:vAlign w:val="bottom"/>
          </w:tcPr>
          <w:p>
            <w:pPr>
              <w:ind w:left="720"/>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expenses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(12.0)</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(9.2)%</w:t>
            </w:r>
          </w:p>
        </w:tc>
      </w:tr>
    </w:tbl>
    <w:p>
      <w:pPr>
        <w:spacing w:after="0" w:line="1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Corporate expenses decreased by $ 12.0 million, or 9.2%, during the nine months ended July 31, 2017, as compared to the nine months ended July 31, 2016. The decrease in corporate expenses was primarily related to:</w:t>
      </w:r>
    </w:p>
    <w:p>
      <w:pPr>
        <w:spacing w:after="0" w:line="91" w:lineRule="exact"/>
        <w:rPr>
          <w:sz w:val="20"/>
          <w:szCs w:val="20"/>
          <w:color w:val="auto"/>
        </w:rPr>
      </w:pPr>
    </w:p>
    <w:p>
      <w:pPr>
        <w:ind w:left="660" w:right="2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$9.5 million decrease in self-insurance expense related to prior year claims as a result of an actuarial evaluation completed in the three months ended July 31, 2017;</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a $5.2 million specific reserve established in the nine months ended July 31, 2016 for a portion of a client receivable that is the subject of ongoing litigation;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$4.7 million lower legal settlement costs;</w:t>
      </w:r>
    </w:p>
    <w:p>
      <w:pPr>
        <w:spacing w:after="0" w:line="171"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$3.2 million reimbursement of previously expensed fees associated with a concluded internal investigation into a foreign entity formerly affiliated with a joint venture during the nine months ended July 31, 2017; and</w:t>
      </w:r>
    </w:p>
    <w:p>
      <w:pPr>
        <w:spacing w:after="0" w:line="88" w:lineRule="exact"/>
        <w:rPr>
          <w:rFonts w:ascii="Arial" w:cs="Arial" w:eastAsia="Arial" w:hAnsi="Arial"/>
          <w:sz w:val="18"/>
          <w:szCs w:val="18"/>
          <w:color w:val="auto"/>
        </w:rPr>
      </w:pPr>
    </w:p>
    <w:p>
      <w:pPr>
        <w:ind w:right="200" w:firstLine="332"/>
        <w:spacing w:after="0" w:line="43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$3.0 million decrease in restructuring and related costs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This decrease was partially offset by:</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$4.6 million increase in costs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$2.3 million increase in legal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$2.2 million of transaction expenses related to the GCA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0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At July 31, 2017, the total outstanding amounts under our existing facility in the form of cash borrowings and standby letters of credit were $264.7 million and $127.7 million, respectively. We were in compliance with the covenants under the our credit facility as of July 31, 2017.</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discussed within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Acquisition” above, in connection with the GCA acquisition, on September 1, 2017, we refinanced and replaced our existing credit facility with a new syndicated secured credit facility (the “New Credit Facility”) consisting of a $900 million revolving credit facility and an $800 million amortizing term loan with a five-year term. The revolving credit facility reduces to $ 800 million after one year and has an expiration date of September 1, 2022. Financial covenants under the New Credit Facility include a maximum leverage ratio of 4.75 to 1.0, which adjusts to 3.50 to 1.0 by July 2020, and a minimum fixed charge ratio of 1.50 to 1.0. We expect to be in compliance with the covenants under the New Credit Facility.</w:t>
      </w:r>
    </w:p>
    <w:p>
      <w:pPr>
        <w:spacing w:after="0" w:line="1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Pursuant to the Augustus Settlement Agreement, we made two payments of $55.0 million, the first on July 19, 2017 and the second, plus payroll taxes of $4.8 million, on August 29, 2017. In addition to normal working capital requirements, we anticipate that our short-term cash requirements will include dividend payments,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external support fees, and funding for any future legal settlements. We anticipate long-term cash uses will include strategic acquisitions, share repurchases, and capital expenditures.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operating cash flows and borrowing capacity under the New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On a long-term basis, we will continue to rely on the New Credit Facility for any long-term funding not provided by operating cash flows. In addition, we anticipate that future cash generated from operations will be favorably impacted by working capital improvements driven by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plan to reinvest our foreign earnings to fund future non-U.S. growth and expansion. As a result, we do not anticipate remitting such earnings to the United States and have not provided for federal and state income taxes or foreign withholding taxes that may result if such earnings of our foreign subsidiaries are remitted to the United States. We believe that our cash on hand in the United States, along with our line of credit and future domestic cash flows, are sufficient to satisfy our domestic liquidity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quarter of 2015, we formed IFM Assurance Company (“IFM”), a wholly-owned captive insurance company.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2017, we expect accelerated cash tax savings related to coverage provided by IFM will be between $10 million and $15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July 31, 2017, authorization for $134.1 million of repurchases remained under our share repurchase program. We do not anticipate additional repurchases in the near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29845</wp:posOffset>
            </wp:positionV>
            <wp:extent cx="22466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7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5"/>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3"/>
                <w:szCs w:val="23"/>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31.42</w:t>
            </w:r>
          </w:p>
        </w:tc>
      </w:tr>
      <w:tr>
        <w:trPr>
          <w:trHeight w:val="275"/>
        </w:trPr>
        <w:tc>
          <w:tcPr>
            <w:tcW w:w="7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of continuing operations was $ 82.6 million during the nine months ended July 31, 2017.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81"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29845</wp:posOffset>
            </wp:positionV>
            <wp:extent cx="2246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provided by operating activities of 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r>
      <w:tr>
        <w:trPr>
          <w:trHeight w:val="265"/>
        </w:trPr>
        <w:tc>
          <w:tcPr>
            <w:tcW w:w="78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cash used in operating activities of discontinued operations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 of continuing operations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65"/>
        </w:trPr>
        <w:tc>
          <w:tcPr>
            <w:tcW w:w="780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 of discontinued operations</w:t>
            </w:r>
          </w:p>
        </w:tc>
        <w:tc>
          <w:tcPr>
            <w:tcW w:w="4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5"/>
        </w:trPr>
        <w:tc>
          <w:tcPr>
            <w:tcW w:w="78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bl>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provided by operating activities of continuing operations decreased by $18.1 million during the nine months ended July 31, 2017, as compared to the nine months ended July 31, 2016. This decrease was primarily related to the timing of client receivable collections, partially offset by the timing of vendor payments.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of discontinued operations increased by $31.6 million during the nine months ended July 31, 2017, as compared to the nine months ended July 31, 2016. This increase was primarily related to the first $55.0 million payment under the Augustus Settlement Agreement during the current period compared to $20.6 million in taxes paid related to the sale of our Security business during the prior period.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Continuing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investing activities of continuing operations decreased by $78.9 million during the nine months ended July 31, 2017, as compared to the nine months ended July 31, 2016. The decrease was primarily related to a $62.4 million year-over-year decrease in cash paid, net of cash acquired, for acquisitions and $35.5 million of cash</w:t>
      </w:r>
    </w:p>
    <w:p>
      <w:pPr>
        <w:sectPr>
          <w:pgSz w:w="11900" w:h="16838" w:orient="portrait"/>
          <w:cols w:equalWidth="0" w:num="1">
            <w:col w:w="11420"/>
          </w:cols>
          <w:pgMar w:left="240" w:top="522" w:right="2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22" w:right="239" w:bottom="1440" w:gutter="0" w:footer="0" w:header="0"/>
          <w:type w:val="continuous"/>
        </w:sectPr>
      </w:pPr>
    </w:p>
    <w:bookmarkStart w:id="38" w:name="page39"/>
    <w:bookmarkEnd w:id="38"/>
    <w:p>
      <w:pPr>
        <w:jc w:val="both"/>
        <w:ind w:right="20"/>
        <w:spacing w:after="0" w:line="292" w:lineRule="auto"/>
        <w:rPr>
          <w:sz w:val="20"/>
          <w:szCs w:val="20"/>
          <w:color w:val="auto"/>
        </w:rPr>
      </w:pPr>
      <w:r>
        <w:rPr>
          <w:rFonts w:ascii="Arial" w:cs="Arial" w:eastAsia="Arial" w:hAnsi="Arial"/>
          <w:sz w:val="18"/>
          <w:szCs w:val="18"/>
          <w:color w:val="auto"/>
        </w:rPr>
        <w:t>proceeds from the sale of our Government Services business. This decrease was partially offset by a $14.8 million increase in property, plant and equipment investments primarily associated with our new Shared Services Center.</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 of Discontinued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Net cash used in investing activities of discontinued operations decreased by $3.1 million during the nine months ended July 31, 2017, as compared to the nine months ended July 31, 2016. The decrease was related to the absence of the payment of the final working capital adjustment related to the sale of our Security business.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Net cash used in financing activities was $ 8.7 million during the nine months ended July 31, 2017 as compared to net cash provided by financing activities of $29.1 million during the nine months ended July 31, 2016, a change of $37.8 million. The change was primarily related to lower net borrowings of $69.9 million associated with greater financing activity in the first quarter of 2016 to fund the Westway acquisition and to $8.5 million lower proceeds from ESPC projects during the nine months ended July 31, 2017. This change was partially offset by $23.3 million in lower common stock repurchases.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At July 31, 2017, the total amount accrued for all probable litigation losses where a reasonable estimate of the loss could be made was $71.7 million. This $71.7 million includes the remaining accrual of $60.0 million in connection with the unpaid portion of the $115.0 million settlement of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cases, as well as an accrual of $ 4.8 million for payroll taxes related to the Augustus settlement. The remaining payments under the Augustus settlement were made on August 29, 2017.</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$18 million. Factors underlying this estimated range of loss may change from time to time, and actual results may vary significantly from this estimate.</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09" w:lineRule="exact"/>
        <w:rPr>
          <w:sz w:val="20"/>
          <w:szCs w:val="20"/>
          <w:color w:val="auto"/>
        </w:rPr>
      </w:pPr>
    </w:p>
    <w:p>
      <w:pPr>
        <w:ind w:right="52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11,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(“U.S. GAAP”),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ectPr>
          <w:pgSz w:w="11900" w:h="16838" w:orient="portrait"/>
          <w:cols w:equalWidth="0" w:num="1">
            <w:col w:w="11380"/>
          </w:cols>
          <w:pgMar w:left="240" w:top="522" w:right="279" w:bottom="1440" w:gutter="0" w:footer="0" w:header="0"/>
        </w:sect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457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7" w:lineRule="exact"/>
        <w:rPr>
          <w:sz w:val="20"/>
          <w:szCs w:val="20"/>
          <w:color w:val="auto"/>
        </w:rPr>
      </w:pPr>
    </w:p>
    <w:p>
      <w:pPr>
        <w:ind w:left="40"/>
        <w:spacing w:after="0" w:line="233" w:lineRule="auto"/>
        <w:rPr>
          <w:sz w:val="20"/>
          <w:szCs w:val="20"/>
          <w:color w:val="auto"/>
        </w:rPr>
      </w:pPr>
      <w:r>
        <w:rPr>
          <w:rFonts w:ascii="Arial" w:cs="Arial" w:eastAsia="Arial" w:hAnsi="Arial"/>
          <w:sz w:val="15"/>
          <w:szCs w:val="15"/>
          <w:color w:val="auto"/>
        </w:rPr>
        <w:t xml:space="preserve">In August 2017, the Financial Accounting Standards Board (“FASB”) issued Accounting Standards Update (“ASU”) 2017-12,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w:t>
      </w:r>
      <w:r>
        <w:rPr>
          <w:rFonts w:ascii="Arial" w:cs="Arial" w:eastAsia="Arial" w:hAnsi="Arial"/>
          <w:sz w:val="15"/>
          <w:szCs w:val="15"/>
          <w:i w:val="1"/>
          <w:iCs w:val="1"/>
          <w:color w:val="auto"/>
        </w:rPr>
        <w:t>(Topic 815): Targeted Improvements to Accounting for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457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 w:lineRule="exact"/>
        <w:rPr>
          <w:sz w:val="20"/>
          <w:szCs w:val="20"/>
          <w:color w:val="auto"/>
        </w:rPr>
      </w:pPr>
    </w:p>
    <w:p>
      <w:pPr>
        <w:ind w:left="40" w:right="160"/>
        <w:spacing w:after="0" w:line="235" w:lineRule="auto"/>
        <w:rPr>
          <w:sz w:val="20"/>
          <w:szCs w:val="20"/>
          <w:color w:val="auto"/>
        </w:rPr>
      </w:pPr>
      <w:r>
        <w:rPr>
          <w:rFonts w:ascii="Arial" w:cs="Arial" w:eastAsia="Arial" w:hAnsi="Arial"/>
          <w:sz w:val="15"/>
          <w:szCs w:val="15"/>
          <w:color w:val="auto"/>
        </w:rPr>
        <w:t xml:space="preserve">In May 2017, the FASB issued ASU 2017-10, </w:t>
      </w:r>
      <w:r>
        <w:rPr>
          <w:rFonts w:ascii="Arial" w:cs="Arial" w:eastAsia="Arial" w:hAnsi="Arial"/>
          <w:sz w:val="15"/>
          <w:szCs w:val="15"/>
          <w:i w:val="1"/>
          <w:iCs w:val="1"/>
          <w:color w:val="auto"/>
        </w:rPr>
        <w:t>Service</w:t>
      </w:r>
      <w:r>
        <w:rPr>
          <w:rFonts w:ascii="Arial" w:cs="Arial" w:eastAsia="Arial" w:hAnsi="Arial"/>
          <w:sz w:val="15"/>
          <w:szCs w:val="15"/>
          <w:color w:val="auto"/>
        </w:rPr>
        <w:t xml:space="preserve"> </w:t>
      </w:r>
      <w:r>
        <w:rPr>
          <w:rFonts w:ascii="Arial" w:cs="Arial" w:eastAsia="Arial" w:hAnsi="Arial"/>
          <w:sz w:val="15"/>
          <w:szCs w:val="15"/>
          <w:i w:val="1"/>
          <w:iCs w:val="1"/>
          <w:color w:val="auto"/>
        </w:rPr>
        <w:t>Concession Arrangements (Topic 853): Determining the Customer of the Operation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57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7" w:lineRule="exact"/>
        <w:rPr>
          <w:sz w:val="20"/>
          <w:szCs w:val="20"/>
          <w:color w:val="auto"/>
        </w:rPr>
      </w:pPr>
    </w:p>
    <w:p>
      <w:pPr>
        <w:ind w:left="40" w:right="80"/>
        <w:spacing w:after="0" w:line="237" w:lineRule="auto"/>
        <w:rPr>
          <w:sz w:val="20"/>
          <w:szCs w:val="20"/>
          <w:color w:val="auto"/>
        </w:rPr>
      </w:pPr>
      <w:r>
        <w:rPr>
          <w:rFonts w:ascii="Arial" w:cs="Arial" w:eastAsia="Arial" w:hAnsi="Arial"/>
          <w:sz w:val="15"/>
          <w:szCs w:val="15"/>
          <w:color w:val="auto"/>
        </w:rPr>
        <w:t xml:space="preserve">In May 2017, the FASB issued ASU 2017-09,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Stock Compensation (Topic 718): Scope of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1457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right="40"/>
        <w:spacing w:after="0" w:line="234" w:lineRule="auto"/>
        <w:rPr>
          <w:sz w:val="20"/>
          <w:szCs w:val="20"/>
          <w:color w:val="auto"/>
        </w:rPr>
      </w:pPr>
      <w:r>
        <w:rPr>
          <w:rFonts w:ascii="Arial" w:cs="Arial" w:eastAsia="Arial" w:hAnsi="Arial"/>
          <w:sz w:val="15"/>
          <w:szCs w:val="15"/>
          <w:color w:val="auto"/>
        </w:rPr>
        <w:t xml:space="preserve">In March 2017, the FASB issued ASU 2017-07,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Retirement Benefits (Topic 715): Improving the Presentation of Net Periodic Pension Cost and Net Periodic Postretirement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1457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right="240"/>
        <w:spacing w:after="0" w:line="249"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457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25400</wp:posOffset>
            </wp:positionV>
            <wp:extent cx="2032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7" w:lineRule="exact"/>
        <w:rPr>
          <w:sz w:val="20"/>
          <w:szCs w:val="20"/>
          <w:color w:val="auto"/>
        </w:rPr>
      </w:pPr>
    </w:p>
    <w:p>
      <w:pPr>
        <w:ind w:right="20"/>
        <w:spacing w:after="0" w:line="237" w:lineRule="auto"/>
        <w:rPr>
          <w:sz w:val="20"/>
          <w:szCs w:val="20"/>
          <w:color w:val="auto"/>
        </w:rPr>
      </w:pPr>
      <w:r>
        <w:rPr>
          <w:rFonts w:ascii="Arial" w:cs="Arial" w:eastAsia="Arial" w:hAnsi="Arial"/>
          <w:sz w:val="15"/>
          <w:szCs w:val="15"/>
          <w:color w:val="auto"/>
        </w:rPr>
        <w:t>This ASU better aligns accounting rules with a company’s risk management activities; better reflects economic results of hedging in financial statements; and simplifies hedge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314325</wp:posOffset>
            </wp:positionV>
            <wp:extent cx="2032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This ASU provides clarity on determining the customer in a service concession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308610</wp:posOffset>
            </wp:positionV>
            <wp:extent cx="2032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This ASU clarifies which changes to the terms or conditions of a share-based payment award require an entity to apply modification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621030</wp:posOffset>
            </wp:positionV>
            <wp:extent cx="2032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To align with the presentation of compensation costs arising from services rendered by employees, this ASU requires classification of the service cost component of pension expense as an operating expense. The other components of pension expense, such as interest cost, amortization of prior service cost, and gains or losses, are required to be presented outside of operating expenses. This ASU also allows the service cost component to be eligible for capitalization,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62230</wp:posOffset>
            </wp:positionV>
            <wp:extent cx="2032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95"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109220</wp:posOffset>
            </wp:positionV>
            <wp:extent cx="2032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140"/>
        <w:spacing w:after="0" w:line="366" w:lineRule="auto"/>
        <w:rPr>
          <w:sz w:val="20"/>
          <w:szCs w:val="20"/>
          <w:color w:val="auto"/>
        </w:rPr>
      </w:pPr>
      <w:r>
        <w:rPr>
          <w:rFonts w:ascii="Arial" w:cs="Arial" w:eastAsia="Arial" w:hAnsi="Arial"/>
          <w:sz w:val="15"/>
          <w:szCs w:val="15"/>
          <w:b w:val="1"/>
          <w:bCs w:val="1"/>
          <w:color w:val="auto"/>
        </w:rPr>
        <w:t xml:space="preserve">Effective Date/Method of Adoption </w:t>
      </w:r>
      <w:r>
        <w:rPr>
          <w:rFonts w:ascii="Arial" w:cs="Arial" w:eastAsia="Arial" w:hAnsi="Arial"/>
          <w:sz w:val="15"/>
          <w:szCs w:val="15"/>
          <w:color w:val="auto"/>
        </w:rPr>
        <w:t>November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666750</wp:posOffset>
            </wp:positionV>
            <wp:extent cx="1732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-198755</wp:posOffset>
            </wp:positionV>
            <wp:extent cx="17322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25" w:lineRule="exact"/>
        <w:rPr>
          <w:sz w:val="20"/>
          <w:szCs w:val="20"/>
          <w:color w:val="auto"/>
        </w:rPr>
      </w:pPr>
    </w:p>
    <w:p>
      <w:pPr>
        <w:ind w:right="340"/>
        <w:spacing w:after="0" w:line="249" w:lineRule="auto"/>
        <w:rPr>
          <w:sz w:val="20"/>
          <w:szCs w:val="20"/>
          <w:color w:val="auto"/>
        </w:rPr>
      </w:pPr>
      <w:r>
        <w:rPr>
          <w:rFonts w:ascii="Arial" w:cs="Arial" w:eastAsia="Arial" w:hAnsi="Arial"/>
          <w:sz w:val="15"/>
          <w:szCs w:val="15"/>
          <w:color w:val="auto"/>
        </w:rPr>
        <w:t>We will adopt this standard in conjunction with ASU 2014-09,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120015</wp:posOffset>
            </wp:positionV>
            <wp:extent cx="1732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Adoption of this standard will be applied prospectively to awards modified on or after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514350</wp:posOffset>
            </wp:positionV>
            <wp:extent cx="1732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180"/>
        <w:spacing w:after="0" w:line="235" w:lineRule="auto"/>
        <w:rPr>
          <w:sz w:val="20"/>
          <w:szCs w:val="20"/>
          <w:color w:val="auto"/>
        </w:rPr>
      </w:pPr>
      <w:r>
        <w:rPr>
          <w:rFonts w:ascii="Arial" w:cs="Arial" w:eastAsia="Arial" w:hAnsi="Arial"/>
          <w:sz w:val="15"/>
          <w:szCs w:val="15"/>
          <w:color w:val="auto"/>
        </w:rPr>
        <w:t>Adoption of this standard will be applied retrospectively for the classification requirements and prospectively for the capitalization of the service cost component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417830</wp:posOffset>
            </wp:positionV>
            <wp:extent cx="1732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November 1, 2019</w:t>
      </w:r>
    </w:p>
    <w:p>
      <w:pPr>
        <w:spacing w:after="0" w:line="152"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1732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25400</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7"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We are currently evaluating the impact of this ASU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We are currently evaluating the impact of this ASU on our consolidated financial statements and will continue to evaluate it together with the implementation of ASU 2014-09.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108585</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20"/>
        <w:spacing w:after="0" w:line="232" w:lineRule="auto"/>
        <w:rPr>
          <w:sz w:val="20"/>
          <w:szCs w:val="20"/>
          <w:color w:val="auto"/>
        </w:rPr>
      </w:pPr>
      <w:r>
        <w:rPr>
          <w:rFonts w:ascii="Arial" w:cs="Arial" w:eastAsia="Arial" w:hAnsi="Arial"/>
          <w:sz w:val="15"/>
          <w:szCs w:val="15"/>
          <w:color w:val="auto"/>
        </w:rPr>
        <w:t>The impact of this new standard will depend on the extent and nature of future changes to the terms of our share-based payment awards. Historically, we have not had significant changes to our share-based payment awards and therefore do not expect adoption of this guidance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As ABM’s defined benefit and postretirement benefit plans were previously amended to preclude new participants, the adoption of this guidance will not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623570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411480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4" w:lineRule="exact"/>
        <w:rPr>
          <w:sz w:val="20"/>
          <w:szCs w:val="20"/>
          <w:color w:val="auto"/>
        </w:rPr>
      </w:pPr>
    </w:p>
    <w:p>
      <w:pPr>
        <w:sectPr>
          <w:pgSz w:w="11900" w:h="16838" w:orient="portrait"/>
          <w:cols w:equalWidth="0" w:num="4">
            <w:col w:w="2260" w:space="200"/>
            <w:col w:w="3140" w:space="160"/>
            <w:col w:w="2640" w:space="200"/>
            <w:col w:w="2780"/>
          </w:cols>
          <w:pgMar w:left="240" w:top="522" w:right="279" w:bottom="1440" w:gutter="0" w:footer="0" w:header="0"/>
          <w:type w:val="continuous"/>
        </w:sectPr>
      </w:pPr>
    </w:p>
    <w:p>
      <w:pPr>
        <w:ind w:left="40"/>
        <w:spacing w:after="0" w:line="241"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1457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107315</wp:posOffset>
            </wp:positionV>
            <wp:extent cx="2032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5080</wp:posOffset>
            </wp:positionV>
            <wp:extent cx="17322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color w:val="auto"/>
        </w:rPr>
        <w:t>We have begun our process for implementing this guidance, including a preliminary review of all revenue streams to identify changes from our current method of revenue recognition. We are continuing to evaluate the impact of this ASU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107315</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1" w:lineRule="exact"/>
        <w:rPr>
          <w:sz w:val="20"/>
          <w:szCs w:val="20"/>
          <w:color w:val="auto"/>
        </w:rPr>
      </w:pPr>
    </w:p>
    <w:p>
      <w:pPr>
        <w:sectPr>
          <w:pgSz w:w="11900" w:h="16838" w:orient="portrait"/>
          <w:cols w:equalWidth="0" w:num="4">
            <w:col w:w="2240" w:space="220"/>
            <w:col w:w="3120" w:space="180"/>
            <w:col w:w="2560" w:space="280"/>
            <w:col w:w="2780"/>
          </w:cols>
          <w:pgMar w:left="240" w:top="522" w:right="279" w:bottom="1440" w:gutter="0" w:footer="0" w:header="0"/>
          <w:type w:val="continuous"/>
        </w:sectPr>
      </w:pP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522" w:right="2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560" w:firstLine="648"/>
        <w:spacing w:after="0" w:line="29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We are currently migrating many of our financial reporting and processes to our Shared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transformation initiative. We plan to continue migrating such processes during 2017.</w:t>
      </w:r>
    </w:p>
    <w:p>
      <w:pPr>
        <w:spacing w:after="0" w:line="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impact of Hurricane Harvey on our business is currently unknown, as the flooding it caused has disrupted operations at our Shared Services Center in Sugar Land, Texas. Since the timeframe to resume operations at our Shared Services Center is uncertain, we have begin to mobilize business continuity plans and set up both satellite and regional offices to minimize Hurricane Harvey’s impact on our business processes.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other changes in our internal control over financial reporting during the third quarter of 2017 identified in connection with the evaluation required by Rule 13a-15(d) and 15d-15(d) of the Exchange Act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11, “Commitments and Contingencies,” to the Financial Statements in this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 discussion of our risk factors can be found in Item 1A., “Risk Factors” in our Annual Report on Form 10-K for the fiscal year ended October 31, 2016. The information below includes, among other risks, additional risks relating to the acquisition of GCA Holding Corp., the parent company of GCA Services Group (“GCA”), completed on September 1, 2017. The risks described below and in other documents that we file from time to time with the Securities and Exchange Commission could materially and adversely affect our business, results of operations, cash flow, liquidity,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and cost synergies that are anticipated from the acquisition of GCA.</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benefits that are expected to result from the acquisition of GCA will depend, in part, on our ability to realize the anticipated growth opportunities and cost synergies as a result of the acquisition. Our success in realizing these growth opportunities and cost synergies, and the timing of this realization, depends on a number of factors. There is a significant degree of difficulty and management distraction inherent in the process of integrating an acquisition as sizable as GCA. The process of integrating operations could cause an interruption of, or loss of momentum in, our activities or the activities of the GCA business. Members of our senior management may be required to devote considerable time to this integration process, which will decrease the time they will have to manage our Company, service existing clients, and attract new clients. In addition, we have not fully implemented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which is expected to generate significant benefits to the Company. Time and distraction relating to the acquisition of GCA could detract from the ability to achieve the benefits anticipated with respect to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If senior management is not able to effectively manage the integration process, or if any significant business activities, including</w:t>
      </w:r>
      <w:r>
        <w:rPr>
          <w:rFonts w:ascii="Arial" w:cs="Arial" w:eastAsia="Arial" w:hAnsi="Arial"/>
          <w:sz w:val="18"/>
          <w:szCs w:val="18"/>
          <w:b w:val="1"/>
          <w:bCs w:val="1"/>
          <w:color w:val="0070C0"/>
        </w:rPr>
        <w:t xml:space="preserve"> </w:t>
      </w:r>
      <w:r>
        <w:rPr>
          <w:rFonts w:ascii="Arial" w:cs="Arial" w:eastAsia="Arial" w:hAnsi="Arial"/>
          <w:sz w:val="18"/>
          <w:szCs w:val="18"/>
          <w:b w:val="1"/>
          <w:bCs w:val="1"/>
          <w:color w:val="FF9900"/>
        </w:rPr>
        <w:t>2020</w:t>
      </w:r>
      <w:r>
        <w:rPr>
          <w:rFonts w:ascii="Arial" w:cs="Arial" w:eastAsia="Arial" w:hAnsi="Arial"/>
          <w:sz w:val="18"/>
          <w:szCs w:val="18"/>
          <w:b w:val="1"/>
          <w:bCs w:val="1"/>
          <w:color w:val="0070C0"/>
        </w:rPr>
        <w:t xml:space="preserve"> Vision </w:t>
      </w:r>
      <w:r>
        <w:rPr>
          <w:rFonts w:ascii="Arial" w:cs="Arial" w:eastAsia="Arial" w:hAnsi="Arial"/>
          <w:sz w:val="18"/>
          <w:szCs w:val="18"/>
          <w:color w:val="000000"/>
        </w:rPr>
        <w:t>initiatives, are interrupted as a result of the integration process, our business could suffer. There can be no assurance that we will</w:t>
      </w:r>
      <w:r>
        <w:rPr>
          <w:rFonts w:ascii="Arial" w:cs="Arial" w:eastAsia="Arial" w:hAnsi="Arial"/>
          <w:sz w:val="18"/>
          <w:szCs w:val="18"/>
          <w:b w:val="1"/>
          <w:bCs w:val="1"/>
          <w:color w:val="0070C0"/>
        </w:rPr>
        <w:t xml:space="preserve"> </w:t>
      </w:r>
      <w:r>
        <w:rPr>
          <w:rFonts w:ascii="Arial" w:cs="Arial" w:eastAsia="Arial" w:hAnsi="Arial"/>
          <w:sz w:val="18"/>
          <w:szCs w:val="18"/>
          <w:color w:val="000000"/>
        </w:rPr>
        <w:t>successfully or cost-effectively integrate GCA. The failure to do so could have a material adverse effect on our business, financial condition, or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20" w:right="239" w:bottom="1440" w:gutter="0" w:footer="0" w:header="0"/>
        </w:sectPr>
      </w:pPr>
    </w:p>
    <w:bookmarkStart w:id="41" w:name="page42"/>
    <w:bookmarkEnd w:id="41"/>
    <w:p>
      <w:pPr>
        <w:jc w:val="both"/>
        <w:ind w:firstLine="648"/>
        <w:spacing w:after="0" w:line="256" w:lineRule="auto"/>
        <w:rPr>
          <w:sz w:val="20"/>
          <w:szCs w:val="20"/>
          <w:color w:val="auto"/>
        </w:rPr>
      </w:pPr>
      <w:r>
        <w:rPr>
          <w:rFonts w:ascii="Arial" w:cs="Arial" w:eastAsia="Arial" w:hAnsi="Arial"/>
          <w:sz w:val="18"/>
          <w:szCs w:val="18"/>
          <w:color w:val="auto"/>
        </w:rPr>
        <w:t>Even if we are able to integrate GCA successfully, this integration may not result in the realization of the full benefits of the growth opportunities and cost synergies we currently expect from this integration, and we cannot guarantee these benefits will be achieved within anticipated time frames or at all. For example, we may not be able to eliminate duplicative costs. Moreover, we may incur substantial expenses in connection with the integration of GCA. While it is anticipated that certain expenses will be incurred to achieve cost synergies, such expenses are difficult to estimate accurately and may exceed current estimates. Accordingly, the benefits from the acquisition may be offset by costs incurred to integrate the business or delays in the integration process. In addition, the overall integration may result in unanticipated problems, expenses, liabilities, competitive responses, loss of client and other relationships, and loss of key employees, any of which may adversely affect our results of operations and may cause our stock price to decline.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incurred a substantial amount of debt to complete the acquisition of GCA. To service our debt, we will require a significant amount of cash. Our ability to generate cash depends on many factors beyond our control. We also depend on the business of our subsidiaries to satisfy our cash needs. If we cannot generate the required cash, we may not be able to make the necessary payments required to service our indebtedness.</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2017, we had total debt of $ 264.7 million. In connection with the acquisition of GCA , on September 1, 2017, we refinanced and replaced our existing credit facility with a new syndicated secured credit facility (the “New Credit Facility”) consisting of a $900 million revolving credit facility and an $800 million amortizing term loan with a five-year term. On September 1, 2017, we borrowed approximately $1.3 billion under the New Credit Facility. Our ability to make payments on our debt, fund our other liquidity needs, and make planned capital expenditures will depend on our ability to generate cash in the future.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make payments of our debt, fund other liquidity needs, and make planned capital expenditures.</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 require us to dedicate a substantial portion of our cash flows from operations to the payment of debt service, reducing the availability of our cash flow to fund working capital,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Additionally, any failure to comply with covenants in the instruments governing our debt could result in an event of default which, if not cured or waived, would have a material adverse effect on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Hurricane Harvey on our business is currently unknown.</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Hurricane Harvey made landfall near Corpus Christi, Texas, on Friday, August 25, 2017 and also impacted the Houston area as a tropical storm with significant rain and flooding. The impact of Hurricane Harvey on our business is currently unknown, as the flooding it caused has disrupted operations at our Shared Services Center in Sugar Land, Texas, and impacted services we provide to clients in the Houston area, and the timeframe to resume operations and provision of services to impacted clients is uncertain. We have begun to mobilize continuity plans and set up both satellite and regional offices to minimize Hurricane Harvey’s impact on our business processes. We are currently assessing the impact of Hurricane Harvey on our business, but our business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52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3"/>
        </w:trPr>
        <w:tc>
          <w:tcPr>
            <w:tcW w:w="1142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r>
      <w:tr>
        <w:trPr>
          <w:trHeight w:val="370"/>
        </w:trPr>
        <w:tc>
          <w:tcPr>
            <w:tcW w:w="11420" w:type="dxa"/>
            <w:vAlign w:val="bottom"/>
            <w:gridSpan w:val="9"/>
          </w:tcPr>
          <w:p>
            <w:pPr>
              <w:ind w:left="660"/>
              <w:spacing w:after="0"/>
              <w:rPr>
                <w:sz w:val="20"/>
                <w:szCs w:val="20"/>
                <w:color w:val="auto"/>
              </w:rPr>
            </w:pPr>
            <w:r>
              <w:rPr>
                <w:rFonts w:ascii="Arial" w:cs="Arial" w:eastAsia="Arial" w:hAnsi="Arial"/>
                <w:sz w:val="18"/>
                <w:szCs w:val="18"/>
                <w:color w:val="auto"/>
              </w:rPr>
              <w:t>(a) Exhibits</w:t>
            </w:r>
          </w:p>
        </w:tc>
      </w:tr>
      <w:tr>
        <w:trPr>
          <w:trHeight w:val="395"/>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440" w:type="dxa"/>
            <w:vAlign w:val="bottom"/>
            <w:gridSpan w:val="5"/>
          </w:tcPr>
          <w:p>
            <w:pPr>
              <w:ind w:left="660"/>
              <w:spacing w:after="0"/>
              <w:rPr>
                <w:sz w:val="20"/>
                <w:szCs w:val="20"/>
                <w:color w:val="auto"/>
              </w:rPr>
            </w:pPr>
            <w:r>
              <w:rPr>
                <w:rFonts w:ascii="Arial" w:cs="Arial" w:eastAsia="Arial" w:hAnsi="Arial"/>
                <w:sz w:val="18"/>
                <w:szCs w:val="18"/>
                <w:b w:val="1"/>
                <w:bCs w:val="1"/>
                <w:color w:val="auto"/>
              </w:rPr>
              <w:t>Exhibit Description</w:t>
            </w:r>
          </w:p>
        </w:tc>
      </w:tr>
      <w:tr>
        <w:trPr>
          <w:trHeight w:val="203"/>
        </w:trPr>
        <w:tc>
          <w:tcPr>
            <w:tcW w:w="13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6"/>
          </w:tcPr>
          <w:p>
            <w:pPr>
              <w:spacing w:after="0" w:line="202" w:lineRule="exact"/>
              <w:rPr>
                <w:rFonts w:ascii="Arial" w:cs="Arial" w:eastAsia="Arial" w:hAnsi="Arial"/>
                <w:sz w:val="18"/>
                <w:szCs w:val="18"/>
                <w:color w:val="0000FF"/>
              </w:rPr>
            </w:pPr>
            <w:hyperlink r:id="rId56">
              <w:r>
                <w:rPr>
                  <w:rFonts w:ascii="Arial" w:cs="Arial" w:eastAsia="Arial" w:hAnsi="Arial"/>
                  <w:sz w:val="18"/>
                  <w:szCs w:val="18"/>
                  <w:color w:val="0000FF"/>
                </w:rPr>
                <w:t>Agreement and Plan of Merger, dated July 11, 2017 (incorporated by reference to Exhibit 2.1 to the Company’s Current</w:t>
              </w:r>
            </w:hyperlink>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Report on Form 8-K, filed on July 14, 2017)</w:t>
              </w:r>
            </w:hyperlink>
          </w:p>
        </w:tc>
        <w:tc>
          <w:tcPr>
            <w:tcW w:w="640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0"/>
                <w:szCs w:val="20"/>
                <w:color w:val="auto"/>
              </w:rPr>
            </w:pPr>
          </w:p>
        </w:tc>
        <w:tc>
          <w:tcPr>
            <w:tcW w:w="80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Certification of Principal Executive Officer pursuant to Section 302 of the Sarbanes-Oxley Act of 2002</w:t>
              </w:r>
            </w:hyperlink>
          </w:p>
        </w:tc>
        <w:tc>
          <w:tcPr>
            <w:tcW w:w="1840" w:type="dxa"/>
            <w:vAlign w:val="bottom"/>
            <w:gridSpan w:val="3"/>
          </w:tcPr>
          <w:p>
            <w:pPr>
              <w:spacing w:after="0"/>
              <w:rPr>
                <w:sz w:val="20"/>
                <w:szCs w:val="20"/>
                <w:color w:val="auto"/>
              </w:rPr>
            </w:pPr>
          </w:p>
        </w:tc>
      </w:tr>
      <w:tr>
        <w:trPr>
          <w:trHeight w:val="25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80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of Principal Financial Officer pursuant to Section 302 of the Sarbanes-Oxley Act of 2002</w:t>
              </w:r>
            </w:hyperlink>
          </w:p>
        </w:tc>
        <w:tc>
          <w:tcPr>
            <w:tcW w:w="1900" w:type="dxa"/>
            <w:vAlign w:val="bottom"/>
            <w:gridSpan w:val="4"/>
          </w:tcPr>
          <w:p>
            <w:pPr>
              <w:spacing w:after="0"/>
              <w:rPr>
                <w:sz w:val="21"/>
                <w:szCs w:val="21"/>
                <w:color w:val="auto"/>
              </w:rPr>
            </w:pPr>
          </w:p>
        </w:tc>
      </w:tr>
      <w:tr>
        <w:trPr>
          <w:trHeight w:val="25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95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pursuant to 18 U.S.C. Section 1350, as adopted pursuant to Section 906 of the Sarbanes-Oxley Act of 2002</w:t>
              </w:r>
            </w:hyperlink>
          </w:p>
        </w:tc>
        <w:tc>
          <w:tcPr>
            <w:tcW w:w="320" w:type="dxa"/>
            <w:vAlign w:val="bottom"/>
            <w:gridSpan w:val="2"/>
          </w:tcPr>
          <w:p>
            <w:pPr>
              <w:spacing w:after="0"/>
              <w:rPr>
                <w:sz w:val="21"/>
                <w:szCs w:val="21"/>
                <w:color w:val="auto"/>
              </w:rPr>
            </w:pPr>
          </w:p>
        </w:tc>
      </w:tr>
      <w:tr>
        <w:trPr>
          <w:trHeight w:val="29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162" w:lineRule="exact"/>
        <w:rPr>
          <w:sz w:val="20"/>
          <w:szCs w:val="20"/>
          <w:color w:val="auto"/>
        </w:rPr>
      </w:pPr>
    </w:p>
    <w:p>
      <w:pPr>
        <w:ind w:left="740" w:hanging="6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71" w:lineRule="exact"/>
        <w:rPr>
          <w:sz w:val="20"/>
          <w:szCs w:val="20"/>
          <w:color w:val="auto"/>
        </w:rPr>
      </w:pPr>
    </w:p>
    <w:p>
      <w:pPr>
        <w:ind w:left="740" w:hanging="6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20"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September 7, 2017</w:t>
      </w:r>
      <w:r>
        <w:rPr>
          <w:sz w:val="20"/>
          <w:szCs w:val="20"/>
          <w:color w:val="auto"/>
        </w:rPr>
        <w:tab/>
      </w:r>
      <w:r>
        <w:rPr>
          <w:rFonts w:ascii="Arial" w:cs="Arial" w:eastAsia="Arial" w:hAnsi="Arial"/>
          <w:sz w:val="18"/>
          <w:szCs w:val="18"/>
          <w:u w:val="single" w:color="auto"/>
          <w:color w:val="auto"/>
        </w:rPr>
        <w:t>/s/ D. Anthony Scaglione</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w:t>
      </w: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September 7, 2017</w:t>
      </w:r>
      <w:r>
        <w:rPr>
          <w:sz w:val="20"/>
          <w:szCs w:val="20"/>
          <w:color w:val="auto"/>
        </w:rPr>
        <w:tab/>
      </w:r>
      <w:r>
        <w:rPr>
          <w:rFonts w:ascii="Arial" w:cs="Arial" w:eastAsia="Arial" w:hAnsi="Arial"/>
          <w:sz w:val="18"/>
          <w:szCs w:val="18"/>
          <w:u w:val="single" w:color="auto"/>
          <w:color w:val="auto"/>
        </w:rPr>
        <w:t>/s/ Dean A. Chin</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Senior Vice President, Chief Accounting Officer,</w:t>
      </w:r>
    </w:p>
    <w:p>
      <w:pPr>
        <w:ind w:left="6540"/>
        <w:spacing w:after="0" w:line="234"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20"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7"/>
          <w:szCs w:val="17"/>
          <w:u w:val="single" w:color="auto"/>
          <w:color w:val="auto"/>
        </w:rPr>
        <w:t>/s/ Scott Salmirs</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3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660" w:hanging="328"/>
        <w:spacing w:after="0" w:line="292"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0"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8"/>
          <w:szCs w:val="18"/>
          <w:u w:val="single" w:color="auto"/>
          <w:color w:val="auto"/>
        </w:rPr>
        <w:t>/s/ D. Anthony Scaglione</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3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July 31, 2017,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7"/>
          <w:szCs w:val="17"/>
          <w:u w:val="single" w:color="auto"/>
          <w:color w:val="auto"/>
        </w:rPr>
        <w:t>/s/ Scott Salmirs</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pacing w:after="0" w:line="392"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8"/>
          <w:szCs w:val="18"/>
          <w:u w:val="single" w:color="auto"/>
          <w:color w:val="auto"/>
        </w:rPr>
        <w:t>/s/ D. Anthony Scaglione</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7"/>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5"/>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hyperlink" Target="http://www.sec.gov/Archives/edgar/data/771497/000157104917006648/t1702122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2019-12-29T04:18:03Z</dcterms:created>
  <dcterms:modified xsi:type="dcterms:W3CDTF">2019-12-29T04:18:03Z</dcterms:modified>
</cp:coreProperties>
</file>