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000957100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CUSIP NO. 000957100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860" w:right="1779" w:hanging="852"/>
        <w:spacing w:after="0" w:line="268"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 Palisade Capital Management, L.L.C., Tax ID#: 22-3330049</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2000" w:hanging="1149"/>
        <w:spacing w:after="0" w:line="238"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Jersey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22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 Beneficially Owned by Each  (5) Sole Voting</w:t>
            </w:r>
          </w:p>
        </w:tc>
        <w:tc>
          <w:tcPr>
            <w:tcW w:w="1120" w:type="dxa"/>
            <w:vAlign w:val="bottom"/>
          </w:tcPr>
          <w:p>
            <w:pPr>
              <w:spacing w:after="0"/>
              <w:rPr>
                <w:sz w:val="17"/>
                <w:szCs w:val="17"/>
                <w:color w:val="auto"/>
              </w:rPr>
            </w:pPr>
          </w:p>
        </w:tc>
      </w:tr>
      <w:tr>
        <w:trPr>
          <w:trHeight w:val="203"/>
        </w:trPr>
        <w:tc>
          <w:tcPr>
            <w:tcW w:w="51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Reporting Person With</w:t>
            </w: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1,758,300</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w:t>
            </w:r>
          </w:p>
        </w:tc>
        <w:tc>
          <w:tcPr>
            <w:tcW w:w="112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w:t>
            </w:r>
          </w:p>
        </w:tc>
        <w:tc>
          <w:tcPr>
            <w:tcW w:w="112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1,758,300</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112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1,758,300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8"/>
          <w:szCs w:val="18"/>
          <w:color w:val="auto"/>
        </w:rPr>
      </w:pPr>
    </w:p>
    <w:p>
      <w:pPr>
        <w:ind w:left="860" w:right="2099" w:hanging="852"/>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ABM Industries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280" w:right="17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1(b).</w:t>
        <w:tab/>
        <w:t>Address of Issuer's Principal Executive Offices: 50 Fremont Street, 26th Floor, San Francisco, California 94105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spacing w:after="0"/>
        <w:tabs>
          <w:tab w:leader="none" w:pos="1560" w:val="left"/>
          <w:tab w:leader="none" w:pos="4100" w:val="left"/>
        </w:tabs>
        <w:rPr>
          <w:sz w:val="20"/>
          <w:szCs w:val="20"/>
          <w:color w:val="auto"/>
        </w:rPr>
      </w:pPr>
      <w:r>
        <w:rPr>
          <w:rFonts w:ascii="Courier New" w:cs="Courier New" w:eastAsia="Courier New" w:hAnsi="Courier New"/>
          <w:sz w:val="18"/>
          <w:szCs w:val="18"/>
          <w:color w:val="auto"/>
        </w:rPr>
        <w:t>Item 2(a).</w:t>
        <w:tab/>
        <w:t>Name of Person Filing:</w:t>
      </w:r>
      <w:r>
        <w:rPr>
          <w:sz w:val="20"/>
          <w:szCs w:val="20"/>
          <w:color w:val="auto"/>
        </w:rPr>
        <w:tab/>
      </w:r>
      <w:r>
        <w:rPr>
          <w:rFonts w:ascii="Courier New" w:cs="Courier New" w:eastAsia="Courier New" w:hAnsi="Courier New"/>
          <w:sz w:val="16"/>
          <w:szCs w:val="16"/>
          <w:color w:val="auto"/>
        </w:rPr>
        <w:t>Palisade Capital Management,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280" w:right="20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2(b).</w:t>
        <w:tab/>
        <w:t>Address of Principal Business Office or, if None, Residence: One Bridge Plaza, Suite 695, Fort Lee, NJ 07024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2720" w:val="left"/>
        </w:tabs>
        <w:rPr>
          <w:sz w:val="20"/>
          <w:szCs w:val="20"/>
          <w:color w:val="auto"/>
        </w:rPr>
      </w:pPr>
      <w:r>
        <w:rPr>
          <w:rFonts w:ascii="Courier New" w:cs="Courier New" w:eastAsia="Courier New" w:hAnsi="Courier New"/>
          <w:sz w:val="18"/>
          <w:szCs w:val="18"/>
          <w:color w:val="auto"/>
        </w:rPr>
        <w:t>Item 2(c).</w:t>
        <w:tab/>
        <w:t>Citizenship:</w:t>
      </w:r>
      <w:r>
        <w:rPr>
          <w:sz w:val="20"/>
          <w:szCs w:val="20"/>
          <w:color w:val="auto"/>
        </w:rPr>
        <w:tab/>
      </w:r>
      <w:r>
        <w:rPr>
          <w:rFonts w:ascii="Courier New" w:cs="Courier New" w:eastAsia="Courier New" w:hAnsi="Courier New"/>
          <w:sz w:val="16"/>
          <w:szCs w:val="16"/>
          <w:color w:val="auto"/>
        </w:rPr>
        <w:t>New Jersey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000957100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3" w:lineRule="exact"/>
        <w:rPr>
          <w:sz w:val="20"/>
          <w:szCs w:val="20"/>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Investment Adviser registered under section 203 of the Investment Advisers Act of 1940.</w:t>
      </w:r>
    </w:p>
    <w:p>
      <w:pPr>
        <w:sectPr>
          <w:pgSz w:w="11900" w:h="16838" w:orient="portrait"/>
          <w:cols w:equalWidth="0" w:num="1">
            <w:col w:w="10219"/>
          </w:cols>
          <w:pgMar w:left="240" w:top="136" w:right="1440" w:bottom="0" w:gutter="0" w:footer="0" w:header="0"/>
        </w:sectPr>
      </w:pPr>
    </w:p>
    <w:p>
      <w:pPr>
        <w:spacing w:after="0" w:line="208" w:lineRule="exact"/>
        <w:rPr>
          <w:sz w:val="20"/>
          <w:szCs w:val="20"/>
          <w:color w:val="auto"/>
        </w:rPr>
      </w:pPr>
    </w:p>
    <w:p>
      <w:pPr>
        <w:jc w:val="both"/>
        <w:ind w:firstLine="535"/>
        <w:spacing w:after="0" w:line="236" w:lineRule="auto"/>
        <w:tabs>
          <w:tab w:leader="none" w:pos="9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provisions of the Employee Retirement fund; see Rule 13d-1(b)(1)(ii)(H).</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Pension Fund which is subject to the Income Security Act of 1974 or Endowment</w:t>
      </w:r>
    </w:p>
    <w:p>
      <w:pPr>
        <w:spacing w:after="0" w:line="363" w:lineRule="exact"/>
        <w:rPr>
          <w:sz w:val="20"/>
          <w:szCs w:val="20"/>
          <w:color w:val="auto"/>
        </w:rPr>
      </w:pPr>
    </w:p>
    <w:p>
      <w:pPr>
        <w:sectPr>
          <w:pgSz w:w="11900" w:h="16838" w:orient="portrait"/>
          <w:cols w:equalWidth="0" w:num="2">
            <w:col w:w="4020" w:space="200"/>
            <w:col w:w="5999"/>
          </w:cols>
          <w:pgMar w:left="240" w:top="136" w:right="1440" w:bottom="0" w:gutter="0" w:footer="0" w:header="0"/>
          <w:type w:val="continuous"/>
        </w:sectPr>
      </w:pPr>
    </w:p>
    <w:p>
      <w:pPr>
        <w:spacing w:after="0" w:line="9" w:lineRule="exact"/>
        <w:rPr>
          <w:sz w:val="20"/>
          <w:szCs w:val="20"/>
          <w:color w:val="auto"/>
        </w:rPr>
      </w:pPr>
    </w:p>
    <w:p>
      <w:pPr>
        <w:ind w:left="960" w:hanging="425"/>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13d-1(b)(ii)(G)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 See Item 7).</w:t>
      </w:r>
    </w:p>
    <w:p>
      <w:pPr>
        <w:spacing w:after="0" w:line="201"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3779" w:hanging="525"/>
        <w:spacing w:after="0" w:line="470" w:lineRule="auto"/>
        <w:tabs>
          <w:tab w:leader="none" w:pos="95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1997): 1,758,300</w:t>
      </w:r>
    </w:p>
    <w:p>
      <w:pPr>
        <w:spacing w:after="0" w:line="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(as of December 31, 1997):</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1,758,300</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 ----------</w:t>
      </w:r>
    </w:p>
    <w:p>
      <w:pPr>
        <w:spacing w:after="0" w:line="206"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1,758,300</w:t>
      </w:r>
    </w:p>
    <w:p>
      <w:pPr>
        <w:spacing w:after="0" w:line="218"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shares of the Issuer beneficially owned by the reporting person are held on behalf of the reporting person's clients in accounts over which the reporting person has complete investment discretion. No other person has the right to receive or the power to direct the receipt of dividends from, or the proceeds from the sale of, such shares. No other person's interest relates to more than five percent of the class. No client account contains more than five percent of the class.</w:t>
      </w:r>
    </w:p>
    <w:p>
      <w:pPr>
        <w:spacing w:after="0" w:line="211"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8" w:lineRule="exact"/>
        <w:rPr>
          <w:sz w:val="20"/>
          <w:szCs w:val="20"/>
          <w:color w:val="auto"/>
        </w:rPr>
      </w:pPr>
    </w:p>
    <w:p>
      <w:pPr>
        <w:ind w:right="2619"/>
        <w:spacing w:after="0" w:line="551" w:lineRule="auto"/>
        <w:rPr>
          <w:sz w:val="20"/>
          <w:szCs w:val="20"/>
          <w:color w:val="auto"/>
        </w:rPr>
      </w:pPr>
      <w:r>
        <w:rPr>
          <w:rFonts w:ascii="Courier New" w:cs="Courier New" w:eastAsia="Courier New" w:hAnsi="Courier New"/>
          <w:sz w:val="18"/>
          <w:szCs w:val="18"/>
          <w:color w:val="auto"/>
        </w:rPr>
        <w:t>Item 8. Identification and Classification of Members of the Group. N/A Item 9. Notice of Dissolution of Group. N/A Item 10. Certification</w:t>
      </w:r>
    </w:p>
    <w:p>
      <w:pPr>
        <w:spacing w:after="0" w:line="27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January 30, 1998</w:t>
      </w:r>
    </w:p>
    <w:p>
      <w:pPr>
        <w:ind w:left="65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Steven E. Berman</w:t>
      </w:r>
    </w:p>
    <w:p>
      <w:pPr>
        <w:ind w:left="63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Steven E. Berman/Member</w:t>
      </w:r>
    </w:p>
    <w:p>
      <w:pPr>
        <w:ind w:left="622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lvl w:ilvl="1">
      <w:lvlJc w:val="left"/>
      <w:lvlText w:val="(%2)"/>
      <w:numFmt w:val="lowerLetter"/>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6"/>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2019-12-13T15:26:42Z</dcterms:created>
  <dcterms:modified xsi:type="dcterms:W3CDTF">2019-12-13T15:26:42Z</dcterms:modified>
</cp:coreProperties>
</file>