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05,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ABM INDUSTRIES INCORPORATED</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461"/>
              <w:spacing w:after="0"/>
              <w:rPr>
                <w:sz w:val="20"/>
                <w:szCs w:val="20"/>
                <w:color w:val="auto"/>
              </w:rPr>
            </w:pPr>
            <w:r>
              <w:rPr>
                <w:rFonts w:ascii="Times New Roman" w:cs="Times New Roman" w:eastAsia="Times New Roman" w:hAnsi="Times New Roman"/>
                <w:sz w:val="18"/>
                <w:szCs w:val="18"/>
                <w:b w:val="1"/>
                <w:bCs w:val="1"/>
                <w:color w:val="auto"/>
              </w:rPr>
              <w:t>1-8929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94-1369354</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One Liberty Plaza</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7th Floor</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New York, New York</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10006</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297-0200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ABM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September 5, 2025, ABM Industries Incorporated (the "Company") issued a press release announcing financial results related to the quarter ended July 31, 2025. A copy of the press release is being furnished as Exhibit 99.1 to this Form 8-K, which is incorporated into this item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September 5, 2025, the Company announced that the Board of Directors of the Company declared a quarterly dividend of $0.265 per share, payable November 3, 2025 to stockholders of record on October 2,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issued by ABM Industries Incorporated, dated September 5, 2025, announcing financial results related to the quarter ended July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-7620</wp:posOffset>
            </wp:positionV>
            <wp:extent cx="65265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26530" cy="8255"/>
                    </a:xfrm>
                    <a:prstGeom prst="rect">
                      <a:avLst/>
                    </a:prstGeom>
                    <a:noFill/>
                  </pic:spPr>
                </pic:pic>
              </a:graphicData>
            </a:graphic>
          </wp:anchor>
        </w:drawing>
      </w:r>
    </w:p>
    <w:p>
      <w:pPr>
        <w:spacing w:after="0" w:line="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u w:val="single" w:color="auto"/>
          <w:color w:val="0000FF"/>
        </w:rPr>
        <w:t>31, 2025, and the declaration of a dividend payable November 3, 2025, to stockholders of record on October 2, 2025</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-19050</wp:posOffset>
            </wp:positionV>
            <wp:extent cx="53301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30190" cy="8890"/>
                    </a:xfrm>
                    <a:prstGeom prst="rect">
                      <a:avLst/>
                    </a:prstGeom>
                    <a:noFill/>
                  </pic:spPr>
                </pic:pic>
              </a:graphicData>
            </a:graphic>
          </wp:anchor>
        </w:drawing>
      </w:r>
    </w:p>
    <w:p>
      <w:pPr>
        <w:spacing w:after="0" w:line="18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89" w:right="4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ABM INDUSTRIES INCORPORATED</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September 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R.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R. Goldman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Vice President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8890</wp:posOffset>
            </wp:positionV>
            <wp:extent cx="1234440" cy="4540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3444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46AD"/>
        </w:rPr>
        <w:t>ABM REPORTS FISCAL THIRD QUARTER 2025 RESULTS AND COMMENTS ON FISCAL 2025 OUTLOOK</w:t>
      </w:r>
    </w:p>
    <w:p>
      <w:pPr>
        <w:spacing w:after="0" w:line="213"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Revenue up 6.2% to $2.2 billion, including organic growth of 5.0%</w:t>
      </w:r>
    </w:p>
    <w:p>
      <w:pPr>
        <w:spacing w:after="0" w:line="16" w:lineRule="exact"/>
        <w:rPr>
          <w:rFonts w:ascii="Times New Roman" w:cs="Times New Roman" w:eastAsia="Times New Roman" w:hAnsi="Times New Roman"/>
          <w:sz w:val="20"/>
          <w:szCs w:val="20"/>
          <w:color w:val="auto"/>
        </w:rPr>
      </w:pPr>
    </w:p>
    <w:p>
      <w:pPr>
        <w:ind w:left="760" w:right="440" w:hanging="378"/>
        <w:spacing w:after="0" w:line="224" w:lineRule="auto"/>
        <w:tabs>
          <w:tab w:leader="none" w:pos="760" w:val="left"/>
        </w:tabs>
        <w:numPr>
          <w:ilvl w:val="0"/>
          <w:numId w:val="2"/>
        </w:numPr>
        <w:rPr>
          <w:rFonts w:ascii="Times New Roman" w:cs="Times New Roman" w:eastAsia="Times New Roman" w:hAnsi="Times New Roman"/>
          <w:sz w:val="20"/>
          <w:szCs w:val="20"/>
          <w:i w:val="1"/>
          <w:iCs w:val="1"/>
          <w:color w:val="242424"/>
        </w:rPr>
      </w:pPr>
      <w:r>
        <w:rPr>
          <w:rFonts w:ascii="Arial" w:cs="Arial" w:eastAsia="Arial" w:hAnsi="Arial"/>
          <w:sz w:val="20"/>
          <w:szCs w:val="20"/>
          <w:i w:val="1"/>
          <w:iCs w:val="1"/>
          <w:color w:val="auto"/>
        </w:rPr>
        <w:t>Net income of $41.8 million and earnings per diluted share of $0.67, versus $4.7 million and $0.07 in the prior year, respectively</w:t>
      </w:r>
    </w:p>
    <w:p>
      <w:pPr>
        <w:spacing w:after="0" w:line="1" w:lineRule="exact"/>
        <w:rPr>
          <w:rFonts w:ascii="Times New Roman" w:cs="Times New Roman" w:eastAsia="Times New Roman" w:hAnsi="Times New Roman"/>
          <w:sz w:val="20"/>
          <w:szCs w:val="20"/>
          <w:i w:val="1"/>
          <w:iCs w:val="1"/>
          <w:color w:val="242424"/>
        </w:rPr>
      </w:pPr>
    </w:p>
    <w:p>
      <w:pPr>
        <w:ind w:left="760" w:right="100" w:hanging="378"/>
        <w:spacing w:after="0" w:line="224" w:lineRule="auto"/>
        <w:tabs>
          <w:tab w:leader="none" w:pos="760" w:val="left"/>
        </w:tabs>
        <w:numPr>
          <w:ilvl w:val="0"/>
          <w:numId w:val="2"/>
        </w:numPr>
        <w:rPr>
          <w:rFonts w:ascii="Times New Roman" w:cs="Times New Roman" w:eastAsia="Times New Roman" w:hAnsi="Times New Roman"/>
          <w:sz w:val="20"/>
          <w:szCs w:val="20"/>
          <w:i w:val="1"/>
          <w:iCs w:val="1"/>
          <w:color w:val="auto"/>
        </w:rPr>
      </w:pPr>
      <w:r>
        <w:rPr>
          <w:rFonts w:ascii="Arial" w:cs="Arial" w:eastAsia="Arial" w:hAnsi="Arial"/>
          <w:sz w:val="20"/>
          <w:szCs w:val="20"/>
          <w:i w:val="1"/>
          <w:iCs w:val="1"/>
          <w:color w:val="auto"/>
        </w:rPr>
        <w:t>Adjusted net income of $51.7 million and adjusted earnings per diluted share of $0.82, versus $53.6 million, or $0.84 in the prior year, respectively</w:t>
      </w:r>
    </w:p>
    <w:p>
      <w:pPr>
        <w:spacing w:after="0" w:line="1" w:lineRule="exact"/>
        <w:rPr>
          <w:rFonts w:ascii="Times New Roman" w:cs="Times New Roman" w:eastAsia="Times New Roman" w:hAnsi="Times New Roman"/>
          <w:sz w:val="20"/>
          <w:szCs w:val="20"/>
          <w:i w:val="1"/>
          <w:iCs w:val="1"/>
          <w:color w:val="auto"/>
        </w:rPr>
      </w:pPr>
    </w:p>
    <w:p>
      <w:pPr>
        <w:ind w:left="760" w:hanging="378"/>
        <w:spacing w:after="0" w:line="238" w:lineRule="auto"/>
        <w:tabs>
          <w:tab w:leader="none" w:pos="760" w:val="left"/>
        </w:tabs>
        <w:numPr>
          <w:ilvl w:val="0"/>
          <w:numId w:val="2"/>
        </w:numPr>
        <w:rPr>
          <w:rFonts w:ascii="Times New Roman" w:cs="Times New Roman" w:eastAsia="Times New Roman" w:hAnsi="Times New Roman"/>
          <w:sz w:val="20"/>
          <w:szCs w:val="20"/>
          <w:i w:val="1"/>
          <w:iCs w:val="1"/>
          <w:color w:val="auto"/>
        </w:rPr>
      </w:pPr>
      <w:r>
        <w:rPr>
          <w:rFonts w:ascii="Arial" w:cs="Arial" w:eastAsia="Arial" w:hAnsi="Arial"/>
          <w:sz w:val="20"/>
          <w:szCs w:val="20"/>
          <w:i w:val="1"/>
          <w:iCs w:val="1"/>
          <w:color w:val="auto"/>
        </w:rPr>
        <w:t>Adjusted EBITDA up 5% to $125.8 million</w:t>
      </w:r>
    </w:p>
    <w:p>
      <w:pPr>
        <w:ind w:left="760" w:hanging="378"/>
        <w:spacing w:after="0" w:line="238" w:lineRule="auto"/>
        <w:tabs>
          <w:tab w:leader="none" w:pos="760" w:val="left"/>
        </w:tabs>
        <w:numPr>
          <w:ilvl w:val="0"/>
          <w:numId w:val="2"/>
        </w:numPr>
        <w:rPr>
          <w:rFonts w:ascii="Times New Roman" w:cs="Times New Roman" w:eastAsia="Times New Roman" w:hAnsi="Times New Roman"/>
          <w:sz w:val="20"/>
          <w:szCs w:val="20"/>
          <w:i w:val="1"/>
          <w:iCs w:val="1"/>
          <w:color w:val="auto"/>
        </w:rPr>
      </w:pPr>
      <w:r>
        <w:rPr>
          <w:rFonts w:ascii="Arial" w:cs="Arial" w:eastAsia="Arial" w:hAnsi="Arial"/>
          <w:sz w:val="20"/>
          <w:szCs w:val="20"/>
          <w:i w:val="1"/>
          <w:iCs w:val="1"/>
          <w:color w:val="auto"/>
        </w:rPr>
        <w:t xml:space="preserve">Operating cash flow up 120.1% to $175.0 million and free cash flow up 134.3% </w:t>
      </w:r>
      <w:r>
        <w:rPr>
          <w:rFonts w:ascii="Arial" w:cs="Arial" w:eastAsia="Arial" w:hAnsi="Arial"/>
          <w:sz w:val="20"/>
          <w:szCs w:val="20"/>
          <w:color w:val="auto"/>
        </w:rPr>
        <w:t>to</w:t>
      </w:r>
      <w:r>
        <w:rPr>
          <w:rFonts w:ascii="Arial" w:cs="Arial" w:eastAsia="Arial" w:hAnsi="Arial"/>
          <w:sz w:val="20"/>
          <w:szCs w:val="20"/>
          <w:i w:val="1"/>
          <w:iCs w:val="1"/>
          <w:color w:val="auto"/>
        </w:rPr>
        <w:t xml:space="preserve"> $150.2 million</w:t>
      </w:r>
    </w:p>
    <w:p>
      <w:pPr>
        <w:ind w:left="760" w:hanging="378"/>
        <w:spacing w:after="0"/>
        <w:tabs>
          <w:tab w:leader="none" w:pos="760" w:val="left"/>
        </w:tabs>
        <w:numPr>
          <w:ilvl w:val="0"/>
          <w:numId w:val="2"/>
        </w:numPr>
        <w:rPr>
          <w:rFonts w:ascii="Times New Roman" w:cs="Times New Roman" w:eastAsia="Times New Roman" w:hAnsi="Times New Roman"/>
          <w:sz w:val="20"/>
          <w:szCs w:val="20"/>
          <w:i w:val="1"/>
          <w:iCs w:val="1"/>
          <w:color w:val="auto"/>
        </w:rPr>
      </w:pPr>
      <w:r>
        <w:rPr>
          <w:rFonts w:ascii="Arial" w:cs="Arial" w:eastAsia="Arial" w:hAnsi="Arial"/>
          <w:sz w:val="20"/>
          <w:szCs w:val="20"/>
          <w:i w:val="1"/>
          <w:iCs w:val="1"/>
          <w:color w:val="auto"/>
        </w:rPr>
        <w:t>Board approves a $150 million increase in share repurchase authorization</w:t>
      </w:r>
    </w:p>
    <w:p>
      <w:pPr>
        <w:spacing w:after="0" w:line="386"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NEW YORK, NY - September 5, 2025 - ABM (NYSE: ABM), a leading provider of facility, engineering and infrastructure solutions, today announced financial results for its fiscal third quarter ended July 31, 2025.</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212121"/>
        </w:rPr>
        <w:t>“ABM’s third quarter performance was highlighted by mid-single-digit organic revenue growth and strong free cash flow,” said Scott Salmirs, President &amp; Chief Executive Officer. “Each of our segments once again delivered organic growth, and we secured over $1.5 billion in new bookings through the first three quarters – a 15% increase year-over-year, positioning us for strong revenue and earnings growth in the year ahead.”</w:t>
      </w:r>
    </w:p>
    <w:p>
      <w:pPr>
        <w:spacing w:after="0" w:line="172"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212121"/>
        </w:rPr>
        <w:t>Mr. Salmirs continued, “We continue to see robust pipelines for new business and expansions in Technical Solutions (“ATS”) and Manufacturing &amp; Distribution (“M&amp;D”), as well as in many geographies within Business &amp; Industry (“B&amp;I”). However, some commercial office markets, particularly in select West Coast, Midwest, and Mid-Atlantic metro areas, are recovering more slowly. We are focused on positioning ABM for growth in those B&amp;I markets by utilizing strategic pricing for contract rebids and proactive extensions, combined with managing contract escalation timing to maintain and expand our footprint. We are employing a similar strategy for certain M&amp;D new business opportunities within attractive end-markets like semiconductor and e-commerce. These decisions modestly pressured margin and adjusted EPS, but are expected to yield meaningful benefits over time. We are pleased that the Aviation and Education end-markets remain stable.”</w:t>
      </w:r>
    </w:p>
    <w:p>
      <w:pPr>
        <w:spacing w:after="0" w:line="173"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212121"/>
        </w:rPr>
        <w:t>Mr. Salmirs concluded, “We are taking decisive actions to address the near-term margin challenges through labor efficiency actions, cost controls and a restructuring program that is underway. This program is expected to generate significant annual run-rate savings by year-end. Looking ahead, we expect our fourth quarter adjusted EPS and margin results to improve meaningfully over the third quarter driven by the benefits of these actions, as well as strong performance in our ATS segment. For the full fiscal year, we expect adjusted EPS to be toward the low end of our outlook range of</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 w:name="page5"/>
    <w:bookmarkEnd w:id="4"/>
    <w:p>
      <w:pPr>
        <w:jc w:val="both"/>
        <w:ind w:firstLine="73"/>
        <w:spacing w:after="0" w:line="221" w:lineRule="auto"/>
        <w:rPr>
          <w:sz w:val="20"/>
          <w:szCs w:val="20"/>
          <w:color w:val="auto"/>
        </w:rPr>
      </w:pPr>
      <w:r>
        <w:rPr>
          <w:rFonts w:ascii="Arial" w:cs="Arial" w:eastAsia="Arial" w:hAnsi="Arial"/>
          <w:sz w:val="20"/>
          <w:szCs w:val="20"/>
          <w:color w:val="212121"/>
        </w:rPr>
        <w:t>$3.65 to $ 3.80</w:t>
      </w:r>
      <w:r>
        <w:rPr>
          <w:rFonts w:ascii="Arial" w:cs="Arial" w:eastAsia="Arial" w:hAnsi="Arial"/>
          <w:sz w:val="26"/>
          <w:szCs w:val="26"/>
          <w:color w:val="212121"/>
          <w:vertAlign w:val="superscript"/>
        </w:rPr>
        <w:t>(1)</w:t>
      </w:r>
      <w:r>
        <w:rPr>
          <w:rFonts w:ascii="Arial" w:cs="Arial" w:eastAsia="Arial" w:hAnsi="Arial"/>
          <w:sz w:val="20"/>
          <w:szCs w:val="20"/>
          <w:color w:val="212121"/>
        </w:rPr>
        <w:t>. We continue to invest in AI capabilities and client-facing resources and solutions designed to drive higher growth and improved margin over time. Consistent with our confidence in the long-term earnings trajectory and cash-generative qualities of our business, we have also been actively repurchasing shares – totaling over one million shares during July and August.”</w:t>
      </w: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Third Quarter Fiscal 2025 Results</w:t>
      </w:r>
    </w:p>
    <w:p>
      <w:pPr>
        <w:spacing w:after="0" w:line="20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 xml:space="preserve">Revenue increased 6.2% year over year to $2.2 billion, driven by 5.0% organic growth and a 1.2% contribution from acquisitions. </w:t>
      </w:r>
      <w:r>
        <w:rPr>
          <w:rFonts w:ascii="Arial" w:cs="Arial" w:eastAsia="Arial" w:hAnsi="Arial"/>
          <w:sz w:val="20"/>
          <w:szCs w:val="20"/>
          <w:color w:val="242424"/>
        </w:rPr>
        <w:t>ATS and Aviation led the way, with revenue increasing</w:t>
      </w:r>
      <w:r>
        <w:rPr>
          <w:rFonts w:ascii="Arial" w:cs="Arial" w:eastAsia="Arial" w:hAnsi="Arial"/>
          <w:sz w:val="20"/>
          <w:szCs w:val="20"/>
          <w:color w:val="auto"/>
        </w:rPr>
        <w:t xml:space="preserve"> 19% and 9%, respectively, as ATS continued to benefit from its recent acquisitions and significantly higher microgrid volume, while Aviation’s air travel markets remained healthy. </w:t>
      </w:r>
      <w:r>
        <w:rPr>
          <w:rFonts w:ascii="Arial" w:cs="Arial" w:eastAsia="Arial" w:hAnsi="Arial"/>
          <w:sz w:val="20"/>
          <w:szCs w:val="20"/>
          <w:color w:val="242424"/>
        </w:rPr>
        <w:t>M&amp;D</w:t>
      </w:r>
      <w:r>
        <w:rPr>
          <w:rFonts w:ascii="Arial" w:cs="Arial" w:eastAsia="Arial" w:hAnsi="Arial"/>
          <w:sz w:val="20"/>
          <w:szCs w:val="20"/>
          <w:color w:val="auto"/>
        </w:rPr>
        <w:t xml:space="preserve"> </w:t>
      </w:r>
      <w:r>
        <w:rPr>
          <w:rFonts w:ascii="Arial" w:cs="Arial" w:eastAsia="Arial" w:hAnsi="Arial"/>
          <w:sz w:val="20"/>
          <w:szCs w:val="20"/>
          <w:color w:val="242424"/>
        </w:rPr>
        <w:t xml:space="preserve">was up </w:t>
      </w:r>
      <w:r>
        <w:rPr>
          <w:rFonts w:ascii="Arial" w:cs="Arial" w:eastAsia="Arial" w:hAnsi="Arial"/>
          <w:sz w:val="20"/>
          <w:szCs w:val="20"/>
          <w:color w:val="000000"/>
        </w:rPr>
        <w:t>8% on</w:t>
      </w:r>
      <w:r>
        <w:rPr>
          <w:rFonts w:ascii="Arial" w:cs="Arial" w:eastAsia="Arial" w:hAnsi="Arial"/>
          <w:sz w:val="20"/>
          <w:szCs w:val="20"/>
          <w:color w:val="242424"/>
        </w:rPr>
        <w:t xml:space="preserve"> new client wins and expansions. </w:t>
      </w:r>
      <w:r>
        <w:rPr>
          <w:rFonts w:ascii="Arial" w:cs="Arial" w:eastAsia="Arial" w:hAnsi="Arial"/>
          <w:sz w:val="20"/>
          <w:szCs w:val="20"/>
          <w:color w:val="000000"/>
        </w:rPr>
        <w:t>B</w:t>
      </w:r>
      <w:r>
        <w:rPr>
          <w:rFonts w:ascii="Arial" w:cs="Arial" w:eastAsia="Arial" w:hAnsi="Arial"/>
          <w:sz w:val="20"/>
          <w:szCs w:val="20"/>
          <w:color w:val="242424"/>
        </w:rPr>
        <w:t xml:space="preserve">&amp;I grew </w:t>
      </w:r>
      <w:r>
        <w:rPr>
          <w:rFonts w:ascii="Arial" w:cs="Arial" w:eastAsia="Arial" w:hAnsi="Arial"/>
          <w:sz w:val="20"/>
          <w:szCs w:val="20"/>
          <w:color w:val="000000"/>
        </w:rPr>
        <w:t>3% supported by geographic diversification and strong retention in the</w:t>
      </w:r>
      <w:r>
        <w:rPr>
          <w:rFonts w:ascii="Arial" w:cs="Arial" w:eastAsia="Arial" w:hAnsi="Arial"/>
          <w:sz w:val="20"/>
          <w:szCs w:val="20"/>
          <w:color w:val="242424"/>
        </w:rPr>
        <w:t xml:space="preserve"> </w:t>
      </w:r>
      <w:r>
        <w:rPr>
          <w:rFonts w:ascii="Arial" w:cs="Arial" w:eastAsia="Arial" w:hAnsi="Arial"/>
          <w:sz w:val="20"/>
          <w:szCs w:val="20"/>
          <w:color w:val="000000"/>
        </w:rPr>
        <w:t>U.S prime office space market. Education delivered growth of 3%.</w:t>
      </w:r>
    </w:p>
    <w:p>
      <w:pPr>
        <w:spacing w:after="0" w:line="17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242424"/>
        </w:rPr>
        <w:t>N</w:t>
      </w:r>
      <w:r>
        <w:rPr>
          <w:rFonts w:ascii="Arial" w:cs="Arial" w:eastAsia="Arial" w:hAnsi="Arial"/>
          <w:sz w:val="20"/>
          <w:szCs w:val="20"/>
          <w:color w:val="000000"/>
        </w:rPr>
        <w:t>et income for the quarter rose to $ 41.8 million, or $0.67 per diluted share, up from $4.7 million, or $0.07 per diluted share, in</w:t>
      </w:r>
      <w:r>
        <w:rPr>
          <w:rFonts w:ascii="Arial" w:cs="Arial" w:eastAsia="Arial" w:hAnsi="Arial"/>
          <w:sz w:val="20"/>
          <w:szCs w:val="20"/>
          <w:color w:val="242424"/>
        </w:rPr>
        <w:t xml:space="preserve"> </w:t>
      </w:r>
      <w:r>
        <w:rPr>
          <w:rFonts w:ascii="Arial" w:cs="Arial" w:eastAsia="Arial" w:hAnsi="Arial"/>
          <w:sz w:val="20"/>
          <w:szCs w:val="20"/>
          <w:color w:val="000000"/>
        </w:rPr>
        <w:t>the prior year period. The increase was largely driven by the absence of a $36 million contingent consideration adjustment recorded in the prior year and lower corporate costs, primarily reflecting a smaller negative impact from prior year self-insurance adjustments. These items were partially offset by higher interest and tax expense. Net income margin was 1.9% versus 0.2% in the prior year.</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Adjusted net income was $51.7 million, or $0.82 per diluted share, compared to $53.6 million, or $0.84 per diluted share, last year. The year-over-year change was attributable to higher interest and tax expense, partially offset by lower corporate costs.</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Adjusted EBITDA increased to $125.8 million, with adjusted EBITDA margin flat at 5.9%, compared to $119.8 million and 5.9% in the prior year.</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Adjusted results exclude items impacting comparability. A description of items impacting comparability can be found in the “Reconciliation of Non-GAAP Financial Measures” table.</w:t>
      </w:r>
    </w:p>
    <w:p>
      <w:pPr>
        <w:spacing w:after="0" w:line="15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Net cash provided by operating activities was $175.0 million, and free cash flow was $150.2 million, up from $79.5 million and $64.1 million, respectively, in the prior year. These results primarily reflect strong progress in the Company’s cash collection efforts amid its ERP conversion. Sequentially, cash flow from operations increased by $142.7 million from the second quarter. A reconciliation of net cash provided by operating activities to free cash flow can be found in the “Reconciliation of Non-GAAP Financial Measures” table.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Restructuring Program</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ABM launched a restructuring program in August to further streamline its operations and improve the efficiency of its support functions. This initiative is intended to enhance overall organizational effectiveness and ensure alignment between the Company’s cost structure and operational footprint,</w:t>
      </w:r>
    </w:p>
    <w:p>
      <w:pPr>
        <w:spacing w:after="0" w:line="400" w:lineRule="exact"/>
        <w:rPr>
          <w:sz w:val="20"/>
          <w:szCs w:val="20"/>
          <w:color w:val="auto"/>
        </w:rPr>
      </w:pPr>
    </w:p>
    <w:p>
      <w:pPr>
        <w:jc w:val="both"/>
        <w:ind w:firstLine="8"/>
        <w:spacing w:after="0" w:line="263" w:lineRule="auto"/>
        <w:tabs>
          <w:tab w:leader="none" w:pos="216" w:val="left"/>
        </w:tabs>
        <w:numPr>
          <w:ilvl w:val="0"/>
          <w:numId w:val="3"/>
        </w:numPr>
        <w:rPr>
          <w:rFonts w:ascii="Arial" w:cs="Arial" w:eastAsia="Arial" w:hAnsi="Arial"/>
          <w:sz w:val="14"/>
          <w:szCs w:val="14"/>
          <w:b w:val="1"/>
          <w:bCs w:val="1"/>
          <w:color w:val="auto"/>
        </w:rPr>
      </w:pPr>
      <w:r>
        <w:rPr>
          <w:rFonts w:ascii="Arial" w:cs="Arial" w:eastAsia="Arial" w:hAnsi="Arial"/>
          <w:sz w:val="14"/>
          <w:szCs w:val="14"/>
          <w:color w:val="auto"/>
        </w:rPr>
        <w:t>When the Company provides expectations for adjusted EPS and adjusted EBITDA margin on a forward-looking basis, a reconciliation of the differences between these non-GAAP expectations and the corresponding GAAP measures generally is not available without unreasonable effort. See “Outlook” and “Use of Non-GAAP Financial Information” below for additional information.</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 w:name="page6"/>
    <w:bookmarkEnd w:id="5"/>
    <w:p>
      <w:pPr>
        <w:jc w:val="both"/>
        <w:spacing w:after="0" w:line="237" w:lineRule="auto"/>
        <w:rPr>
          <w:sz w:val="20"/>
          <w:szCs w:val="20"/>
          <w:color w:val="auto"/>
        </w:rPr>
      </w:pPr>
      <w:r>
        <w:rPr>
          <w:rFonts w:ascii="Arial" w:cs="Arial" w:eastAsia="Arial" w:hAnsi="Arial"/>
          <w:sz w:val="20"/>
          <w:szCs w:val="20"/>
          <w:color w:val="auto"/>
        </w:rPr>
        <w:t>and the Company’s strategic growth objectives. Once fully implemented, this program is expected to deliver approximately $35 million of annualized cost savings. The Company expects these savings to begin in the fourth quarter and ramp to their full run rate by early fiscal 2026. The Company expects to record approximately $10 million in restructuring charges related to these actions in the fourth quarter.</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The Company continues to review its overhead and cost structure for efficiency opportunities under this program.</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Liquidity, Capital Structure &amp; Share Repurchases</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At the end of the third quarter, the Company’s total indebtedness stood at $1.6 billion, including $29.7 million in standby letters of credit, resulting in a total leverage ratio of 2.8X, as defined by the Company's credit facility. Available liquidity was $691.0 million, including $69.3 million in cash and cash equivalents.</w:t>
      </w:r>
    </w:p>
    <w:p>
      <w:pPr>
        <w:spacing w:after="0" w:line="17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During the third quarter, ABM repurchased approximately 0.6 million shares of its common stock for $27.1 million, at an average price of $48.77 per share. Following quarter end, the Company repurchased an additional 0.5 million shares for $23.0 million, at an average price of $ 46.83 per share. Year-to-date, ABM has repurchased approximately 1.5 million shares for a total of $71.3 million, at an average price of $48.82 per share.</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As of the date of this release, ABM has $233 million remaining under its share repurchase program, which includes a $150 million increase in authorization approved by the Board following the third quarter. The increase reflects the Board’s continued confidence in ABM’s strategic direction and the cash generating ability of its business model.</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Quarterly Cash Dividend</w:t>
      </w:r>
    </w:p>
    <w:p>
      <w:pPr>
        <w:spacing w:after="0" w:line="204" w:lineRule="exact"/>
        <w:rPr>
          <w:sz w:val="20"/>
          <w:szCs w:val="20"/>
          <w:color w:val="auto"/>
        </w:rPr>
      </w:pPr>
    </w:p>
    <w:p>
      <w:pPr>
        <w:jc w:val="both"/>
        <w:ind w:right="20"/>
        <w:spacing w:after="0" w:line="281" w:lineRule="auto"/>
        <w:rPr>
          <w:sz w:val="20"/>
          <w:szCs w:val="20"/>
          <w:color w:val="auto"/>
        </w:rPr>
      </w:pPr>
      <w:r>
        <w:rPr>
          <w:rFonts w:ascii="Arial" w:cs="Arial" w:eastAsia="Arial" w:hAnsi="Arial"/>
          <w:sz w:val="20"/>
          <w:szCs w:val="20"/>
          <w:color w:val="auto"/>
        </w:rPr>
        <w:t>After the quarter’s close, the Board declared a cash dividend of $0.265 per common share, payable on November 3, 2025, to shareholders of record on October 2, 2025. This marks the Company’s 238</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consecutive quarterly cash dividend.</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Outlook</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Company expects to be toward the lower end of its fiscal 2025 adjusted EPS range of $3.65 to $ 3.80 and adjusted EBITDA margin range of 6.3% to 6.5%, principally reflecting higher than anticipated interest expense and the previously mentioned margin dynamics. This outlook does not include any future positive or negative prior year self-insurance adjustments.</w:t>
      </w:r>
    </w:p>
    <w:p>
      <w:pPr>
        <w:spacing w:after="0" w:line="181"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The Company cannot provide reconciliations of the differences between the non-GAAP expectations and corresponding GAAP measure for adjusted EPS or adjusted EBITDA margin in 2025 without unreasonable effort, as we believe a GAAP range would be too large and variable to be meaningful due to the uncertainty of the amount and timing of any gains or losses related to, but not limited to, items such as adjustments to contingent consideration, acquisition and integration related costs, legal costs and other settlements, as well as transformation initiative costs.</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0046AD"/>
        </w:rPr>
        <w:t>Conference Call Information</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 xml:space="preserve">ABM will host its quarterly conference call for all interested parties on Friday, September 5, 2025, at 8:30 AM (ET). The live conference call can be accessed via audio webcast at the “Investors” section of the Company's website, located at </w:t>
      </w:r>
      <w:r>
        <w:rPr>
          <w:rFonts w:ascii="Arial" w:cs="Arial" w:eastAsia="Arial" w:hAnsi="Arial"/>
          <w:sz w:val="20"/>
          <w:szCs w:val="20"/>
          <w:u w:val="single" w:color="auto"/>
          <w:color w:val="0563C1"/>
        </w:rPr>
        <w:t>www.abm.com</w:t>
      </w:r>
      <w:r>
        <w:rPr>
          <w:rFonts w:ascii="Arial" w:cs="Arial" w:eastAsia="Arial" w:hAnsi="Arial"/>
          <w:sz w:val="20"/>
          <w:szCs w:val="20"/>
          <w:color w:val="000000"/>
        </w:rPr>
        <w:t>, or by dialing (877) 451-6152 (domestic) or (201) 389-0879 (international) approximately 15 minutes prior to the</w:t>
      </w:r>
      <w:r>
        <w:rPr>
          <w:rFonts w:ascii="Arial" w:cs="Arial" w:eastAsia="Arial" w:hAnsi="Arial"/>
          <w:sz w:val="20"/>
          <w:szCs w:val="20"/>
          <w:color w:val="0563C1"/>
        </w:rPr>
        <w:t xml:space="preserve"> </w:t>
      </w:r>
      <w:r>
        <w:rPr>
          <w:rFonts w:ascii="Arial" w:cs="Arial" w:eastAsia="Arial" w:hAnsi="Arial"/>
          <w:sz w:val="20"/>
          <w:szCs w:val="20"/>
          <w:color w:val="000000"/>
        </w:rPr>
        <w:t>scheduled time.</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color w:val="auto"/>
        </w:rPr>
        <w:t>A supplemental presentation will accompany the webcast on the Company's website.</w:t>
      </w:r>
    </w:p>
    <w:p>
      <w:pPr>
        <w:spacing w:after="0" w:line="18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 replay will be available approximately three hours after the webcast through September 19, 2025, and can be accessed by dialing (844) 512-2921 and then entering ID #13754755. A replay link of the webcast will also be archived on the ABM website for 90 days.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0046AC"/>
        </w:rPr>
        <w:t>About ABM</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ABM (NYSE: ABM) is one of the world’s largest providers of integrated facility, engineering, and infrastructure solutions. Every day, our over 100,000 team members deliver essential services that make spaces cleaner, safer, and more efficient, enhancing the overall occupant experience.</w:t>
      </w:r>
    </w:p>
    <w:p>
      <w:pPr>
        <w:spacing w:after="0" w:line="171"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ABM serves a wide range of market sectors including commercial real estate, aviation, mission critical, and manufacturing and distribution. With over $8 billion in annual revenue and a blue-chip client base, ABM delivers innovative technologies and sustainable solutions that enhance facilities and empower clients to achieve their goals. Committed to creating smarter, more connected spaces, ABM is investing in the future to meet evolving challenges and build a healthier, thriving world. ABM: Driving possibility, together.</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visit www.abm.com</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Cautionary Statement under the Private Securities Litigation Reform Act of 1995</w:t>
      </w:r>
    </w:p>
    <w:p>
      <w:pPr>
        <w:spacing w:after="0" w:line="204" w:lineRule="exact"/>
        <w:rPr>
          <w:sz w:val="20"/>
          <w:szCs w:val="20"/>
          <w:color w:val="auto"/>
        </w:rPr>
      </w:pPr>
    </w:p>
    <w:p>
      <w:pPr>
        <w:jc w:val="both"/>
        <w:spacing w:after="0" w:line="228" w:lineRule="auto"/>
        <w:rPr>
          <w:sz w:val="20"/>
          <w:szCs w:val="20"/>
          <w:color w:val="auto"/>
        </w:rPr>
      </w:pPr>
      <w:r>
        <w:rPr>
          <w:rFonts w:ascii="Arial" w:cs="Arial" w:eastAsia="Arial" w:hAnsi="Arial"/>
          <w:sz w:val="20"/>
          <w:szCs w:val="20"/>
          <w:i w:val="1"/>
          <w:iCs w:val="1"/>
          <w:color w:val="auto"/>
        </w:rPr>
        <w:t>This press release contains both historical and forward-looking statements about ABM Industries Incorporated (“ABM”) and its subsidiaries (collectively referred to as “ABM,” “we,” “us,” “our,” or the “Company”).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For us, particular uncertainties that could cause our actual results to be materially different from those expressed in our forward-looking statements include: our success depends on our ability to gain profitable business despite competitive market pressures; our results of operations can be adversely affected by labor shortages, turnover, and labor cost increases; we may not be able to attract and retain qualified personnel and senior management we need to support our business; investments in and changes to our businesses, operating structure, or personnel relating to our ELEVATE strategy, including the implementation of strategic transformations, enhanced business processes, technology initiatives, and our restructuring program may not have the desired effects on our financial condition and results of operations; our ability to preserve long-term client relationships is essential to our continued success; our use of subcontractors or joint venture partners to perform work under customer contracts exposes us to liability and financial risk; our international business involves risks different</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7" w:name="page8"/>
    <w:bookmarkEnd w:id="7"/>
    <w:p>
      <w:pPr>
        <w:jc w:val="both"/>
        <w:spacing w:after="0" w:line="226" w:lineRule="auto"/>
        <w:rPr>
          <w:sz w:val="20"/>
          <w:szCs w:val="20"/>
          <w:color w:val="auto"/>
        </w:rPr>
      </w:pPr>
      <w:r>
        <w:rPr>
          <w:rFonts w:ascii="Arial" w:cs="Arial" w:eastAsia="Arial" w:hAnsi="Arial"/>
          <w:sz w:val="20"/>
          <w:szCs w:val="20"/>
          <w:i w:val="1"/>
          <w:iCs w:val="1"/>
          <w:color w:val="auto"/>
        </w:rPr>
        <w:t>from those we face in the United States that could negatively impact our results of operations and financial condition; decreases in commercial office space utilization due to hybrid work models and increases in office vacancy rates could adversely affect our financial condition; negative changes in general economic conditions, such as recessionary pressures, high interest rates, durable and non-durable goods pricing, changes in energy prices, or changes in consumer goods pricing, could reduce the demand for services and, as a result, reduce our revenue and earnings and adversely affect our financial condition; we may experience breaches of, or disruptions to, our information technology systems or those of our third-party providers or clients, or other compromises of our data that could adversely affect our business; our ongoing implementation of new enterprise resource planning (“ERP”) and related boundary systems could adversely impact our ability to operate our business and report our financial results; acquisitions, divestitures, and other strategic transactions could fail to achieve financial or strategic objectives, disrupt our ongoing business, and adversely impact our results of operations; we manage our insurable risks through a combination of third-party purchased policies and self-insurance, and we retain a substantial portion of the risk associated with expected losses under these programs, which exposes us to volatility associated with those risks, including the possibility that changes in estimates to our ultimate insurance loss reserves could result in material charges against our earnings; our risk management and safety programs may not have the intended effect of reducing our liability for personal injury or property loss; unfavorable developments in our class and representative actions and other lawsuits alleging various claims could cause us to incur substantial liabilities; we are subject to extensive legal and regulatory requirements, which could limit our profitability by increasing the costs of legal and regulatory compliance; a significant number of our employees are covered by collective bargaining agreements that could expose us to potential liabilities in relation to our participation in multiemployer pension plans, requirements to make contributions to other benefit plans, and the potential for strikes, work slowdowns or similar activities, and union organizing drives; our business may be materially affected by changes to fiscal and tax policies; negative or unexpected tax consequences could adversely affect our results of operations; future increases in the level of our borrowings and interest rates could affect our results of operations; impairment of goodwill and long-lived assets could have a material adverse effect on our financial condition and results of operations; if we fail to maintain proper and effective internal control over financial reporting in the future, our ability to produce accurate and timely financial statements could be negatively impacted, which could harm our operating results and investor perceptions of our Company and as a result may have a material adverse effect on the value of our common stock; our business may be negatively impacted by adverse weather conditions; catastrophic events, disasters, pandemics, and terrorist attacks could disrupt our services; and actions of activist investors could disrupt our business. For additional information on these and other risks and uncertainties we face, see ABM’s risk factors, as they may be amended from time to time, set forth in our filings with the Securities and Exchange Commission, including our most recent Annual Report on Form 10-K and subsequent filings. We urge readers to consider these risks and uncertainties in evaluating our forward-looking statements.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Use of Non-GAAP Financial Information</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i w:val="1"/>
          <w:iCs w:val="1"/>
          <w:color w:val="auto"/>
        </w:rPr>
        <w:t>To supplement ABM’s consolidated financial information, the Company has presented net income and net income per diluted share as adjusted for items impacting comparability for the third quarter and nine months of fiscal years 2025 and 2024. These adjustments have been made with the intent of providing financial measures that give management and investors a better understanding of the</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 w:name="page9"/>
    <w:bookmarkEnd w:id="8"/>
    <w:p>
      <w:pPr>
        <w:jc w:val="both"/>
        <w:spacing w:after="0" w:line="229" w:lineRule="auto"/>
        <w:rPr>
          <w:sz w:val="20"/>
          <w:szCs w:val="20"/>
          <w:color w:val="auto"/>
        </w:rPr>
      </w:pPr>
      <w:r>
        <w:rPr>
          <w:rFonts w:ascii="Arial" w:cs="Arial" w:eastAsia="Arial" w:hAnsi="Arial"/>
          <w:sz w:val="20"/>
          <w:szCs w:val="20"/>
          <w:i w:val="1"/>
          <w:iCs w:val="1"/>
          <w:color w:val="auto"/>
        </w:rPr>
        <w:t>underlying operational results and trends as well as ABM’s operational performance. In addition, the Company has presented earnings before interest, taxes, depreciation and amortization, and excluding items impacting comparability (adjusted EBITDA) for the third quarter and nine months of fiscal years 2025 and 2024. Adjusted EBITDA is among the indicators management uses as a basis for planning and forecasting future periods. Adjusted EBITDA margin is defined as adjusted EBITDA divided by revenue excluding management reimbursement. We cannot provide a reconciliation of forward-looking non-GAAP adjusted EBITDA margin measures to GAAP due to the inherent difficulty in forecasting and quantifying certain amounts that are necessary for such reconciliation. The Company has also presented Free Cash Flow which is defined as net cash provided by (used in) operating activities less additions to property, plant and equipment. The presentation of these non-GAAP financial measures is not meant to be considered in isolation or as a substitute for financial statements prepared in accordance with accounting principles generally accepted in the United States of America. (See accompanying financial tables for supplemental financial data and corresponding reconciliations to certain GAAP financial measures.)</w:t>
      </w:r>
    </w:p>
    <w:p>
      <w:pPr>
        <w:spacing w:after="0" w:line="25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i w:val="1"/>
          <w:iCs w:val="1"/>
          <w:color w:val="auto"/>
        </w:rPr>
        <w:t>We round amounts to millions but calculate all percentages and per-share data from the underlying whole-dollar amounts. As a result, certain amounts may not foot, crossfoot, or recalculate based on reported numbers due to rounding. Unless otherwise noted, all references to years are to our fiscal year, which ends on October 31.</w:t>
      </w:r>
    </w:p>
    <w:p>
      <w:pPr>
        <w:spacing w:after="0" w:line="200" w:lineRule="exact"/>
        <w:rPr>
          <w:sz w:val="20"/>
          <w:szCs w:val="20"/>
          <w:color w:val="auto"/>
        </w:rPr>
      </w:pPr>
    </w:p>
    <w:p>
      <w:pPr>
        <w:spacing w:after="0" w:line="280" w:lineRule="exact"/>
        <w:rPr>
          <w:sz w:val="20"/>
          <w:szCs w:val="20"/>
          <w:color w:val="auto"/>
        </w:rPr>
      </w:pPr>
    </w:p>
    <w:p>
      <w:pPr>
        <w:ind w:left="60"/>
        <w:spacing w:after="0"/>
        <w:rPr>
          <w:sz w:val="20"/>
          <w:szCs w:val="20"/>
          <w:color w:val="auto"/>
        </w:rPr>
      </w:pPr>
      <w:r>
        <w:rPr>
          <w:rFonts w:ascii="Arial" w:cs="Arial" w:eastAsia="Arial" w:hAnsi="Arial"/>
          <w:sz w:val="20"/>
          <w:szCs w:val="20"/>
          <w:b w:val="1"/>
          <w:bCs w:val="1"/>
          <w:u w:val="single" w:color="auto"/>
          <w:color w:val="auto"/>
        </w:rPr>
        <w:t>Contact:</w:t>
      </w:r>
    </w:p>
    <w:p>
      <w:pPr>
        <w:spacing w:after="0" w:line="83" w:lineRule="exact"/>
        <w:rPr>
          <w:sz w:val="20"/>
          <w:szCs w:val="20"/>
          <w:color w:val="auto"/>
        </w:rPr>
      </w:pPr>
    </w:p>
    <w:p>
      <w:pPr>
        <w:ind w:left="60"/>
        <w:spacing w:after="0"/>
        <w:tabs>
          <w:tab w:leader="none" w:pos="2860" w:val="left"/>
        </w:tabs>
        <w:rPr>
          <w:sz w:val="20"/>
          <w:szCs w:val="20"/>
          <w:color w:val="auto"/>
        </w:rPr>
      </w:pPr>
      <w:r>
        <w:rPr>
          <w:rFonts w:ascii="Arial" w:cs="Arial" w:eastAsia="Arial" w:hAnsi="Arial"/>
          <w:sz w:val="20"/>
          <w:szCs w:val="20"/>
          <w:color w:val="auto"/>
        </w:rPr>
        <w:t>Investor Relations:</w:t>
      </w:r>
      <w:r>
        <w:rPr>
          <w:sz w:val="20"/>
          <w:szCs w:val="20"/>
          <w:color w:val="auto"/>
        </w:rPr>
        <w:tab/>
      </w:r>
      <w:r>
        <w:rPr>
          <w:rFonts w:ascii="Arial" w:cs="Arial" w:eastAsia="Arial" w:hAnsi="Arial"/>
          <w:sz w:val="19"/>
          <w:szCs w:val="19"/>
          <w:color w:val="auto"/>
        </w:rPr>
        <w:t>Paul Goldberg</w:t>
      </w:r>
    </w:p>
    <w:p>
      <w:pPr>
        <w:spacing w:after="0" w:line="81" w:lineRule="exact"/>
        <w:rPr>
          <w:sz w:val="20"/>
          <w:szCs w:val="20"/>
          <w:color w:val="auto"/>
        </w:rPr>
      </w:pPr>
    </w:p>
    <w:p>
      <w:pPr>
        <w:ind w:left="3400" w:hanging="523"/>
        <w:spacing w:after="0"/>
        <w:tabs>
          <w:tab w:leader="none" w:pos="3400" w:val="left"/>
        </w:tabs>
        <w:numPr>
          <w:ilvl w:val="0"/>
          <w:numId w:val="4"/>
        </w:numPr>
        <w:rPr>
          <w:rFonts w:ascii="Arial" w:cs="Arial" w:eastAsia="Arial" w:hAnsi="Arial"/>
          <w:sz w:val="20"/>
          <w:szCs w:val="20"/>
          <w:color w:val="auto"/>
        </w:rPr>
      </w:pPr>
      <w:r>
        <w:rPr>
          <w:rFonts w:ascii="Arial" w:cs="Arial" w:eastAsia="Arial" w:hAnsi="Arial"/>
          <w:sz w:val="20"/>
          <w:szCs w:val="20"/>
          <w:color w:val="auto"/>
        </w:rPr>
        <w:t>297-9721</w:t>
      </w:r>
    </w:p>
    <w:p>
      <w:pPr>
        <w:spacing w:after="0" w:line="80" w:lineRule="exact"/>
        <w:rPr>
          <w:rFonts w:ascii="Arial" w:cs="Arial" w:eastAsia="Arial" w:hAnsi="Arial"/>
          <w:sz w:val="20"/>
          <w:szCs w:val="20"/>
          <w:color w:val="auto"/>
        </w:rPr>
      </w:pPr>
    </w:p>
    <w:p>
      <w:pPr>
        <w:ind w:left="2880"/>
        <w:spacing w:after="0"/>
        <w:rPr>
          <w:rFonts w:ascii="Arial" w:cs="Arial" w:eastAsia="Arial" w:hAnsi="Arial"/>
          <w:sz w:val="20"/>
          <w:szCs w:val="20"/>
          <w:color w:val="auto"/>
        </w:rPr>
      </w:pPr>
      <w:r>
        <w:rPr>
          <w:rFonts w:ascii="Arial" w:cs="Arial" w:eastAsia="Arial" w:hAnsi="Arial"/>
          <w:sz w:val="20"/>
          <w:szCs w:val="20"/>
          <w:color w:val="auto"/>
        </w:rPr>
        <w:t>ir@abm.com</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 w:name="page10"/>
    <w:bookmarkEnd w:id="9"/>
    <w:p>
      <w:pPr>
        <w:ind w:right="4740"/>
        <w:spacing w:after="0" w:line="398" w:lineRule="auto"/>
        <w:rPr>
          <w:sz w:val="20"/>
          <w:szCs w:val="20"/>
          <w:color w:val="auto"/>
        </w:rPr>
      </w:pPr>
      <w:r>
        <w:rPr>
          <w:rFonts w:ascii="Arial" w:cs="Arial" w:eastAsia="Arial" w:hAnsi="Arial"/>
          <w:sz w:val="19"/>
          <w:szCs w:val="19"/>
          <w:b w:val="1"/>
          <w:bCs w:val="1"/>
          <w:color w:val="0046AD"/>
        </w:rPr>
        <w:t>ABM INDUSTRIES INCORPORATED AND SUBSIDIARIES CONSOLIDATED INCOME STATEMENT INFORMATION (UNAUDITED)</w:t>
      </w:r>
    </w:p>
    <w:tbl>
      <w:tblPr>
        <w:tblLayout w:type="fixed"/>
        <w:tblInd w:w="0" w:type="dxa"/>
        <w:tblCellMar>
          <w:top w:w="0" w:type="dxa"/>
          <w:left w:w="0" w:type="dxa"/>
          <w:bottom w:w="0" w:type="dxa"/>
          <w:right w:w="0" w:type="dxa"/>
        </w:tblCellMar>
      </w:tblPr>
      <w:tr>
        <w:trPr>
          <w:trHeight w:val="224"/>
        </w:trPr>
        <w:tc>
          <w:tcPr>
            <w:tcW w:w="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7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6"/>
                <w:szCs w:val="16"/>
                <w:b w:val="1"/>
                <w:bCs w:val="1"/>
                <w:color w:val="auto"/>
              </w:rPr>
              <w:t>Three Months Ended July 31,</w:t>
            </w:r>
          </w:p>
        </w:tc>
        <w:tc>
          <w:tcPr>
            <w:tcW w:w="480" w:type="dxa"/>
            <w:vAlign w:val="bottom"/>
            <w:tcBorders>
              <w:bottom w:val="single" w:sz="8" w:color="auto"/>
            </w:tcBorders>
          </w:tcPr>
          <w:p>
            <w:pPr>
              <w:spacing w:after="0"/>
              <w:rPr>
                <w:sz w:val="19"/>
                <w:szCs w:val="19"/>
                <w:color w:val="auto"/>
              </w:rPr>
            </w:pPr>
          </w:p>
        </w:tc>
        <w:tc>
          <w:tcPr>
            <w:tcW w:w="1720" w:type="dxa"/>
            <w:vAlign w:val="bottom"/>
          </w:tcPr>
          <w:p>
            <w:pPr>
              <w:spacing w:after="0"/>
              <w:rPr>
                <w:sz w:val="19"/>
                <w:szCs w:val="19"/>
                <w:color w:val="auto"/>
              </w:rPr>
            </w:pPr>
          </w:p>
        </w:tc>
      </w:tr>
      <w:tr>
        <w:trPr>
          <w:trHeight w:val="215"/>
        </w:trPr>
        <w:tc>
          <w:tcPr>
            <w:tcW w:w="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20" w:type="dxa"/>
            <w:vAlign w:val="bottom"/>
          </w:tcPr>
          <w:p>
            <w:pPr>
              <w:jc w:val="right"/>
              <w:ind w:right="319"/>
              <w:spacing w:after="0"/>
              <w:rPr>
                <w:sz w:val="20"/>
                <w:szCs w:val="20"/>
                <w:color w:val="auto"/>
              </w:rPr>
            </w:pPr>
            <w:r>
              <w:rPr>
                <w:rFonts w:ascii="Arial" w:cs="Arial" w:eastAsia="Arial" w:hAnsi="Arial"/>
                <w:sz w:val="16"/>
                <w:szCs w:val="16"/>
                <w:b w:val="1"/>
                <w:bCs w:val="1"/>
                <w:color w:val="auto"/>
              </w:rPr>
              <w:t>Increase /</w:t>
            </w:r>
          </w:p>
        </w:tc>
      </w:tr>
      <w:tr>
        <w:trPr>
          <w:trHeight w:val="190"/>
        </w:trPr>
        <w:tc>
          <w:tcPr>
            <w:tcW w:w="6260" w:type="dxa"/>
            <w:vAlign w:val="bottom"/>
            <w:gridSpan w:val="3"/>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560" w:type="dxa"/>
            <w:vAlign w:val="bottom"/>
          </w:tcPr>
          <w:p>
            <w:pPr>
              <w:spacing w:after="0"/>
              <w:rPr>
                <w:sz w:val="16"/>
                <w:szCs w:val="16"/>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2024</w:t>
            </w:r>
          </w:p>
        </w:tc>
        <w:tc>
          <w:tcPr>
            <w:tcW w:w="480" w:type="dxa"/>
            <w:vAlign w:val="bottom"/>
          </w:tcPr>
          <w:p>
            <w:pPr>
              <w:spacing w:after="0"/>
              <w:rPr>
                <w:sz w:val="16"/>
                <w:szCs w:val="16"/>
                <w:color w:val="auto"/>
              </w:rPr>
            </w:pPr>
          </w:p>
        </w:tc>
        <w:tc>
          <w:tcPr>
            <w:tcW w:w="1720" w:type="dxa"/>
            <w:vAlign w:val="bottom"/>
          </w:tcPr>
          <w:p>
            <w:pPr>
              <w:jc w:val="right"/>
              <w:ind w:right="259"/>
              <w:spacing w:after="0"/>
              <w:rPr>
                <w:sz w:val="20"/>
                <w:szCs w:val="20"/>
                <w:color w:val="auto"/>
              </w:rPr>
            </w:pPr>
            <w:r>
              <w:rPr>
                <w:rFonts w:ascii="Arial" w:cs="Arial" w:eastAsia="Arial" w:hAnsi="Arial"/>
                <w:sz w:val="16"/>
                <w:szCs w:val="16"/>
                <w:b w:val="1"/>
                <w:bCs w:val="1"/>
                <w:color w:val="auto"/>
              </w:rPr>
              <w:t>(Decrease)</w:t>
            </w:r>
          </w:p>
        </w:tc>
      </w:tr>
      <w:tr>
        <w:trPr>
          <w:trHeight w:val="20"/>
        </w:trPr>
        <w:tc>
          <w:tcPr>
            <w:tcW w:w="60" w:type="dxa"/>
            <w:vAlign w:val="bottom"/>
          </w:tcPr>
          <w:p>
            <w:pPr>
              <w:spacing w:after="0" w:line="20" w:lineRule="exact"/>
              <w:rPr>
                <w:sz w:val="1"/>
                <w:szCs w:val="1"/>
                <w:color w:val="auto"/>
              </w:rPr>
            </w:pPr>
          </w:p>
        </w:tc>
        <w:tc>
          <w:tcPr>
            <w:tcW w:w="2240" w:type="dxa"/>
            <w:vAlign w:val="bottom"/>
            <w:tcBorders>
              <w:top w:val="single" w:sz="8" w:color="auto"/>
            </w:tcBorders>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44"/>
        </w:trPr>
        <w:tc>
          <w:tcPr>
            <w:tcW w:w="62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Revenues</w:t>
            </w:r>
          </w:p>
        </w:tc>
        <w:tc>
          <w:tcPr>
            <w:tcW w:w="960" w:type="dxa"/>
            <w:vAlign w:val="bottom"/>
            <w:tcBorders>
              <w:bottom w:val="single" w:sz="8" w:color="DCE2EF"/>
            </w:tcBorders>
            <w:shd w:val="clear" w:color="auto" w:fill="DCE2EF"/>
          </w:tcPr>
          <w:p>
            <w:pPr>
              <w:jc w:val="right"/>
              <w:ind w:right="17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2,224.0</w:t>
            </w:r>
          </w:p>
        </w:tc>
        <w:tc>
          <w:tcPr>
            <w:tcW w:w="1740" w:type="dxa"/>
            <w:vAlign w:val="bottom"/>
            <w:tcBorders>
              <w:bottom w:val="single" w:sz="8" w:color="DCE2EF"/>
            </w:tcBorders>
            <w:gridSpan w:val="3"/>
            <w:shd w:val="clear" w:color="auto" w:fill="DCE2EF"/>
          </w:tcPr>
          <w:p>
            <w:pPr>
              <w:jc w:val="right"/>
              <w:spacing w:after="0"/>
              <w:rPr>
                <w:sz w:val="20"/>
                <w:szCs w:val="20"/>
                <w:color w:val="auto"/>
              </w:rPr>
            </w:pPr>
            <w:r>
              <w:rPr>
                <w:rFonts w:ascii="Arial" w:cs="Arial" w:eastAsia="Arial" w:hAnsi="Arial"/>
                <w:sz w:val="16"/>
                <w:szCs w:val="16"/>
                <w:color w:val="auto"/>
              </w:rPr>
              <w:t>$   2,094.2</w:t>
            </w:r>
          </w:p>
        </w:tc>
        <w:tc>
          <w:tcPr>
            <w:tcW w:w="172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6.2%</w:t>
            </w:r>
          </w:p>
        </w:tc>
      </w:tr>
      <w:tr>
        <w:trPr>
          <w:trHeight w:val="276"/>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Operating expenses</w:t>
            </w:r>
          </w:p>
        </w:tc>
        <w:tc>
          <w:tcPr>
            <w:tcW w:w="9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1,949.6</w:t>
            </w: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1,831.0</w:t>
            </w:r>
          </w:p>
        </w:tc>
        <w:tc>
          <w:tcPr>
            <w:tcW w:w="172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91"/>
        </w:trPr>
        <w:tc>
          <w:tcPr>
            <w:tcW w:w="626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Selling, general and administrative expenses</w:t>
            </w:r>
          </w:p>
        </w:tc>
        <w:tc>
          <w:tcPr>
            <w:tcW w:w="96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177.5</w:t>
            </w:r>
          </w:p>
        </w:tc>
        <w:tc>
          <w:tcPr>
            <w:tcW w:w="220" w:type="dxa"/>
            <w:vAlign w:val="bottom"/>
            <w:shd w:val="clear" w:color="auto" w:fill="DCE2EF"/>
          </w:tcPr>
          <w:p>
            <w:pPr>
              <w:spacing w:after="0"/>
              <w:rPr>
                <w:sz w:val="24"/>
                <w:szCs w:val="24"/>
                <w:color w:val="auto"/>
              </w:rPr>
            </w:pPr>
          </w:p>
        </w:tc>
        <w:tc>
          <w:tcPr>
            <w:tcW w:w="1040" w:type="dxa"/>
            <w:vAlign w:val="bottom"/>
            <w:shd w:val="clear" w:color="auto" w:fill="DCE2EF"/>
          </w:tcPr>
          <w:p>
            <w:pPr>
              <w:spacing w:after="0"/>
              <w:rPr>
                <w:sz w:val="24"/>
                <w:szCs w:val="24"/>
                <w:color w:val="auto"/>
              </w:rPr>
            </w:pPr>
          </w:p>
        </w:tc>
        <w:tc>
          <w:tcPr>
            <w:tcW w:w="4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211.8</w:t>
            </w:r>
          </w:p>
        </w:tc>
        <w:tc>
          <w:tcPr>
            <w:tcW w:w="17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(16.2)%</w:t>
            </w:r>
          </w:p>
        </w:tc>
      </w:tr>
      <w:tr>
        <w:trPr>
          <w:trHeight w:val="277"/>
        </w:trPr>
        <w:tc>
          <w:tcPr>
            <w:tcW w:w="6260" w:type="dxa"/>
            <w:vAlign w:val="bottom"/>
            <w:tcBorders>
              <w:bottom w:val="single" w:sz="8" w:color="DCE2EF"/>
            </w:tcBorders>
            <w:gridSpan w:val="3"/>
          </w:tcPr>
          <w:p>
            <w:pPr>
              <w:ind w:left="60"/>
              <w:spacing w:after="0"/>
              <w:rPr>
                <w:sz w:val="20"/>
                <w:szCs w:val="20"/>
                <w:color w:val="auto"/>
              </w:rPr>
            </w:pPr>
            <w:r>
              <w:rPr>
                <w:rFonts w:ascii="Arial" w:cs="Arial" w:eastAsia="Arial" w:hAnsi="Arial"/>
                <w:sz w:val="16"/>
                <w:szCs w:val="16"/>
                <w:color w:val="auto"/>
              </w:rPr>
              <w:t>Amortization of intangible assets</w:t>
            </w:r>
          </w:p>
        </w:tc>
        <w:tc>
          <w:tcPr>
            <w:tcW w:w="9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220" w:type="dxa"/>
            <w:vAlign w:val="bottom"/>
            <w:tcBorders>
              <w:bottom w:val="single" w:sz="8" w:color="DCE2EF"/>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1720" w:type="dxa"/>
            <w:vAlign w:val="bottom"/>
            <w:tcBorders>
              <w:bottom w:val="single" w:sz="8" w:color="DCE2EF"/>
            </w:tcBorders>
          </w:tcPr>
          <w:p>
            <w:pPr>
              <w:jc w:val="right"/>
              <w:spacing w:after="0"/>
              <w:rPr>
                <w:sz w:val="20"/>
                <w:szCs w:val="20"/>
                <w:color w:val="auto"/>
              </w:rPr>
            </w:pPr>
            <w:r>
              <w:rPr>
                <w:rFonts w:ascii="Arial" w:cs="Arial" w:eastAsia="Arial" w:hAnsi="Arial"/>
                <w:sz w:val="16"/>
                <w:szCs w:val="16"/>
                <w:color w:val="auto"/>
              </w:rPr>
              <w:t>(4.2)%</w:t>
            </w:r>
          </w:p>
        </w:tc>
      </w:tr>
      <w:tr>
        <w:trPr>
          <w:trHeight w:val="270"/>
        </w:trPr>
        <w:tc>
          <w:tcPr>
            <w:tcW w:w="6260" w:type="dxa"/>
            <w:vAlign w:val="bottom"/>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Operating profit</w:t>
            </w:r>
          </w:p>
        </w:tc>
        <w:tc>
          <w:tcPr>
            <w:tcW w:w="960" w:type="dxa"/>
            <w:vAlign w:val="bottom"/>
            <w:shd w:val="clear" w:color="auto" w:fill="DCE2EF"/>
          </w:tcPr>
          <w:p>
            <w:pPr>
              <w:spacing w:after="0"/>
              <w:rPr>
                <w:sz w:val="23"/>
                <w:szCs w:val="23"/>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83.4</w:t>
            </w:r>
          </w:p>
        </w:tc>
        <w:tc>
          <w:tcPr>
            <w:tcW w:w="220" w:type="dxa"/>
            <w:vAlign w:val="bottom"/>
            <w:shd w:val="clear" w:color="auto" w:fill="DCE2EF"/>
          </w:tcPr>
          <w:p>
            <w:pPr>
              <w:spacing w:after="0"/>
              <w:rPr>
                <w:sz w:val="23"/>
                <w:szCs w:val="23"/>
                <w:color w:val="auto"/>
              </w:rPr>
            </w:pPr>
          </w:p>
        </w:tc>
        <w:tc>
          <w:tcPr>
            <w:tcW w:w="1040" w:type="dxa"/>
            <w:vAlign w:val="bottom"/>
            <w:shd w:val="clear" w:color="auto" w:fill="DCE2EF"/>
          </w:tcPr>
          <w:p>
            <w:pPr>
              <w:spacing w:after="0"/>
              <w:rPr>
                <w:sz w:val="23"/>
                <w:szCs w:val="23"/>
                <w:color w:val="auto"/>
              </w:rPr>
            </w:pPr>
          </w:p>
        </w:tc>
        <w:tc>
          <w:tcPr>
            <w:tcW w:w="4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37.4</w:t>
            </w:r>
          </w:p>
        </w:tc>
        <w:tc>
          <w:tcPr>
            <w:tcW w:w="17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NM*</w:t>
            </w:r>
          </w:p>
        </w:tc>
      </w:tr>
      <w:tr>
        <w:trPr>
          <w:trHeight w:val="276"/>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Income from unconsolidated affiliates</w:t>
            </w:r>
          </w:p>
        </w:tc>
        <w:tc>
          <w:tcPr>
            <w:tcW w:w="9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1.8</w:t>
            </w:r>
          </w:p>
        </w:tc>
        <w:tc>
          <w:tcPr>
            <w:tcW w:w="1720" w:type="dxa"/>
            <w:vAlign w:val="bottom"/>
          </w:tcPr>
          <w:p>
            <w:pPr>
              <w:jc w:val="right"/>
              <w:spacing w:after="0"/>
              <w:rPr>
                <w:sz w:val="20"/>
                <w:szCs w:val="20"/>
                <w:color w:val="auto"/>
              </w:rPr>
            </w:pPr>
            <w:r>
              <w:rPr>
                <w:rFonts w:ascii="Arial" w:cs="Arial" w:eastAsia="Arial" w:hAnsi="Arial"/>
                <w:sz w:val="16"/>
                <w:szCs w:val="16"/>
                <w:color w:val="auto"/>
              </w:rPr>
              <w:t>(29.0)%</w:t>
            </w:r>
          </w:p>
        </w:tc>
      </w:tr>
      <w:tr>
        <w:trPr>
          <w:trHeight w:val="290"/>
        </w:trPr>
        <w:tc>
          <w:tcPr>
            <w:tcW w:w="62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Interest expense</w:t>
            </w:r>
          </w:p>
        </w:tc>
        <w:tc>
          <w:tcPr>
            <w:tcW w:w="960" w:type="dxa"/>
            <w:vAlign w:val="bottom"/>
            <w:tcBorders>
              <w:bottom w:val="single" w:sz="8" w:color="auto"/>
            </w:tcBorders>
            <w:shd w:val="clear" w:color="auto" w:fill="DCE2EF"/>
          </w:tcPr>
          <w:p>
            <w:pPr>
              <w:spacing w:after="0"/>
              <w:rPr>
                <w:sz w:val="24"/>
                <w:szCs w:val="24"/>
                <w:color w:val="auto"/>
              </w:rPr>
            </w:pPr>
          </w:p>
        </w:tc>
        <w:tc>
          <w:tcPr>
            <w:tcW w:w="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(25.3)</w:t>
            </w:r>
          </w:p>
        </w:tc>
        <w:tc>
          <w:tcPr>
            <w:tcW w:w="220" w:type="dxa"/>
            <w:vAlign w:val="bottom"/>
            <w:tcBorders>
              <w:bottom w:val="single" w:sz="8" w:color="DCE2EF"/>
            </w:tcBorders>
            <w:shd w:val="clear" w:color="auto" w:fill="DCE2EF"/>
          </w:tcPr>
          <w:p>
            <w:pPr>
              <w:spacing w:after="0"/>
              <w:rPr>
                <w:sz w:val="24"/>
                <w:szCs w:val="24"/>
                <w:color w:val="auto"/>
              </w:rPr>
            </w:pPr>
          </w:p>
        </w:tc>
        <w:tc>
          <w:tcPr>
            <w:tcW w:w="1040" w:type="dxa"/>
            <w:vAlign w:val="bottom"/>
            <w:tcBorders>
              <w:bottom w:val="single" w:sz="8" w:color="auto"/>
            </w:tcBorders>
            <w:shd w:val="clear" w:color="auto" w:fill="DCE2EF"/>
          </w:tcPr>
          <w:p>
            <w:pPr>
              <w:spacing w:after="0"/>
              <w:rPr>
                <w:sz w:val="24"/>
                <w:szCs w:val="24"/>
                <w:color w:val="auto"/>
              </w:rPr>
            </w:pPr>
          </w:p>
        </w:tc>
        <w:tc>
          <w:tcPr>
            <w:tcW w:w="4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(21.2)</w:t>
            </w:r>
          </w:p>
        </w:tc>
        <w:tc>
          <w:tcPr>
            <w:tcW w:w="172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(19.5)%</w:t>
            </w:r>
          </w:p>
        </w:tc>
      </w:tr>
      <w:tr>
        <w:trPr>
          <w:trHeight w:val="236"/>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Income before income taxes</w:t>
            </w: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59.4</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18.0</w:t>
            </w:r>
          </w:p>
        </w:tc>
        <w:tc>
          <w:tcPr>
            <w:tcW w:w="172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9"/>
        </w:trPr>
        <w:tc>
          <w:tcPr>
            <w:tcW w:w="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83"/>
        </w:trPr>
        <w:tc>
          <w:tcPr>
            <w:tcW w:w="626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Income tax provision</w:t>
            </w:r>
          </w:p>
        </w:tc>
        <w:tc>
          <w:tcPr>
            <w:tcW w:w="960" w:type="dxa"/>
            <w:vAlign w:val="bottom"/>
            <w:tcBorders>
              <w:bottom w:val="single" w:sz="8" w:color="auto"/>
            </w:tcBorders>
            <w:shd w:val="clear" w:color="auto" w:fill="DCE2EF"/>
          </w:tcPr>
          <w:p>
            <w:pPr>
              <w:spacing w:after="0"/>
              <w:rPr>
                <w:sz w:val="24"/>
                <w:szCs w:val="24"/>
                <w:color w:val="auto"/>
              </w:rPr>
            </w:pPr>
          </w:p>
        </w:tc>
        <w:tc>
          <w:tcPr>
            <w:tcW w:w="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(17.6)</w:t>
            </w:r>
          </w:p>
        </w:tc>
        <w:tc>
          <w:tcPr>
            <w:tcW w:w="220" w:type="dxa"/>
            <w:vAlign w:val="bottom"/>
            <w:shd w:val="clear" w:color="auto" w:fill="DCE2EF"/>
          </w:tcPr>
          <w:p>
            <w:pPr>
              <w:spacing w:after="0"/>
              <w:rPr>
                <w:sz w:val="24"/>
                <w:szCs w:val="24"/>
                <w:color w:val="auto"/>
              </w:rPr>
            </w:pPr>
          </w:p>
        </w:tc>
        <w:tc>
          <w:tcPr>
            <w:tcW w:w="1040" w:type="dxa"/>
            <w:vAlign w:val="bottom"/>
            <w:tcBorders>
              <w:bottom w:val="single" w:sz="8" w:color="auto"/>
            </w:tcBorders>
            <w:shd w:val="clear" w:color="auto" w:fill="DCE2EF"/>
          </w:tcPr>
          <w:p>
            <w:pPr>
              <w:spacing w:after="0"/>
              <w:rPr>
                <w:sz w:val="24"/>
                <w:szCs w:val="24"/>
                <w:color w:val="auto"/>
              </w:rPr>
            </w:pPr>
          </w:p>
        </w:tc>
        <w:tc>
          <w:tcPr>
            <w:tcW w:w="4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(13.3)</w:t>
            </w:r>
          </w:p>
        </w:tc>
        <w:tc>
          <w:tcPr>
            <w:tcW w:w="17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(31.8)%</w:t>
            </w:r>
          </w:p>
        </w:tc>
      </w:tr>
      <w:tr>
        <w:trPr>
          <w:trHeight w:val="304"/>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Net income</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41.8</w:t>
            </w: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4.7</w:t>
            </w:r>
          </w:p>
        </w:tc>
        <w:tc>
          <w:tcPr>
            <w:tcW w:w="172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37"/>
        </w:trPr>
        <w:tc>
          <w:tcPr>
            <w:tcW w:w="6260" w:type="dxa"/>
            <w:vAlign w:val="bottom"/>
            <w:tcBorders>
              <w:top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Net income per common share</w:t>
            </w:r>
          </w:p>
        </w:tc>
        <w:tc>
          <w:tcPr>
            <w:tcW w:w="960" w:type="dxa"/>
            <w:vAlign w:val="bottom"/>
            <w:tcBorders>
              <w:top w:val="single" w:sz="8" w:color="auto"/>
            </w:tcBorders>
            <w:shd w:val="clear" w:color="auto" w:fill="DCE2EF"/>
          </w:tcPr>
          <w:p>
            <w:pPr>
              <w:spacing w:after="0"/>
              <w:rPr>
                <w:sz w:val="20"/>
                <w:szCs w:val="20"/>
                <w:color w:val="auto"/>
              </w:rPr>
            </w:pPr>
          </w:p>
        </w:tc>
        <w:tc>
          <w:tcPr>
            <w:tcW w:w="560" w:type="dxa"/>
            <w:vAlign w:val="bottom"/>
            <w:tcBorders>
              <w:top w:val="single" w:sz="8" w:color="auto"/>
            </w:tcBorders>
            <w:shd w:val="clear" w:color="auto" w:fill="DCE2EF"/>
          </w:tcPr>
          <w:p>
            <w:pPr>
              <w:spacing w:after="0"/>
              <w:rPr>
                <w:sz w:val="20"/>
                <w:szCs w:val="20"/>
                <w:color w:val="auto"/>
              </w:rPr>
            </w:pPr>
          </w:p>
        </w:tc>
        <w:tc>
          <w:tcPr>
            <w:tcW w:w="220" w:type="dxa"/>
            <w:vAlign w:val="bottom"/>
            <w:tcBorders>
              <w:top w:val="single" w:sz="8" w:color="DCE2EF"/>
            </w:tcBorders>
            <w:shd w:val="clear" w:color="auto" w:fill="DCE2EF"/>
          </w:tcPr>
          <w:p>
            <w:pPr>
              <w:spacing w:after="0"/>
              <w:rPr>
                <w:sz w:val="20"/>
                <w:szCs w:val="20"/>
                <w:color w:val="auto"/>
              </w:rPr>
            </w:pPr>
          </w:p>
        </w:tc>
        <w:tc>
          <w:tcPr>
            <w:tcW w:w="1040" w:type="dxa"/>
            <w:vAlign w:val="bottom"/>
            <w:tcBorders>
              <w:top w:val="single" w:sz="8" w:color="auto"/>
            </w:tcBorders>
            <w:shd w:val="clear" w:color="auto" w:fill="DCE2EF"/>
          </w:tcPr>
          <w:p>
            <w:pPr>
              <w:spacing w:after="0"/>
              <w:rPr>
                <w:sz w:val="20"/>
                <w:szCs w:val="20"/>
                <w:color w:val="auto"/>
              </w:rPr>
            </w:pPr>
          </w:p>
        </w:tc>
        <w:tc>
          <w:tcPr>
            <w:tcW w:w="480" w:type="dxa"/>
            <w:vAlign w:val="bottom"/>
            <w:tcBorders>
              <w:top w:val="single" w:sz="8" w:color="auto"/>
            </w:tcBorders>
            <w:shd w:val="clear" w:color="auto" w:fill="DCE2EF"/>
          </w:tcPr>
          <w:p>
            <w:pPr>
              <w:spacing w:after="0"/>
              <w:rPr>
                <w:sz w:val="20"/>
                <w:szCs w:val="20"/>
                <w:color w:val="auto"/>
              </w:rPr>
            </w:pPr>
          </w:p>
        </w:tc>
        <w:tc>
          <w:tcPr>
            <w:tcW w:w="1720" w:type="dxa"/>
            <w:vAlign w:val="bottom"/>
            <w:tcBorders>
              <w:top w:val="single" w:sz="8" w:color="DCE2EF"/>
            </w:tcBorders>
            <w:shd w:val="clear" w:color="auto" w:fill="DCE2EF"/>
          </w:tcPr>
          <w:p>
            <w:pPr>
              <w:spacing w:after="0"/>
              <w:rPr>
                <w:sz w:val="20"/>
                <w:szCs w:val="20"/>
                <w:color w:val="auto"/>
              </w:rPr>
            </w:pPr>
          </w:p>
        </w:tc>
      </w:tr>
      <w:tr>
        <w:trPr>
          <w:trHeight w:val="276"/>
        </w:trPr>
        <w:tc>
          <w:tcPr>
            <w:tcW w:w="60" w:type="dxa"/>
            <w:vAlign w:val="bottom"/>
          </w:tcPr>
          <w:p>
            <w:pPr>
              <w:spacing w:after="0"/>
              <w:rPr>
                <w:sz w:val="23"/>
                <w:szCs w:val="23"/>
                <w:color w:val="auto"/>
              </w:rPr>
            </w:pPr>
          </w:p>
        </w:tc>
        <w:tc>
          <w:tcPr>
            <w:tcW w:w="6200" w:type="dxa"/>
            <w:vAlign w:val="bottom"/>
            <w:gridSpan w:val="2"/>
          </w:tcPr>
          <w:p>
            <w:pPr>
              <w:ind w:left="200"/>
              <w:spacing w:after="0"/>
              <w:rPr>
                <w:sz w:val="20"/>
                <w:szCs w:val="20"/>
                <w:color w:val="auto"/>
              </w:rPr>
            </w:pPr>
            <w:r>
              <w:rPr>
                <w:rFonts w:ascii="Arial" w:cs="Arial" w:eastAsia="Arial" w:hAnsi="Arial"/>
                <w:sz w:val="16"/>
                <w:szCs w:val="16"/>
                <w:color w:val="auto"/>
              </w:rPr>
              <w:t>Basic</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0.67</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0.07</w:t>
            </w:r>
          </w:p>
        </w:tc>
        <w:tc>
          <w:tcPr>
            <w:tcW w:w="172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91"/>
        </w:trPr>
        <w:tc>
          <w:tcPr>
            <w:tcW w:w="60" w:type="dxa"/>
            <w:vAlign w:val="bottom"/>
            <w:shd w:val="clear" w:color="auto" w:fill="DCE2EF"/>
          </w:tcPr>
          <w:p>
            <w:pPr>
              <w:spacing w:after="0"/>
              <w:rPr>
                <w:sz w:val="24"/>
                <w:szCs w:val="24"/>
                <w:color w:val="auto"/>
              </w:rPr>
            </w:pPr>
          </w:p>
        </w:tc>
        <w:tc>
          <w:tcPr>
            <w:tcW w:w="6200" w:type="dxa"/>
            <w:vAlign w:val="bottom"/>
            <w:gridSpan w:val="2"/>
            <w:shd w:val="clear" w:color="auto" w:fill="DCE2EF"/>
          </w:tcPr>
          <w:p>
            <w:pPr>
              <w:ind w:left="200"/>
              <w:spacing w:after="0"/>
              <w:rPr>
                <w:sz w:val="20"/>
                <w:szCs w:val="20"/>
                <w:color w:val="auto"/>
              </w:rPr>
            </w:pPr>
            <w:r>
              <w:rPr>
                <w:rFonts w:ascii="Arial" w:cs="Arial" w:eastAsia="Arial" w:hAnsi="Arial"/>
                <w:sz w:val="16"/>
                <w:szCs w:val="16"/>
                <w:color w:val="auto"/>
              </w:rPr>
              <w:t>Diluted</w:t>
            </w:r>
          </w:p>
        </w:tc>
        <w:tc>
          <w:tcPr>
            <w:tcW w:w="9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0.67</w:t>
            </w:r>
          </w:p>
        </w:tc>
        <w:tc>
          <w:tcPr>
            <w:tcW w:w="1260" w:type="dxa"/>
            <w:vAlign w:val="bottom"/>
            <w:gridSpan w:val="2"/>
            <w:shd w:val="clear" w:color="auto" w:fill="DCE2EF"/>
          </w:tcPr>
          <w:p>
            <w:pPr>
              <w:jc w:val="right"/>
              <w:ind w:right="120"/>
              <w:spacing w:after="0"/>
              <w:rPr>
                <w:sz w:val="20"/>
                <w:szCs w:val="20"/>
                <w:color w:val="auto"/>
              </w:rPr>
            </w:pPr>
            <w:r>
              <w:rPr>
                <w:rFonts w:ascii="Arial" w:cs="Arial" w:eastAsia="Arial" w:hAnsi="Arial"/>
                <w:sz w:val="16"/>
                <w:szCs w:val="16"/>
                <w:color w:val="auto"/>
              </w:rPr>
              <w:t>$</w:t>
            </w:r>
          </w:p>
        </w:tc>
        <w:tc>
          <w:tcPr>
            <w:tcW w:w="4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0.07</w:t>
            </w:r>
          </w:p>
        </w:tc>
        <w:tc>
          <w:tcPr>
            <w:tcW w:w="17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NM*</w:t>
            </w:r>
          </w:p>
        </w:tc>
      </w:tr>
      <w:tr>
        <w:trPr>
          <w:trHeight w:val="296"/>
        </w:trPr>
        <w:tc>
          <w:tcPr>
            <w:tcW w:w="6260" w:type="dxa"/>
            <w:vAlign w:val="bottom"/>
            <w:gridSpan w:val="3"/>
          </w:tcPr>
          <w:p>
            <w:pPr>
              <w:ind w:left="60"/>
              <w:spacing w:after="0"/>
              <w:rPr>
                <w:sz w:val="20"/>
                <w:szCs w:val="20"/>
                <w:color w:val="auto"/>
              </w:rPr>
            </w:pPr>
            <w:r>
              <w:rPr>
                <w:rFonts w:ascii="Arial" w:cs="Arial" w:eastAsia="Arial" w:hAnsi="Arial"/>
                <w:sz w:val="16"/>
                <w:szCs w:val="16"/>
                <w:b w:val="1"/>
                <w:bCs w:val="1"/>
                <w:color w:val="auto"/>
              </w:rPr>
              <w:t>Weighted-average common and common equivalent</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6"/>
        </w:trPr>
        <w:tc>
          <w:tcPr>
            <w:tcW w:w="60" w:type="dxa"/>
            <w:vAlign w:val="bottom"/>
          </w:tcPr>
          <w:p>
            <w:pPr>
              <w:spacing w:after="0"/>
              <w:rPr>
                <w:sz w:val="19"/>
                <w:szCs w:val="19"/>
                <w:color w:val="auto"/>
              </w:rPr>
            </w:pPr>
          </w:p>
        </w:tc>
        <w:tc>
          <w:tcPr>
            <w:tcW w:w="6200" w:type="dxa"/>
            <w:vAlign w:val="bottom"/>
            <w:gridSpan w:val="2"/>
          </w:tcPr>
          <w:p>
            <w:pPr>
              <w:ind w:left="140"/>
              <w:spacing w:after="0"/>
              <w:rPr>
                <w:sz w:val="20"/>
                <w:szCs w:val="20"/>
                <w:color w:val="auto"/>
              </w:rPr>
            </w:pPr>
            <w:r>
              <w:rPr>
                <w:rFonts w:ascii="Arial" w:cs="Arial" w:eastAsia="Arial" w:hAnsi="Arial"/>
                <w:sz w:val="16"/>
                <w:szCs w:val="16"/>
                <w:b w:val="1"/>
                <w:bCs w:val="1"/>
                <w:color w:val="auto"/>
              </w:rPr>
              <w:t>shares outstanding</w:t>
            </w: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87"/>
        </w:trPr>
        <w:tc>
          <w:tcPr>
            <w:tcW w:w="60" w:type="dxa"/>
            <w:vAlign w:val="bottom"/>
            <w:shd w:val="clear" w:color="auto" w:fill="DCE2EF"/>
          </w:tcPr>
          <w:p>
            <w:pPr>
              <w:spacing w:after="0"/>
              <w:rPr>
                <w:sz w:val="24"/>
                <w:szCs w:val="24"/>
                <w:color w:val="auto"/>
              </w:rPr>
            </w:pPr>
          </w:p>
        </w:tc>
        <w:tc>
          <w:tcPr>
            <w:tcW w:w="6200" w:type="dxa"/>
            <w:vAlign w:val="bottom"/>
            <w:gridSpan w:val="2"/>
            <w:shd w:val="clear" w:color="auto" w:fill="DCE2EF"/>
          </w:tcPr>
          <w:p>
            <w:pPr>
              <w:ind w:left="200"/>
              <w:spacing w:after="0"/>
              <w:rPr>
                <w:sz w:val="20"/>
                <w:szCs w:val="20"/>
                <w:color w:val="auto"/>
              </w:rPr>
            </w:pPr>
            <w:r>
              <w:rPr>
                <w:rFonts w:ascii="Arial" w:cs="Arial" w:eastAsia="Arial" w:hAnsi="Arial"/>
                <w:sz w:val="16"/>
                <w:szCs w:val="16"/>
                <w:color w:val="auto"/>
              </w:rPr>
              <w:t>Basic</w:t>
            </w:r>
          </w:p>
        </w:tc>
        <w:tc>
          <w:tcPr>
            <w:tcW w:w="96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62.5</w:t>
            </w:r>
          </w:p>
        </w:tc>
        <w:tc>
          <w:tcPr>
            <w:tcW w:w="220" w:type="dxa"/>
            <w:vAlign w:val="bottom"/>
            <w:shd w:val="clear" w:color="auto" w:fill="DCE2EF"/>
          </w:tcPr>
          <w:p>
            <w:pPr>
              <w:spacing w:after="0"/>
              <w:rPr>
                <w:sz w:val="24"/>
                <w:szCs w:val="24"/>
                <w:color w:val="auto"/>
              </w:rPr>
            </w:pPr>
          </w:p>
        </w:tc>
        <w:tc>
          <w:tcPr>
            <w:tcW w:w="1040" w:type="dxa"/>
            <w:vAlign w:val="bottom"/>
            <w:shd w:val="clear" w:color="auto" w:fill="DCE2EF"/>
          </w:tcPr>
          <w:p>
            <w:pPr>
              <w:spacing w:after="0"/>
              <w:rPr>
                <w:sz w:val="24"/>
                <w:szCs w:val="24"/>
                <w:color w:val="auto"/>
              </w:rPr>
            </w:pPr>
          </w:p>
        </w:tc>
        <w:tc>
          <w:tcPr>
            <w:tcW w:w="4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63.1</w:t>
            </w:r>
          </w:p>
        </w:tc>
        <w:tc>
          <w:tcPr>
            <w:tcW w:w="1720" w:type="dxa"/>
            <w:vAlign w:val="bottom"/>
            <w:shd w:val="clear" w:color="auto" w:fill="DCE2EF"/>
          </w:tcPr>
          <w:p>
            <w:pPr>
              <w:spacing w:after="0"/>
              <w:rPr>
                <w:sz w:val="24"/>
                <w:szCs w:val="24"/>
                <w:color w:val="auto"/>
              </w:rPr>
            </w:pPr>
          </w:p>
        </w:tc>
      </w:tr>
      <w:tr>
        <w:trPr>
          <w:trHeight w:val="276"/>
        </w:trPr>
        <w:tc>
          <w:tcPr>
            <w:tcW w:w="60" w:type="dxa"/>
            <w:vAlign w:val="bottom"/>
          </w:tcPr>
          <w:p>
            <w:pPr>
              <w:spacing w:after="0"/>
              <w:rPr>
                <w:sz w:val="23"/>
                <w:szCs w:val="23"/>
                <w:color w:val="auto"/>
              </w:rPr>
            </w:pPr>
          </w:p>
        </w:tc>
        <w:tc>
          <w:tcPr>
            <w:tcW w:w="6200" w:type="dxa"/>
            <w:vAlign w:val="bottom"/>
            <w:gridSpan w:val="2"/>
          </w:tcPr>
          <w:p>
            <w:pPr>
              <w:ind w:left="200"/>
              <w:spacing w:after="0"/>
              <w:rPr>
                <w:sz w:val="20"/>
                <w:szCs w:val="20"/>
                <w:color w:val="auto"/>
              </w:rPr>
            </w:pPr>
            <w:r>
              <w:rPr>
                <w:rFonts w:ascii="Arial" w:cs="Arial" w:eastAsia="Arial" w:hAnsi="Arial"/>
                <w:sz w:val="16"/>
                <w:szCs w:val="16"/>
                <w:color w:val="auto"/>
              </w:rPr>
              <w:t>Diluted</w:t>
            </w:r>
          </w:p>
        </w:tc>
        <w:tc>
          <w:tcPr>
            <w:tcW w:w="9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62.8</w:t>
            </w: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63.5</w:t>
            </w:r>
          </w:p>
        </w:tc>
        <w:tc>
          <w:tcPr>
            <w:tcW w:w="1720" w:type="dxa"/>
            <w:vAlign w:val="bottom"/>
          </w:tcPr>
          <w:p>
            <w:pPr>
              <w:spacing w:after="0"/>
              <w:rPr>
                <w:sz w:val="23"/>
                <w:szCs w:val="23"/>
                <w:color w:val="auto"/>
              </w:rPr>
            </w:pPr>
          </w:p>
        </w:tc>
      </w:tr>
      <w:tr>
        <w:trPr>
          <w:trHeight w:val="291"/>
        </w:trPr>
        <w:tc>
          <w:tcPr>
            <w:tcW w:w="6260" w:type="dxa"/>
            <w:vAlign w:val="bottom"/>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Dividends declared per common share</w:t>
            </w:r>
          </w:p>
        </w:tc>
        <w:tc>
          <w:tcPr>
            <w:tcW w:w="96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0.265</w:t>
            </w:r>
          </w:p>
        </w:tc>
        <w:tc>
          <w:tcPr>
            <w:tcW w:w="126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0.225</w:t>
            </w:r>
          </w:p>
        </w:tc>
        <w:tc>
          <w:tcPr>
            <w:tcW w:w="1720" w:type="dxa"/>
            <w:vAlign w:val="bottom"/>
            <w:shd w:val="clear" w:color="auto" w:fill="DCE2E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6027420</wp:posOffset>
            </wp:positionH>
            <wp:positionV relativeFrom="paragraph">
              <wp:posOffset>-3526790</wp:posOffset>
            </wp:positionV>
            <wp:extent cx="162560" cy="3257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2560" cy="3257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-2502535</wp:posOffset>
            </wp:positionV>
            <wp:extent cx="137160" cy="11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-2502535</wp:posOffset>
            </wp:positionV>
            <wp:extent cx="137160" cy="11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-1965325</wp:posOffset>
            </wp:positionV>
            <wp:extent cx="137160"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-1965325</wp:posOffset>
            </wp:positionV>
            <wp:extent cx="137160" cy="11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-1422400</wp:posOffset>
            </wp:positionV>
            <wp:extent cx="137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-1396365</wp:posOffset>
            </wp:positionV>
            <wp:extent cx="137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-1422400</wp:posOffset>
            </wp:positionV>
            <wp:extent cx="137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-1396365</wp:posOffset>
            </wp:positionV>
            <wp:extent cx="137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2"/>
          <w:szCs w:val="12"/>
          <w:color w:val="auto"/>
        </w:rPr>
        <w:t>*Not meaningful (due to variance greater than or equal to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10" w:name="page11"/>
    <w:bookmarkEnd w:id="10"/>
    <w:p>
      <w:pPr>
        <w:ind w:right="4740"/>
        <w:spacing w:after="0" w:line="398" w:lineRule="auto"/>
        <w:rPr>
          <w:sz w:val="20"/>
          <w:szCs w:val="20"/>
          <w:color w:val="auto"/>
        </w:rPr>
      </w:pPr>
      <w:r>
        <w:rPr>
          <w:rFonts w:ascii="Arial" w:cs="Arial" w:eastAsia="Arial" w:hAnsi="Arial"/>
          <w:sz w:val="19"/>
          <w:szCs w:val="19"/>
          <w:b w:val="1"/>
          <w:bCs w:val="1"/>
          <w:color w:val="0046AD"/>
        </w:rPr>
        <w:t>ABM INDUSTRIES INCORPORATED AND SUBSIDIARIES CONSOLIDATED INCOME STATEMENT INFORMATION (UNAUDITED)</w:t>
      </w:r>
    </w:p>
    <w:tbl>
      <w:tblPr>
        <w:tblLayout w:type="fixed"/>
        <w:tblInd w:w="0" w:type="dxa"/>
        <w:tblCellMar>
          <w:top w:w="0" w:type="dxa"/>
          <w:left w:w="0" w:type="dxa"/>
          <w:bottom w:w="0" w:type="dxa"/>
          <w:right w:w="0" w:type="dxa"/>
        </w:tblCellMar>
      </w:tblPr>
      <w:tr>
        <w:trPr>
          <w:trHeight w:val="224"/>
        </w:trPr>
        <w:tc>
          <w:tcPr>
            <w:tcW w:w="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Nine Months Ended July 31,</w:t>
            </w:r>
          </w:p>
        </w:tc>
        <w:tc>
          <w:tcPr>
            <w:tcW w:w="560" w:type="dxa"/>
            <w:vAlign w:val="bottom"/>
            <w:tcBorders>
              <w:bottom w:val="single" w:sz="8" w:color="auto"/>
            </w:tcBorders>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2025</w:t>
            </w:r>
          </w:p>
        </w:tc>
        <w:tc>
          <w:tcPr>
            <w:tcW w:w="580" w:type="dxa"/>
            <w:vAlign w:val="bottom"/>
          </w:tcPr>
          <w:p>
            <w:pPr>
              <w:spacing w:after="0"/>
              <w:rPr>
                <w:sz w:val="18"/>
                <w:szCs w:val="18"/>
                <w:color w:val="auto"/>
              </w:rPr>
            </w:pPr>
          </w:p>
        </w:tc>
        <w:tc>
          <w:tcPr>
            <w:tcW w:w="1180" w:type="dxa"/>
            <w:vAlign w:val="bottom"/>
            <w:gridSpan w:val="2"/>
            <w:vMerge w:val="restart"/>
          </w:tcPr>
          <w:p>
            <w:pPr>
              <w:jc w:val="right"/>
              <w:ind w:right="20"/>
              <w:spacing w:after="0"/>
              <w:rPr>
                <w:sz w:val="20"/>
                <w:szCs w:val="20"/>
                <w:color w:val="auto"/>
              </w:rPr>
            </w:pPr>
            <w:r>
              <w:rPr>
                <w:rFonts w:ascii="Arial" w:cs="Arial" w:eastAsia="Arial" w:hAnsi="Arial"/>
                <w:sz w:val="16"/>
                <w:szCs w:val="16"/>
                <w:b w:val="1"/>
                <w:bCs w:val="1"/>
                <w:color w:val="auto"/>
              </w:rPr>
              <w:t>2024</w:t>
            </w:r>
          </w:p>
        </w:tc>
        <w:tc>
          <w:tcPr>
            <w:tcW w:w="560" w:type="dxa"/>
            <w:vAlign w:val="bottom"/>
          </w:tcPr>
          <w:p>
            <w:pPr>
              <w:spacing w:after="0"/>
              <w:rPr>
                <w:sz w:val="18"/>
                <w:szCs w:val="18"/>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b w:val="1"/>
                <w:bCs w:val="1"/>
                <w:color w:val="auto"/>
              </w:rPr>
              <w:t>Increase /</w:t>
            </w:r>
          </w:p>
        </w:tc>
        <w:tc>
          <w:tcPr>
            <w:tcW w:w="0" w:type="dxa"/>
            <w:vAlign w:val="bottom"/>
          </w:tcPr>
          <w:p>
            <w:pPr>
              <w:spacing w:after="0"/>
              <w:rPr>
                <w:sz w:val="1"/>
                <w:szCs w:val="1"/>
                <w:color w:val="auto"/>
              </w:rPr>
            </w:pPr>
          </w:p>
        </w:tc>
      </w:tr>
      <w:tr>
        <w:trPr>
          <w:trHeight w:val="190"/>
        </w:trPr>
        <w:tc>
          <w:tcPr>
            <w:tcW w:w="6400" w:type="dxa"/>
            <w:vAlign w:val="bottom"/>
            <w:gridSpan w:val="3"/>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96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560" w:type="dxa"/>
            <w:vAlign w:val="bottom"/>
          </w:tcPr>
          <w:p>
            <w:pPr>
              <w:jc w:val="right"/>
              <w:ind w:right="179"/>
              <w:spacing w:after="0"/>
              <w:rPr>
                <w:sz w:val="20"/>
                <w:szCs w:val="20"/>
                <w:color w:val="auto"/>
              </w:rPr>
            </w:pPr>
            <w:r>
              <w:rPr>
                <w:rFonts w:ascii="Arial" w:cs="Arial" w:eastAsia="Arial" w:hAnsi="Arial"/>
                <w:sz w:val="16"/>
                <w:szCs w:val="16"/>
                <w:b w:val="1"/>
                <w:bCs w:val="1"/>
                <w:color w:val="auto"/>
              </w:rPr>
              <w:t>(Decrease)</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240" w:type="dxa"/>
            <w:vAlign w:val="bottom"/>
            <w:tcBorders>
              <w:top w:val="single" w:sz="8" w:color="auto"/>
            </w:tcBorders>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640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Revenues</w:t>
            </w:r>
          </w:p>
        </w:tc>
        <w:tc>
          <w:tcPr>
            <w:tcW w:w="960" w:type="dxa"/>
            <w:vAlign w:val="bottom"/>
            <w:tcBorders>
              <w:bottom w:val="single" w:sz="8" w:color="DCE2EF"/>
            </w:tcBorders>
            <w:shd w:val="clear" w:color="auto" w:fill="DCE2EF"/>
          </w:tcPr>
          <w:p>
            <w:pPr>
              <w:jc w:val="right"/>
              <w:ind w:right="17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6,450.5</w:t>
            </w:r>
          </w:p>
        </w:tc>
        <w:tc>
          <w:tcPr>
            <w:tcW w:w="1180" w:type="dxa"/>
            <w:vAlign w:val="bottom"/>
            <w:tcBorders>
              <w:bottom w:val="single" w:sz="8" w:color="DCE2EF"/>
            </w:tcBorders>
            <w:gridSpan w:val="2"/>
            <w:shd w:val="clear" w:color="auto" w:fill="DCE2EF"/>
          </w:tcPr>
          <w:p>
            <w:pPr>
              <w:jc w:val="right"/>
              <w:ind w:right="26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6,182.0</w:t>
            </w:r>
          </w:p>
        </w:tc>
        <w:tc>
          <w:tcPr>
            <w:tcW w:w="15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76"/>
        </w:trPr>
        <w:tc>
          <w:tcPr>
            <w:tcW w:w="6400" w:type="dxa"/>
            <w:vAlign w:val="bottom"/>
            <w:gridSpan w:val="3"/>
          </w:tcPr>
          <w:p>
            <w:pPr>
              <w:ind w:left="60"/>
              <w:spacing w:after="0"/>
              <w:rPr>
                <w:sz w:val="20"/>
                <w:szCs w:val="20"/>
                <w:color w:val="auto"/>
              </w:rPr>
            </w:pPr>
            <w:r>
              <w:rPr>
                <w:rFonts w:ascii="Arial" w:cs="Arial" w:eastAsia="Arial" w:hAnsi="Arial"/>
                <w:sz w:val="16"/>
                <w:szCs w:val="16"/>
                <w:color w:val="auto"/>
              </w:rPr>
              <w:t>Operating expenses</w:t>
            </w:r>
          </w:p>
        </w:tc>
        <w:tc>
          <w:tcPr>
            <w:tcW w:w="9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5,645.7</w:t>
            </w: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5,420.8</w:t>
            </w:r>
          </w:p>
        </w:tc>
        <w:tc>
          <w:tcPr>
            <w:tcW w:w="156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91"/>
        </w:trPr>
        <w:tc>
          <w:tcPr>
            <w:tcW w:w="640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Selling, general and administrative expenses</w:t>
            </w:r>
          </w:p>
        </w:tc>
        <w:tc>
          <w:tcPr>
            <w:tcW w:w="96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521.7</w:t>
            </w:r>
          </w:p>
        </w:tc>
        <w:tc>
          <w:tcPr>
            <w:tcW w:w="220" w:type="dxa"/>
            <w:vAlign w:val="bottom"/>
            <w:shd w:val="clear" w:color="auto" w:fill="DCE2EF"/>
          </w:tcPr>
          <w:p>
            <w:pPr>
              <w:spacing w:after="0"/>
              <w:rPr>
                <w:sz w:val="24"/>
                <w:szCs w:val="24"/>
                <w:color w:val="auto"/>
              </w:rPr>
            </w:pPr>
          </w:p>
        </w:tc>
        <w:tc>
          <w:tcPr>
            <w:tcW w:w="96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526.3</w:t>
            </w:r>
          </w:p>
        </w:tc>
        <w:tc>
          <w:tcPr>
            <w:tcW w:w="1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77"/>
        </w:trPr>
        <w:tc>
          <w:tcPr>
            <w:tcW w:w="6400" w:type="dxa"/>
            <w:vAlign w:val="bottom"/>
            <w:tcBorders>
              <w:bottom w:val="single" w:sz="8" w:color="DCE2EF"/>
            </w:tcBorders>
            <w:gridSpan w:val="3"/>
          </w:tcPr>
          <w:p>
            <w:pPr>
              <w:ind w:left="60"/>
              <w:spacing w:after="0"/>
              <w:rPr>
                <w:sz w:val="20"/>
                <w:szCs w:val="20"/>
                <w:color w:val="auto"/>
              </w:rPr>
            </w:pPr>
            <w:r>
              <w:rPr>
                <w:rFonts w:ascii="Arial" w:cs="Arial" w:eastAsia="Arial" w:hAnsi="Arial"/>
                <w:sz w:val="16"/>
                <w:szCs w:val="16"/>
                <w:color w:val="auto"/>
              </w:rPr>
              <w:t>Amortization of intangible assets</w:t>
            </w:r>
          </w:p>
        </w:tc>
        <w:tc>
          <w:tcPr>
            <w:tcW w:w="9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w:t>
            </w:r>
          </w:p>
        </w:tc>
        <w:tc>
          <w:tcPr>
            <w:tcW w:w="220" w:type="dxa"/>
            <w:vAlign w:val="bottom"/>
            <w:tcBorders>
              <w:bottom w:val="single" w:sz="8" w:color="DCE2EF"/>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w:t>
            </w:r>
          </w:p>
        </w:tc>
        <w:tc>
          <w:tcPr>
            <w:tcW w:w="1560" w:type="dxa"/>
            <w:vAlign w:val="bottom"/>
            <w:tcBorders>
              <w:bottom w:val="single" w:sz="8" w:color="DCE2EF"/>
            </w:tcBorders>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70"/>
        </w:trPr>
        <w:tc>
          <w:tcPr>
            <w:tcW w:w="6400" w:type="dxa"/>
            <w:vAlign w:val="bottom"/>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Operating profit</w:t>
            </w:r>
          </w:p>
        </w:tc>
        <w:tc>
          <w:tcPr>
            <w:tcW w:w="960" w:type="dxa"/>
            <w:vAlign w:val="bottom"/>
            <w:shd w:val="clear" w:color="auto" w:fill="DCE2EF"/>
          </w:tcPr>
          <w:p>
            <w:pPr>
              <w:spacing w:after="0"/>
              <w:rPr>
                <w:sz w:val="23"/>
                <w:szCs w:val="23"/>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243.3</w:t>
            </w:r>
          </w:p>
        </w:tc>
        <w:tc>
          <w:tcPr>
            <w:tcW w:w="220" w:type="dxa"/>
            <w:vAlign w:val="bottom"/>
            <w:shd w:val="clear" w:color="auto" w:fill="DCE2EF"/>
          </w:tcPr>
          <w:p>
            <w:pPr>
              <w:spacing w:after="0"/>
              <w:rPr>
                <w:sz w:val="23"/>
                <w:szCs w:val="23"/>
                <w:color w:val="auto"/>
              </w:rPr>
            </w:pPr>
          </w:p>
        </w:tc>
        <w:tc>
          <w:tcPr>
            <w:tcW w:w="960" w:type="dxa"/>
            <w:vAlign w:val="bottom"/>
            <w:shd w:val="clear" w:color="auto" w:fill="DCE2EF"/>
          </w:tcPr>
          <w:p>
            <w:pPr>
              <w:spacing w:after="0"/>
              <w:rPr>
                <w:sz w:val="23"/>
                <w:szCs w:val="23"/>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192.8</w:t>
            </w:r>
          </w:p>
        </w:tc>
        <w:tc>
          <w:tcPr>
            <w:tcW w:w="1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76"/>
        </w:trPr>
        <w:tc>
          <w:tcPr>
            <w:tcW w:w="6400" w:type="dxa"/>
            <w:vAlign w:val="bottom"/>
            <w:gridSpan w:val="3"/>
          </w:tcPr>
          <w:p>
            <w:pPr>
              <w:ind w:left="60"/>
              <w:spacing w:after="0"/>
              <w:rPr>
                <w:sz w:val="20"/>
                <w:szCs w:val="20"/>
                <w:color w:val="auto"/>
              </w:rPr>
            </w:pPr>
            <w:r>
              <w:rPr>
                <w:rFonts w:ascii="Arial" w:cs="Arial" w:eastAsia="Arial" w:hAnsi="Arial"/>
                <w:sz w:val="16"/>
                <w:szCs w:val="16"/>
                <w:color w:val="auto"/>
              </w:rPr>
              <w:t>Income from unconsolidated affiliates</w:t>
            </w:r>
          </w:p>
        </w:tc>
        <w:tc>
          <w:tcPr>
            <w:tcW w:w="9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w:t>
            </w: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4.7</w:t>
            </w:r>
          </w:p>
        </w:tc>
        <w:tc>
          <w:tcPr>
            <w:tcW w:w="1560" w:type="dxa"/>
            <w:vAlign w:val="bottom"/>
          </w:tcPr>
          <w:p>
            <w:pPr>
              <w:jc w:val="right"/>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90"/>
        </w:trPr>
        <w:tc>
          <w:tcPr>
            <w:tcW w:w="640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Interest expense</w:t>
            </w:r>
          </w:p>
        </w:tc>
        <w:tc>
          <w:tcPr>
            <w:tcW w:w="96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(72.1)</w:t>
            </w:r>
          </w:p>
        </w:tc>
        <w:tc>
          <w:tcPr>
            <w:tcW w:w="220" w:type="dxa"/>
            <w:vAlign w:val="bottom"/>
            <w:tcBorders>
              <w:bottom w:val="single" w:sz="8" w:color="DCE2EF"/>
            </w:tcBorders>
            <w:shd w:val="clear" w:color="auto" w:fill="DCE2EF"/>
          </w:tcPr>
          <w:p>
            <w:pPr>
              <w:spacing w:after="0"/>
              <w:rPr>
                <w:sz w:val="24"/>
                <w:szCs w:val="24"/>
                <w:color w:val="auto"/>
              </w:rPr>
            </w:pPr>
          </w:p>
        </w:tc>
        <w:tc>
          <w:tcPr>
            <w:tcW w:w="960" w:type="dxa"/>
            <w:vAlign w:val="bottom"/>
            <w:tcBorders>
              <w:bottom w:val="single" w:sz="8" w:color="auto"/>
            </w:tcBorders>
            <w:shd w:val="clear" w:color="auto" w:fill="DCE2EF"/>
          </w:tcPr>
          <w:p>
            <w:pPr>
              <w:spacing w:after="0"/>
              <w:rPr>
                <w:sz w:val="24"/>
                <w:szCs w:val="24"/>
                <w:color w:val="auto"/>
              </w:rPr>
            </w:pPr>
          </w:p>
        </w:tc>
        <w:tc>
          <w:tcPr>
            <w:tcW w:w="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(63.1)</w:t>
            </w:r>
          </w:p>
        </w:tc>
        <w:tc>
          <w:tcPr>
            <w:tcW w:w="15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35"/>
        </w:trPr>
        <w:tc>
          <w:tcPr>
            <w:tcW w:w="6400" w:type="dxa"/>
            <w:vAlign w:val="bottom"/>
            <w:gridSpan w:val="3"/>
          </w:tcPr>
          <w:p>
            <w:pPr>
              <w:ind w:left="60"/>
              <w:spacing w:after="0"/>
              <w:rPr>
                <w:sz w:val="20"/>
                <w:szCs w:val="20"/>
                <w:color w:val="auto"/>
              </w:rPr>
            </w:pPr>
            <w:r>
              <w:rPr>
                <w:rFonts w:ascii="Arial" w:cs="Arial" w:eastAsia="Arial" w:hAnsi="Arial"/>
                <w:sz w:val="16"/>
                <w:szCs w:val="16"/>
                <w:color w:val="auto"/>
              </w:rPr>
              <w:t>Income before income taxes</w:t>
            </w: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174.6</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134.4</w:t>
            </w:r>
          </w:p>
        </w:tc>
        <w:tc>
          <w:tcPr>
            <w:tcW w:w="1560" w:type="dxa"/>
            <w:vAlign w:val="bottom"/>
          </w:tcPr>
          <w:p>
            <w:pPr>
              <w:jc w:val="right"/>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40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Income tax provision</w:t>
            </w:r>
          </w:p>
        </w:tc>
        <w:tc>
          <w:tcPr>
            <w:tcW w:w="96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(47.0)</w:t>
            </w:r>
          </w:p>
        </w:tc>
        <w:tc>
          <w:tcPr>
            <w:tcW w:w="220" w:type="dxa"/>
            <w:vAlign w:val="bottom"/>
            <w:tcBorders>
              <w:bottom w:val="single" w:sz="8" w:color="auto"/>
            </w:tcBorders>
            <w:shd w:val="clear" w:color="auto" w:fill="DCE2EF"/>
          </w:tcPr>
          <w:p>
            <w:pPr>
              <w:spacing w:after="0"/>
              <w:rPr>
                <w:sz w:val="24"/>
                <w:szCs w:val="24"/>
                <w:color w:val="auto"/>
              </w:rPr>
            </w:pPr>
          </w:p>
        </w:tc>
        <w:tc>
          <w:tcPr>
            <w:tcW w:w="960" w:type="dxa"/>
            <w:vAlign w:val="bottom"/>
            <w:tcBorders>
              <w:bottom w:val="single" w:sz="8" w:color="auto"/>
            </w:tcBorders>
            <w:shd w:val="clear" w:color="auto" w:fill="DCE2EF"/>
          </w:tcPr>
          <w:p>
            <w:pPr>
              <w:spacing w:after="0"/>
              <w:rPr>
                <w:sz w:val="24"/>
                <w:szCs w:val="24"/>
                <w:color w:val="auto"/>
              </w:rPr>
            </w:pPr>
          </w:p>
        </w:tc>
        <w:tc>
          <w:tcPr>
            <w:tcW w:w="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(41.3)</w:t>
            </w:r>
          </w:p>
        </w:tc>
        <w:tc>
          <w:tcPr>
            <w:tcW w:w="1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63"/>
        </w:trPr>
        <w:tc>
          <w:tcPr>
            <w:tcW w:w="6400" w:type="dxa"/>
            <w:vAlign w:val="bottom"/>
            <w:gridSpan w:val="3"/>
          </w:tcPr>
          <w:p>
            <w:pPr>
              <w:ind w:left="60"/>
              <w:spacing w:after="0"/>
              <w:rPr>
                <w:sz w:val="20"/>
                <w:szCs w:val="20"/>
                <w:color w:val="auto"/>
              </w:rPr>
            </w:pPr>
            <w:r>
              <w:rPr>
                <w:rFonts w:ascii="Arial" w:cs="Arial" w:eastAsia="Arial" w:hAnsi="Arial"/>
                <w:sz w:val="16"/>
                <w:szCs w:val="16"/>
                <w:color w:val="auto"/>
              </w:rPr>
              <w:t>Net income</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127.6</w:t>
            </w: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93.1</w:t>
            </w:r>
          </w:p>
        </w:tc>
        <w:tc>
          <w:tcPr>
            <w:tcW w:w="1560" w:type="dxa"/>
            <w:vAlign w:val="bottom"/>
          </w:tcPr>
          <w:p>
            <w:pPr>
              <w:jc w:val="right"/>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Net income per common share</w:t>
            </w:r>
          </w:p>
        </w:tc>
        <w:tc>
          <w:tcPr>
            <w:tcW w:w="960" w:type="dxa"/>
            <w:vAlign w:val="bottom"/>
            <w:tcBorders>
              <w:top w:val="single" w:sz="8" w:color="auto"/>
              <w:bottom w:val="single" w:sz="8" w:color="DCE2EF"/>
            </w:tcBorders>
            <w:shd w:val="clear" w:color="auto" w:fill="DCE2EF"/>
          </w:tcPr>
          <w:p>
            <w:pPr>
              <w:spacing w:after="0"/>
              <w:rPr>
                <w:sz w:val="21"/>
                <w:szCs w:val="21"/>
                <w:color w:val="auto"/>
              </w:rPr>
            </w:pPr>
          </w:p>
        </w:tc>
        <w:tc>
          <w:tcPr>
            <w:tcW w:w="580" w:type="dxa"/>
            <w:vAlign w:val="bottom"/>
            <w:tcBorders>
              <w:top w:val="single" w:sz="8" w:color="auto"/>
              <w:bottom w:val="single" w:sz="8" w:color="DCE2EF"/>
            </w:tcBorders>
            <w:shd w:val="clear" w:color="auto" w:fill="DCE2EF"/>
          </w:tcPr>
          <w:p>
            <w:pPr>
              <w:spacing w:after="0"/>
              <w:rPr>
                <w:sz w:val="21"/>
                <w:szCs w:val="21"/>
                <w:color w:val="auto"/>
              </w:rPr>
            </w:pPr>
          </w:p>
        </w:tc>
        <w:tc>
          <w:tcPr>
            <w:tcW w:w="220" w:type="dxa"/>
            <w:vAlign w:val="bottom"/>
            <w:tcBorders>
              <w:bottom w:val="single" w:sz="8" w:color="DCE2EF"/>
            </w:tcBorders>
            <w:shd w:val="clear" w:color="auto" w:fill="DCE2EF"/>
          </w:tcPr>
          <w:p>
            <w:pPr>
              <w:spacing w:after="0"/>
              <w:rPr>
                <w:sz w:val="21"/>
                <w:szCs w:val="21"/>
                <w:color w:val="auto"/>
              </w:rPr>
            </w:pPr>
          </w:p>
        </w:tc>
        <w:tc>
          <w:tcPr>
            <w:tcW w:w="960" w:type="dxa"/>
            <w:vAlign w:val="bottom"/>
            <w:tcBorders>
              <w:top w:val="single" w:sz="8" w:color="auto"/>
              <w:bottom w:val="single" w:sz="8" w:color="DCE2EF"/>
            </w:tcBorders>
            <w:shd w:val="clear" w:color="auto" w:fill="DCE2EF"/>
          </w:tcPr>
          <w:p>
            <w:pPr>
              <w:spacing w:after="0"/>
              <w:rPr>
                <w:sz w:val="21"/>
                <w:szCs w:val="21"/>
                <w:color w:val="auto"/>
              </w:rPr>
            </w:pPr>
          </w:p>
        </w:tc>
        <w:tc>
          <w:tcPr>
            <w:tcW w:w="560" w:type="dxa"/>
            <w:vAlign w:val="bottom"/>
            <w:tcBorders>
              <w:top w:val="single" w:sz="8" w:color="auto"/>
              <w:bottom w:val="single" w:sz="8" w:color="DCE2EF"/>
            </w:tcBorders>
            <w:shd w:val="clear" w:color="auto" w:fill="DCE2EF"/>
          </w:tcPr>
          <w:p>
            <w:pPr>
              <w:spacing w:after="0"/>
              <w:rPr>
                <w:sz w:val="21"/>
                <w:szCs w:val="21"/>
                <w:color w:val="auto"/>
              </w:rPr>
            </w:pPr>
          </w:p>
        </w:tc>
        <w:tc>
          <w:tcPr>
            <w:tcW w:w="1560" w:type="dxa"/>
            <w:vAlign w:val="bottom"/>
            <w:tcBorders>
              <w:bottom w:val="single" w:sz="8" w:color="DCE2EF"/>
            </w:tcBorders>
            <w:shd w:val="clear" w:color="auto" w:fill="DCE2EF"/>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400" w:type="dxa"/>
            <w:vAlign w:val="bottom"/>
            <w:gridSpan w:val="3"/>
          </w:tcPr>
          <w:p>
            <w:pPr>
              <w:ind w:left="60"/>
              <w:spacing w:after="0"/>
              <w:rPr>
                <w:sz w:val="20"/>
                <w:szCs w:val="20"/>
                <w:color w:val="auto"/>
              </w:rPr>
            </w:pPr>
            <w:r>
              <w:rPr>
                <w:rFonts w:ascii="Arial" w:cs="Arial" w:eastAsia="Arial" w:hAnsi="Arial"/>
                <w:sz w:val="16"/>
                <w:szCs w:val="16"/>
                <w:color w:val="auto"/>
              </w:rPr>
              <w:t>Basic</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2.04</w:t>
            </w: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1.47</w:t>
            </w:r>
          </w:p>
        </w:tc>
        <w:tc>
          <w:tcPr>
            <w:tcW w:w="1560" w:type="dxa"/>
            <w:vAlign w:val="bottom"/>
          </w:tcPr>
          <w:p>
            <w:pPr>
              <w:jc w:val="right"/>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91"/>
        </w:trPr>
        <w:tc>
          <w:tcPr>
            <w:tcW w:w="640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Diluted</w:t>
            </w:r>
          </w:p>
        </w:tc>
        <w:tc>
          <w:tcPr>
            <w:tcW w:w="9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2.03</w:t>
            </w:r>
          </w:p>
        </w:tc>
        <w:tc>
          <w:tcPr>
            <w:tcW w:w="1180" w:type="dxa"/>
            <w:vAlign w:val="bottom"/>
            <w:gridSpan w:val="2"/>
            <w:shd w:val="clear" w:color="auto" w:fill="DCE2EF"/>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1.46</w:t>
            </w:r>
          </w:p>
        </w:tc>
        <w:tc>
          <w:tcPr>
            <w:tcW w:w="1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39.0%</w:t>
            </w:r>
          </w:p>
        </w:tc>
        <w:tc>
          <w:tcPr>
            <w:tcW w:w="0" w:type="dxa"/>
            <w:vAlign w:val="bottom"/>
          </w:tcPr>
          <w:p>
            <w:pPr>
              <w:spacing w:after="0"/>
              <w:rPr>
                <w:sz w:val="1"/>
                <w:szCs w:val="1"/>
                <w:color w:val="auto"/>
              </w:rPr>
            </w:pPr>
          </w:p>
        </w:tc>
      </w:tr>
      <w:tr>
        <w:trPr>
          <w:trHeight w:val="242"/>
        </w:trPr>
        <w:tc>
          <w:tcPr>
            <w:tcW w:w="6400" w:type="dxa"/>
            <w:vAlign w:val="bottom"/>
            <w:gridSpan w:val="3"/>
          </w:tcPr>
          <w:p>
            <w:pPr>
              <w:ind w:left="60"/>
              <w:spacing w:after="0"/>
              <w:rPr>
                <w:sz w:val="20"/>
                <w:szCs w:val="20"/>
                <w:color w:val="auto"/>
              </w:rPr>
            </w:pPr>
            <w:r>
              <w:rPr>
                <w:rFonts w:ascii="Arial" w:cs="Arial" w:eastAsia="Arial" w:hAnsi="Arial"/>
                <w:sz w:val="16"/>
                <w:szCs w:val="16"/>
                <w:b w:val="1"/>
                <w:bCs w:val="1"/>
                <w:color w:val="auto"/>
              </w:rPr>
              <w:t>Weighted-average common and common equivalent</w:t>
            </w:r>
          </w:p>
        </w:tc>
        <w:tc>
          <w:tcPr>
            <w:tcW w:w="9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340" w:type="dxa"/>
            <w:vAlign w:val="bottom"/>
            <w:gridSpan w:val="2"/>
          </w:tcPr>
          <w:p>
            <w:pPr>
              <w:ind w:left="140"/>
              <w:spacing w:after="0"/>
              <w:rPr>
                <w:sz w:val="20"/>
                <w:szCs w:val="20"/>
                <w:color w:val="auto"/>
              </w:rPr>
            </w:pPr>
            <w:r>
              <w:rPr>
                <w:rFonts w:ascii="Arial" w:cs="Arial" w:eastAsia="Arial" w:hAnsi="Arial"/>
                <w:sz w:val="16"/>
                <w:szCs w:val="16"/>
                <w:b w:val="1"/>
                <w:bCs w:val="1"/>
                <w:color w:val="auto"/>
              </w:rPr>
              <w:t>shares outstanding</w:t>
            </w: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640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Basic</w:t>
            </w:r>
          </w:p>
        </w:tc>
        <w:tc>
          <w:tcPr>
            <w:tcW w:w="96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62.6</w:t>
            </w:r>
          </w:p>
        </w:tc>
        <w:tc>
          <w:tcPr>
            <w:tcW w:w="220" w:type="dxa"/>
            <w:vAlign w:val="bottom"/>
            <w:shd w:val="clear" w:color="auto" w:fill="DCE2EF"/>
          </w:tcPr>
          <w:p>
            <w:pPr>
              <w:spacing w:after="0"/>
              <w:rPr>
                <w:sz w:val="24"/>
                <w:szCs w:val="24"/>
                <w:color w:val="auto"/>
              </w:rPr>
            </w:pPr>
          </w:p>
        </w:tc>
        <w:tc>
          <w:tcPr>
            <w:tcW w:w="96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63.3</w:t>
            </w:r>
          </w:p>
        </w:tc>
        <w:tc>
          <w:tcPr>
            <w:tcW w:w="1560" w:type="dxa"/>
            <w:vAlign w:val="bottom"/>
            <w:shd w:val="clear" w:color="auto" w:fill="DCE2EF"/>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400" w:type="dxa"/>
            <w:vAlign w:val="bottom"/>
            <w:gridSpan w:val="3"/>
          </w:tcPr>
          <w:p>
            <w:pPr>
              <w:ind w:left="60"/>
              <w:spacing w:after="0"/>
              <w:rPr>
                <w:sz w:val="20"/>
                <w:szCs w:val="20"/>
                <w:color w:val="auto"/>
              </w:rPr>
            </w:pPr>
            <w:r>
              <w:rPr>
                <w:rFonts w:ascii="Arial" w:cs="Arial" w:eastAsia="Arial" w:hAnsi="Arial"/>
                <w:sz w:val="16"/>
                <w:szCs w:val="16"/>
                <w:color w:val="auto"/>
              </w:rPr>
              <w:t>Diluted</w:t>
            </w:r>
          </w:p>
        </w:tc>
        <w:tc>
          <w:tcPr>
            <w:tcW w:w="9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63.0</w:t>
            </w: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63.6</w:t>
            </w: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6400" w:type="dxa"/>
            <w:vAlign w:val="bottom"/>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Dividends declared per common share</w:t>
            </w:r>
          </w:p>
        </w:tc>
        <w:tc>
          <w:tcPr>
            <w:tcW w:w="96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0.795</w:t>
            </w:r>
          </w:p>
        </w:tc>
        <w:tc>
          <w:tcPr>
            <w:tcW w:w="1180" w:type="dxa"/>
            <w:vAlign w:val="bottom"/>
            <w:gridSpan w:val="2"/>
            <w:shd w:val="clear" w:color="auto" w:fill="DCE2EF"/>
          </w:tcPr>
          <w:p>
            <w:pPr>
              <w:jc w:val="right"/>
              <w:ind w:right="120"/>
              <w:spacing w:after="0"/>
              <w:rPr>
                <w:sz w:val="20"/>
                <w:szCs w:val="20"/>
                <w:color w:val="auto"/>
              </w:rPr>
            </w:pPr>
            <w:r>
              <w:rPr>
                <w:rFonts w:ascii="Arial" w:cs="Arial" w:eastAsia="Arial" w:hAnsi="Arial"/>
                <w:sz w:val="16"/>
                <w:szCs w:val="16"/>
                <w:color w:val="auto"/>
              </w:rPr>
              <w:t>$</w:t>
            </w: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0.675</w:t>
            </w:r>
          </w:p>
        </w:tc>
        <w:tc>
          <w:tcPr>
            <w:tcW w:w="1560" w:type="dxa"/>
            <w:vAlign w:val="bottom"/>
            <w:shd w:val="clear" w:color="auto" w:fill="DCE2E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-3182620</wp:posOffset>
            </wp:positionV>
            <wp:extent cx="146050" cy="11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-3182620</wp:posOffset>
            </wp:positionV>
            <wp:extent cx="137160" cy="11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-2459355</wp:posOffset>
            </wp:positionV>
            <wp:extent cx="146050" cy="11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-2459355</wp:posOffset>
            </wp:positionV>
            <wp:extent cx="137160" cy="11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-1922145</wp:posOffset>
            </wp:positionV>
            <wp:extent cx="146050" cy="11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-1922145</wp:posOffset>
            </wp:positionV>
            <wp:extent cx="137160" cy="11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6138545</wp:posOffset>
            </wp:positionH>
            <wp:positionV relativeFrom="paragraph">
              <wp:posOffset>-1572260</wp:posOffset>
            </wp:positionV>
            <wp:extent cx="162560" cy="2139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2560" cy="213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color w:val="0046AD"/>
        </w:rPr>
        <w:t>ABM INDUSTRIES INCORPORATED AND SUBSIDIARIES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SELECTED CONSOLIDATED CASH FLOW INFORMATION (UNAUDITED)</w:t>
      </w:r>
    </w:p>
    <w:p>
      <w:pPr>
        <w:spacing w:after="0" w:line="63" w:lineRule="exact"/>
        <w:rPr>
          <w:sz w:val="20"/>
          <w:szCs w:val="20"/>
          <w:color w:val="auto"/>
        </w:rPr>
      </w:pPr>
    </w:p>
    <w:p>
      <w:pPr>
        <w:jc w:val="right"/>
        <w:ind w:right="520"/>
        <w:spacing w:after="0"/>
        <w:rPr>
          <w:sz w:val="20"/>
          <w:szCs w:val="20"/>
          <w:color w:val="auto"/>
        </w:rPr>
      </w:pPr>
      <w:r>
        <w:rPr>
          <w:rFonts w:ascii="Arial" w:cs="Arial" w:eastAsia="Arial" w:hAnsi="Arial"/>
          <w:sz w:val="16"/>
          <w:szCs w:val="16"/>
          <w:b w:val="1"/>
          <w:bCs w:val="1"/>
          <w:color w:val="auto"/>
        </w:rPr>
        <w:t>Three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29210</wp:posOffset>
            </wp:positionV>
            <wp:extent cx="21170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ectPr>
          <w:pgSz w:w="11900" w:h="16838" w:orient="portrait"/>
          <w:cols w:equalWidth="0" w:num="1">
            <w:col w:w="11220"/>
          </w:cols>
          <w:pgMar w:left="320" w:top="885" w:right="359" w:bottom="1440" w:gutter="0" w:footer="0" w:header="0"/>
        </w:sectPr>
      </w:pPr>
    </w:p>
    <w:p>
      <w:pPr>
        <w:spacing w:after="0" w:line="1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i w:val="1"/>
          <w:i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2146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Net cash provided by operating activities</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6"/>
          <w:szCs w:val="16"/>
          <w:color w:val="auto"/>
        </w:rPr>
        <w:t>Additions to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97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0" w:lineRule="exact"/>
        <w:rPr>
          <w:sz w:val="20"/>
          <w:szCs w:val="20"/>
          <w:color w:val="auto"/>
        </w:rPr>
      </w:pPr>
    </w:p>
    <w:p>
      <w:pPr>
        <w:ind w:left="60"/>
        <w:spacing w:after="0"/>
        <w:rPr>
          <w:sz w:val="20"/>
          <w:szCs w:val="20"/>
          <w:color w:val="auto"/>
        </w:rPr>
      </w:pPr>
      <w:r>
        <w:rPr>
          <w:rFonts w:ascii="Arial" w:cs="Arial" w:eastAsia="Arial" w:hAnsi="Arial"/>
          <w:sz w:val="16"/>
          <w:szCs w:val="16"/>
          <w:color w:val="auto"/>
        </w:rPr>
        <w:t>Purchase of businesses, net of cash acquired</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205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Net cash used in investing activities</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Proceeds from issuance of share-based compensation awards,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97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0"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Repurchases of common stock, including excise taxes</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Dividends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97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0" w:lineRule="exact"/>
        <w:rPr>
          <w:sz w:val="20"/>
          <w:szCs w:val="20"/>
          <w:color w:val="auto"/>
        </w:rPr>
      </w:pPr>
    </w:p>
    <w:p>
      <w:pPr>
        <w:ind w:left="60"/>
        <w:spacing w:after="0"/>
        <w:rPr>
          <w:sz w:val="20"/>
          <w:szCs w:val="20"/>
          <w:color w:val="auto"/>
        </w:rPr>
      </w:pPr>
      <w:r>
        <w:rPr>
          <w:rFonts w:ascii="Arial" w:cs="Arial" w:eastAsia="Arial" w:hAnsi="Arial"/>
          <w:sz w:val="16"/>
          <w:szCs w:val="16"/>
          <w:color w:val="auto"/>
        </w:rPr>
        <w:t>Borrowings from debt</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Repayment of borrowings from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803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80" w:lineRule="exact"/>
        <w:rPr>
          <w:sz w:val="20"/>
          <w:szCs w:val="20"/>
          <w:color w:val="auto"/>
        </w:rPr>
      </w:pPr>
    </w:p>
    <w:p>
      <w:pPr>
        <w:ind w:left="60"/>
        <w:spacing w:after="0"/>
        <w:rPr>
          <w:sz w:val="20"/>
          <w:szCs w:val="20"/>
          <w:color w:val="auto"/>
        </w:rPr>
      </w:pPr>
      <w:r>
        <w:rPr>
          <w:rFonts w:ascii="Arial" w:cs="Arial" w:eastAsia="Arial" w:hAnsi="Arial"/>
          <w:sz w:val="16"/>
          <w:szCs w:val="16"/>
          <w:color w:val="auto"/>
        </w:rPr>
        <w:t>Changes in book cash overdrafts</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Repayment of finance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2228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6"/>
          <w:szCs w:val="16"/>
          <w:color w:val="auto"/>
        </w:rPr>
        <w:t>Cash paid to settle the contingent consideration liability</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Net cash (used in)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Effect of exchange rate changes on cash and cash equivalents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ind w:right="21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2025</w:t>
      </w:r>
    </w:p>
    <w:p>
      <w:pPr>
        <w:spacing w:after="0" w:line="113" w:lineRule="exact"/>
        <w:rPr>
          <w:sz w:val="20"/>
          <w:szCs w:val="20"/>
          <w:color w:val="auto"/>
        </w:rPr>
      </w:pPr>
    </w:p>
    <w:p>
      <w:pPr>
        <w:ind w:left="540" w:hanging="360"/>
        <w:spacing w:after="0"/>
        <w:tabs>
          <w:tab w:leader="none" w:pos="540" w:val="left"/>
        </w:tabs>
        <w:numPr>
          <w:ilvl w:val="0"/>
          <w:numId w:val="5"/>
        </w:numPr>
        <w:rPr>
          <w:rFonts w:ascii="Arial" w:cs="Arial" w:eastAsia="Arial" w:hAnsi="Arial"/>
          <w:sz w:val="15"/>
          <w:szCs w:val="15"/>
          <w:color w:val="auto"/>
        </w:rPr>
      </w:pPr>
      <w:r>
        <w:rPr>
          <w:rFonts w:ascii="Arial" w:cs="Arial" w:eastAsia="Arial" w:hAnsi="Arial"/>
          <w:sz w:val="15"/>
          <w:szCs w:val="15"/>
          <w:color w:val="auto"/>
        </w:rPr>
        <w:t>175.0</w:t>
      </w:r>
    </w:p>
    <w:p>
      <w:pPr>
        <w:spacing w:after="0" w:line="151" w:lineRule="exact"/>
        <w:rPr>
          <w:rFonts w:ascii="Arial" w:cs="Arial" w:eastAsia="Arial" w:hAnsi="Arial"/>
          <w:sz w:val="15"/>
          <w:szCs w:val="15"/>
          <w:color w:val="auto"/>
        </w:rPr>
      </w:pPr>
    </w:p>
    <w:p>
      <w:pPr>
        <w:ind w:left="520"/>
        <w:spacing w:after="0"/>
        <w:rPr>
          <w:rFonts w:ascii="Arial" w:cs="Arial" w:eastAsia="Arial" w:hAnsi="Arial"/>
          <w:sz w:val="15"/>
          <w:szCs w:val="15"/>
          <w:color w:val="auto"/>
        </w:rPr>
      </w:pPr>
      <w:r>
        <w:rPr>
          <w:rFonts w:ascii="Arial" w:cs="Arial" w:eastAsia="Arial" w:hAnsi="Arial"/>
          <w:sz w:val="16"/>
          <w:szCs w:val="16"/>
          <w:color w:val="auto"/>
        </w:rPr>
        <w:t>(24.8)</w:t>
      </w:r>
    </w:p>
    <w:p>
      <w:pPr>
        <w:spacing w:after="0" w:line="99" w:lineRule="exact"/>
        <w:rPr>
          <w:rFonts w:ascii="Arial" w:cs="Arial" w:eastAsia="Arial" w:hAnsi="Arial"/>
          <w:sz w:val="15"/>
          <w:szCs w:val="15"/>
          <w:color w:val="auto"/>
        </w:rPr>
      </w:pPr>
    </w:p>
    <w:p>
      <w:pPr>
        <w:ind w:left="520"/>
        <w:spacing w:after="0"/>
        <w:rPr>
          <w:rFonts w:ascii="Arial" w:cs="Arial" w:eastAsia="Arial" w:hAnsi="Arial"/>
          <w:sz w:val="15"/>
          <w:szCs w:val="15"/>
          <w:color w:val="auto"/>
        </w:rPr>
      </w:pPr>
      <w:r>
        <w:rPr>
          <w:rFonts w:ascii="Arial" w:cs="Arial" w:eastAsia="Arial" w:hAnsi="Arial"/>
          <w:sz w:val="16"/>
          <w:szCs w:val="16"/>
          <w:color w:val="auto"/>
        </w:rPr>
        <w:t>(18.6)</w:t>
      </w:r>
    </w:p>
    <w:p>
      <w:pPr>
        <w:spacing w:after="0" w:line="10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29210</wp:posOffset>
            </wp:positionV>
            <wp:extent cx="9855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66" w:lineRule="exact"/>
        <w:rPr>
          <w:sz w:val="20"/>
          <w:szCs w:val="20"/>
          <w:color w:val="auto"/>
        </w:rPr>
      </w:pPr>
    </w:p>
    <w:p>
      <w:pPr>
        <w:ind w:left="520" w:hanging="358"/>
        <w:spacing w:after="0"/>
        <w:tabs>
          <w:tab w:leader="none" w:pos="520" w:val="left"/>
        </w:tabs>
        <w:numPr>
          <w:ilvl w:val="0"/>
          <w:numId w:val="6"/>
        </w:numPr>
        <w:rPr>
          <w:rFonts w:ascii="Arial" w:cs="Arial" w:eastAsia="Arial" w:hAnsi="Arial"/>
          <w:sz w:val="16"/>
          <w:szCs w:val="16"/>
          <w:color w:val="auto"/>
        </w:rPr>
      </w:pPr>
      <w:r>
        <w:rPr>
          <w:rFonts w:ascii="Arial" w:cs="Arial" w:eastAsia="Arial" w:hAnsi="Arial"/>
          <w:sz w:val="16"/>
          <w:szCs w:val="16"/>
          <w:color w:val="auto"/>
        </w:rPr>
        <w:t>(43.3)</w:t>
      </w:r>
    </w:p>
    <w:p>
      <w:pPr>
        <w:spacing w:after="0" w:line="14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1.1</w:t>
      </w:r>
    </w:p>
    <w:p>
      <w:pPr>
        <w:spacing w:after="0" w:line="10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(27.2)</w:t>
      </w:r>
    </w:p>
    <w:p>
      <w:pPr>
        <w:spacing w:after="0" w:line="10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(16.5)</w:t>
      </w:r>
    </w:p>
    <w:p>
      <w:pPr>
        <w:spacing w:after="0" w:line="10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490.5</w:t>
      </w:r>
    </w:p>
    <w:p>
      <w:pPr>
        <w:spacing w:after="0" w:line="10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(512.0)</w:t>
      </w:r>
    </w:p>
    <w:p>
      <w:pPr>
        <w:spacing w:after="0" w:line="10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3.1</w:t>
      </w:r>
    </w:p>
    <w:p>
      <w:pPr>
        <w:spacing w:after="0" w:line="10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(1.1)</w:t>
      </w:r>
    </w:p>
    <w:p>
      <w:pPr>
        <w:spacing w:after="0" w:line="154"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(59.0)</w:t>
      </w:r>
    </w:p>
    <w:p>
      <w:pPr>
        <w:spacing w:after="0" w:line="86" w:lineRule="exact"/>
        <w:rPr>
          <w:sz w:val="20"/>
          <w:szCs w:val="20"/>
          <w:color w:val="auto"/>
        </w:rPr>
      </w:pPr>
    </w:p>
    <w:p>
      <w:pPr>
        <w:ind w:left="440" w:hanging="368"/>
        <w:spacing w:after="0"/>
        <w:tabs>
          <w:tab w:leader="none" w:pos="440" w:val="left"/>
        </w:tabs>
        <w:numPr>
          <w:ilvl w:val="0"/>
          <w:numId w:val="7"/>
        </w:numPr>
        <w:rPr>
          <w:rFonts w:ascii="Arial" w:cs="Arial" w:eastAsia="Arial" w:hAnsi="Arial"/>
          <w:sz w:val="15"/>
          <w:szCs w:val="15"/>
          <w:color w:val="auto"/>
        </w:rPr>
      </w:pPr>
      <w:r>
        <w:rPr>
          <w:rFonts w:ascii="Arial" w:cs="Arial" w:eastAsia="Arial" w:hAnsi="Arial"/>
          <w:sz w:val="15"/>
          <w:szCs w:val="15"/>
          <w:color w:val="auto"/>
        </w:rPr>
        <w:t>(121.2)</w:t>
      </w:r>
    </w:p>
    <w:p>
      <w:pPr>
        <w:spacing w:after="0" w:line="165" w:lineRule="exact"/>
        <w:rPr>
          <w:rFonts w:ascii="Arial" w:cs="Arial" w:eastAsia="Arial" w:hAnsi="Arial"/>
          <w:sz w:val="15"/>
          <w:szCs w:val="15"/>
          <w:color w:val="auto"/>
        </w:rPr>
      </w:pPr>
    </w:p>
    <w:p>
      <w:pPr>
        <w:ind w:left="780"/>
        <w:spacing w:after="0"/>
        <w:rPr>
          <w:rFonts w:ascii="Arial" w:cs="Arial" w:eastAsia="Arial" w:hAnsi="Arial"/>
          <w:sz w:val="15"/>
          <w:szCs w:val="15"/>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-175895</wp:posOffset>
            </wp:positionV>
            <wp:extent cx="9855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85520" cy="825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-149860</wp:posOffset>
            </wp:positionV>
            <wp:extent cx="9855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855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w:t>
      </w:r>
    </w:p>
    <w:p>
      <w:pPr>
        <w:spacing w:after="0" w:line="113" w:lineRule="exact"/>
        <w:rPr>
          <w:sz w:val="20"/>
          <w:szCs w:val="20"/>
          <w:color w:val="auto"/>
        </w:rPr>
      </w:pPr>
    </w:p>
    <w:p>
      <w:pPr>
        <w:ind w:left="640" w:hanging="368"/>
        <w:spacing w:after="0"/>
        <w:tabs>
          <w:tab w:leader="none" w:pos="640" w:val="left"/>
        </w:tabs>
        <w:numPr>
          <w:ilvl w:val="0"/>
          <w:numId w:val="8"/>
        </w:numPr>
        <w:rPr>
          <w:rFonts w:ascii="Arial" w:cs="Arial" w:eastAsia="Arial" w:hAnsi="Arial"/>
          <w:sz w:val="15"/>
          <w:szCs w:val="15"/>
          <w:color w:val="auto"/>
        </w:rPr>
      </w:pPr>
      <w:r>
        <w:rPr>
          <w:rFonts w:ascii="Arial" w:cs="Arial" w:eastAsia="Arial" w:hAnsi="Arial"/>
          <w:sz w:val="15"/>
          <w:szCs w:val="15"/>
          <w:color w:val="auto"/>
        </w:rPr>
        <w:t>79.5</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(15.4)</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(114.3)</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29210</wp:posOffset>
            </wp:positionV>
            <wp:extent cx="9861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66" w:lineRule="exact"/>
        <w:rPr>
          <w:sz w:val="20"/>
          <w:szCs w:val="20"/>
          <w:color w:val="auto"/>
        </w:rPr>
      </w:pPr>
    </w:p>
    <w:p>
      <w:pPr>
        <w:ind w:left="440" w:hanging="366"/>
        <w:spacing w:after="0"/>
        <w:tabs>
          <w:tab w:leader="none" w:pos="440" w:val="left"/>
        </w:tabs>
        <w:numPr>
          <w:ilvl w:val="0"/>
          <w:numId w:val="9"/>
        </w:numPr>
        <w:rPr>
          <w:rFonts w:ascii="Arial" w:cs="Arial" w:eastAsia="Arial" w:hAnsi="Arial"/>
          <w:sz w:val="15"/>
          <w:szCs w:val="15"/>
          <w:color w:val="auto"/>
        </w:rPr>
      </w:pPr>
      <w:r>
        <w:rPr>
          <w:rFonts w:ascii="Arial" w:cs="Arial" w:eastAsia="Arial" w:hAnsi="Arial"/>
          <w:sz w:val="15"/>
          <w:szCs w:val="15"/>
          <w:color w:val="auto"/>
        </w:rPr>
        <w:t>(129.4)</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0.8</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(14.1)</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356.0</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(290.1)</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23.5</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ind w:left="640" w:hanging="368"/>
        <w:spacing w:after="0"/>
        <w:tabs>
          <w:tab w:leader="none" w:pos="6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75.0</w:t>
      </w:r>
    </w:p>
    <w:p>
      <w:pPr>
        <w:spacing w:after="0" w:line="165" w:lineRule="exact"/>
        <w:rPr>
          <w:rFonts w:ascii="Arial" w:cs="Arial" w:eastAsia="Arial" w:hAnsi="Arial"/>
          <w:sz w:val="15"/>
          <w:szCs w:val="15"/>
          <w:color w:val="auto"/>
        </w:rPr>
      </w:pPr>
    </w:p>
    <w:p>
      <w:pPr>
        <w:ind w:left="720"/>
        <w:spacing w:after="0"/>
        <w:rPr>
          <w:rFonts w:ascii="Arial" w:cs="Arial" w:eastAsia="Arial" w:hAnsi="Arial"/>
          <w:sz w:val="15"/>
          <w:szCs w:val="15"/>
          <w:color w:val="auto"/>
        </w:rPr>
      </w:pPr>
      <w:r>
        <w:rPr>
          <w:rFonts w:ascii="Arial" w:cs="Arial" w:eastAsia="Arial" w:hAnsi="Arial"/>
          <w:sz w:val="15"/>
          <w:szCs w:val="15"/>
          <w:color w:val="auto"/>
        </w:rPr>
        <w:t>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-168275</wp:posOffset>
            </wp:positionV>
            <wp:extent cx="9861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86155" cy="8255"/>
                    </a:xfrm>
                    <a:prstGeom prst="rect">
                      <a:avLst/>
                    </a:prstGeom>
                    <a:noFill/>
                  </pic:spPr>
                </pic:pic>
              </a:graphicData>
            </a:graphic>
          </wp:anchor>
        </w:drawing>
        <w:drawing>
          <wp:anchor simplePos="0" relativeHeight="251657728" behindDoc="1" locked="0" layoutInCell="0" allowOverlap="1">
            <wp:simplePos x="0" y="0"/>
            <wp:positionH relativeFrom="column">
              <wp:posOffset>-375920</wp:posOffset>
            </wp:positionH>
            <wp:positionV relativeFrom="paragraph">
              <wp:posOffset>-142875</wp:posOffset>
            </wp:positionV>
            <wp:extent cx="9861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ectPr>
          <w:pgSz w:w="11900" w:h="16838" w:orient="portrait"/>
          <w:cols w:equalWidth="0" w:num="3">
            <w:col w:w="7780" w:space="720"/>
            <w:col w:w="1060" w:space="720"/>
            <w:col w:w="940"/>
          </w:cols>
          <w:pgMar w:left="320" w:top="885" w:right="35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20"/>
          <w:szCs w:val="20"/>
          <w:b w:val="1"/>
          <w:bCs w:val="1"/>
          <w:color w:val="0046AD"/>
        </w:rPr>
        <w:t>ABM INDUSTRIES INCORPORATED AND SUBSIDIARIES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SELECTED CONSOLIDATED CASH FLOW INFORMATION (UNAUDITED)</w:t>
      </w:r>
    </w:p>
    <w:p>
      <w:pPr>
        <w:spacing w:after="0" w:line="63" w:lineRule="exact"/>
        <w:rPr>
          <w:sz w:val="20"/>
          <w:szCs w:val="20"/>
          <w:color w:val="auto"/>
        </w:rPr>
      </w:pPr>
    </w:p>
    <w:p>
      <w:pPr>
        <w:ind w:left="8520"/>
        <w:spacing w:after="0"/>
        <w:rPr>
          <w:sz w:val="20"/>
          <w:szCs w:val="20"/>
          <w:color w:val="auto"/>
        </w:rPr>
      </w:pPr>
      <w:r>
        <w:rPr>
          <w:rFonts w:ascii="Arial" w:cs="Arial" w:eastAsia="Arial" w:hAnsi="Arial"/>
          <w:sz w:val="16"/>
          <w:szCs w:val="16"/>
          <w:b w:val="1"/>
          <w:bCs w:val="1"/>
          <w:color w:val="auto"/>
        </w:rPr>
        <w:t>Nine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29210</wp:posOffset>
            </wp:positionV>
            <wp:extent cx="20916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40" w:type="dxa"/>
            <w:vAlign w:val="bottom"/>
            <w:gridSpan w:val="3"/>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540" w:type="dxa"/>
            <w:vAlign w:val="bottom"/>
            <w:gridSpan w:val="2"/>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12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2024</w:t>
            </w:r>
          </w:p>
        </w:tc>
        <w:tc>
          <w:tcPr>
            <w:tcW w:w="560" w:type="dxa"/>
            <w:vAlign w:val="bottom"/>
          </w:tcPr>
          <w:p>
            <w:pPr>
              <w:spacing w:after="0"/>
              <w:rPr>
                <w:sz w:val="16"/>
                <w:szCs w:val="16"/>
                <w:color w:val="auto"/>
              </w:rPr>
            </w:pPr>
          </w:p>
        </w:tc>
      </w:tr>
      <w:tr>
        <w:trPr>
          <w:trHeight w:val="34"/>
        </w:trPr>
        <w:tc>
          <w:tcPr>
            <w:tcW w:w="60" w:type="dxa"/>
            <w:vAlign w:val="bottom"/>
            <w:tcBorders>
              <w:bottom w:val="single" w:sz="8" w:color="DCE2EF"/>
            </w:tcBorders>
          </w:tcPr>
          <w:p>
            <w:pPr>
              <w:spacing w:after="0"/>
              <w:rPr>
                <w:sz w:val="2"/>
                <w:szCs w:val="2"/>
                <w:color w:val="auto"/>
              </w:rPr>
            </w:pPr>
          </w:p>
        </w:tc>
        <w:tc>
          <w:tcPr>
            <w:tcW w:w="700" w:type="dxa"/>
            <w:vAlign w:val="bottom"/>
            <w:tcBorders>
              <w:top w:val="single" w:sz="8" w:color="auto"/>
              <w:bottom w:val="single" w:sz="8" w:color="DCE2EF"/>
            </w:tcBorders>
          </w:tcPr>
          <w:p>
            <w:pPr>
              <w:spacing w:after="0"/>
              <w:rPr>
                <w:sz w:val="2"/>
                <w:szCs w:val="2"/>
                <w:color w:val="auto"/>
              </w:rPr>
            </w:pPr>
          </w:p>
        </w:tc>
        <w:tc>
          <w:tcPr>
            <w:tcW w:w="7180" w:type="dxa"/>
            <w:vAlign w:val="bottom"/>
            <w:tcBorders>
              <w:bottom w:val="single" w:sz="8" w:color="DCE2E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DCE2E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304"/>
        </w:trPr>
        <w:tc>
          <w:tcPr>
            <w:tcW w:w="7940" w:type="dxa"/>
            <w:vAlign w:val="bottom"/>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Net cash provided by operating activities</w:t>
            </w:r>
          </w:p>
        </w:tc>
        <w:tc>
          <w:tcPr>
            <w:tcW w:w="8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101.0</w:t>
            </w:r>
          </w:p>
        </w:tc>
        <w:tc>
          <w:tcPr>
            <w:tcW w:w="1200" w:type="dxa"/>
            <w:vAlign w:val="bottom"/>
            <w:gridSpan w:val="2"/>
            <w:shd w:val="clear" w:color="auto" w:fill="DCE2EF"/>
          </w:tcPr>
          <w:p>
            <w:pPr>
              <w:jc w:val="right"/>
              <w:ind w:right="120"/>
              <w:spacing w:after="0"/>
              <w:rPr>
                <w:sz w:val="20"/>
                <w:szCs w:val="20"/>
                <w:color w:val="auto"/>
              </w:rPr>
            </w:pPr>
            <w:r>
              <w:rPr>
                <w:rFonts w:ascii="Arial" w:cs="Arial" w:eastAsia="Arial" w:hAnsi="Arial"/>
                <w:sz w:val="16"/>
                <w:szCs w:val="16"/>
                <w:color w:val="auto"/>
              </w:rPr>
              <w:t>$</w:t>
            </w: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196.3</w:t>
            </w:r>
          </w:p>
        </w:tc>
      </w:tr>
      <w:tr>
        <w:trPr>
          <w:trHeight w:val="242"/>
        </w:trPr>
        <w:tc>
          <w:tcPr>
            <w:tcW w:w="7940" w:type="dxa"/>
            <w:vAlign w:val="bottom"/>
            <w:tcBorders>
              <w:top w:val="single" w:sz="8" w:color="DCE2EF"/>
            </w:tcBorders>
            <w:gridSpan w:val="3"/>
          </w:tcPr>
          <w:p>
            <w:pPr>
              <w:ind w:left="60"/>
              <w:spacing w:after="0"/>
              <w:rPr>
                <w:sz w:val="20"/>
                <w:szCs w:val="20"/>
                <w:color w:val="auto"/>
              </w:rPr>
            </w:pPr>
            <w:r>
              <w:rPr>
                <w:rFonts w:ascii="Arial" w:cs="Arial" w:eastAsia="Arial" w:hAnsi="Arial"/>
                <w:sz w:val="16"/>
                <w:szCs w:val="16"/>
                <w:color w:val="auto"/>
              </w:rPr>
              <w:t>Additions to property, plant and equipment</w:t>
            </w:r>
          </w:p>
        </w:tc>
        <w:tc>
          <w:tcPr>
            <w:tcW w:w="86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(58.6)</w:t>
            </w:r>
          </w:p>
        </w:tc>
        <w:tc>
          <w:tcPr>
            <w:tcW w:w="220" w:type="dxa"/>
            <w:vAlign w:val="bottom"/>
            <w:tcBorders>
              <w:top w:val="single" w:sz="8" w:color="DCE2EF"/>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(44.6)</w:t>
            </w:r>
          </w:p>
        </w:tc>
      </w:tr>
      <w:tr>
        <w:trPr>
          <w:trHeight w:val="291"/>
        </w:trPr>
        <w:tc>
          <w:tcPr>
            <w:tcW w:w="794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Purchase of businesses, net of cash acquired</w:t>
            </w:r>
          </w:p>
        </w:tc>
        <w:tc>
          <w:tcPr>
            <w:tcW w:w="860" w:type="dxa"/>
            <w:vAlign w:val="bottom"/>
            <w:shd w:val="clear" w:color="auto" w:fill="DCE2EF"/>
          </w:tcPr>
          <w:p>
            <w:pPr>
              <w:spacing w:after="0"/>
              <w:rPr>
                <w:sz w:val="24"/>
                <w:szCs w:val="24"/>
                <w:color w:val="auto"/>
              </w:rPr>
            </w:pPr>
          </w:p>
        </w:tc>
        <w:tc>
          <w:tcPr>
            <w:tcW w:w="6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(16.7)</w:t>
            </w:r>
          </w:p>
        </w:tc>
        <w:tc>
          <w:tcPr>
            <w:tcW w:w="220" w:type="dxa"/>
            <w:vAlign w:val="bottom"/>
            <w:shd w:val="clear" w:color="auto" w:fill="DCE2EF"/>
          </w:tcPr>
          <w:p>
            <w:pPr>
              <w:spacing w:after="0"/>
              <w:rPr>
                <w:sz w:val="24"/>
                <w:szCs w:val="24"/>
                <w:color w:val="auto"/>
              </w:rPr>
            </w:pPr>
          </w:p>
        </w:tc>
        <w:tc>
          <w:tcPr>
            <w:tcW w:w="98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(114.3)</w:t>
            </w:r>
          </w:p>
        </w:tc>
      </w:tr>
      <w:tr>
        <w:trPr>
          <w:trHeight w:val="283"/>
        </w:trPr>
        <w:tc>
          <w:tcPr>
            <w:tcW w:w="7940" w:type="dxa"/>
            <w:vAlign w:val="bottom"/>
            <w:gridSpan w:val="3"/>
          </w:tcPr>
          <w:p>
            <w:pPr>
              <w:ind w:left="60"/>
              <w:spacing w:after="0"/>
              <w:rPr>
                <w:sz w:val="20"/>
                <w:szCs w:val="20"/>
                <w:color w:val="auto"/>
              </w:rPr>
            </w:pPr>
            <w:r>
              <w:rPr>
                <w:rFonts w:ascii="Arial" w:cs="Arial" w:eastAsia="Arial" w:hAnsi="Arial"/>
                <w:sz w:val="16"/>
                <w:szCs w:val="16"/>
                <w:color w:val="auto"/>
              </w:rPr>
              <w:t>Other</w:t>
            </w:r>
          </w:p>
        </w:tc>
        <w:tc>
          <w:tcPr>
            <w:tcW w:w="8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2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r>
      <w:tr>
        <w:trPr>
          <w:trHeight w:val="310"/>
        </w:trPr>
        <w:tc>
          <w:tcPr>
            <w:tcW w:w="794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Net cash used in investing activities</w:t>
            </w:r>
          </w:p>
        </w:tc>
        <w:tc>
          <w:tcPr>
            <w:tcW w:w="8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(74.8)</w:t>
            </w:r>
          </w:p>
        </w:tc>
        <w:tc>
          <w:tcPr>
            <w:tcW w:w="1200" w:type="dxa"/>
            <w:vAlign w:val="bottom"/>
            <w:tcBorders>
              <w:bottom w:val="single" w:sz="8" w:color="DCE2EF"/>
            </w:tcBorders>
            <w:gridSpan w:val="2"/>
            <w:shd w:val="clear" w:color="auto" w:fill="DCE2EF"/>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(157.9)</w:t>
            </w:r>
          </w:p>
        </w:tc>
      </w:tr>
      <w:tr>
        <w:trPr>
          <w:trHeight w:val="242"/>
        </w:trPr>
        <w:tc>
          <w:tcPr>
            <w:tcW w:w="7940" w:type="dxa"/>
            <w:vAlign w:val="bottom"/>
            <w:tcBorders>
              <w:top w:val="single" w:sz="8" w:color="DCE2EF"/>
            </w:tcBorders>
            <w:gridSpan w:val="3"/>
          </w:tcPr>
          <w:p>
            <w:pPr>
              <w:ind w:left="60"/>
              <w:spacing w:after="0"/>
              <w:rPr>
                <w:sz w:val="20"/>
                <w:szCs w:val="20"/>
                <w:color w:val="auto"/>
              </w:rPr>
            </w:pPr>
            <w:r>
              <w:rPr>
                <w:rFonts w:ascii="Arial" w:cs="Arial" w:eastAsia="Arial" w:hAnsi="Arial"/>
                <w:sz w:val="16"/>
                <w:szCs w:val="16"/>
                <w:color w:val="auto"/>
              </w:rPr>
              <w:t>Taxes withheld from issuance of share-based compensation awards, net</w:t>
            </w:r>
          </w:p>
        </w:tc>
        <w:tc>
          <w:tcPr>
            <w:tcW w:w="86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220" w:type="dxa"/>
            <w:vAlign w:val="bottom"/>
            <w:tcBorders>
              <w:top w:val="single" w:sz="8" w:color="DCE2EF"/>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w:t>
            </w:r>
          </w:p>
        </w:tc>
      </w:tr>
      <w:tr>
        <w:trPr>
          <w:trHeight w:val="291"/>
        </w:trPr>
        <w:tc>
          <w:tcPr>
            <w:tcW w:w="794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Repurchases of common stock, including excise taxes</w:t>
            </w:r>
          </w:p>
        </w:tc>
        <w:tc>
          <w:tcPr>
            <w:tcW w:w="860" w:type="dxa"/>
            <w:vAlign w:val="bottom"/>
            <w:shd w:val="clear" w:color="auto" w:fill="DCE2EF"/>
          </w:tcPr>
          <w:p>
            <w:pPr>
              <w:spacing w:after="0"/>
              <w:rPr>
                <w:sz w:val="24"/>
                <w:szCs w:val="24"/>
                <w:color w:val="auto"/>
              </w:rPr>
            </w:pPr>
          </w:p>
        </w:tc>
        <w:tc>
          <w:tcPr>
            <w:tcW w:w="6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(48.5)</w:t>
            </w:r>
          </w:p>
        </w:tc>
        <w:tc>
          <w:tcPr>
            <w:tcW w:w="220" w:type="dxa"/>
            <w:vAlign w:val="bottom"/>
            <w:shd w:val="clear" w:color="auto" w:fill="DCE2EF"/>
          </w:tcPr>
          <w:p>
            <w:pPr>
              <w:spacing w:after="0"/>
              <w:rPr>
                <w:sz w:val="24"/>
                <w:szCs w:val="24"/>
                <w:color w:val="auto"/>
              </w:rPr>
            </w:pPr>
          </w:p>
        </w:tc>
        <w:tc>
          <w:tcPr>
            <w:tcW w:w="98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(23.8)</w:t>
            </w:r>
          </w:p>
        </w:tc>
      </w:tr>
      <w:tr>
        <w:trPr>
          <w:trHeight w:val="276"/>
        </w:trPr>
        <w:tc>
          <w:tcPr>
            <w:tcW w:w="7940" w:type="dxa"/>
            <w:vAlign w:val="bottom"/>
            <w:gridSpan w:val="3"/>
          </w:tcPr>
          <w:p>
            <w:pPr>
              <w:ind w:left="60"/>
              <w:spacing w:after="0"/>
              <w:rPr>
                <w:sz w:val="20"/>
                <w:szCs w:val="20"/>
                <w:color w:val="auto"/>
              </w:rPr>
            </w:pPr>
            <w:r>
              <w:rPr>
                <w:rFonts w:ascii="Arial" w:cs="Arial" w:eastAsia="Arial" w:hAnsi="Arial"/>
                <w:sz w:val="16"/>
                <w:szCs w:val="16"/>
                <w:color w:val="auto"/>
              </w:rPr>
              <w:t>Dividends paid</w:t>
            </w:r>
          </w:p>
        </w:tc>
        <w:tc>
          <w:tcPr>
            <w:tcW w:w="8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(49.4)</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(42.4)</w:t>
            </w:r>
          </w:p>
        </w:tc>
      </w:tr>
      <w:tr>
        <w:trPr>
          <w:trHeight w:val="291"/>
        </w:trPr>
        <w:tc>
          <w:tcPr>
            <w:tcW w:w="794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Deferred financing costs paid</w:t>
            </w:r>
          </w:p>
        </w:tc>
        <w:tc>
          <w:tcPr>
            <w:tcW w:w="860" w:type="dxa"/>
            <w:vAlign w:val="bottom"/>
            <w:shd w:val="clear" w:color="auto" w:fill="DCE2EF"/>
          </w:tcPr>
          <w:p>
            <w:pPr>
              <w:spacing w:after="0"/>
              <w:rPr>
                <w:sz w:val="24"/>
                <w:szCs w:val="24"/>
                <w:color w:val="auto"/>
              </w:rPr>
            </w:pPr>
          </w:p>
        </w:tc>
        <w:tc>
          <w:tcPr>
            <w:tcW w:w="6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(8.0)</w:t>
            </w:r>
          </w:p>
        </w:tc>
        <w:tc>
          <w:tcPr>
            <w:tcW w:w="220" w:type="dxa"/>
            <w:vAlign w:val="bottom"/>
            <w:shd w:val="clear" w:color="auto" w:fill="DCE2EF"/>
          </w:tcPr>
          <w:p>
            <w:pPr>
              <w:spacing w:after="0"/>
              <w:rPr>
                <w:sz w:val="24"/>
                <w:szCs w:val="24"/>
                <w:color w:val="auto"/>
              </w:rPr>
            </w:pPr>
          </w:p>
        </w:tc>
        <w:tc>
          <w:tcPr>
            <w:tcW w:w="98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r>
      <w:tr>
        <w:trPr>
          <w:trHeight w:val="276"/>
        </w:trPr>
        <w:tc>
          <w:tcPr>
            <w:tcW w:w="7940" w:type="dxa"/>
            <w:vAlign w:val="bottom"/>
            <w:gridSpan w:val="3"/>
          </w:tcPr>
          <w:p>
            <w:pPr>
              <w:ind w:left="60"/>
              <w:spacing w:after="0"/>
              <w:rPr>
                <w:sz w:val="20"/>
                <w:szCs w:val="20"/>
                <w:color w:val="auto"/>
              </w:rPr>
            </w:pPr>
            <w:r>
              <w:rPr>
                <w:rFonts w:ascii="Arial" w:cs="Arial" w:eastAsia="Arial" w:hAnsi="Arial"/>
                <w:sz w:val="16"/>
                <w:szCs w:val="16"/>
                <w:color w:val="auto"/>
              </w:rPr>
              <w:t>Borrowings from debt</w:t>
            </w:r>
          </w:p>
        </w:tc>
        <w:tc>
          <w:tcPr>
            <w:tcW w:w="8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1,409.3</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912.0</w:t>
            </w:r>
          </w:p>
        </w:tc>
      </w:tr>
      <w:tr>
        <w:trPr>
          <w:trHeight w:val="291"/>
        </w:trPr>
        <w:tc>
          <w:tcPr>
            <w:tcW w:w="794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Repayment of borrowings from debt</w:t>
            </w:r>
          </w:p>
        </w:tc>
        <w:tc>
          <w:tcPr>
            <w:tcW w:w="860" w:type="dxa"/>
            <w:vAlign w:val="bottom"/>
            <w:shd w:val="clear" w:color="auto" w:fill="DCE2EF"/>
          </w:tcPr>
          <w:p>
            <w:pPr>
              <w:spacing w:after="0"/>
              <w:rPr>
                <w:sz w:val="24"/>
                <w:szCs w:val="24"/>
                <w:color w:val="auto"/>
              </w:rPr>
            </w:pPr>
          </w:p>
        </w:tc>
        <w:tc>
          <w:tcPr>
            <w:tcW w:w="680" w:type="dxa"/>
            <w:vAlign w:val="bottom"/>
            <w:shd w:val="clear" w:color="auto" w:fill="DCE2EF"/>
          </w:tcPr>
          <w:p>
            <w:pPr>
              <w:jc w:val="right"/>
              <w:spacing w:after="0"/>
              <w:rPr>
                <w:sz w:val="20"/>
                <w:szCs w:val="20"/>
                <w:color w:val="auto"/>
              </w:rPr>
            </w:pPr>
            <w:r>
              <w:rPr>
                <w:rFonts w:ascii="Arial" w:cs="Arial" w:eastAsia="Arial" w:hAnsi="Arial"/>
                <w:sz w:val="16"/>
                <w:szCs w:val="16"/>
                <w:color w:val="auto"/>
                <w:w w:val="99"/>
              </w:rPr>
              <w:t>(1,212.0)</w:t>
            </w:r>
          </w:p>
        </w:tc>
        <w:tc>
          <w:tcPr>
            <w:tcW w:w="220" w:type="dxa"/>
            <w:vAlign w:val="bottom"/>
            <w:shd w:val="clear" w:color="auto" w:fill="DCE2EF"/>
          </w:tcPr>
          <w:p>
            <w:pPr>
              <w:spacing w:after="0"/>
              <w:rPr>
                <w:sz w:val="24"/>
                <w:szCs w:val="24"/>
                <w:color w:val="auto"/>
              </w:rPr>
            </w:pPr>
          </w:p>
        </w:tc>
        <w:tc>
          <w:tcPr>
            <w:tcW w:w="98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(887.4)</w:t>
            </w:r>
          </w:p>
        </w:tc>
      </w:tr>
      <w:tr>
        <w:trPr>
          <w:trHeight w:val="276"/>
        </w:trPr>
        <w:tc>
          <w:tcPr>
            <w:tcW w:w="7940" w:type="dxa"/>
            <w:vAlign w:val="bottom"/>
            <w:gridSpan w:val="3"/>
          </w:tcPr>
          <w:p>
            <w:pPr>
              <w:ind w:left="60"/>
              <w:spacing w:after="0"/>
              <w:rPr>
                <w:sz w:val="20"/>
                <w:szCs w:val="20"/>
                <w:color w:val="auto"/>
              </w:rPr>
            </w:pPr>
            <w:r>
              <w:rPr>
                <w:rFonts w:ascii="Arial" w:cs="Arial" w:eastAsia="Arial" w:hAnsi="Arial"/>
                <w:sz w:val="16"/>
                <w:szCs w:val="16"/>
                <w:color w:val="auto"/>
              </w:rPr>
              <w:t>Changes in book cash overdrafts</w:t>
            </w:r>
          </w:p>
        </w:tc>
        <w:tc>
          <w:tcPr>
            <w:tcW w:w="8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(43.0)</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29.5</w:t>
            </w:r>
          </w:p>
        </w:tc>
      </w:tr>
      <w:tr>
        <w:trPr>
          <w:trHeight w:val="291"/>
        </w:trPr>
        <w:tc>
          <w:tcPr>
            <w:tcW w:w="794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Repayment of finance lease obligations</w:t>
            </w:r>
          </w:p>
        </w:tc>
        <w:tc>
          <w:tcPr>
            <w:tcW w:w="860" w:type="dxa"/>
            <w:vAlign w:val="bottom"/>
            <w:shd w:val="clear" w:color="auto" w:fill="DCE2EF"/>
          </w:tcPr>
          <w:p>
            <w:pPr>
              <w:spacing w:after="0"/>
              <w:rPr>
                <w:sz w:val="24"/>
                <w:szCs w:val="24"/>
                <w:color w:val="auto"/>
              </w:rPr>
            </w:pPr>
          </w:p>
        </w:tc>
        <w:tc>
          <w:tcPr>
            <w:tcW w:w="6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(3.3)</w:t>
            </w:r>
          </w:p>
        </w:tc>
        <w:tc>
          <w:tcPr>
            <w:tcW w:w="220" w:type="dxa"/>
            <w:vAlign w:val="bottom"/>
            <w:shd w:val="clear" w:color="auto" w:fill="DCE2EF"/>
          </w:tcPr>
          <w:p>
            <w:pPr>
              <w:spacing w:after="0"/>
              <w:rPr>
                <w:sz w:val="24"/>
                <w:szCs w:val="24"/>
                <w:color w:val="auto"/>
              </w:rPr>
            </w:pPr>
          </w:p>
        </w:tc>
        <w:tc>
          <w:tcPr>
            <w:tcW w:w="98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(3.1)</w:t>
            </w:r>
          </w:p>
        </w:tc>
      </w:tr>
      <w:tr>
        <w:trPr>
          <w:trHeight w:val="337"/>
        </w:trPr>
        <w:tc>
          <w:tcPr>
            <w:tcW w:w="7940" w:type="dxa"/>
            <w:vAlign w:val="bottom"/>
            <w:gridSpan w:val="3"/>
          </w:tcPr>
          <w:p>
            <w:pPr>
              <w:ind w:left="60"/>
              <w:spacing w:after="0"/>
              <w:rPr>
                <w:sz w:val="20"/>
                <w:szCs w:val="20"/>
                <w:color w:val="auto"/>
              </w:rPr>
            </w:pPr>
            <w:r>
              <w:rPr>
                <w:rFonts w:ascii="Arial" w:cs="Arial" w:eastAsia="Arial" w:hAnsi="Arial"/>
                <w:sz w:val="16"/>
                <w:szCs w:val="16"/>
                <w:color w:val="auto"/>
              </w:rPr>
              <w:t>Cash paid to settle the contingent consideration liability</w:t>
            </w:r>
          </w:p>
        </w:tc>
        <w:tc>
          <w:tcPr>
            <w:tcW w:w="8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310"/>
        </w:trPr>
        <w:tc>
          <w:tcPr>
            <w:tcW w:w="794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Net cash used in financing activities</w:t>
            </w:r>
          </w:p>
        </w:tc>
        <w:tc>
          <w:tcPr>
            <w:tcW w:w="8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(22.5)</w:t>
            </w:r>
          </w:p>
        </w:tc>
        <w:tc>
          <w:tcPr>
            <w:tcW w:w="1200" w:type="dxa"/>
            <w:vAlign w:val="bottom"/>
            <w:tcBorders>
              <w:bottom w:val="single" w:sz="8" w:color="DCE2EF"/>
            </w:tcBorders>
            <w:gridSpan w:val="2"/>
            <w:shd w:val="clear" w:color="auto" w:fill="DCE2EF"/>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(23.0)</w:t>
            </w:r>
          </w:p>
        </w:tc>
      </w:tr>
      <w:tr>
        <w:trPr>
          <w:trHeight w:val="243"/>
        </w:trPr>
        <w:tc>
          <w:tcPr>
            <w:tcW w:w="7940" w:type="dxa"/>
            <w:vAlign w:val="bottom"/>
            <w:tcBorders>
              <w:top w:val="single" w:sz="8" w:color="DCE2EF"/>
            </w:tcBorders>
            <w:gridSpan w:val="3"/>
          </w:tcPr>
          <w:p>
            <w:pPr>
              <w:ind w:left="60"/>
              <w:spacing w:after="0"/>
              <w:rPr>
                <w:sz w:val="20"/>
                <w:szCs w:val="20"/>
                <w:color w:val="auto"/>
              </w:rPr>
            </w:pPr>
            <w:r>
              <w:rPr>
                <w:rFonts w:ascii="Arial" w:cs="Arial" w:eastAsia="Arial" w:hAnsi="Arial"/>
                <w:sz w:val="16"/>
                <w:szCs w:val="16"/>
                <w:b w:val="1"/>
                <w:bCs w:val="1"/>
                <w:color w:val="auto"/>
              </w:rPr>
              <w:t>Effect of exchange rate changes on cash and cash equivalents</w:t>
            </w:r>
          </w:p>
        </w:tc>
        <w:tc>
          <w:tcPr>
            <w:tcW w:w="86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20" w:type="dxa"/>
            <w:vAlign w:val="bottom"/>
            <w:tcBorders>
              <w:top w:val="single" w:sz="8" w:color="DCE2EF"/>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-2780665</wp:posOffset>
            </wp:positionV>
            <wp:extent cx="1460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-2754630</wp:posOffset>
            </wp:positionV>
            <wp:extent cx="1460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-2960370</wp:posOffset>
            </wp:positionV>
            <wp:extent cx="1460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-2043430</wp:posOffset>
            </wp:positionV>
            <wp:extent cx="1460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-2017395</wp:posOffset>
            </wp:positionV>
            <wp:extent cx="1460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-191770</wp:posOffset>
            </wp:positionV>
            <wp:extent cx="1460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-166370</wp:posOffset>
            </wp:positionV>
            <wp:extent cx="1460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13" w:name="page14"/>
    <w:bookmarkEnd w:id="13"/>
    <w:p>
      <w:pPr>
        <w:spacing w:after="0"/>
        <w:rPr>
          <w:sz w:val="20"/>
          <w:szCs w:val="20"/>
          <w:color w:val="auto"/>
        </w:rPr>
      </w:pPr>
      <w:r>
        <w:rPr>
          <w:rFonts w:ascii="Arial" w:cs="Arial" w:eastAsia="Arial" w:hAnsi="Arial"/>
          <w:sz w:val="20"/>
          <w:szCs w:val="20"/>
          <w:b w:val="1"/>
          <w:bCs w:val="1"/>
          <w:color w:val="0046AD"/>
        </w:rPr>
        <w:t>ABM INDUSTRIES INCORPORATED AND SUBSIDIARIES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CONDENSED CONSOLIDATED BALANCE SHEET INFORMATION (UNAUDITED)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40" w:type="dxa"/>
            <w:vAlign w:val="bottom"/>
            <w:gridSpan w:val="3"/>
          </w:tcPr>
          <w:p>
            <w:pPr>
              <w:ind w:left="6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1680" w:type="dxa"/>
            <w:vAlign w:val="bottom"/>
            <w:gridSpan w:val="3"/>
          </w:tcPr>
          <w:p>
            <w:pPr>
              <w:jc w:val="right"/>
              <w:ind w:right="259"/>
              <w:spacing w:after="0"/>
              <w:rPr>
                <w:sz w:val="20"/>
                <w:szCs w:val="20"/>
                <w:color w:val="auto"/>
              </w:rPr>
            </w:pPr>
            <w:r>
              <w:rPr>
                <w:rFonts w:ascii="Arial" w:cs="Arial" w:eastAsia="Arial" w:hAnsi="Arial"/>
                <w:sz w:val="16"/>
                <w:szCs w:val="16"/>
                <w:b w:val="1"/>
                <w:bCs w:val="1"/>
                <w:color w:val="auto"/>
              </w:rPr>
              <w:t>July 31, 2025</w:t>
            </w:r>
          </w:p>
        </w:tc>
        <w:tc>
          <w:tcPr>
            <w:tcW w:w="240" w:type="dxa"/>
            <w:vAlign w:val="bottom"/>
          </w:tcPr>
          <w:p>
            <w:pPr>
              <w:spacing w:after="0"/>
              <w:rPr>
                <w:sz w:val="17"/>
                <w:szCs w:val="17"/>
                <w:color w:val="auto"/>
              </w:rPr>
            </w:pPr>
          </w:p>
        </w:tc>
        <w:tc>
          <w:tcPr>
            <w:tcW w:w="168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October 31, 2024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764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ASSETS</w:t>
            </w:r>
          </w:p>
        </w:tc>
        <w:tc>
          <w:tcPr>
            <w:tcW w:w="920" w:type="dxa"/>
            <w:vAlign w:val="bottom"/>
            <w:tcBorders>
              <w:bottom w:val="single" w:sz="8" w:color="DCE2EF"/>
            </w:tcBorders>
            <w:shd w:val="clear" w:color="auto" w:fill="DCE2EF"/>
          </w:tcPr>
          <w:p>
            <w:pPr>
              <w:spacing w:after="0"/>
              <w:rPr>
                <w:sz w:val="20"/>
                <w:szCs w:val="20"/>
                <w:color w:val="auto"/>
              </w:rPr>
            </w:pPr>
          </w:p>
        </w:tc>
        <w:tc>
          <w:tcPr>
            <w:tcW w:w="180" w:type="dxa"/>
            <w:vAlign w:val="bottom"/>
            <w:tcBorders>
              <w:bottom w:val="single" w:sz="8" w:color="DCE2EF"/>
            </w:tcBorders>
            <w:shd w:val="clear" w:color="auto" w:fill="DCE2EF"/>
          </w:tcPr>
          <w:p>
            <w:pPr>
              <w:spacing w:after="0"/>
              <w:rPr>
                <w:sz w:val="20"/>
                <w:szCs w:val="20"/>
                <w:color w:val="auto"/>
              </w:rPr>
            </w:pPr>
          </w:p>
        </w:tc>
        <w:tc>
          <w:tcPr>
            <w:tcW w:w="580" w:type="dxa"/>
            <w:vAlign w:val="bottom"/>
            <w:tcBorders>
              <w:bottom w:val="single" w:sz="8" w:color="DCE2EF"/>
            </w:tcBorders>
            <w:shd w:val="clear" w:color="auto" w:fill="DCE2EF"/>
          </w:tcPr>
          <w:p>
            <w:pPr>
              <w:spacing w:after="0"/>
              <w:rPr>
                <w:sz w:val="20"/>
                <w:szCs w:val="20"/>
                <w:color w:val="auto"/>
              </w:rPr>
            </w:pPr>
          </w:p>
        </w:tc>
        <w:tc>
          <w:tcPr>
            <w:tcW w:w="240" w:type="dxa"/>
            <w:vAlign w:val="bottom"/>
            <w:tcBorders>
              <w:bottom w:val="single" w:sz="8" w:color="DCE2EF"/>
            </w:tcBorders>
            <w:shd w:val="clear" w:color="auto" w:fill="DCE2EF"/>
          </w:tcPr>
          <w:p>
            <w:pPr>
              <w:spacing w:after="0"/>
              <w:rPr>
                <w:sz w:val="20"/>
                <w:szCs w:val="20"/>
                <w:color w:val="auto"/>
              </w:rPr>
            </w:pPr>
          </w:p>
        </w:tc>
        <w:tc>
          <w:tcPr>
            <w:tcW w:w="1100" w:type="dxa"/>
            <w:vAlign w:val="bottom"/>
            <w:tcBorders>
              <w:bottom w:val="single" w:sz="8" w:color="DCE2EF"/>
            </w:tcBorders>
            <w:shd w:val="clear" w:color="auto" w:fill="DCE2EF"/>
          </w:tcPr>
          <w:p>
            <w:pPr>
              <w:spacing w:after="0"/>
              <w:rPr>
                <w:sz w:val="20"/>
                <w:szCs w:val="20"/>
                <w:color w:val="auto"/>
              </w:rPr>
            </w:pPr>
          </w:p>
        </w:tc>
        <w:tc>
          <w:tcPr>
            <w:tcW w:w="580" w:type="dxa"/>
            <w:vAlign w:val="bottom"/>
            <w:tcBorders>
              <w:bottom w:val="single" w:sz="8" w:color="DCE2EF"/>
            </w:tcBorders>
            <w:shd w:val="clear" w:color="auto" w:fill="DCE2EF"/>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640" w:type="dxa"/>
            <w:vAlign w:val="bottom"/>
            <w:gridSpan w:val="3"/>
          </w:tcPr>
          <w:p>
            <w:pPr>
              <w:ind w:left="60"/>
              <w:spacing w:after="0"/>
              <w:rPr>
                <w:sz w:val="20"/>
                <w:szCs w:val="20"/>
                <w:color w:val="auto"/>
              </w:rPr>
            </w:pPr>
            <w:r>
              <w:rPr>
                <w:rFonts w:ascii="Arial" w:cs="Arial" w:eastAsia="Arial" w:hAnsi="Arial"/>
                <w:sz w:val="16"/>
                <w:szCs w:val="16"/>
                <w:color w:val="auto"/>
              </w:rPr>
              <w:t>Current assets</w:t>
            </w: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60" w:type="dxa"/>
            <w:vAlign w:val="bottom"/>
            <w:shd w:val="clear" w:color="auto" w:fill="DCE2EF"/>
          </w:tcPr>
          <w:p>
            <w:pPr>
              <w:spacing w:after="0"/>
              <w:rPr>
                <w:sz w:val="24"/>
                <w:szCs w:val="24"/>
                <w:color w:val="auto"/>
              </w:rPr>
            </w:pPr>
          </w:p>
        </w:tc>
        <w:tc>
          <w:tcPr>
            <w:tcW w:w="7580" w:type="dxa"/>
            <w:vAlign w:val="bottom"/>
            <w:gridSpan w:val="2"/>
            <w:shd w:val="clear" w:color="auto" w:fill="DCE2EF"/>
          </w:tcPr>
          <w:p>
            <w:pPr>
              <w:ind w:left="240"/>
              <w:spacing w:after="0"/>
              <w:rPr>
                <w:sz w:val="20"/>
                <w:szCs w:val="20"/>
                <w:color w:val="auto"/>
              </w:rPr>
            </w:pPr>
            <w:r>
              <w:rPr>
                <w:rFonts w:ascii="Arial" w:cs="Arial" w:eastAsia="Arial" w:hAnsi="Arial"/>
                <w:sz w:val="16"/>
                <w:szCs w:val="16"/>
                <w:color w:val="auto"/>
              </w:rPr>
              <w:t>Cash and cash equivalents</w:t>
            </w:r>
          </w:p>
        </w:tc>
        <w:tc>
          <w:tcPr>
            <w:tcW w:w="920" w:type="dxa"/>
            <w:vAlign w:val="bottom"/>
            <w:shd w:val="clear" w:color="auto" w:fill="DCE2EF"/>
          </w:tcPr>
          <w:p>
            <w:pPr>
              <w:spacing w:after="0"/>
              <w:rPr>
                <w:sz w:val="24"/>
                <w:szCs w:val="24"/>
                <w:color w:val="auto"/>
              </w:rPr>
            </w:pPr>
          </w:p>
        </w:tc>
        <w:tc>
          <w:tcPr>
            <w:tcW w:w="1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69.3</w:t>
            </w:r>
          </w:p>
        </w:tc>
        <w:tc>
          <w:tcPr>
            <w:tcW w:w="134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64.6</w:t>
            </w:r>
          </w:p>
        </w:tc>
        <w:tc>
          <w:tcPr>
            <w:tcW w:w="0" w:type="dxa"/>
            <w:vAlign w:val="bottom"/>
          </w:tcPr>
          <w:p>
            <w:pPr>
              <w:spacing w:after="0"/>
              <w:rPr>
                <w:sz w:val="1"/>
                <w:szCs w:val="1"/>
                <w:color w:val="auto"/>
              </w:rPr>
            </w:pPr>
          </w:p>
        </w:tc>
      </w:tr>
      <w:tr>
        <w:trPr>
          <w:trHeight w:val="276"/>
        </w:trPr>
        <w:tc>
          <w:tcPr>
            <w:tcW w:w="60" w:type="dxa"/>
            <w:vAlign w:val="bottom"/>
          </w:tcPr>
          <w:p>
            <w:pPr>
              <w:spacing w:after="0"/>
              <w:rPr>
                <w:sz w:val="23"/>
                <w:szCs w:val="23"/>
                <w:color w:val="auto"/>
              </w:rPr>
            </w:pPr>
          </w:p>
        </w:tc>
        <w:tc>
          <w:tcPr>
            <w:tcW w:w="7580" w:type="dxa"/>
            <w:vAlign w:val="bottom"/>
            <w:gridSpan w:val="2"/>
          </w:tcPr>
          <w:p>
            <w:pPr>
              <w:ind w:left="240"/>
              <w:spacing w:after="0"/>
              <w:rPr>
                <w:sz w:val="20"/>
                <w:szCs w:val="20"/>
                <w:color w:val="auto"/>
              </w:rPr>
            </w:pPr>
            <w:r>
              <w:rPr>
                <w:rFonts w:ascii="Arial" w:cs="Arial" w:eastAsia="Arial" w:hAnsi="Arial"/>
                <w:sz w:val="16"/>
                <w:szCs w:val="16"/>
                <w:color w:val="auto"/>
              </w:rPr>
              <w:t>Trade accounts receivable</w:t>
            </w: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1,495.0</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1,384.1</w:t>
            </w:r>
          </w:p>
        </w:tc>
        <w:tc>
          <w:tcPr>
            <w:tcW w:w="0" w:type="dxa"/>
            <w:vAlign w:val="bottom"/>
          </w:tcPr>
          <w:p>
            <w:pPr>
              <w:spacing w:after="0"/>
              <w:rPr>
                <w:sz w:val="1"/>
                <w:szCs w:val="1"/>
                <w:color w:val="auto"/>
              </w:rPr>
            </w:pPr>
          </w:p>
        </w:tc>
      </w:tr>
      <w:tr>
        <w:trPr>
          <w:trHeight w:val="291"/>
        </w:trPr>
        <w:tc>
          <w:tcPr>
            <w:tcW w:w="60" w:type="dxa"/>
            <w:vAlign w:val="bottom"/>
            <w:shd w:val="clear" w:color="auto" w:fill="DCE2EF"/>
          </w:tcPr>
          <w:p>
            <w:pPr>
              <w:spacing w:after="0"/>
              <w:rPr>
                <w:sz w:val="24"/>
                <w:szCs w:val="24"/>
                <w:color w:val="auto"/>
              </w:rPr>
            </w:pPr>
          </w:p>
        </w:tc>
        <w:tc>
          <w:tcPr>
            <w:tcW w:w="7580" w:type="dxa"/>
            <w:vAlign w:val="bottom"/>
            <w:gridSpan w:val="2"/>
            <w:shd w:val="clear" w:color="auto" w:fill="DCE2EF"/>
          </w:tcPr>
          <w:p>
            <w:pPr>
              <w:ind w:left="240"/>
              <w:spacing w:after="0"/>
              <w:rPr>
                <w:sz w:val="20"/>
                <w:szCs w:val="20"/>
                <w:color w:val="auto"/>
              </w:rPr>
            </w:pPr>
            <w:r>
              <w:rPr>
                <w:rFonts w:ascii="Arial" w:cs="Arial" w:eastAsia="Arial" w:hAnsi="Arial"/>
                <w:sz w:val="16"/>
                <w:szCs w:val="16"/>
                <w:color w:val="auto"/>
              </w:rPr>
              <w:t>Costs incurred in excess of amounts billed</w:t>
            </w:r>
          </w:p>
        </w:tc>
        <w:tc>
          <w:tcPr>
            <w:tcW w:w="92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159.1</w:t>
            </w:r>
          </w:p>
        </w:tc>
        <w:tc>
          <w:tcPr>
            <w:tcW w:w="240" w:type="dxa"/>
            <w:vAlign w:val="bottom"/>
            <w:shd w:val="clear" w:color="auto" w:fill="DCE2EF"/>
          </w:tcPr>
          <w:p>
            <w:pPr>
              <w:spacing w:after="0"/>
              <w:rPr>
                <w:sz w:val="24"/>
                <w:szCs w:val="24"/>
                <w:color w:val="auto"/>
              </w:rPr>
            </w:pPr>
          </w:p>
        </w:tc>
        <w:tc>
          <w:tcPr>
            <w:tcW w:w="110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162.1</w:t>
            </w:r>
          </w:p>
        </w:tc>
        <w:tc>
          <w:tcPr>
            <w:tcW w:w="0" w:type="dxa"/>
            <w:vAlign w:val="bottom"/>
          </w:tcPr>
          <w:p>
            <w:pPr>
              <w:spacing w:after="0"/>
              <w:rPr>
                <w:sz w:val="1"/>
                <w:szCs w:val="1"/>
                <w:color w:val="auto"/>
              </w:rPr>
            </w:pPr>
          </w:p>
        </w:tc>
      </w:tr>
      <w:tr>
        <w:trPr>
          <w:trHeight w:val="276"/>
        </w:trPr>
        <w:tc>
          <w:tcPr>
            <w:tcW w:w="60" w:type="dxa"/>
            <w:vAlign w:val="bottom"/>
          </w:tcPr>
          <w:p>
            <w:pPr>
              <w:spacing w:after="0"/>
              <w:rPr>
                <w:sz w:val="23"/>
                <w:szCs w:val="23"/>
                <w:color w:val="auto"/>
              </w:rPr>
            </w:pPr>
          </w:p>
        </w:tc>
        <w:tc>
          <w:tcPr>
            <w:tcW w:w="7580" w:type="dxa"/>
            <w:vAlign w:val="bottom"/>
            <w:gridSpan w:val="2"/>
          </w:tcPr>
          <w:p>
            <w:pPr>
              <w:ind w:left="240"/>
              <w:spacing w:after="0"/>
              <w:rPr>
                <w:sz w:val="20"/>
                <w:szCs w:val="20"/>
                <w:color w:val="auto"/>
              </w:rPr>
            </w:pPr>
            <w:r>
              <w:rPr>
                <w:rFonts w:ascii="Arial" w:cs="Arial" w:eastAsia="Arial" w:hAnsi="Arial"/>
                <w:sz w:val="16"/>
                <w:szCs w:val="16"/>
                <w:color w:val="auto"/>
              </w:rPr>
              <w:t>Prepaid expenses</w:t>
            </w: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155.7</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103.2</w:t>
            </w:r>
          </w:p>
        </w:tc>
        <w:tc>
          <w:tcPr>
            <w:tcW w:w="0" w:type="dxa"/>
            <w:vAlign w:val="bottom"/>
          </w:tcPr>
          <w:p>
            <w:pPr>
              <w:spacing w:after="0"/>
              <w:rPr>
                <w:sz w:val="1"/>
                <w:szCs w:val="1"/>
                <w:color w:val="auto"/>
              </w:rPr>
            </w:pPr>
          </w:p>
        </w:tc>
      </w:tr>
      <w:tr>
        <w:trPr>
          <w:trHeight w:val="290"/>
        </w:trPr>
        <w:tc>
          <w:tcPr>
            <w:tcW w:w="60" w:type="dxa"/>
            <w:vAlign w:val="bottom"/>
            <w:tcBorders>
              <w:bottom w:val="single" w:sz="8" w:color="DCE2EF"/>
            </w:tcBorders>
            <w:shd w:val="clear" w:color="auto" w:fill="DCE2EF"/>
          </w:tcPr>
          <w:p>
            <w:pPr>
              <w:spacing w:after="0"/>
              <w:rPr>
                <w:sz w:val="24"/>
                <w:szCs w:val="24"/>
                <w:color w:val="auto"/>
              </w:rPr>
            </w:pPr>
          </w:p>
        </w:tc>
        <w:tc>
          <w:tcPr>
            <w:tcW w:w="7580" w:type="dxa"/>
            <w:vAlign w:val="bottom"/>
            <w:tcBorders>
              <w:bottom w:val="single" w:sz="8" w:color="DCE2EF"/>
            </w:tcBorders>
            <w:gridSpan w:val="2"/>
            <w:shd w:val="clear" w:color="auto" w:fill="DCE2EF"/>
          </w:tcPr>
          <w:p>
            <w:pPr>
              <w:ind w:left="240"/>
              <w:spacing w:after="0"/>
              <w:rPr>
                <w:sz w:val="20"/>
                <w:szCs w:val="20"/>
                <w:color w:val="auto"/>
              </w:rPr>
            </w:pPr>
            <w:r>
              <w:rPr>
                <w:rFonts w:ascii="Arial" w:cs="Arial" w:eastAsia="Arial" w:hAnsi="Arial"/>
                <w:sz w:val="16"/>
                <w:szCs w:val="16"/>
                <w:color w:val="auto"/>
              </w:rPr>
              <w:t>Other current assets</w:t>
            </w:r>
          </w:p>
        </w:tc>
        <w:tc>
          <w:tcPr>
            <w:tcW w:w="920" w:type="dxa"/>
            <w:vAlign w:val="bottom"/>
            <w:tcBorders>
              <w:bottom w:val="single" w:sz="8" w:color="auto"/>
            </w:tcBorders>
            <w:shd w:val="clear" w:color="auto" w:fill="DCE2EF"/>
          </w:tcPr>
          <w:p>
            <w:pPr>
              <w:spacing w:after="0"/>
              <w:rPr>
                <w:sz w:val="24"/>
                <w:szCs w:val="24"/>
                <w:color w:val="auto"/>
              </w:rPr>
            </w:pPr>
          </w:p>
        </w:tc>
        <w:tc>
          <w:tcPr>
            <w:tcW w:w="18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72.5</w:t>
            </w:r>
          </w:p>
        </w:tc>
        <w:tc>
          <w:tcPr>
            <w:tcW w:w="240" w:type="dxa"/>
            <w:vAlign w:val="bottom"/>
            <w:tcBorders>
              <w:bottom w:val="single" w:sz="8" w:color="DCE2EF"/>
            </w:tcBorders>
            <w:shd w:val="clear" w:color="auto" w:fill="DCE2EF"/>
          </w:tcPr>
          <w:p>
            <w:pPr>
              <w:spacing w:after="0"/>
              <w:rPr>
                <w:sz w:val="24"/>
                <w:szCs w:val="24"/>
                <w:color w:val="auto"/>
              </w:rPr>
            </w:pPr>
          </w:p>
        </w:tc>
        <w:tc>
          <w:tcPr>
            <w:tcW w:w="110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74.8</w:t>
            </w:r>
          </w:p>
        </w:tc>
        <w:tc>
          <w:tcPr>
            <w:tcW w:w="0" w:type="dxa"/>
            <w:vAlign w:val="bottom"/>
          </w:tcPr>
          <w:p>
            <w:pPr>
              <w:spacing w:after="0"/>
              <w:rPr>
                <w:sz w:val="1"/>
                <w:szCs w:val="1"/>
                <w:color w:val="auto"/>
              </w:rPr>
            </w:pPr>
          </w:p>
        </w:tc>
      </w:tr>
      <w:tr>
        <w:trPr>
          <w:trHeight w:val="258"/>
        </w:trPr>
        <w:tc>
          <w:tcPr>
            <w:tcW w:w="60" w:type="dxa"/>
            <w:vAlign w:val="bottom"/>
          </w:tcPr>
          <w:p>
            <w:pPr>
              <w:spacing w:after="0"/>
              <w:rPr>
                <w:sz w:val="22"/>
                <w:szCs w:val="22"/>
                <w:color w:val="auto"/>
              </w:rPr>
            </w:pPr>
          </w:p>
        </w:tc>
        <w:tc>
          <w:tcPr>
            <w:tcW w:w="7580" w:type="dxa"/>
            <w:vAlign w:val="bottom"/>
            <w:gridSpan w:val="2"/>
          </w:tcPr>
          <w:p>
            <w:pPr>
              <w:ind w:left="480"/>
              <w:spacing w:after="0"/>
              <w:rPr>
                <w:sz w:val="20"/>
                <w:szCs w:val="20"/>
                <w:color w:val="auto"/>
              </w:rPr>
            </w:pPr>
            <w:r>
              <w:rPr>
                <w:rFonts w:ascii="Arial" w:cs="Arial" w:eastAsia="Arial" w:hAnsi="Arial"/>
                <w:sz w:val="16"/>
                <w:szCs w:val="16"/>
                <w:color w:val="auto"/>
              </w:rPr>
              <w:t>Total current assets</w:t>
            </w:r>
          </w:p>
        </w:tc>
        <w:tc>
          <w:tcPr>
            <w:tcW w:w="9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1,951.6</w:t>
            </w:r>
          </w:p>
        </w:tc>
        <w:tc>
          <w:tcPr>
            <w:tcW w:w="240" w:type="dxa"/>
            <w:vAlign w:val="bottom"/>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1,788.7</w:t>
            </w:r>
          </w:p>
        </w:tc>
        <w:tc>
          <w:tcPr>
            <w:tcW w:w="0" w:type="dxa"/>
            <w:vAlign w:val="bottom"/>
          </w:tcPr>
          <w:p>
            <w:pPr>
              <w:spacing w:after="0"/>
              <w:rPr>
                <w:sz w:val="1"/>
                <w:szCs w:val="1"/>
                <w:color w:val="auto"/>
              </w:rPr>
            </w:pPr>
          </w:p>
        </w:tc>
      </w:tr>
      <w:tr>
        <w:trPr>
          <w:trHeight w:val="250"/>
        </w:trPr>
        <w:tc>
          <w:tcPr>
            <w:tcW w:w="764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Other investments</w:t>
            </w:r>
          </w:p>
        </w:tc>
        <w:tc>
          <w:tcPr>
            <w:tcW w:w="920" w:type="dxa"/>
            <w:vAlign w:val="bottom"/>
            <w:tcBorders>
              <w:bottom w:val="single" w:sz="8" w:color="DCE2EF"/>
            </w:tcBorders>
            <w:shd w:val="clear" w:color="auto" w:fill="DCE2EF"/>
          </w:tcPr>
          <w:p>
            <w:pPr>
              <w:spacing w:after="0"/>
              <w:rPr>
                <w:sz w:val="21"/>
                <w:szCs w:val="21"/>
                <w:color w:val="auto"/>
              </w:rPr>
            </w:pPr>
          </w:p>
        </w:tc>
        <w:tc>
          <w:tcPr>
            <w:tcW w:w="180" w:type="dxa"/>
            <w:vAlign w:val="bottom"/>
            <w:tcBorders>
              <w:bottom w:val="single" w:sz="8" w:color="DCE2EF"/>
            </w:tcBorders>
            <w:shd w:val="clear" w:color="auto" w:fill="DCE2EF"/>
          </w:tcPr>
          <w:p>
            <w:pPr>
              <w:spacing w:after="0"/>
              <w:rPr>
                <w:sz w:val="21"/>
                <w:szCs w:val="21"/>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27.4</w:t>
            </w:r>
          </w:p>
        </w:tc>
        <w:tc>
          <w:tcPr>
            <w:tcW w:w="240" w:type="dxa"/>
            <w:vAlign w:val="bottom"/>
            <w:tcBorders>
              <w:bottom w:val="single" w:sz="8" w:color="DCE2EF"/>
            </w:tcBorders>
            <w:shd w:val="clear" w:color="auto" w:fill="DCE2EF"/>
          </w:tcPr>
          <w:p>
            <w:pPr>
              <w:spacing w:after="0"/>
              <w:rPr>
                <w:sz w:val="21"/>
                <w:szCs w:val="21"/>
                <w:color w:val="auto"/>
              </w:rPr>
            </w:pPr>
          </w:p>
        </w:tc>
        <w:tc>
          <w:tcPr>
            <w:tcW w:w="1100" w:type="dxa"/>
            <w:vAlign w:val="bottom"/>
            <w:tcBorders>
              <w:bottom w:val="single" w:sz="8" w:color="DCE2EF"/>
            </w:tcBorders>
            <w:shd w:val="clear" w:color="auto" w:fill="DCE2EF"/>
          </w:tcPr>
          <w:p>
            <w:pPr>
              <w:spacing w:after="0"/>
              <w:rPr>
                <w:sz w:val="21"/>
                <w:szCs w:val="21"/>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276"/>
        </w:trPr>
        <w:tc>
          <w:tcPr>
            <w:tcW w:w="7640" w:type="dxa"/>
            <w:vAlign w:val="bottom"/>
            <w:gridSpan w:val="3"/>
          </w:tcPr>
          <w:p>
            <w:pPr>
              <w:ind w:left="60"/>
              <w:spacing w:after="0"/>
              <w:rPr>
                <w:sz w:val="20"/>
                <w:szCs w:val="20"/>
                <w:color w:val="auto"/>
              </w:rPr>
            </w:pPr>
            <w:r>
              <w:rPr>
                <w:rFonts w:ascii="Arial" w:cs="Arial" w:eastAsia="Arial" w:hAnsi="Arial"/>
                <w:sz w:val="16"/>
                <w:szCs w:val="16"/>
                <w:color w:val="auto"/>
              </w:rPr>
              <w:t>Property, plant and equipment</w:t>
            </w: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170.6</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150.7</w:t>
            </w:r>
          </w:p>
        </w:tc>
        <w:tc>
          <w:tcPr>
            <w:tcW w:w="0" w:type="dxa"/>
            <w:vAlign w:val="bottom"/>
          </w:tcPr>
          <w:p>
            <w:pPr>
              <w:spacing w:after="0"/>
              <w:rPr>
                <w:sz w:val="1"/>
                <w:szCs w:val="1"/>
                <w:color w:val="auto"/>
              </w:rPr>
            </w:pPr>
          </w:p>
        </w:tc>
      </w:tr>
      <w:tr>
        <w:trPr>
          <w:trHeight w:val="291"/>
        </w:trPr>
        <w:tc>
          <w:tcPr>
            <w:tcW w:w="764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Right-of-use assets</w:t>
            </w:r>
          </w:p>
        </w:tc>
        <w:tc>
          <w:tcPr>
            <w:tcW w:w="92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96.3</w:t>
            </w:r>
          </w:p>
        </w:tc>
        <w:tc>
          <w:tcPr>
            <w:tcW w:w="240" w:type="dxa"/>
            <w:vAlign w:val="bottom"/>
            <w:shd w:val="clear" w:color="auto" w:fill="DCE2EF"/>
          </w:tcPr>
          <w:p>
            <w:pPr>
              <w:spacing w:after="0"/>
              <w:rPr>
                <w:sz w:val="24"/>
                <w:szCs w:val="24"/>
                <w:color w:val="auto"/>
              </w:rPr>
            </w:pPr>
          </w:p>
        </w:tc>
        <w:tc>
          <w:tcPr>
            <w:tcW w:w="110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101.2</w:t>
            </w:r>
          </w:p>
        </w:tc>
        <w:tc>
          <w:tcPr>
            <w:tcW w:w="0" w:type="dxa"/>
            <w:vAlign w:val="bottom"/>
          </w:tcPr>
          <w:p>
            <w:pPr>
              <w:spacing w:after="0"/>
              <w:rPr>
                <w:sz w:val="1"/>
                <w:szCs w:val="1"/>
                <w:color w:val="auto"/>
              </w:rPr>
            </w:pPr>
          </w:p>
        </w:tc>
      </w:tr>
      <w:tr>
        <w:trPr>
          <w:trHeight w:val="276"/>
        </w:trPr>
        <w:tc>
          <w:tcPr>
            <w:tcW w:w="7640" w:type="dxa"/>
            <w:vAlign w:val="bottom"/>
            <w:gridSpan w:val="3"/>
          </w:tcPr>
          <w:p>
            <w:pPr>
              <w:ind w:left="60"/>
              <w:spacing w:after="0"/>
              <w:rPr>
                <w:sz w:val="20"/>
                <w:szCs w:val="20"/>
                <w:color w:val="auto"/>
              </w:rPr>
            </w:pPr>
            <w:r>
              <w:rPr>
                <w:rFonts w:ascii="Arial" w:cs="Arial" w:eastAsia="Arial" w:hAnsi="Arial"/>
                <w:sz w:val="16"/>
                <w:szCs w:val="16"/>
                <w:color w:val="auto"/>
              </w:rPr>
              <w:t>Other intangible assets, net of accumulated amortization</w:t>
            </w: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255.6</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282.4</w:t>
            </w:r>
          </w:p>
        </w:tc>
        <w:tc>
          <w:tcPr>
            <w:tcW w:w="0" w:type="dxa"/>
            <w:vAlign w:val="bottom"/>
          </w:tcPr>
          <w:p>
            <w:pPr>
              <w:spacing w:after="0"/>
              <w:rPr>
                <w:sz w:val="1"/>
                <w:szCs w:val="1"/>
                <w:color w:val="auto"/>
              </w:rPr>
            </w:pPr>
          </w:p>
        </w:tc>
      </w:tr>
      <w:tr>
        <w:trPr>
          <w:trHeight w:val="291"/>
        </w:trPr>
        <w:tc>
          <w:tcPr>
            <w:tcW w:w="764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Goodwill</w:t>
            </w:r>
          </w:p>
        </w:tc>
        <w:tc>
          <w:tcPr>
            <w:tcW w:w="92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2,588.6</w:t>
            </w:r>
          </w:p>
        </w:tc>
        <w:tc>
          <w:tcPr>
            <w:tcW w:w="240" w:type="dxa"/>
            <w:vAlign w:val="bottom"/>
            <w:shd w:val="clear" w:color="auto" w:fill="DCE2EF"/>
          </w:tcPr>
          <w:p>
            <w:pPr>
              <w:spacing w:after="0"/>
              <w:rPr>
                <w:sz w:val="24"/>
                <w:szCs w:val="24"/>
                <w:color w:val="auto"/>
              </w:rPr>
            </w:pPr>
          </w:p>
        </w:tc>
        <w:tc>
          <w:tcPr>
            <w:tcW w:w="110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2,575.9</w:t>
            </w:r>
          </w:p>
        </w:tc>
        <w:tc>
          <w:tcPr>
            <w:tcW w:w="0" w:type="dxa"/>
            <w:vAlign w:val="bottom"/>
          </w:tcPr>
          <w:p>
            <w:pPr>
              <w:spacing w:after="0"/>
              <w:rPr>
                <w:sz w:val="1"/>
                <w:szCs w:val="1"/>
                <w:color w:val="auto"/>
              </w:rPr>
            </w:pPr>
          </w:p>
        </w:tc>
      </w:tr>
      <w:tr>
        <w:trPr>
          <w:trHeight w:val="283"/>
        </w:trPr>
        <w:tc>
          <w:tcPr>
            <w:tcW w:w="7640" w:type="dxa"/>
            <w:vAlign w:val="bottom"/>
            <w:gridSpan w:val="3"/>
          </w:tcPr>
          <w:p>
            <w:pPr>
              <w:ind w:left="60"/>
              <w:spacing w:after="0"/>
              <w:rPr>
                <w:sz w:val="20"/>
                <w:szCs w:val="20"/>
                <w:color w:val="auto"/>
              </w:rPr>
            </w:pPr>
            <w:r>
              <w:rPr>
                <w:rFonts w:ascii="Arial" w:cs="Arial" w:eastAsia="Arial" w:hAnsi="Arial"/>
                <w:sz w:val="16"/>
                <w:szCs w:val="16"/>
                <w:color w:val="auto"/>
              </w:rPr>
              <w:t>Other noncurrent assets</w:t>
            </w: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180.4</w:t>
            </w:r>
          </w:p>
        </w:tc>
        <w:tc>
          <w:tcPr>
            <w:tcW w:w="24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167.5</w:t>
            </w:r>
          </w:p>
        </w:tc>
        <w:tc>
          <w:tcPr>
            <w:tcW w:w="0" w:type="dxa"/>
            <w:vAlign w:val="bottom"/>
          </w:tcPr>
          <w:p>
            <w:pPr>
              <w:spacing w:after="0"/>
              <w:rPr>
                <w:sz w:val="1"/>
                <w:szCs w:val="1"/>
                <w:color w:val="auto"/>
              </w:rPr>
            </w:pPr>
          </w:p>
        </w:tc>
      </w:tr>
      <w:tr>
        <w:trPr>
          <w:trHeight w:val="310"/>
        </w:trPr>
        <w:tc>
          <w:tcPr>
            <w:tcW w:w="764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Total assets</w:t>
            </w:r>
          </w:p>
        </w:tc>
        <w:tc>
          <w:tcPr>
            <w:tcW w:w="92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5,270.5</w:t>
            </w:r>
          </w:p>
        </w:tc>
        <w:tc>
          <w:tcPr>
            <w:tcW w:w="1340" w:type="dxa"/>
            <w:vAlign w:val="bottom"/>
            <w:tcBorders>
              <w:bottom w:val="single" w:sz="8" w:color="DCE2EF"/>
            </w:tcBorders>
            <w:gridSpan w:val="2"/>
            <w:shd w:val="clear" w:color="auto" w:fill="DCE2EF"/>
          </w:tcPr>
          <w:p>
            <w:pPr>
              <w:jc w:val="right"/>
              <w:ind w:right="15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5,097.2</w:t>
            </w:r>
          </w:p>
        </w:tc>
        <w:tc>
          <w:tcPr>
            <w:tcW w:w="0" w:type="dxa"/>
            <w:vAlign w:val="bottom"/>
          </w:tcPr>
          <w:p>
            <w:pPr>
              <w:spacing w:after="0"/>
              <w:rPr>
                <w:sz w:val="1"/>
                <w:szCs w:val="1"/>
                <w:color w:val="auto"/>
              </w:rPr>
            </w:pPr>
          </w:p>
        </w:tc>
      </w:tr>
      <w:tr>
        <w:trPr>
          <w:trHeight w:val="246"/>
        </w:trPr>
        <w:tc>
          <w:tcPr>
            <w:tcW w:w="7640" w:type="dxa"/>
            <w:vAlign w:val="bottom"/>
            <w:tcBorders>
              <w:top w:val="single" w:sz="8" w:color="DCE2EF"/>
            </w:tcBorders>
            <w:gridSpan w:val="3"/>
          </w:tcPr>
          <w:p>
            <w:pPr>
              <w:ind w:left="60"/>
              <w:spacing w:after="0"/>
              <w:rPr>
                <w:sz w:val="20"/>
                <w:szCs w:val="20"/>
                <w:color w:val="auto"/>
              </w:rPr>
            </w:pPr>
            <w:r>
              <w:rPr>
                <w:rFonts w:ascii="Arial" w:cs="Arial" w:eastAsia="Arial" w:hAnsi="Arial"/>
                <w:sz w:val="16"/>
                <w:szCs w:val="16"/>
                <w:b w:val="1"/>
                <w:bCs w:val="1"/>
                <w:color w:val="auto"/>
              </w:rPr>
              <w:t>LIABILITIES AND STOCKHOLDERS’ EQUITY</w:t>
            </w:r>
          </w:p>
        </w:tc>
        <w:tc>
          <w:tcPr>
            <w:tcW w:w="9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240" w:type="dxa"/>
            <w:vAlign w:val="bottom"/>
            <w:tcBorders>
              <w:top w:val="single" w:sz="8" w:color="DCE2EF"/>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764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Current liabilities</w:t>
            </w:r>
          </w:p>
        </w:tc>
        <w:tc>
          <w:tcPr>
            <w:tcW w:w="92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580" w:type="dxa"/>
            <w:vAlign w:val="bottom"/>
            <w:shd w:val="clear" w:color="auto" w:fill="DCE2EF"/>
          </w:tcPr>
          <w:p>
            <w:pPr>
              <w:spacing w:after="0"/>
              <w:rPr>
                <w:sz w:val="24"/>
                <w:szCs w:val="24"/>
                <w:color w:val="auto"/>
              </w:rPr>
            </w:pPr>
          </w:p>
        </w:tc>
        <w:tc>
          <w:tcPr>
            <w:tcW w:w="240" w:type="dxa"/>
            <w:vAlign w:val="bottom"/>
            <w:shd w:val="clear" w:color="auto" w:fill="DCE2EF"/>
          </w:tcPr>
          <w:p>
            <w:pPr>
              <w:spacing w:after="0"/>
              <w:rPr>
                <w:sz w:val="24"/>
                <w:szCs w:val="24"/>
                <w:color w:val="auto"/>
              </w:rPr>
            </w:pPr>
          </w:p>
        </w:tc>
        <w:tc>
          <w:tcPr>
            <w:tcW w:w="1100" w:type="dxa"/>
            <w:vAlign w:val="bottom"/>
            <w:shd w:val="clear" w:color="auto" w:fill="DCE2EF"/>
          </w:tcPr>
          <w:p>
            <w:pPr>
              <w:spacing w:after="0"/>
              <w:rPr>
                <w:sz w:val="24"/>
                <w:szCs w:val="24"/>
                <w:color w:val="auto"/>
              </w:rPr>
            </w:pPr>
          </w:p>
        </w:tc>
        <w:tc>
          <w:tcPr>
            <w:tcW w:w="580" w:type="dxa"/>
            <w:vAlign w:val="bottom"/>
            <w:shd w:val="clear" w:color="auto" w:fill="DCE2EF"/>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0" w:type="dxa"/>
            <w:vAlign w:val="bottom"/>
          </w:tcPr>
          <w:p>
            <w:pPr>
              <w:spacing w:after="0"/>
              <w:rPr>
                <w:sz w:val="23"/>
                <w:szCs w:val="23"/>
                <w:color w:val="auto"/>
              </w:rPr>
            </w:pPr>
          </w:p>
        </w:tc>
        <w:tc>
          <w:tcPr>
            <w:tcW w:w="7580" w:type="dxa"/>
            <w:vAlign w:val="bottom"/>
            <w:gridSpan w:val="2"/>
          </w:tcPr>
          <w:p>
            <w:pPr>
              <w:ind w:left="240"/>
              <w:spacing w:after="0"/>
              <w:rPr>
                <w:sz w:val="20"/>
                <w:szCs w:val="20"/>
                <w:color w:val="auto"/>
              </w:rPr>
            </w:pPr>
            <w:r>
              <w:rPr>
                <w:rFonts w:ascii="Arial" w:cs="Arial" w:eastAsia="Arial" w:hAnsi="Arial"/>
                <w:sz w:val="16"/>
                <w:szCs w:val="16"/>
                <w:color w:val="auto"/>
              </w:rPr>
              <w:t>Current portion of long-term debt, net</w:t>
            </w:r>
          </w:p>
        </w:tc>
        <w:tc>
          <w:tcPr>
            <w:tcW w:w="9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29.3</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91"/>
        </w:trPr>
        <w:tc>
          <w:tcPr>
            <w:tcW w:w="60" w:type="dxa"/>
            <w:vAlign w:val="bottom"/>
            <w:shd w:val="clear" w:color="auto" w:fill="DCE2EF"/>
          </w:tcPr>
          <w:p>
            <w:pPr>
              <w:spacing w:after="0"/>
              <w:rPr>
                <w:sz w:val="24"/>
                <w:szCs w:val="24"/>
                <w:color w:val="auto"/>
              </w:rPr>
            </w:pPr>
          </w:p>
        </w:tc>
        <w:tc>
          <w:tcPr>
            <w:tcW w:w="7580" w:type="dxa"/>
            <w:vAlign w:val="bottom"/>
            <w:gridSpan w:val="2"/>
            <w:shd w:val="clear" w:color="auto" w:fill="DCE2EF"/>
          </w:tcPr>
          <w:p>
            <w:pPr>
              <w:ind w:left="240"/>
              <w:spacing w:after="0"/>
              <w:rPr>
                <w:sz w:val="20"/>
                <w:szCs w:val="20"/>
                <w:color w:val="auto"/>
              </w:rPr>
            </w:pPr>
            <w:r>
              <w:rPr>
                <w:rFonts w:ascii="Arial" w:cs="Arial" w:eastAsia="Arial" w:hAnsi="Arial"/>
                <w:sz w:val="16"/>
                <w:szCs w:val="16"/>
                <w:color w:val="auto"/>
              </w:rPr>
              <w:t>Trade accounts payable</w:t>
            </w:r>
          </w:p>
        </w:tc>
        <w:tc>
          <w:tcPr>
            <w:tcW w:w="92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357.1</w:t>
            </w:r>
          </w:p>
        </w:tc>
        <w:tc>
          <w:tcPr>
            <w:tcW w:w="240" w:type="dxa"/>
            <w:vAlign w:val="bottom"/>
            <w:shd w:val="clear" w:color="auto" w:fill="DCE2EF"/>
          </w:tcPr>
          <w:p>
            <w:pPr>
              <w:spacing w:after="0"/>
              <w:rPr>
                <w:sz w:val="24"/>
                <w:szCs w:val="24"/>
                <w:color w:val="auto"/>
              </w:rPr>
            </w:pPr>
          </w:p>
        </w:tc>
        <w:tc>
          <w:tcPr>
            <w:tcW w:w="110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324.3</w:t>
            </w:r>
          </w:p>
        </w:tc>
        <w:tc>
          <w:tcPr>
            <w:tcW w:w="0" w:type="dxa"/>
            <w:vAlign w:val="bottom"/>
          </w:tcPr>
          <w:p>
            <w:pPr>
              <w:spacing w:after="0"/>
              <w:rPr>
                <w:sz w:val="1"/>
                <w:szCs w:val="1"/>
                <w:color w:val="auto"/>
              </w:rPr>
            </w:pPr>
          </w:p>
        </w:tc>
      </w:tr>
      <w:tr>
        <w:trPr>
          <w:trHeight w:val="276"/>
        </w:trPr>
        <w:tc>
          <w:tcPr>
            <w:tcW w:w="60" w:type="dxa"/>
            <w:vAlign w:val="bottom"/>
          </w:tcPr>
          <w:p>
            <w:pPr>
              <w:spacing w:after="0"/>
              <w:rPr>
                <w:sz w:val="23"/>
                <w:szCs w:val="23"/>
                <w:color w:val="auto"/>
              </w:rPr>
            </w:pPr>
          </w:p>
        </w:tc>
        <w:tc>
          <w:tcPr>
            <w:tcW w:w="7580" w:type="dxa"/>
            <w:vAlign w:val="bottom"/>
            <w:gridSpan w:val="2"/>
          </w:tcPr>
          <w:p>
            <w:pPr>
              <w:ind w:left="240"/>
              <w:spacing w:after="0"/>
              <w:rPr>
                <w:sz w:val="20"/>
                <w:szCs w:val="20"/>
                <w:color w:val="auto"/>
              </w:rPr>
            </w:pPr>
            <w:r>
              <w:rPr>
                <w:rFonts w:ascii="Arial" w:cs="Arial" w:eastAsia="Arial" w:hAnsi="Arial"/>
                <w:sz w:val="16"/>
                <w:szCs w:val="16"/>
                <w:color w:val="auto"/>
              </w:rPr>
              <w:t>Accrued compensation</w:t>
            </w: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243.3</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295.6</w:t>
            </w:r>
          </w:p>
        </w:tc>
        <w:tc>
          <w:tcPr>
            <w:tcW w:w="0" w:type="dxa"/>
            <w:vAlign w:val="bottom"/>
          </w:tcPr>
          <w:p>
            <w:pPr>
              <w:spacing w:after="0"/>
              <w:rPr>
                <w:sz w:val="1"/>
                <w:szCs w:val="1"/>
                <w:color w:val="auto"/>
              </w:rPr>
            </w:pPr>
          </w:p>
        </w:tc>
      </w:tr>
      <w:tr>
        <w:trPr>
          <w:trHeight w:val="291"/>
        </w:trPr>
        <w:tc>
          <w:tcPr>
            <w:tcW w:w="60" w:type="dxa"/>
            <w:vAlign w:val="bottom"/>
            <w:shd w:val="clear" w:color="auto" w:fill="DCE2EF"/>
          </w:tcPr>
          <w:p>
            <w:pPr>
              <w:spacing w:after="0"/>
              <w:rPr>
                <w:sz w:val="24"/>
                <w:szCs w:val="24"/>
                <w:color w:val="auto"/>
              </w:rPr>
            </w:pPr>
          </w:p>
        </w:tc>
        <w:tc>
          <w:tcPr>
            <w:tcW w:w="7580" w:type="dxa"/>
            <w:vAlign w:val="bottom"/>
            <w:gridSpan w:val="2"/>
            <w:shd w:val="clear" w:color="auto" w:fill="DCE2EF"/>
          </w:tcPr>
          <w:p>
            <w:pPr>
              <w:ind w:left="240"/>
              <w:spacing w:after="0"/>
              <w:rPr>
                <w:sz w:val="20"/>
                <w:szCs w:val="20"/>
                <w:color w:val="auto"/>
              </w:rPr>
            </w:pPr>
            <w:r>
              <w:rPr>
                <w:rFonts w:ascii="Arial" w:cs="Arial" w:eastAsia="Arial" w:hAnsi="Arial"/>
                <w:sz w:val="16"/>
                <w:szCs w:val="16"/>
                <w:color w:val="auto"/>
              </w:rPr>
              <w:t>Accrued taxes—other than income</w:t>
            </w:r>
          </w:p>
        </w:tc>
        <w:tc>
          <w:tcPr>
            <w:tcW w:w="92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41.4</w:t>
            </w:r>
          </w:p>
        </w:tc>
        <w:tc>
          <w:tcPr>
            <w:tcW w:w="240" w:type="dxa"/>
            <w:vAlign w:val="bottom"/>
            <w:shd w:val="clear" w:color="auto" w:fill="DCE2EF"/>
          </w:tcPr>
          <w:p>
            <w:pPr>
              <w:spacing w:after="0"/>
              <w:rPr>
                <w:sz w:val="24"/>
                <w:szCs w:val="24"/>
                <w:color w:val="auto"/>
              </w:rPr>
            </w:pPr>
          </w:p>
        </w:tc>
        <w:tc>
          <w:tcPr>
            <w:tcW w:w="110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56.2</w:t>
            </w:r>
          </w:p>
        </w:tc>
        <w:tc>
          <w:tcPr>
            <w:tcW w:w="0" w:type="dxa"/>
            <w:vAlign w:val="bottom"/>
          </w:tcPr>
          <w:p>
            <w:pPr>
              <w:spacing w:after="0"/>
              <w:rPr>
                <w:sz w:val="1"/>
                <w:szCs w:val="1"/>
                <w:color w:val="auto"/>
              </w:rPr>
            </w:pPr>
          </w:p>
        </w:tc>
      </w:tr>
      <w:tr>
        <w:trPr>
          <w:trHeight w:val="276"/>
        </w:trPr>
        <w:tc>
          <w:tcPr>
            <w:tcW w:w="60" w:type="dxa"/>
            <w:vAlign w:val="bottom"/>
          </w:tcPr>
          <w:p>
            <w:pPr>
              <w:spacing w:after="0"/>
              <w:rPr>
                <w:sz w:val="23"/>
                <w:szCs w:val="23"/>
                <w:color w:val="auto"/>
              </w:rPr>
            </w:pPr>
          </w:p>
        </w:tc>
        <w:tc>
          <w:tcPr>
            <w:tcW w:w="7580" w:type="dxa"/>
            <w:vAlign w:val="bottom"/>
            <w:gridSpan w:val="2"/>
          </w:tcPr>
          <w:p>
            <w:pPr>
              <w:ind w:left="240"/>
              <w:spacing w:after="0"/>
              <w:rPr>
                <w:sz w:val="20"/>
                <w:szCs w:val="20"/>
                <w:color w:val="auto"/>
              </w:rPr>
            </w:pPr>
            <w:r>
              <w:rPr>
                <w:rFonts w:ascii="Arial" w:cs="Arial" w:eastAsia="Arial" w:hAnsi="Arial"/>
                <w:sz w:val="16"/>
                <w:szCs w:val="16"/>
                <w:color w:val="auto"/>
              </w:rPr>
              <w:t>Deferred Revenue</w:t>
            </w: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79.0</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63.7</w:t>
            </w:r>
          </w:p>
        </w:tc>
        <w:tc>
          <w:tcPr>
            <w:tcW w:w="0" w:type="dxa"/>
            <w:vAlign w:val="bottom"/>
          </w:tcPr>
          <w:p>
            <w:pPr>
              <w:spacing w:after="0"/>
              <w:rPr>
                <w:sz w:val="1"/>
                <w:szCs w:val="1"/>
                <w:color w:val="auto"/>
              </w:rPr>
            </w:pPr>
          </w:p>
        </w:tc>
      </w:tr>
      <w:tr>
        <w:trPr>
          <w:trHeight w:val="291"/>
        </w:trPr>
        <w:tc>
          <w:tcPr>
            <w:tcW w:w="60" w:type="dxa"/>
            <w:vAlign w:val="bottom"/>
            <w:shd w:val="clear" w:color="auto" w:fill="DCE2EF"/>
          </w:tcPr>
          <w:p>
            <w:pPr>
              <w:spacing w:after="0"/>
              <w:rPr>
                <w:sz w:val="24"/>
                <w:szCs w:val="24"/>
                <w:color w:val="auto"/>
              </w:rPr>
            </w:pPr>
          </w:p>
        </w:tc>
        <w:tc>
          <w:tcPr>
            <w:tcW w:w="7580" w:type="dxa"/>
            <w:vAlign w:val="bottom"/>
            <w:gridSpan w:val="2"/>
            <w:shd w:val="clear" w:color="auto" w:fill="DCE2EF"/>
          </w:tcPr>
          <w:p>
            <w:pPr>
              <w:ind w:left="240"/>
              <w:spacing w:after="0"/>
              <w:rPr>
                <w:sz w:val="20"/>
                <w:szCs w:val="20"/>
                <w:color w:val="auto"/>
              </w:rPr>
            </w:pPr>
            <w:r>
              <w:rPr>
                <w:rFonts w:ascii="Arial" w:cs="Arial" w:eastAsia="Arial" w:hAnsi="Arial"/>
                <w:sz w:val="16"/>
                <w:szCs w:val="16"/>
                <w:color w:val="auto"/>
              </w:rPr>
              <w:t>Insurance claims</w:t>
            </w:r>
          </w:p>
        </w:tc>
        <w:tc>
          <w:tcPr>
            <w:tcW w:w="92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199.7</w:t>
            </w:r>
          </w:p>
        </w:tc>
        <w:tc>
          <w:tcPr>
            <w:tcW w:w="240" w:type="dxa"/>
            <w:vAlign w:val="bottom"/>
            <w:shd w:val="clear" w:color="auto" w:fill="DCE2EF"/>
          </w:tcPr>
          <w:p>
            <w:pPr>
              <w:spacing w:after="0"/>
              <w:rPr>
                <w:sz w:val="24"/>
                <w:szCs w:val="24"/>
                <w:color w:val="auto"/>
              </w:rPr>
            </w:pPr>
          </w:p>
        </w:tc>
        <w:tc>
          <w:tcPr>
            <w:tcW w:w="110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197.5</w:t>
            </w:r>
          </w:p>
        </w:tc>
        <w:tc>
          <w:tcPr>
            <w:tcW w:w="0" w:type="dxa"/>
            <w:vAlign w:val="bottom"/>
          </w:tcPr>
          <w:p>
            <w:pPr>
              <w:spacing w:after="0"/>
              <w:rPr>
                <w:sz w:val="1"/>
                <w:szCs w:val="1"/>
                <w:color w:val="auto"/>
              </w:rPr>
            </w:pPr>
          </w:p>
        </w:tc>
      </w:tr>
      <w:tr>
        <w:trPr>
          <w:trHeight w:val="276"/>
        </w:trPr>
        <w:tc>
          <w:tcPr>
            <w:tcW w:w="60" w:type="dxa"/>
            <w:vAlign w:val="bottom"/>
          </w:tcPr>
          <w:p>
            <w:pPr>
              <w:spacing w:after="0"/>
              <w:rPr>
                <w:sz w:val="23"/>
                <w:szCs w:val="23"/>
                <w:color w:val="auto"/>
              </w:rPr>
            </w:pPr>
          </w:p>
        </w:tc>
        <w:tc>
          <w:tcPr>
            <w:tcW w:w="7580" w:type="dxa"/>
            <w:vAlign w:val="bottom"/>
            <w:gridSpan w:val="2"/>
          </w:tcPr>
          <w:p>
            <w:pPr>
              <w:ind w:left="240"/>
              <w:spacing w:after="0"/>
              <w:rPr>
                <w:sz w:val="20"/>
                <w:szCs w:val="20"/>
                <w:color w:val="auto"/>
              </w:rPr>
            </w:pPr>
            <w:r>
              <w:rPr>
                <w:rFonts w:ascii="Arial" w:cs="Arial" w:eastAsia="Arial" w:hAnsi="Arial"/>
                <w:sz w:val="16"/>
                <w:szCs w:val="16"/>
                <w:color w:val="auto"/>
              </w:rPr>
              <w:t>Income taxes payable</w:t>
            </w: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4.3</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91"/>
        </w:trPr>
        <w:tc>
          <w:tcPr>
            <w:tcW w:w="60" w:type="dxa"/>
            <w:vAlign w:val="bottom"/>
            <w:shd w:val="clear" w:color="auto" w:fill="DCE2EF"/>
          </w:tcPr>
          <w:p>
            <w:pPr>
              <w:spacing w:after="0"/>
              <w:rPr>
                <w:sz w:val="24"/>
                <w:szCs w:val="24"/>
                <w:color w:val="auto"/>
              </w:rPr>
            </w:pPr>
          </w:p>
        </w:tc>
        <w:tc>
          <w:tcPr>
            <w:tcW w:w="7580" w:type="dxa"/>
            <w:vAlign w:val="bottom"/>
            <w:gridSpan w:val="2"/>
            <w:shd w:val="clear" w:color="auto" w:fill="DCE2EF"/>
          </w:tcPr>
          <w:p>
            <w:pPr>
              <w:ind w:left="240"/>
              <w:spacing w:after="0"/>
              <w:rPr>
                <w:sz w:val="20"/>
                <w:szCs w:val="20"/>
                <w:color w:val="auto"/>
              </w:rPr>
            </w:pPr>
            <w:r>
              <w:rPr>
                <w:rFonts w:ascii="Arial" w:cs="Arial" w:eastAsia="Arial" w:hAnsi="Arial"/>
                <w:sz w:val="16"/>
                <w:szCs w:val="16"/>
                <w:color w:val="auto"/>
              </w:rPr>
              <w:t>Current portion of lease liabilities</w:t>
            </w:r>
          </w:p>
        </w:tc>
        <w:tc>
          <w:tcPr>
            <w:tcW w:w="92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28.6</w:t>
            </w:r>
          </w:p>
        </w:tc>
        <w:tc>
          <w:tcPr>
            <w:tcW w:w="240" w:type="dxa"/>
            <w:vAlign w:val="bottom"/>
            <w:shd w:val="clear" w:color="auto" w:fill="DCE2EF"/>
          </w:tcPr>
          <w:p>
            <w:pPr>
              <w:spacing w:after="0"/>
              <w:rPr>
                <w:sz w:val="24"/>
                <w:szCs w:val="24"/>
                <w:color w:val="auto"/>
              </w:rPr>
            </w:pPr>
          </w:p>
        </w:tc>
        <w:tc>
          <w:tcPr>
            <w:tcW w:w="110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7580" w:type="dxa"/>
            <w:vAlign w:val="bottom"/>
            <w:gridSpan w:val="2"/>
          </w:tcPr>
          <w:p>
            <w:pPr>
              <w:ind w:left="240"/>
              <w:spacing w:after="0"/>
              <w:rPr>
                <w:sz w:val="20"/>
                <w:szCs w:val="20"/>
                <w:color w:val="auto"/>
              </w:rPr>
            </w:pPr>
            <w:r>
              <w:rPr>
                <w:rFonts w:ascii="Arial" w:cs="Arial" w:eastAsia="Arial" w:hAnsi="Arial"/>
                <w:sz w:val="16"/>
                <w:szCs w:val="16"/>
                <w:color w:val="auto"/>
              </w:rPr>
              <w:t>Other accrued liabilities</w:t>
            </w: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330.7</w:t>
            </w:r>
          </w:p>
        </w:tc>
        <w:tc>
          <w:tcPr>
            <w:tcW w:w="24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348.2</w:t>
            </w:r>
          </w:p>
        </w:tc>
        <w:tc>
          <w:tcPr>
            <w:tcW w:w="0" w:type="dxa"/>
            <w:vAlign w:val="bottom"/>
          </w:tcPr>
          <w:p>
            <w:pPr>
              <w:spacing w:after="0"/>
              <w:rPr>
                <w:sz w:val="1"/>
                <w:szCs w:val="1"/>
                <w:color w:val="auto"/>
              </w:rPr>
            </w:pPr>
          </w:p>
        </w:tc>
      </w:tr>
      <w:tr>
        <w:trPr>
          <w:trHeight w:val="258"/>
        </w:trPr>
        <w:tc>
          <w:tcPr>
            <w:tcW w:w="60" w:type="dxa"/>
            <w:vAlign w:val="bottom"/>
            <w:tcBorders>
              <w:bottom w:val="single" w:sz="8" w:color="DCE2EF"/>
            </w:tcBorders>
            <w:shd w:val="clear" w:color="auto" w:fill="DCE2EF"/>
          </w:tcPr>
          <w:p>
            <w:pPr>
              <w:spacing w:after="0"/>
              <w:rPr>
                <w:sz w:val="22"/>
                <w:szCs w:val="22"/>
                <w:color w:val="auto"/>
              </w:rPr>
            </w:pPr>
          </w:p>
        </w:tc>
        <w:tc>
          <w:tcPr>
            <w:tcW w:w="7580" w:type="dxa"/>
            <w:vAlign w:val="bottom"/>
            <w:tcBorders>
              <w:bottom w:val="single" w:sz="8" w:color="DCE2EF"/>
            </w:tcBorders>
            <w:gridSpan w:val="2"/>
            <w:shd w:val="clear" w:color="auto" w:fill="DCE2EF"/>
          </w:tcPr>
          <w:p>
            <w:pPr>
              <w:ind w:left="240"/>
              <w:spacing w:after="0"/>
              <w:rPr>
                <w:sz w:val="20"/>
                <w:szCs w:val="20"/>
                <w:color w:val="auto"/>
              </w:rPr>
            </w:pPr>
            <w:r>
              <w:rPr>
                <w:rFonts w:ascii="Arial" w:cs="Arial" w:eastAsia="Arial" w:hAnsi="Arial"/>
                <w:sz w:val="16"/>
                <w:szCs w:val="16"/>
                <w:color w:val="auto"/>
              </w:rPr>
              <w:t>Total current liabilities</w:t>
            </w:r>
          </w:p>
        </w:tc>
        <w:tc>
          <w:tcPr>
            <w:tcW w:w="920" w:type="dxa"/>
            <w:vAlign w:val="bottom"/>
            <w:tcBorders>
              <w:bottom w:val="single" w:sz="8" w:color="auto"/>
            </w:tcBorders>
            <w:shd w:val="clear" w:color="auto" w:fill="DCE2EF"/>
          </w:tcPr>
          <w:p>
            <w:pPr>
              <w:spacing w:after="0"/>
              <w:rPr>
                <w:sz w:val="22"/>
                <w:szCs w:val="22"/>
                <w:color w:val="auto"/>
              </w:rPr>
            </w:pPr>
          </w:p>
        </w:tc>
        <w:tc>
          <w:tcPr>
            <w:tcW w:w="180" w:type="dxa"/>
            <w:vAlign w:val="bottom"/>
            <w:tcBorders>
              <w:bottom w:val="single" w:sz="8" w:color="auto"/>
            </w:tcBorders>
            <w:shd w:val="clear" w:color="auto" w:fill="DCE2EF"/>
          </w:tcPr>
          <w:p>
            <w:pPr>
              <w:spacing w:after="0"/>
              <w:rPr>
                <w:sz w:val="22"/>
                <w:szCs w:val="22"/>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1,313.4</w:t>
            </w:r>
          </w:p>
        </w:tc>
        <w:tc>
          <w:tcPr>
            <w:tcW w:w="240" w:type="dxa"/>
            <w:vAlign w:val="bottom"/>
            <w:tcBorders>
              <w:bottom w:val="single" w:sz="8" w:color="DCE2EF"/>
            </w:tcBorders>
            <w:shd w:val="clear" w:color="auto" w:fill="DCE2EF"/>
          </w:tcPr>
          <w:p>
            <w:pPr>
              <w:spacing w:after="0"/>
              <w:rPr>
                <w:sz w:val="22"/>
                <w:szCs w:val="22"/>
                <w:color w:val="auto"/>
              </w:rPr>
            </w:pPr>
          </w:p>
        </w:tc>
        <w:tc>
          <w:tcPr>
            <w:tcW w:w="1100" w:type="dxa"/>
            <w:vAlign w:val="bottom"/>
            <w:tcBorders>
              <w:bottom w:val="single" w:sz="8" w:color="auto"/>
            </w:tcBorders>
            <w:shd w:val="clear" w:color="auto" w:fill="DCE2EF"/>
          </w:tcPr>
          <w:p>
            <w:pPr>
              <w:spacing w:after="0"/>
              <w:rPr>
                <w:sz w:val="22"/>
                <w:szCs w:val="22"/>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1,348.4</w:t>
            </w:r>
          </w:p>
        </w:tc>
        <w:tc>
          <w:tcPr>
            <w:tcW w:w="0" w:type="dxa"/>
            <w:vAlign w:val="bottom"/>
          </w:tcPr>
          <w:p>
            <w:pPr>
              <w:spacing w:after="0"/>
              <w:rPr>
                <w:sz w:val="1"/>
                <w:szCs w:val="1"/>
                <w:color w:val="auto"/>
              </w:rPr>
            </w:pPr>
          </w:p>
        </w:tc>
      </w:tr>
      <w:tr>
        <w:trPr>
          <w:trHeight w:val="241"/>
        </w:trPr>
        <w:tc>
          <w:tcPr>
            <w:tcW w:w="7640" w:type="dxa"/>
            <w:vAlign w:val="bottom"/>
            <w:gridSpan w:val="3"/>
          </w:tcPr>
          <w:p>
            <w:pPr>
              <w:ind w:left="60"/>
              <w:spacing w:after="0"/>
              <w:rPr>
                <w:sz w:val="20"/>
                <w:szCs w:val="20"/>
                <w:color w:val="auto"/>
              </w:rPr>
            </w:pPr>
            <w:r>
              <w:rPr>
                <w:rFonts w:ascii="Arial" w:cs="Arial" w:eastAsia="Arial" w:hAnsi="Arial"/>
                <w:sz w:val="16"/>
                <w:szCs w:val="16"/>
                <w:color w:val="auto"/>
              </w:rPr>
              <w:t>Long-term debt, net</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1,500.4</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1,302.2</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764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Long-term lease liabilities</w:t>
            </w:r>
          </w:p>
        </w:tc>
        <w:tc>
          <w:tcPr>
            <w:tcW w:w="92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84.1</w:t>
            </w:r>
          </w:p>
        </w:tc>
        <w:tc>
          <w:tcPr>
            <w:tcW w:w="240" w:type="dxa"/>
            <w:vAlign w:val="bottom"/>
            <w:shd w:val="clear" w:color="auto" w:fill="DCE2EF"/>
          </w:tcPr>
          <w:p>
            <w:pPr>
              <w:spacing w:after="0"/>
              <w:rPr>
                <w:sz w:val="24"/>
                <w:szCs w:val="24"/>
                <w:color w:val="auto"/>
              </w:rPr>
            </w:pPr>
          </w:p>
        </w:tc>
        <w:tc>
          <w:tcPr>
            <w:tcW w:w="110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92.0</w:t>
            </w:r>
          </w:p>
        </w:tc>
        <w:tc>
          <w:tcPr>
            <w:tcW w:w="0" w:type="dxa"/>
            <w:vAlign w:val="bottom"/>
          </w:tcPr>
          <w:p>
            <w:pPr>
              <w:spacing w:after="0"/>
              <w:rPr>
                <w:sz w:val="1"/>
                <w:szCs w:val="1"/>
                <w:color w:val="auto"/>
              </w:rPr>
            </w:pPr>
          </w:p>
        </w:tc>
      </w:tr>
      <w:tr>
        <w:trPr>
          <w:trHeight w:val="276"/>
        </w:trPr>
        <w:tc>
          <w:tcPr>
            <w:tcW w:w="7640" w:type="dxa"/>
            <w:vAlign w:val="bottom"/>
            <w:gridSpan w:val="3"/>
          </w:tcPr>
          <w:p>
            <w:pPr>
              <w:ind w:left="60"/>
              <w:spacing w:after="0"/>
              <w:rPr>
                <w:sz w:val="20"/>
                <w:szCs w:val="20"/>
                <w:color w:val="auto"/>
              </w:rPr>
            </w:pPr>
            <w:r>
              <w:rPr>
                <w:rFonts w:ascii="Arial" w:cs="Arial" w:eastAsia="Arial" w:hAnsi="Arial"/>
                <w:sz w:val="16"/>
                <w:szCs w:val="16"/>
                <w:color w:val="auto"/>
              </w:rPr>
              <w:t>Deferred income tax liability, net</w:t>
            </w: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55.7</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60.2</w:t>
            </w:r>
          </w:p>
        </w:tc>
        <w:tc>
          <w:tcPr>
            <w:tcW w:w="0" w:type="dxa"/>
            <w:vAlign w:val="bottom"/>
          </w:tcPr>
          <w:p>
            <w:pPr>
              <w:spacing w:after="0"/>
              <w:rPr>
                <w:sz w:val="1"/>
                <w:szCs w:val="1"/>
                <w:color w:val="auto"/>
              </w:rPr>
            </w:pPr>
          </w:p>
        </w:tc>
      </w:tr>
      <w:tr>
        <w:trPr>
          <w:trHeight w:val="291"/>
        </w:trPr>
        <w:tc>
          <w:tcPr>
            <w:tcW w:w="764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Noncurrent insurance claims</w:t>
            </w:r>
          </w:p>
        </w:tc>
        <w:tc>
          <w:tcPr>
            <w:tcW w:w="92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426.8</w:t>
            </w:r>
          </w:p>
        </w:tc>
        <w:tc>
          <w:tcPr>
            <w:tcW w:w="240" w:type="dxa"/>
            <w:vAlign w:val="bottom"/>
            <w:shd w:val="clear" w:color="auto" w:fill="DCE2EF"/>
          </w:tcPr>
          <w:p>
            <w:pPr>
              <w:spacing w:after="0"/>
              <w:rPr>
                <w:sz w:val="24"/>
                <w:szCs w:val="24"/>
                <w:color w:val="auto"/>
              </w:rPr>
            </w:pPr>
          </w:p>
        </w:tc>
        <w:tc>
          <w:tcPr>
            <w:tcW w:w="110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421.8</w:t>
            </w:r>
          </w:p>
        </w:tc>
        <w:tc>
          <w:tcPr>
            <w:tcW w:w="0" w:type="dxa"/>
            <w:vAlign w:val="bottom"/>
          </w:tcPr>
          <w:p>
            <w:pPr>
              <w:spacing w:after="0"/>
              <w:rPr>
                <w:sz w:val="1"/>
                <w:szCs w:val="1"/>
                <w:color w:val="auto"/>
              </w:rPr>
            </w:pPr>
          </w:p>
        </w:tc>
      </w:tr>
      <w:tr>
        <w:trPr>
          <w:trHeight w:val="276"/>
        </w:trPr>
        <w:tc>
          <w:tcPr>
            <w:tcW w:w="7640" w:type="dxa"/>
            <w:vAlign w:val="bottom"/>
            <w:gridSpan w:val="3"/>
          </w:tcPr>
          <w:p>
            <w:pPr>
              <w:ind w:left="60"/>
              <w:spacing w:after="0"/>
              <w:rPr>
                <w:sz w:val="20"/>
                <w:szCs w:val="20"/>
                <w:color w:val="auto"/>
              </w:rPr>
            </w:pPr>
            <w:r>
              <w:rPr>
                <w:rFonts w:ascii="Arial" w:cs="Arial" w:eastAsia="Arial" w:hAnsi="Arial"/>
                <w:sz w:val="16"/>
                <w:szCs w:val="16"/>
                <w:color w:val="auto"/>
              </w:rPr>
              <w:t>Other noncurrent liabilities</w:t>
            </w: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55.3</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86.8</w:t>
            </w:r>
          </w:p>
        </w:tc>
        <w:tc>
          <w:tcPr>
            <w:tcW w:w="0" w:type="dxa"/>
            <w:vAlign w:val="bottom"/>
          </w:tcPr>
          <w:p>
            <w:pPr>
              <w:spacing w:after="0"/>
              <w:rPr>
                <w:sz w:val="1"/>
                <w:szCs w:val="1"/>
                <w:color w:val="auto"/>
              </w:rPr>
            </w:pPr>
          </w:p>
        </w:tc>
      </w:tr>
      <w:tr>
        <w:trPr>
          <w:trHeight w:val="290"/>
        </w:trPr>
        <w:tc>
          <w:tcPr>
            <w:tcW w:w="764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Noncurrent income taxes payable</w:t>
            </w:r>
          </w:p>
        </w:tc>
        <w:tc>
          <w:tcPr>
            <w:tcW w:w="920" w:type="dxa"/>
            <w:vAlign w:val="bottom"/>
            <w:tcBorders>
              <w:bottom w:val="single" w:sz="8" w:color="auto"/>
            </w:tcBorders>
            <w:shd w:val="clear" w:color="auto" w:fill="DCE2EF"/>
          </w:tcPr>
          <w:p>
            <w:pPr>
              <w:spacing w:after="0"/>
              <w:rPr>
                <w:sz w:val="24"/>
                <w:szCs w:val="24"/>
                <w:color w:val="auto"/>
              </w:rPr>
            </w:pPr>
          </w:p>
        </w:tc>
        <w:tc>
          <w:tcPr>
            <w:tcW w:w="18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3.9</w:t>
            </w:r>
          </w:p>
        </w:tc>
        <w:tc>
          <w:tcPr>
            <w:tcW w:w="240" w:type="dxa"/>
            <w:vAlign w:val="bottom"/>
            <w:tcBorders>
              <w:bottom w:val="single" w:sz="8" w:color="DCE2EF"/>
            </w:tcBorders>
            <w:shd w:val="clear" w:color="auto" w:fill="DCE2EF"/>
          </w:tcPr>
          <w:p>
            <w:pPr>
              <w:spacing w:after="0"/>
              <w:rPr>
                <w:sz w:val="24"/>
                <w:szCs w:val="24"/>
                <w:color w:val="auto"/>
              </w:rPr>
            </w:pPr>
          </w:p>
        </w:tc>
        <w:tc>
          <w:tcPr>
            <w:tcW w:w="110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7580" w:type="dxa"/>
            <w:vAlign w:val="bottom"/>
            <w:gridSpan w:val="2"/>
          </w:tcPr>
          <w:p>
            <w:pPr>
              <w:ind w:left="240"/>
              <w:spacing w:after="0"/>
              <w:rPr>
                <w:sz w:val="20"/>
                <w:szCs w:val="20"/>
                <w:color w:val="auto"/>
              </w:rPr>
            </w:pPr>
            <w:r>
              <w:rPr>
                <w:rFonts w:ascii="Arial" w:cs="Arial" w:eastAsia="Arial" w:hAnsi="Arial"/>
                <w:sz w:val="16"/>
                <w:szCs w:val="16"/>
                <w:color w:val="auto"/>
              </w:rPr>
              <w:t>Total liabilities</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3,439.6</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3,315.2</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60" w:type="dxa"/>
            <w:vAlign w:val="bottom"/>
            <w:tcBorders>
              <w:bottom w:val="single" w:sz="8" w:color="DCE2EF"/>
            </w:tcBorders>
            <w:shd w:val="clear" w:color="auto" w:fill="DCE2EF"/>
          </w:tcPr>
          <w:p>
            <w:pPr>
              <w:spacing w:after="0"/>
              <w:rPr>
                <w:sz w:val="24"/>
                <w:szCs w:val="24"/>
                <w:color w:val="auto"/>
              </w:rPr>
            </w:pPr>
          </w:p>
        </w:tc>
        <w:tc>
          <w:tcPr>
            <w:tcW w:w="7580" w:type="dxa"/>
            <w:vAlign w:val="bottom"/>
            <w:tcBorders>
              <w:bottom w:val="single" w:sz="8" w:color="DCE2EF"/>
            </w:tcBorders>
            <w:gridSpan w:val="2"/>
            <w:shd w:val="clear" w:color="auto" w:fill="DCE2EF"/>
          </w:tcPr>
          <w:p>
            <w:pPr>
              <w:ind w:left="240"/>
              <w:spacing w:after="0"/>
              <w:rPr>
                <w:sz w:val="20"/>
                <w:szCs w:val="20"/>
                <w:color w:val="auto"/>
              </w:rPr>
            </w:pPr>
            <w:r>
              <w:rPr>
                <w:rFonts w:ascii="Arial" w:cs="Arial" w:eastAsia="Arial" w:hAnsi="Arial"/>
                <w:sz w:val="16"/>
                <w:szCs w:val="16"/>
                <w:color w:val="auto"/>
              </w:rPr>
              <w:t>Total stockholders’ equity</w:t>
            </w:r>
          </w:p>
        </w:tc>
        <w:tc>
          <w:tcPr>
            <w:tcW w:w="920" w:type="dxa"/>
            <w:vAlign w:val="bottom"/>
            <w:tcBorders>
              <w:bottom w:val="single" w:sz="8" w:color="auto"/>
            </w:tcBorders>
            <w:shd w:val="clear" w:color="auto" w:fill="DCE2EF"/>
          </w:tcPr>
          <w:p>
            <w:pPr>
              <w:spacing w:after="0"/>
              <w:rPr>
                <w:sz w:val="24"/>
                <w:szCs w:val="24"/>
                <w:color w:val="auto"/>
              </w:rPr>
            </w:pPr>
          </w:p>
        </w:tc>
        <w:tc>
          <w:tcPr>
            <w:tcW w:w="18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1,830.9</w:t>
            </w:r>
          </w:p>
        </w:tc>
        <w:tc>
          <w:tcPr>
            <w:tcW w:w="240" w:type="dxa"/>
            <w:vAlign w:val="bottom"/>
            <w:tcBorders>
              <w:bottom w:val="single" w:sz="8" w:color="DCE2EF"/>
            </w:tcBorders>
            <w:shd w:val="clear" w:color="auto" w:fill="DCE2EF"/>
          </w:tcPr>
          <w:p>
            <w:pPr>
              <w:spacing w:after="0"/>
              <w:rPr>
                <w:sz w:val="24"/>
                <w:szCs w:val="24"/>
                <w:color w:val="auto"/>
              </w:rPr>
            </w:pPr>
          </w:p>
        </w:tc>
        <w:tc>
          <w:tcPr>
            <w:tcW w:w="110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1,781.9</w:t>
            </w:r>
          </w:p>
        </w:tc>
        <w:tc>
          <w:tcPr>
            <w:tcW w:w="0" w:type="dxa"/>
            <w:vAlign w:val="bottom"/>
          </w:tcPr>
          <w:p>
            <w:pPr>
              <w:spacing w:after="0"/>
              <w:rPr>
                <w:sz w:val="1"/>
                <w:szCs w:val="1"/>
                <w:color w:val="auto"/>
              </w:rPr>
            </w:pPr>
          </w:p>
        </w:tc>
      </w:tr>
      <w:tr>
        <w:trPr>
          <w:trHeight w:val="235"/>
        </w:trPr>
        <w:tc>
          <w:tcPr>
            <w:tcW w:w="7640" w:type="dxa"/>
            <w:vAlign w:val="bottom"/>
            <w:gridSpan w:val="3"/>
            <w:vMerge w:val="restart"/>
          </w:tcPr>
          <w:p>
            <w:pPr>
              <w:ind w:left="60"/>
              <w:spacing w:after="0"/>
              <w:rPr>
                <w:sz w:val="20"/>
                <w:szCs w:val="20"/>
                <w:color w:val="auto"/>
              </w:rPr>
            </w:pPr>
            <w:r>
              <w:rPr>
                <w:rFonts w:ascii="Arial" w:cs="Arial" w:eastAsia="Arial" w:hAnsi="Arial"/>
                <w:sz w:val="16"/>
                <w:szCs w:val="16"/>
                <w:color w:val="auto"/>
              </w:rPr>
              <w:t>Total liabilities and stockholders’ equity</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5,270.5</w:t>
            </w:r>
          </w:p>
        </w:tc>
        <w:tc>
          <w:tcPr>
            <w:tcW w:w="134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5,097.2</w:t>
            </w:r>
          </w:p>
        </w:tc>
        <w:tc>
          <w:tcPr>
            <w:tcW w:w="0" w:type="dxa"/>
            <w:vAlign w:val="bottom"/>
          </w:tcPr>
          <w:p>
            <w:pPr>
              <w:spacing w:after="0"/>
              <w:rPr>
                <w:sz w:val="1"/>
                <w:szCs w:val="1"/>
                <w:color w:val="auto"/>
              </w:rPr>
            </w:pPr>
          </w:p>
        </w:tc>
      </w:tr>
      <w:tr>
        <w:trPr>
          <w:trHeight w:val="29"/>
        </w:trPr>
        <w:tc>
          <w:tcPr>
            <w:tcW w:w="7640" w:type="dxa"/>
            <w:vAlign w:val="bottom"/>
            <w:gridSpan w:val="3"/>
            <w:vMerge w:val="continue"/>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-5274310</wp:posOffset>
            </wp:positionV>
            <wp:extent cx="146050" cy="114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-3830955</wp:posOffset>
            </wp:positionV>
            <wp:extent cx="14605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-3805555</wp:posOffset>
            </wp:positionV>
            <wp:extent cx="14605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-1836420</wp:posOffset>
            </wp:positionV>
            <wp:extent cx="146050" cy="114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-1656715</wp:posOffset>
            </wp:positionV>
            <wp:extent cx="146050" cy="114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-576580</wp:posOffset>
            </wp:positionV>
            <wp:extent cx="146050" cy="114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-216535</wp:posOffset>
            </wp:positionV>
            <wp:extent cx="146050" cy="114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6050" cy="1143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14" w:name="page15"/>
    <w:bookmarkEnd w:id="14"/>
    <w:p>
      <w:pPr>
        <w:ind w:right="4940"/>
        <w:spacing w:after="0" w:line="509" w:lineRule="auto"/>
        <w:rPr>
          <w:sz w:val="20"/>
          <w:szCs w:val="20"/>
          <w:color w:val="auto"/>
        </w:rPr>
      </w:pPr>
      <w:r>
        <w:rPr>
          <w:rFonts w:ascii="Arial" w:cs="Arial" w:eastAsia="Arial" w:hAnsi="Arial"/>
          <w:sz w:val="19"/>
          <w:szCs w:val="19"/>
          <w:b w:val="1"/>
          <w:bCs w:val="1"/>
          <w:color w:val="0046AD"/>
        </w:rPr>
        <w:t>ABM INDUSTRIES INCORPORATED AND SUBSIDIARIES REVENUES AND OPERATING PROFIT BY SEGMENT (UNAUDITED)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3280" w:type="dxa"/>
            <w:vAlign w:val="bottom"/>
            <w:tcBorders>
              <w:bottom w:val="single" w:sz="8" w:color="auto"/>
            </w:tcBorders>
            <w:gridSpan w:val="5"/>
          </w:tcPr>
          <w:p>
            <w:pPr>
              <w:jc w:val="right"/>
              <w:ind w:right="439"/>
              <w:spacing w:after="0"/>
              <w:rPr>
                <w:sz w:val="20"/>
                <w:szCs w:val="20"/>
                <w:color w:val="auto"/>
              </w:rPr>
            </w:pPr>
            <w:r>
              <w:rPr>
                <w:rFonts w:ascii="Arial" w:cs="Arial" w:eastAsia="Arial" w:hAnsi="Arial"/>
                <w:sz w:val="16"/>
                <w:szCs w:val="16"/>
                <w:b w:val="1"/>
                <w:bCs w:val="1"/>
                <w:color w:val="auto"/>
              </w:rPr>
              <w:t>Three Months Ended July 31,</w:t>
            </w:r>
          </w:p>
        </w:tc>
        <w:tc>
          <w:tcPr>
            <w:tcW w:w="200" w:type="dxa"/>
            <w:vAlign w:val="bottom"/>
          </w:tcPr>
          <w:p>
            <w:pPr>
              <w:spacing w:after="0"/>
              <w:rPr>
                <w:sz w:val="19"/>
                <w:szCs w:val="19"/>
                <w:color w:val="auto"/>
              </w:rPr>
            </w:pPr>
          </w:p>
        </w:tc>
        <w:tc>
          <w:tcPr>
            <w:tcW w:w="152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53"/>
        </w:trPr>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80" w:type="dxa"/>
            <w:vAlign w:val="bottom"/>
          </w:tcPr>
          <w:p>
            <w:pPr>
              <w:spacing w:after="0"/>
              <w:rPr>
                <w:sz w:val="4"/>
                <w:szCs w:val="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2025</w:t>
            </w:r>
          </w:p>
        </w:tc>
        <w:tc>
          <w:tcPr>
            <w:tcW w:w="580" w:type="dxa"/>
            <w:vAlign w:val="bottom"/>
          </w:tcPr>
          <w:p>
            <w:pPr>
              <w:spacing w:after="0"/>
              <w:rPr>
                <w:sz w:val="4"/>
                <w:szCs w:val="4"/>
                <w:color w:val="auto"/>
              </w:rPr>
            </w:pPr>
          </w:p>
        </w:tc>
        <w:tc>
          <w:tcPr>
            <w:tcW w:w="1740" w:type="dxa"/>
            <w:vAlign w:val="bottom"/>
            <w:gridSpan w:val="3"/>
            <w:vMerge w:val="restart"/>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6240" w:type="dxa"/>
            <w:vAlign w:val="bottom"/>
            <w:gridSpan w:val="3"/>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74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ind w:right="259"/>
              <w:spacing w:after="0" w:line="176" w:lineRule="exact"/>
              <w:rPr>
                <w:sz w:val="20"/>
                <w:szCs w:val="20"/>
                <w:color w:val="auto"/>
              </w:rPr>
            </w:pPr>
            <w:r>
              <w:rPr>
                <w:rFonts w:ascii="Arial" w:cs="Arial" w:eastAsia="Arial" w:hAnsi="Arial"/>
                <w:sz w:val="16"/>
                <w:szCs w:val="16"/>
                <w:b w:val="1"/>
                <w:bCs w:val="1"/>
                <w:color w:val="auto"/>
              </w:rPr>
              <w:t>(Decrease)</w:t>
            </w:r>
          </w:p>
        </w:tc>
        <w:tc>
          <w:tcPr>
            <w:tcW w:w="0" w:type="dxa"/>
            <w:vAlign w:val="bottom"/>
          </w:tcPr>
          <w:p>
            <w:pPr>
              <w:spacing w:after="0"/>
              <w:rPr>
                <w:sz w:val="1"/>
                <w:szCs w:val="1"/>
                <w:color w:val="auto"/>
              </w:rPr>
            </w:pPr>
          </w:p>
        </w:tc>
      </w:tr>
      <w:tr>
        <w:trPr>
          <w:trHeight w:val="28"/>
        </w:trPr>
        <w:tc>
          <w:tcPr>
            <w:tcW w:w="60" w:type="dxa"/>
            <w:vAlign w:val="bottom"/>
            <w:tcBorders>
              <w:bottom w:val="single" w:sz="8" w:color="DCE2EF"/>
            </w:tcBorders>
          </w:tcPr>
          <w:p>
            <w:pPr>
              <w:spacing w:after="0"/>
              <w:rPr>
                <w:sz w:val="2"/>
                <w:szCs w:val="2"/>
                <w:color w:val="auto"/>
              </w:rPr>
            </w:pPr>
          </w:p>
        </w:tc>
        <w:tc>
          <w:tcPr>
            <w:tcW w:w="700" w:type="dxa"/>
            <w:vAlign w:val="bottom"/>
            <w:tcBorders>
              <w:top w:val="single" w:sz="8" w:color="auto"/>
              <w:bottom w:val="single" w:sz="8" w:color="DCE2EF"/>
            </w:tcBorders>
          </w:tcPr>
          <w:p>
            <w:pPr>
              <w:spacing w:after="0"/>
              <w:rPr>
                <w:sz w:val="2"/>
                <w:szCs w:val="2"/>
                <w:color w:val="auto"/>
              </w:rPr>
            </w:pPr>
          </w:p>
        </w:tc>
        <w:tc>
          <w:tcPr>
            <w:tcW w:w="5480" w:type="dxa"/>
            <w:vAlign w:val="bottom"/>
            <w:tcBorders>
              <w:bottom w:val="single" w:sz="8" w:color="DCE2E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DCE2E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DCE2E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4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Revenues</w:t>
            </w:r>
          </w:p>
        </w:tc>
        <w:tc>
          <w:tcPr>
            <w:tcW w:w="960" w:type="dxa"/>
            <w:vAlign w:val="bottom"/>
            <w:tcBorders>
              <w:bottom w:val="single" w:sz="8" w:color="DCE2EF"/>
            </w:tcBorders>
            <w:shd w:val="clear" w:color="auto" w:fill="DCE2EF"/>
          </w:tcPr>
          <w:p>
            <w:pPr>
              <w:spacing w:after="0"/>
              <w:rPr>
                <w:sz w:val="20"/>
                <w:szCs w:val="20"/>
                <w:color w:val="auto"/>
              </w:rPr>
            </w:pPr>
          </w:p>
        </w:tc>
        <w:tc>
          <w:tcPr>
            <w:tcW w:w="580" w:type="dxa"/>
            <w:vAlign w:val="bottom"/>
            <w:tcBorders>
              <w:bottom w:val="single" w:sz="8" w:color="DCE2EF"/>
            </w:tcBorders>
            <w:shd w:val="clear" w:color="auto" w:fill="DCE2EF"/>
          </w:tcPr>
          <w:p>
            <w:pPr>
              <w:spacing w:after="0"/>
              <w:rPr>
                <w:sz w:val="20"/>
                <w:szCs w:val="20"/>
                <w:color w:val="auto"/>
              </w:rPr>
            </w:pPr>
          </w:p>
        </w:tc>
        <w:tc>
          <w:tcPr>
            <w:tcW w:w="220" w:type="dxa"/>
            <w:vAlign w:val="bottom"/>
            <w:tcBorders>
              <w:bottom w:val="single" w:sz="8" w:color="DCE2EF"/>
            </w:tcBorders>
            <w:shd w:val="clear" w:color="auto" w:fill="DCE2EF"/>
          </w:tcPr>
          <w:p>
            <w:pPr>
              <w:spacing w:after="0"/>
              <w:rPr>
                <w:sz w:val="20"/>
                <w:szCs w:val="20"/>
                <w:color w:val="auto"/>
              </w:rPr>
            </w:pPr>
          </w:p>
        </w:tc>
        <w:tc>
          <w:tcPr>
            <w:tcW w:w="920" w:type="dxa"/>
            <w:vAlign w:val="bottom"/>
            <w:tcBorders>
              <w:bottom w:val="single" w:sz="8" w:color="DCE2EF"/>
            </w:tcBorders>
            <w:shd w:val="clear" w:color="auto" w:fill="DCE2EF"/>
          </w:tcPr>
          <w:p>
            <w:pPr>
              <w:spacing w:after="0"/>
              <w:rPr>
                <w:sz w:val="20"/>
                <w:szCs w:val="20"/>
                <w:color w:val="auto"/>
              </w:rPr>
            </w:pPr>
          </w:p>
        </w:tc>
        <w:tc>
          <w:tcPr>
            <w:tcW w:w="600" w:type="dxa"/>
            <w:vAlign w:val="bottom"/>
            <w:tcBorders>
              <w:bottom w:val="single" w:sz="8" w:color="DCE2EF"/>
            </w:tcBorders>
            <w:shd w:val="clear" w:color="auto" w:fill="DCE2EF"/>
          </w:tcPr>
          <w:p>
            <w:pPr>
              <w:spacing w:after="0"/>
              <w:rPr>
                <w:sz w:val="20"/>
                <w:szCs w:val="20"/>
                <w:color w:val="auto"/>
              </w:rPr>
            </w:pPr>
          </w:p>
        </w:tc>
        <w:tc>
          <w:tcPr>
            <w:tcW w:w="200" w:type="dxa"/>
            <w:vAlign w:val="bottom"/>
            <w:tcBorders>
              <w:bottom w:val="single" w:sz="8" w:color="DCE2EF"/>
            </w:tcBorders>
            <w:shd w:val="clear" w:color="auto" w:fill="DCE2EF"/>
          </w:tcPr>
          <w:p>
            <w:pPr>
              <w:spacing w:after="0"/>
              <w:rPr>
                <w:sz w:val="20"/>
                <w:szCs w:val="20"/>
                <w:color w:val="auto"/>
              </w:rPr>
            </w:pPr>
          </w:p>
        </w:tc>
        <w:tc>
          <w:tcPr>
            <w:tcW w:w="1520" w:type="dxa"/>
            <w:vAlign w:val="bottom"/>
            <w:tcBorders>
              <w:bottom w:val="single" w:sz="8" w:color="DCE2EF"/>
            </w:tcBorders>
            <w:shd w:val="clear" w:color="auto" w:fill="DCE2EF"/>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240" w:type="dxa"/>
            <w:vAlign w:val="bottom"/>
            <w:gridSpan w:val="3"/>
          </w:tcPr>
          <w:p>
            <w:pPr>
              <w:ind w:left="60"/>
              <w:spacing w:after="0"/>
              <w:rPr>
                <w:sz w:val="20"/>
                <w:szCs w:val="20"/>
                <w:color w:val="auto"/>
              </w:rPr>
            </w:pPr>
            <w:r>
              <w:rPr>
                <w:rFonts w:ascii="Arial" w:cs="Arial" w:eastAsia="Arial" w:hAnsi="Arial"/>
                <w:sz w:val="16"/>
                <w:szCs w:val="16"/>
                <w:color w:val="auto"/>
              </w:rPr>
              <w:t>Business &amp; Industry</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1,038.7</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1,010.6</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91"/>
        </w:trPr>
        <w:tc>
          <w:tcPr>
            <w:tcW w:w="624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Manufacturing &amp; Distribution</w:t>
            </w:r>
          </w:p>
        </w:tc>
        <w:tc>
          <w:tcPr>
            <w:tcW w:w="96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408.9</w:t>
            </w:r>
          </w:p>
        </w:tc>
        <w:tc>
          <w:tcPr>
            <w:tcW w:w="220" w:type="dxa"/>
            <w:vAlign w:val="bottom"/>
            <w:shd w:val="clear" w:color="auto" w:fill="DCE2EF"/>
          </w:tcPr>
          <w:p>
            <w:pPr>
              <w:spacing w:after="0"/>
              <w:rPr>
                <w:sz w:val="24"/>
                <w:szCs w:val="24"/>
                <w:color w:val="auto"/>
              </w:rPr>
            </w:pPr>
          </w:p>
        </w:tc>
        <w:tc>
          <w:tcPr>
            <w:tcW w:w="920" w:type="dxa"/>
            <w:vAlign w:val="bottom"/>
            <w:shd w:val="clear" w:color="auto" w:fill="DCE2EF"/>
          </w:tcPr>
          <w:p>
            <w:pPr>
              <w:spacing w:after="0"/>
              <w:rPr>
                <w:sz w:val="24"/>
                <w:szCs w:val="24"/>
                <w:color w:val="auto"/>
              </w:rPr>
            </w:pPr>
          </w:p>
        </w:tc>
        <w:tc>
          <w:tcPr>
            <w:tcW w:w="6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377.1</w:t>
            </w:r>
          </w:p>
        </w:tc>
        <w:tc>
          <w:tcPr>
            <w:tcW w:w="172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76"/>
        </w:trPr>
        <w:tc>
          <w:tcPr>
            <w:tcW w:w="6240" w:type="dxa"/>
            <w:vAlign w:val="bottom"/>
            <w:gridSpan w:val="3"/>
          </w:tcPr>
          <w:p>
            <w:pPr>
              <w:ind w:left="60"/>
              <w:spacing w:after="0"/>
              <w:rPr>
                <w:sz w:val="20"/>
                <w:szCs w:val="20"/>
                <w:color w:val="auto"/>
              </w:rPr>
            </w:pPr>
            <w:r>
              <w:rPr>
                <w:rFonts w:ascii="Arial" w:cs="Arial" w:eastAsia="Arial" w:hAnsi="Arial"/>
                <w:sz w:val="16"/>
                <w:szCs w:val="16"/>
                <w:color w:val="auto"/>
              </w:rPr>
              <w:t>Aviation</w:t>
            </w:r>
          </w:p>
        </w:tc>
        <w:tc>
          <w:tcPr>
            <w:tcW w:w="9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291.8</w:t>
            </w: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268.4</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91"/>
        </w:trPr>
        <w:tc>
          <w:tcPr>
            <w:tcW w:w="624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Education</w:t>
            </w:r>
          </w:p>
        </w:tc>
        <w:tc>
          <w:tcPr>
            <w:tcW w:w="96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235.1</w:t>
            </w:r>
          </w:p>
        </w:tc>
        <w:tc>
          <w:tcPr>
            <w:tcW w:w="220" w:type="dxa"/>
            <w:vAlign w:val="bottom"/>
            <w:shd w:val="clear" w:color="auto" w:fill="DCE2EF"/>
          </w:tcPr>
          <w:p>
            <w:pPr>
              <w:spacing w:after="0"/>
              <w:rPr>
                <w:sz w:val="24"/>
                <w:szCs w:val="24"/>
                <w:color w:val="auto"/>
              </w:rPr>
            </w:pPr>
          </w:p>
        </w:tc>
        <w:tc>
          <w:tcPr>
            <w:tcW w:w="920" w:type="dxa"/>
            <w:vAlign w:val="bottom"/>
            <w:shd w:val="clear" w:color="auto" w:fill="DCE2EF"/>
          </w:tcPr>
          <w:p>
            <w:pPr>
              <w:spacing w:after="0"/>
              <w:rPr>
                <w:sz w:val="24"/>
                <w:szCs w:val="24"/>
                <w:color w:val="auto"/>
              </w:rPr>
            </w:pPr>
          </w:p>
        </w:tc>
        <w:tc>
          <w:tcPr>
            <w:tcW w:w="6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228.3</w:t>
            </w:r>
          </w:p>
        </w:tc>
        <w:tc>
          <w:tcPr>
            <w:tcW w:w="172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77"/>
        </w:trPr>
        <w:tc>
          <w:tcPr>
            <w:tcW w:w="6240" w:type="dxa"/>
            <w:vAlign w:val="bottom"/>
            <w:tcBorders>
              <w:bottom w:val="single" w:sz="8" w:color="DCE2EF"/>
            </w:tcBorders>
            <w:gridSpan w:val="3"/>
          </w:tcPr>
          <w:p>
            <w:pPr>
              <w:ind w:left="60"/>
              <w:spacing w:after="0"/>
              <w:rPr>
                <w:sz w:val="20"/>
                <w:szCs w:val="20"/>
                <w:color w:val="auto"/>
              </w:rPr>
            </w:pPr>
            <w:r>
              <w:rPr>
                <w:rFonts w:ascii="Arial" w:cs="Arial" w:eastAsia="Arial" w:hAnsi="Arial"/>
                <w:sz w:val="16"/>
                <w:szCs w:val="16"/>
                <w:color w:val="auto"/>
              </w:rPr>
              <w:t>Technical Solutions</w:t>
            </w:r>
          </w:p>
        </w:tc>
        <w:tc>
          <w:tcPr>
            <w:tcW w:w="9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249.5</w:t>
            </w:r>
          </w:p>
        </w:tc>
        <w:tc>
          <w:tcPr>
            <w:tcW w:w="220" w:type="dxa"/>
            <w:vAlign w:val="bottom"/>
            <w:tcBorders>
              <w:bottom w:val="single" w:sz="8" w:color="DCE2EF"/>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209.7</w:t>
            </w:r>
          </w:p>
        </w:tc>
        <w:tc>
          <w:tcPr>
            <w:tcW w:w="1720" w:type="dxa"/>
            <w:vAlign w:val="bottom"/>
            <w:tcBorders>
              <w:bottom w:val="single" w:sz="8" w:color="DCE2EF"/>
            </w:tcBorders>
            <w:gridSpan w:val="2"/>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311"/>
        </w:trPr>
        <w:tc>
          <w:tcPr>
            <w:tcW w:w="6240" w:type="dxa"/>
            <w:vAlign w:val="bottom"/>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Total Revenues</w:t>
            </w:r>
          </w:p>
        </w:tc>
        <w:tc>
          <w:tcPr>
            <w:tcW w:w="960" w:type="dxa"/>
            <w:vAlign w:val="bottom"/>
            <w:shd w:val="clear" w:color="auto" w:fill="DCE2EF"/>
          </w:tcPr>
          <w:p>
            <w:pPr>
              <w:jc w:val="right"/>
              <w:ind w:right="179"/>
              <w:spacing w:after="0"/>
              <w:rPr>
                <w:sz w:val="20"/>
                <w:szCs w:val="20"/>
                <w:color w:val="auto"/>
              </w:rPr>
            </w:pPr>
            <w:r>
              <w:rPr>
                <w:rFonts w:ascii="Arial" w:cs="Arial" w:eastAsia="Arial" w:hAnsi="Arial"/>
                <w:sz w:val="16"/>
                <w:szCs w:val="16"/>
                <w:color w:val="auto"/>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2,224.0</w:t>
            </w:r>
          </w:p>
        </w:tc>
        <w:tc>
          <w:tcPr>
            <w:tcW w:w="1140" w:type="dxa"/>
            <w:vAlign w:val="bottom"/>
            <w:gridSpan w:val="2"/>
            <w:shd w:val="clear" w:color="auto" w:fill="DCE2EF"/>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2,094.2</w:t>
            </w:r>
          </w:p>
        </w:tc>
        <w:tc>
          <w:tcPr>
            <w:tcW w:w="172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60"/>
        </w:trPr>
        <w:tc>
          <w:tcPr>
            <w:tcW w:w="6240" w:type="dxa"/>
            <w:vAlign w:val="bottom"/>
            <w:tcBorders>
              <w:top w:val="single" w:sz="8" w:color="DCE2EF"/>
            </w:tcBorders>
            <w:gridSpan w:val="3"/>
          </w:tcPr>
          <w:p>
            <w:pPr>
              <w:ind w:left="60"/>
              <w:spacing w:after="0"/>
              <w:rPr>
                <w:sz w:val="20"/>
                <w:szCs w:val="20"/>
                <w:color w:val="auto"/>
              </w:rPr>
            </w:pPr>
            <w:r>
              <w:rPr>
                <w:rFonts w:ascii="Arial" w:cs="Arial" w:eastAsia="Arial" w:hAnsi="Arial"/>
                <w:sz w:val="16"/>
                <w:szCs w:val="16"/>
                <w:b w:val="1"/>
                <w:bCs w:val="1"/>
                <w:color w:val="auto"/>
              </w:rPr>
              <w:t>Operating profit</w:t>
            </w:r>
          </w:p>
        </w:tc>
        <w:tc>
          <w:tcPr>
            <w:tcW w:w="96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220" w:type="dxa"/>
            <w:vAlign w:val="bottom"/>
            <w:tcBorders>
              <w:top w:val="single" w:sz="8" w:color="DCE2EF"/>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200" w:type="dxa"/>
            <w:vAlign w:val="bottom"/>
            <w:tcBorders>
              <w:top w:val="single" w:sz="8" w:color="DCE2EF"/>
            </w:tcBorders>
          </w:tcPr>
          <w:p>
            <w:pPr>
              <w:spacing w:after="0"/>
              <w:rPr>
                <w:sz w:val="22"/>
                <w:szCs w:val="22"/>
                <w:color w:val="auto"/>
              </w:rPr>
            </w:pPr>
          </w:p>
        </w:tc>
        <w:tc>
          <w:tcPr>
            <w:tcW w:w="1520" w:type="dxa"/>
            <w:vAlign w:val="bottom"/>
            <w:tcBorders>
              <w:top w:val="single" w:sz="8" w:color="DCE2EF"/>
            </w:tcBorders>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624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Business &amp; Industry</w:t>
            </w:r>
          </w:p>
        </w:tc>
        <w:tc>
          <w:tcPr>
            <w:tcW w:w="9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73.8</w:t>
            </w:r>
          </w:p>
        </w:tc>
        <w:tc>
          <w:tcPr>
            <w:tcW w:w="114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77.8</w:t>
            </w:r>
          </w:p>
        </w:tc>
        <w:tc>
          <w:tcPr>
            <w:tcW w:w="172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76"/>
        </w:trPr>
        <w:tc>
          <w:tcPr>
            <w:tcW w:w="6240" w:type="dxa"/>
            <w:vAlign w:val="bottom"/>
            <w:gridSpan w:val="3"/>
          </w:tcPr>
          <w:p>
            <w:pPr>
              <w:ind w:left="60"/>
              <w:spacing w:after="0"/>
              <w:rPr>
                <w:sz w:val="20"/>
                <w:szCs w:val="20"/>
                <w:color w:val="auto"/>
              </w:rPr>
            </w:pPr>
            <w:r>
              <w:rPr>
                <w:rFonts w:ascii="Arial" w:cs="Arial" w:eastAsia="Arial" w:hAnsi="Arial"/>
                <w:sz w:val="16"/>
                <w:szCs w:val="16"/>
                <w:color w:val="auto"/>
              </w:rPr>
              <w:t>Manufacturing &amp; Distribution</w:t>
            </w:r>
          </w:p>
        </w:tc>
        <w:tc>
          <w:tcPr>
            <w:tcW w:w="9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36.4</w:t>
            </w: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40.9</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91"/>
        </w:trPr>
        <w:tc>
          <w:tcPr>
            <w:tcW w:w="624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Aviation</w:t>
            </w:r>
          </w:p>
        </w:tc>
        <w:tc>
          <w:tcPr>
            <w:tcW w:w="96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19.7</w:t>
            </w:r>
          </w:p>
        </w:tc>
        <w:tc>
          <w:tcPr>
            <w:tcW w:w="220" w:type="dxa"/>
            <w:vAlign w:val="bottom"/>
            <w:shd w:val="clear" w:color="auto" w:fill="DCE2EF"/>
          </w:tcPr>
          <w:p>
            <w:pPr>
              <w:spacing w:after="0"/>
              <w:rPr>
                <w:sz w:val="24"/>
                <w:szCs w:val="24"/>
                <w:color w:val="auto"/>
              </w:rPr>
            </w:pPr>
          </w:p>
        </w:tc>
        <w:tc>
          <w:tcPr>
            <w:tcW w:w="920" w:type="dxa"/>
            <w:vAlign w:val="bottom"/>
            <w:shd w:val="clear" w:color="auto" w:fill="DCE2EF"/>
          </w:tcPr>
          <w:p>
            <w:pPr>
              <w:spacing w:after="0"/>
              <w:rPr>
                <w:sz w:val="24"/>
                <w:szCs w:val="24"/>
                <w:color w:val="auto"/>
              </w:rPr>
            </w:pPr>
          </w:p>
        </w:tc>
        <w:tc>
          <w:tcPr>
            <w:tcW w:w="6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17.8</w:t>
            </w:r>
          </w:p>
        </w:tc>
        <w:tc>
          <w:tcPr>
            <w:tcW w:w="172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76"/>
        </w:trPr>
        <w:tc>
          <w:tcPr>
            <w:tcW w:w="6240" w:type="dxa"/>
            <w:vAlign w:val="bottom"/>
            <w:gridSpan w:val="3"/>
          </w:tcPr>
          <w:p>
            <w:pPr>
              <w:ind w:left="60"/>
              <w:spacing w:after="0"/>
              <w:rPr>
                <w:sz w:val="20"/>
                <w:szCs w:val="20"/>
                <w:color w:val="auto"/>
              </w:rPr>
            </w:pPr>
            <w:r>
              <w:rPr>
                <w:rFonts w:ascii="Arial" w:cs="Arial" w:eastAsia="Arial" w:hAnsi="Arial"/>
                <w:sz w:val="16"/>
                <w:szCs w:val="16"/>
                <w:color w:val="auto"/>
              </w:rPr>
              <w:t>Education</w:t>
            </w:r>
          </w:p>
        </w:tc>
        <w:tc>
          <w:tcPr>
            <w:tcW w:w="9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21.1</w:t>
            </w: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18.0</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91"/>
        </w:trPr>
        <w:tc>
          <w:tcPr>
            <w:tcW w:w="624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Technical Solutions</w:t>
            </w:r>
          </w:p>
        </w:tc>
        <w:tc>
          <w:tcPr>
            <w:tcW w:w="96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19.4</w:t>
            </w:r>
          </w:p>
        </w:tc>
        <w:tc>
          <w:tcPr>
            <w:tcW w:w="220" w:type="dxa"/>
            <w:vAlign w:val="bottom"/>
            <w:shd w:val="clear" w:color="auto" w:fill="DCE2EF"/>
          </w:tcPr>
          <w:p>
            <w:pPr>
              <w:spacing w:after="0"/>
              <w:rPr>
                <w:sz w:val="24"/>
                <w:szCs w:val="24"/>
                <w:color w:val="auto"/>
              </w:rPr>
            </w:pPr>
          </w:p>
        </w:tc>
        <w:tc>
          <w:tcPr>
            <w:tcW w:w="920" w:type="dxa"/>
            <w:vAlign w:val="bottom"/>
            <w:shd w:val="clear" w:color="auto" w:fill="DCE2EF"/>
          </w:tcPr>
          <w:p>
            <w:pPr>
              <w:spacing w:after="0"/>
              <w:rPr>
                <w:sz w:val="24"/>
                <w:szCs w:val="24"/>
                <w:color w:val="auto"/>
              </w:rPr>
            </w:pPr>
          </w:p>
        </w:tc>
        <w:tc>
          <w:tcPr>
            <w:tcW w:w="6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17.9</w:t>
            </w:r>
          </w:p>
        </w:tc>
        <w:tc>
          <w:tcPr>
            <w:tcW w:w="172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83"/>
        </w:trPr>
        <w:tc>
          <w:tcPr>
            <w:tcW w:w="6240" w:type="dxa"/>
            <w:vAlign w:val="bottom"/>
            <w:gridSpan w:val="3"/>
          </w:tcPr>
          <w:p>
            <w:pPr>
              <w:ind w:left="60"/>
              <w:spacing w:after="0"/>
              <w:rPr>
                <w:sz w:val="20"/>
                <w:szCs w:val="20"/>
                <w:color w:val="auto"/>
              </w:rPr>
            </w:pPr>
            <w:r>
              <w:rPr>
                <w:rFonts w:ascii="Arial" w:cs="Arial" w:eastAsia="Arial" w:hAnsi="Arial"/>
                <w:sz w:val="16"/>
                <w:szCs w:val="16"/>
                <w:color w:val="auto"/>
              </w:rPr>
              <w:t>Corporate</w:t>
            </w:r>
            <w:r>
              <w:rPr>
                <w:rFonts w:ascii="Arial" w:cs="Arial" w:eastAsia="Arial" w:hAnsi="Arial"/>
                <w:sz w:val="21"/>
                <w:szCs w:val="21"/>
                <w:color w:val="auto"/>
                <w:vertAlign w:val="superscript"/>
              </w:rPr>
              <w:t>(1)</w:t>
            </w:r>
          </w:p>
        </w:tc>
        <w:tc>
          <w:tcPr>
            <w:tcW w:w="9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(85.7)</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(130.6)</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42"/>
        </w:trPr>
        <w:tc>
          <w:tcPr>
            <w:tcW w:w="624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Adjustment for income from unconsolidated affiliates, included in Aviation and</w:t>
            </w:r>
          </w:p>
        </w:tc>
        <w:tc>
          <w:tcPr>
            <w:tcW w:w="960" w:type="dxa"/>
            <w:vAlign w:val="bottom"/>
            <w:shd w:val="clear" w:color="auto" w:fill="DCE2EF"/>
          </w:tcPr>
          <w:p>
            <w:pPr>
              <w:spacing w:after="0"/>
              <w:rPr>
                <w:sz w:val="21"/>
                <w:szCs w:val="21"/>
                <w:color w:val="auto"/>
              </w:rPr>
            </w:pPr>
          </w:p>
        </w:tc>
        <w:tc>
          <w:tcPr>
            <w:tcW w:w="580" w:type="dxa"/>
            <w:vAlign w:val="bottom"/>
            <w:shd w:val="clear" w:color="auto" w:fill="DCE2EF"/>
          </w:tcPr>
          <w:p>
            <w:pPr>
              <w:spacing w:after="0"/>
              <w:rPr>
                <w:sz w:val="21"/>
                <w:szCs w:val="21"/>
                <w:color w:val="auto"/>
              </w:rPr>
            </w:pPr>
          </w:p>
        </w:tc>
        <w:tc>
          <w:tcPr>
            <w:tcW w:w="220" w:type="dxa"/>
            <w:vAlign w:val="bottom"/>
            <w:shd w:val="clear" w:color="auto" w:fill="DCE2EF"/>
          </w:tcPr>
          <w:p>
            <w:pPr>
              <w:spacing w:after="0"/>
              <w:rPr>
                <w:sz w:val="21"/>
                <w:szCs w:val="21"/>
                <w:color w:val="auto"/>
              </w:rPr>
            </w:pPr>
          </w:p>
        </w:tc>
        <w:tc>
          <w:tcPr>
            <w:tcW w:w="920" w:type="dxa"/>
            <w:vAlign w:val="bottom"/>
            <w:shd w:val="clear" w:color="auto" w:fill="DCE2EF"/>
          </w:tcPr>
          <w:p>
            <w:pPr>
              <w:spacing w:after="0"/>
              <w:rPr>
                <w:sz w:val="21"/>
                <w:szCs w:val="21"/>
                <w:color w:val="auto"/>
              </w:rPr>
            </w:pPr>
          </w:p>
        </w:tc>
        <w:tc>
          <w:tcPr>
            <w:tcW w:w="600" w:type="dxa"/>
            <w:vAlign w:val="bottom"/>
            <w:shd w:val="clear" w:color="auto" w:fill="DCE2EF"/>
          </w:tcPr>
          <w:p>
            <w:pPr>
              <w:spacing w:after="0"/>
              <w:rPr>
                <w:sz w:val="21"/>
                <w:szCs w:val="21"/>
                <w:color w:val="auto"/>
              </w:rPr>
            </w:pPr>
          </w:p>
        </w:tc>
        <w:tc>
          <w:tcPr>
            <w:tcW w:w="200" w:type="dxa"/>
            <w:vAlign w:val="bottom"/>
            <w:shd w:val="clear" w:color="auto" w:fill="DCE2EF"/>
          </w:tcPr>
          <w:p>
            <w:pPr>
              <w:spacing w:after="0"/>
              <w:rPr>
                <w:sz w:val="21"/>
                <w:szCs w:val="21"/>
                <w:color w:val="auto"/>
              </w:rPr>
            </w:pPr>
          </w:p>
        </w:tc>
        <w:tc>
          <w:tcPr>
            <w:tcW w:w="1520" w:type="dxa"/>
            <w:vAlign w:val="bottom"/>
            <w:shd w:val="clear" w:color="auto" w:fill="DCE2E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24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Technical Solutions</w:t>
            </w:r>
          </w:p>
        </w:tc>
        <w:tc>
          <w:tcPr>
            <w:tcW w:w="960" w:type="dxa"/>
            <w:vAlign w:val="bottom"/>
            <w:shd w:val="clear" w:color="auto" w:fill="DCE2EF"/>
          </w:tcPr>
          <w:p>
            <w:pPr>
              <w:spacing w:after="0"/>
              <w:rPr>
                <w:sz w:val="20"/>
                <w:szCs w:val="20"/>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(1.3)</w:t>
            </w:r>
          </w:p>
        </w:tc>
        <w:tc>
          <w:tcPr>
            <w:tcW w:w="220" w:type="dxa"/>
            <w:vAlign w:val="bottom"/>
            <w:shd w:val="clear" w:color="auto" w:fill="DCE2EF"/>
          </w:tcPr>
          <w:p>
            <w:pPr>
              <w:spacing w:after="0"/>
              <w:rPr>
                <w:sz w:val="20"/>
                <w:szCs w:val="20"/>
                <w:color w:val="auto"/>
              </w:rPr>
            </w:pPr>
          </w:p>
        </w:tc>
        <w:tc>
          <w:tcPr>
            <w:tcW w:w="920" w:type="dxa"/>
            <w:vAlign w:val="bottom"/>
            <w:shd w:val="clear" w:color="auto" w:fill="DCE2EF"/>
          </w:tcPr>
          <w:p>
            <w:pPr>
              <w:spacing w:after="0"/>
              <w:rPr>
                <w:sz w:val="20"/>
                <w:szCs w:val="20"/>
                <w:color w:val="auto"/>
              </w:rPr>
            </w:pPr>
          </w:p>
        </w:tc>
        <w:tc>
          <w:tcPr>
            <w:tcW w:w="6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(1.8)</w:t>
            </w:r>
          </w:p>
        </w:tc>
        <w:tc>
          <w:tcPr>
            <w:tcW w:w="172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42"/>
        </w:trPr>
        <w:tc>
          <w:tcPr>
            <w:tcW w:w="6240" w:type="dxa"/>
            <w:vAlign w:val="bottom"/>
            <w:gridSpan w:val="3"/>
          </w:tcPr>
          <w:p>
            <w:pPr>
              <w:ind w:left="60"/>
              <w:spacing w:after="0"/>
              <w:rPr>
                <w:sz w:val="20"/>
                <w:szCs w:val="20"/>
                <w:color w:val="auto"/>
              </w:rPr>
            </w:pPr>
            <w:r>
              <w:rPr>
                <w:rFonts w:ascii="Arial" w:cs="Arial" w:eastAsia="Arial" w:hAnsi="Arial"/>
                <w:sz w:val="16"/>
                <w:szCs w:val="16"/>
                <w:color w:val="auto"/>
              </w:rPr>
              <w:t>Adjustment for tax deductions for energy efficient government buildings, included</w:t>
            </w:r>
          </w:p>
        </w:tc>
        <w:tc>
          <w:tcPr>
            <w:tcW w:w="960" w:type="dxa"/>
            <w:vAlign w:val="bottom"/>
          </w:tcPr>
          <w:p>
            <w:pPr>
              <w:spacing w:after="0"/>
              <w:rPr>
                <w:sz w:val="21"/>
                <w:szCs w:val="21"/>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(2.6)</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240" w:type="dxa"/>
            <w:vAlign w:val="bottom"/>
            <w:gridSpan w:val="3"/>
          </w:tcPr>
          <w:p>
            <w:pPr>
              <w:ind w:left="60"/>
              <w:spacing w:after="0"/>
              <w:rPr>
                <w:sz w:val="20"/>
                <w:szCs w:val="20"/>
                <w:color w:val="auto"/>
              </w:rPr>
            </w:pPr>
            <w:r>
              <w:rPr>
                <w:rFonts w:ascii="Arial" w:cs="Arial" w:eastAsia="Arial" w:hAnsi="Arial"/>
                <w:sz w:val="16"/>
                <w:szCs w:val="16"/>
                <w:color w:val="auto"/>
              </w:rPr>
              <w:t>in Technical Solutions</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45"/>
        </w:trPr>
        <w:tc>
          <w:tcPr>
            <w:tcW w:w="624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Total operating profit</w:t>
            </w:r>
          </w:p>
        </w:tc>
        <w:tc>
          <w:tcPr>
            <w:tcW w:w="960" w:type="dxa"/>
            <w:vAlign w:val="bottom"/>
            <w:tcBorders>
              <w:bottom w:val="single" w:sz="8" w:color="DCE2EF"/>
            </w:tcBorders>
            <w:shd w:val="clear" w:color="auto" w:fill="DCE2EF"/>
          </w:tcPr>
          <w:p>
            <w:pPr>
              <w:spacing w:after="0"/>
              <w:rPr>
                <w:sz w:val="21"/>
                <w:szCs w:val="21"/>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83.4</w:t>
            </w:r>
          </w:p>
        </w:tc>
        <w:tc>
          <w:tcPr>
            <w:tcW w:w="220" w:type="dxa"/>
            <w:vAlign w:val="bottom"/>
            <w:tcBorders>
              <w:bottom w:val="single" w:sz="8" w:color="DCE2EF"/>
            </w:tcBorders>
            <w:shd w:val="clear" w:color="auto" w:fill="DCE2EF"/>
          </w:tcPr>
          <w:p>
            <w:pPr>
              <w:spacing w:after="0"/>
              <w:rPr>
                <w:sz w:val="21"/>
                <w:szCs w:val="21"/>
                <w:color w:val="auto"/>
              </w:rPr>
            </w:pPr>
          </w:p>
        </w:tc>
        <w:tc>
          <w:tcPr>
            <w:tcW w:w="920" w:type="dxa"/>
            <w:vAlign w:val="bottom"/>
            <w:tcBorders>
              <w:bottom w:val="single" w:sz="8" w:color="DCE2EF"/>
            </w:tcBorders>
            <w:shd w:val="clear" w:color="auto" w:fill="DCE2EF"/>
          </w:tcPr>
          <w:p>
            <w:pPr>
              <w:spacing w:after="0"/>
              <w:rPr>
                <w:sz w:val="21"/>
                <w:szCs w:val="21"/>
                <w:color w:val="auto"/>
              </w:rPr>
            </w:pPr>
          </w:p>
        </w:tc>
        <w:tc>
          <w:tcPr>
            <w:tcW w:w="6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37.4</w:t>
            </w:r>
          </w:p>
        </w:tc>
        <w:tc>
          <w:tcPr>
            <w:tcW w:w="200" w:type="dxa"/>
            <w:vAlign w:val="bottom"/>
            <w:tcBorders>
              <w:bottom w:val="single" w:sz="8" w:color="DCE2EF"/>
            </w:tcBorders>
            <w:shd w:val="clear" w:color="auto" w:fill="DCE2EF"/>
          </w:tcPr>
          <w:p>
            <w:pPr>
              <w:spacing w:after="0"/>
              <w:rPr>
                <w:sz w:val="21"/>
                <w:szCs w:val="21"/>
                <w:color w:val="auto"/>
              </w:rPr>
            </w:pPr>
          </w:p>
        </w:tc>
        <w:tc>
          <w:tcPr>
            <w:tcW w:w="152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76"/>
        </w:trPr>
        <w:tc>
          <w:tcPr>
            <w:tcW w:w="6240" w:type="dxa"/>
            <w:vAlign w:val="bottom"/>
            <w:gridSpan w:val="3"/>
          </w:tcPr>
          <w:p>
            <w:pPr>
              <w:ind w:left="60"/>
              <w:spacing w:after="0"/>
              <w:rPr>
                <w:sz w:val="20"/>
                <w:szCs w:val="20"/>
                <w:color w:val="auto"/>
              </w:rPr>
            </w:pPr>
            <w:r>
              <w:rPr>
                <w:rFonts w:ascii="Arial" w:cs="Arial" w:eastAsia="Arial" w:hAnsi="Arial"/>
                <w:sz w:val="16"/>
                <w:szCs w:val="16"/>
                <w:color w:val="auto"/>
              </w:rPr>
              <w:t>Income from unconsolidated affiliates</w:t>
            </w:r>
          </w:p>
        </w:tc>
        <w:tc>
          <w:tcPr>
            <w:tcW w:w="9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(29.0)   %</w:t>
            </w:r>
          </w:p>
        </w:tc>
        <w:tc>
          <w:tcPr>
            <w:tcW w:w="0" w:type="dxa"/>
            <w:vAlign w:val="bottom"/>
          </w:tcPr>
          <w:p>
            <w:pPr>
              <w:spacing w:after="0"/>
              <w:rPr>
                <w:sz w:val="1"/>
                <w:szCs w:val="1"/>
                <w:color w:val="auto"/>
              </w:rPr>
            </w:pPr>
          </w:p>
        </w:tc>
      </w:tr>
      <w:tr>
        <w:trPr>
          <w:trHeight w:val="290"/>
        </w:trPr>
        <w:tc>
          <w:tcPr>
            <w:tcW w:w="624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Interest expense</w:t>
            </w:r>
          </w:p>
        </w:tc>
        <w:tc>
          <w:tcPr>
            <w:tcW w:w="96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(25.3)</w:t>
            </w:r>
          </w:p>
        </w:tc>
        <w:tc>
          <w:tcPr>
            <w:tcW w:w="220" w:type="dxa"/>
            <w:vAlign w:val="bottom"/>
            <w:tcBorders>
              <w:bottom w:val="single" w:sz="8" w:color="DCE2EF"/>
            </w:tcBorders>
            <w:shd w:val="clear" w:color="auto" w:fill="DCE2EF"/>
          </w:tcPr>
          <w:p>
            <w:pPr>
              <w:spacing w:after="0"/>
              <w:rPr>
                <w:sz w:val="24"/>
                <w:szCs w:val="24"/>
                <w:color w:val="auto"/>
              </w:rPr>
            </w:pPr>
          </w:p>
        </w:tc>
        <w:tc>
          <w:tcPr>
            <w:tcW w:w="920" w:type="dxa"/>
            <w:vAlign w:val="bottom"/>
            <w:tcBorders>
              <w:bottom w:val="single" w:sz="8" w:color="auto"/>
            </w:tcBorders>
            <w:shd w:val="clear" w:color="auto" w:fill="DCE2EF"/>
          </w:tcPr>
          <w:p>
            <w:pPr>
              <w:spacing w:after="0"/>
              <w:rPr>
                <w:sz w:val="24"/>
                <w:szCs w:val="24"/>
                <w:color w:val="auto"/>
              </w:rPr>
            </w:pPr>
          </w:p>
        </w:tc>
        <w:tc>
          <w:tcPr>
            <w:tcW w:w="6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(21.2)</w:t>
            </w:r>
          </w:p>
        </w:tc>
        <w:tc>
          <w:tcPr>
            <w:tcW w:w="1720" w:type="dxa"/>
            <w:vAlign w:val="bottom"/>
            <w:tcBorders>
              <w:bottom w:val="single" w:sz="8" w:color="DCE2EF"/>
            </w:tcBorders>
            <w:gridSpan w:val="2"/>
            <w:shd w:val="clear" w:color="auto" w:fill="DCE2EF"/>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35"/>
        </w:trPr>
        <w:tc>
          <w:tcPr>
            <w:tcW w:w="6240" w:type="dxa"/>
            <w:vAlign w:val="bottom"/>
            <w:gridSpan w:val="3"/>
          </w:tcPr>
          <w:p>
            <w:pPr>
              <w:ind w:left="60"/>
              <w:spacing w:after="0"/>
              <w:rPr>
                <w:sz w:val="20"/>
                <w:szCs w:val="20"/>
                <w:color w:val="auto"/>
              </w:rPr>
            </w:pPr>
            <w:r>
              <w:rPr>
                <w:rFonts w:ascii="Arial" w:cs="Arial" w:eastAsia="Arial" w:hAnsi="Arial"/>
                <w:sz w:val="16"/>
                <w:szCs w:val="16"/>
                <w:color w:val="auto"/>
              </w:rPr>
              <w:t>Income before income taxes</w:t>
            </w: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59.4</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18.0</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24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Income tax provision</w:t>
            </w:r>
          </w:p>
        </w:tc>
        <w:tc>
          <w:tcPr>
            <w:tcW w:w="96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(17.6)</w:t>
            </w:r>
          </w:p>
        </w:tc>
        <w:tc>
          <w:tcPr>
            <w:tcW w:w="220" w:type="dxa"/>
            <w:vAlign w:val="bottom"/>
            <w:shd w:val="clear" w:color="auto" w:fill="DCE2EF"/>
          </w:tcPr>
          <w:p>
            <w:pPr>
              <w:spacing w:after="0"/>
              <w:rPr>
                <w:sz w:val="24"/>
                <w:szCs w:val="24"/>
                <w:color w:val="auto"/>
              </w:rPr>
            </w:pPr>
          </w:p>
        </w:tc>
        <w:tc>
          <w:tcPr>
            <w:tcW w:w="920" w:type="dxa"/>
            <w:vAlign w:val="bottom"/>
            <w:tcBorders>
              <w:bottom w:val="single" w:sz="8" w:color="auto"/>
            </w:tcBorders>
            <w:shd w:val="clear" w:color="auto" w:fill="DCE2EF"/>
          </w:tcPr>
          <w:p>
            <w:pPr>
              <w:spacing w:after="0"/>
              <w:rPr>
                <w:sz w:val="24"/>
                <w:szCs w:val="24"/>
                <w:color w:val="auto"/>
              </w:rPr>
            </w:pPr>
          </w:p>
        </w:tc>
        <w:tc>
          <w:tcPr>
            <w:tcW w:w="6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(13.3)</w:t>
            </w:r>
          </w:p>
        </w:tc>
        <w:tc>
          <w:tcPr>
            <w:tcW w:w="172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70"/>
        </w:trPr>
        <w:tc>
          <w:tcPr>
            <w:tcW w:w="6240" w:type="dxa"/>
            <w:vAlign w:val="bottom"/>
            <w:gridSpan w:val="3"/>
          </w:tcPr>
          <w:p>
            <w:pPr>
              <w:ind w:left="60"/>
              <w:spacing w:after="0"/>
              <w:rPr>
                <w:sz w:val="20"/>
                <w:szCs w:val="20"/>
                <w:color w:val="auto"/>
              </w:rPr>
            </w:pPr>
            <w:r>
              <w:rPr>
                <w:rFonts w:ascii="Arial" w:cs="Arial" w:eastAsia="Arial" w:hAnsi="Arial"/>
                <w:sz w:val="16"/>
                <w:szCs w:val="16"/>
                <w:b w:val="1"/>
                <w:bCs w:val="1"/>
                <w:color w:val="auto"/>
              </w:rPr>
              <w:t>Net income</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w:t>
            </w:r>
          </w:p>
        </w:tc>
        <w:tc>
          <w:tcPr>
            <w:tcW w:w="220" w:type="dxa"/>
            <w:vAlign w:val="bottom"/>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4.7</w:t>
            </w:r>
          </w:p>
        </w:tc>
        <w:tc>
          <w:tcPr>
            <w:tcW w:w="2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-4253865</wp:posOffset>
            </wp:positionV>
            <wp:extent cx="145415" cy="114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5415" cy="1143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-4253865</wp:posOffset>
            </wp:positionV>
            <wp:extent cx="137160" cy="114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-2990850</wp:posOffset>
            </wp:positionV>
            <wp:extent cx="1454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-2965450</wp:posOffset>
            </wp:positionV>
            <wp:extent cx="1454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-3171190</wp:posOffset>
            </wp:positionV>
            <wp:extent cx="1454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-2990850</wp:posOffset>
            </wp:positionV>
            <wp:extent cx="137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-2965450</wp:posOffset>
            </wp:positionV>
            <wp:extent cx="137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-3171190</wp:posOffset>
            </wp:positionV>
            <wp:extent cx="137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-1116330</wp:posOffset>
            </wp:positionV>
            <wp:extent cx="145415" cy="114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5415" cy="1143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-1116330</wp:posOffset>
            </wp:positionV>
            <wp:extent cx="137160" cy="114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-576580</wp:posOffset>
            </wp:positionV>
            <wp:extent cx="145415" cy="114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5415" cy="1143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-576580</wp:posOffset>
            </wp:positionV>
            <wp:extent cx="137160" cy="114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7160" cy="11430"/>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color w:val="auto"/>
        </w:rPr>
        <w:t>*Not meaningful (due to variance greater than or equal to +/-100%)</w:t>
      </w:r>
    </w:p>
    <w:p>
      <w:pPr>
        <w:spacing w:after="0" w:line="100"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16"/>
          <w:szCs w:val="16"/>
          <w:color w:val="auto"/>
          <w:vertAlign w:val="superscript"/>
        </w:rPr>
      </w:pPr>
      <w:r>
        <w:rPr>
          <w:rFonts w:ascii="Arial" w:cs="Arial" w:eastAsia="Arial" w:hAnsi="Arial"/>
          <w:sz w:val="12"/>
          <w:szCs w:val="12"/>
          <w:color w:val="auto"/>
        </w:rPr>
        <w:t>The three months ended July 31, 2024, includes a $36.0 million fair value adjustment to increase the contingent consideration related to the RavenVolt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15" w:name="page16"/>
    <w:bookmarkEnd w:id="15"/>
    <w:p>
      <w:pPr>
        <w:ind w:right="4940" w:firstLine="55"/>
        <w:spacing w:after="0" w:line="398" w:lineRule="auto"/>
        <w:rPr>
          <w:sz w:val="20"/>
          <w:szCs w:val="20"/>
          <w:color w:val="auto"/>
        </w:rPr>
      </w:pPr>
      <w:r>
        <w:rPr>
          <w:rFonts w:ascii="Arial" w:cs="Arial" w:eastAsia="Arial" w:hAnsi="Arial"/>
          <w:sz w:val="19"/>
          <w:szCs w:val="19"/>
          <w:b w:val="1"/>
          <w:bCs w:val="1"/>
          <w:color w:val="0046AD"/>
        </w:rPr>
        <w:t>ABM INDUSTRIES INCORPORATED AND SUBSIDIARIES REVENUES AND OPERATING PROFIT BY SEGMENT (UNAUDITED)</w:t>
      </w:r>
    </w:p>
    <w:tbl>
      <w:tblPr>
        <w:tblLayout w:type="fixed"/>
        <w:tblInd w:w="0" w:type="dxa"/>
        <w:tblCellMar>
          <w:top w:w="0" w:type="dxa"/>
          <w:left w:w="0" w:type="dxa"/>
          <w:bottom w:w="0" w:type="dxa"/>
          <w:right w:w="0" w:type="dxa"/>
        </w:tblCellMar>
      </w:tblPr>
      <w:tr>
        <w:trPr>
          <w:trHeight w:val="224"/>
        </w:trPr>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27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6"/>
                <w:szCs w:val="16"/>
                <w:b w:val="1"/>
                <w:bCs w:val="1"/>
                <w:color w:val="auto"/>
              </w:rPr>
              <w:t>Nine Months Ended July 31,</w:t>
            </w:r>
          </w:p>
        </w:tc>
        <w:tc>
          <w:tcPr>
            <w:tcW w:w="5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53"/>
        </w:trPr>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520" w:type="dxa"/>
            <w:vAlign w:val="bottom"/>
          </w:tcPr>
          <w:p>
            <w:pPr>
              <w:spacing w:after="0"/>
              <w:rPr>
                <w:sz w:val="4"/>
                <w:szCs w:val="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2025</w:t>
            </w:r>
          </w:p>
        </w:tc>
        <w:tc>
          <w:tcPr>
            <w:tcW w:w="580" w:type="dxa"/>
            <w:vAlign w:val="bottom"/>
          </w:tcPr>
          <w:p>
            <w:pPr>
              <w:spacing w:after="0"/>
              <w:rPr>
                <w:sz w:val="4"/>
                <w:szCs w:val="4"/>
                <w:color w:val="auto"/>
              </w:rPr>
            </w:pPr>
          </w:p>
        </w:tc>
        <w:tc>
          <w:tcPr>
            <w:tcW w:w="1200" w:type="dxa"/>
            <w:vAlign w:val="bottom"/>
            <w:gridSpan w:val="2"/>
            <w:vMerge w:val="restart"/>
          </w:tcPr>
          <w:p>
            <w:pPr>
              <w:jc w:val="right"/>
              <w:ind w:right="40"/>
              <w:spacing w:after="0"/>
              <w:rPr>
                <w:sz w:val="20"/>
                <w:szCs w:val="20"/>
                <w:color w:val="auto"/>
              </w:rPr>
            </w:pPr>
            <w:r>
              <w:rPr>
                <w:rFonts w:ascii="Arial" w:cs="Arial" w:eastAsia="Arial" w:hAnsi="Arial"/>
                <w:sz w:val="16"/>
                <w:szCs w:val="16"/>
                <w:b w:val="1"/>
                <w:bCs w:val="1"/>
                <w:color w:val="auto"/>
              </w:rPr>
              <w:t>2024</w:t>
            </w: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6280" w:type="dxa"/>
            <w:vAlign w:val="bottom"/>
            <w:gridSpan w:val="3"/>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4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jc w:val="right"/>
              <w:ind w:right="239"/>
              <w:spacing w:after="0" w:line="176" w:lineRule="exact"/>
              <w:rPr>
                <w:sz w:val="20"/>
                <w:szCs w:val="20"/>
                <w:color w:val="auto"/>
              </w:rPr>
            </w:pPr>
            <w:r>
              <w:rPr>
                <w:rFonts w:ascii="Arial" w:cs="Arial" w:eastAsia="Arial" w:hAnsi="Arial"/>
                <w:sz w:val="16"/>
                <w:szCs w:val="16"/>
                <w:b w:val="1"/>
                <w:bCs w:val="1"/>
                <w:color w:val="auto"/>
              </w:rPr>
              <w:t>(Decrease)</w:t>
            </w:r>
          </w:p>
        </w:tc>
        <w:tc>
          <w:tcPr>
            <w:tcW w:w="0" w:type="dxa"/>
            <w:vAlign w:val="bottom"/>
          </w:tcPr>
          <w:p>
            <w:pPr>
              <w:spacing w:after="0"/>
              <w:rPr>
                <w:sz w:val="1"/>
                <w:szCs w:val="1"/>
                <w:color w:val="auto"/>
              </w:rPr>
            </w:pPr>
          </w:p>
        </w:tc>
      </w:tr>
      <w:tr>
        <w:trPr>
          <w:trHeight w:val="28"/>
        </w:trPr>
        <w:tc>
          <w:tcPr>
            <w:tcW w:w="60" w:type="dxa"/>
            <w:vAlign w:val="bottom"/>
            <w:tcBorders>
              <w:bottom w:val="single" w:sz="8" w:color="DCE2EF"/>
            </w:tcBorders>
          </w:tcPr>
          <w:p>
            <w:pPr>
              <w:spacing w:after="0"/>
              <w:rPr>
                <w:sz w:val="2"/>
                <w:szCs w:val="2"/>
                <w:color w:val="auto"/>
              </w:rPr>
            </w:pPr>
          </w:p>
        </w:tc>
        <w:tc>
          <w:tcPr>
            <w:tcW w:w="700" w:type="dxa"/>
            <w:vAlign w:val="bottom"/>
            <w:tcBorders>
              <w:top w:val="single" w:sz="8" w:color="auto"/>
              <w:bottom w:val="single" w:sz="8" w:color="DCE2EF"/>
            </w:tcBorders>
          </w:tcPr>
          <w:p>
            <w:pPr>
              <w:spacing w:after="0"/>
              <w:rPr>
                <w:sz w:val="2"/>
                <w:szCs w:val="2"/>
                <w:color w:val="auto"/>
              </w:rPr>
            </w:pPr>
          </w:p>
        </w:tc>
        <w:tc>
          <w:tcPr>
            <w:tcW w:w="5520" w:type="dxa"/>
            <w:vAlign w:val="bottom"/>
            <w:tcBorders>
              <w:bottom w:val="single" w:sz="8" w:color="DCE2E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DCE2E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DCE2E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8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Revenues</w:t>
            </w:r>
          </w:p>
        </w:tc>
        <w:tc>
          <w:tcPr>
            <w:tcW w:w="940" w:type="dxa"/>
            <w:vAlign w:val="bottom"/>
            <w:tcBorders>
              <w:bottom w:val="single" w:sz="8" w:color="DCE2EF"/>
            </w:tcBorders>
            <w:shd w:val="clear" w:color="auto" w:fill="DCE2EF"/>
          </w:tcPr>
          <w:p>
            <w:pPr>
              <w:spacing w:after="0"/>
              <w:rPr>
                <w:sz w:val="20"/>
                <w:szCs w:val="20"/>
                <w:color w:val="auto"/>
              </w:rPr>
            </w:pPr>
          </w:p>
        </w:tc>
        <w:tc>
          <w:tcPr>
            <w:tcW w:w="580" w:type="dxa"/>
            <w:vAlign w:val="bottom"/>
            <w:tcBorders>
              <w:bottom w:val="single" w:sz="8" w:color="DCE2EF"/>
            </w:tcBorders>
            <w:shd w:val="clear" w:color="auto" w:fill="DCE2EF"/>
          </w:tcPr>
          <w:p>
            <w:pPr>
              <w:spacing w:after="0"/>
              <w:rPr>
                <w:sz w:val="20"/>
                <w:szCs w:val="20"/>
                <w:color w:val="auto"/>
              </w:rPr>
            </w:pPr>
          </w:p>
        </w:tc>
        <w:tc>
          <w:tcPr>
            <w:tcW w:w="220" w:type="dxa"/>
            <w:vAlign w:val="bottom"/>
            <w:tcBorders>
              <w:bottom w:val="single" w:sz="8" w:color="DCE2EF"/>
            </w:tcBorders>
            <w:shd w:val="clear" w:color="auto" w:fill="DCE2EF"/>
          </w:tcPr>
          <w:p>
            <w:pPr>
              <w:spacing w:after="0"/>
              <w:rPr>
                <w:sz w:val="20"/>
                <w:szCs w:val="20"/>
                <w:color w:val="auto"/>
              </w:rPr>
            </w:pPr>
          </w:p>
        </w:tc>
        <w:tc>
          <w:tcPr>
            <w:tcW w:w="980" w:type="dxa"/>
            <w:vAlign w:val="bottom"/>
            <w:tcBorders>
              <w:bottom w:val="single" w:sz="8" w:color="DCE2EF"/>
            </w:tcBorders>
            <w:shd w:val="clear" w:color="auto" w:fill="DCE2EF"/>
          </w:tcPr>
          <w:p>
            <w:pPr>
              <w:spacing w:after="0"/>
              <w:rPr>
                <w:sz w:val="20"/>
                <w:szCs w:val="20"/>
                <w:color w:val="auto"/>
              </w:rPr>
            </w:pPr>
          </w:p>
        </w:tc>
        <w:tc>
          <w:tcPr>
            <w:tcW w:w="560" w:type="dxa"/>
            <w:vAlign w:val="bottom"/>
            <w:tcBorders>
              <w:bottom w:val="single" w:sz="8" w:color="DCE2EF"/>
            </w:tcBorders>
            <w:shd w:val="clear" w:color="auto" w:fill="DCE2EF"/>
          </w:tcPr>
          <w:p>
            <w:pPr>
              <w:spacing w:after="0"/>
              <w:rPr>
                <w:sz w:val="20"/>
                <w:szCs w:val="20"/>
                <w:color w:val="auto"/>
              </w:rPr>
            </w:pPr>
          </w:p>
        </w:tc>
        <w:tc>
          <w:tcPr>
            <w:tcW w:w="200" w:type="dxa"/>
            <w:vAlign w:val="bottom"/>
            <w:tcBorders>
              <w:bottom w:val="single" w:sz="8" w:color="DCE2EF"/>
            </w:tcBorders>
            <w:shd w:val="clear" w:color="auto" w:fill="DCE2EF"/>
          </w:tcPr>
          <w:p>
            <w:pPr>
              <w:spacing w:after="0"/>
              <w:rPr>
                <w:sz w:val="20"/>
                <w:szCs w:val="20"/>
                <w:color w:val="auto"/>
              </w:rPr>
            </w:pPr>
          </w:p>
        </w:tc>
        <w:tc>
          <w:tcPr>
            <w:tcW w:w="1480" w:type="dxa"/>
            <w:vAlign w:val="bottom"/>
            <w:tcBorders>
              <w:bottom w:val="single" w:sz="8" w:color="DCE2EF"/>
            </w:tcBorders>
            <w:shd w:val="clear" w:color="auto" w:fill="DCE2EF"/>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280" w:type="dxa"/>
            <w:vAlign w:val="bottom"/>
            <w:gridSpan w:val="3"/>
          </w:tcPr>
          <w:p>
            <w:pPr>
              <w:ind w:left="60"/>
              <w:spacing w:after="0"/>
              <w:rPr>
                <w:sz w:val="20"/>
                <w:szCs w:val="20"/>
                <w:color w:val="auto"/>
              </w:rPr>
            </w:pPr>
            <w:r>
              <w:rPr>
                <w:rFonts w:ascii="Arial" w:cs="Arial" w:eastAsia="Arial" w:hAnsi="Arial"/>
                <w:sz w:val="16"/>
                <w:szCs w:val="16"/>
                <w:color w:val="auto"/>
              </w:rPr>
              <w:t>Business &amp; Industry</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3,077.2</w:t>
            </w: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7"/>
              </w:rPr>
              <w:t>3,033.4</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91"/>
        </w:trPr>
        <w:tc>
          <w:tcPr>
            <w:tcW w:w="628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Manufacturing &amp; Distribution</w:t>
            </w:r>
          </w:p>
        </w:tc>
        <w:tc>
          <w:tcPr>
            <w:tcW w:w="94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1,201.2</w:t>
            </w:r>
          </w:p>
        </w:tc>
        <w:tc>
          <w:tcPr>
            <w:tcW w:w="220" w:type="dxa"/>
            <w:vAlign w:val="bottom"/>
            <w:shd w:val="clear" w:color="auto" w:fill="DCE2EF"/>
          </w:tcPr>
          <w:p>
            <w:pPr>
              <w:spacing w:after="0"/>
              <w:rPr>
                <w:sz w:val="24"/>
                <w:szCs w:val="24"/>
                <w:color w:val="auto"/>
              </w:rPr>
            </w:pPr>
          </w:p>
        </w:tc>
        <w:tc>
          <w:tcPr>
            <w:tcW w:w="98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w w:val="97"/>
              </w:rPr>
              <w:t>1,166.6</w:t>
            </w:r>
          </w:p>
        </w:tc>
        <w:tc>
          <w:tcPr>
            <w:tcW w:w="168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76"/>
        </w:trPr>
        <w:tc>
          <w:tcPr>
            <w:tcW w:w="6280" w:type="dxa"/>
            <w:vAlign w:val="bottom"/>
            <w:gridSpan w:val="3"/>
          </w:tcPr>
          <w:p>
            <w:pPr>
              <w:ind w:left="60"/>
              <w:spacing w:after="0"/>
              <w:rPr>
                <w:sz w:val="20"/>
                <w:szCs w:val="20"/>
                <w:color w:val="auto"/>
              </w:rPr>
            </w:pPr>
            <w:r>
              <w:rPr>
                <w:rFonts w:ascii="Arial" w:cs="Arial" w:eastAsia="Arial" w:hAnsi="Arial"/>
                <w:sz w:val="16"/>
                <w:szCs w:val="16"/>
                <w:color w:val="auto"/>
              </w:rPr>
              <w:t>Aviation</w:t>
            </w:r>
          </w:p>
        </w:tc>
        <w:tc>
          <w:tcPr>
            <w:tcW w:w="9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822.0</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756.1</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91"/>
        </w:trPr>
        <w:tc>
          <w:tcPr>
            <w:tcW w:w="628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Education</w:t>
            </w:r>
          </w:p>
        </w:tc>
        <w:tc>
          <w:tcPr>
            <w:tcW w:w="94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688.2</w:t>
            </w:r>
          </w:p>
        </w:tc>
        <w:tc>
          <w:tcPr>
            <w:tcW w:w="220" w:type="dxa"/>
            <w:vAlign w:val="bottom"/>
            <w:shd w:val="clear" w:color="auto" w:fill="DCE2EF"/>
          </w:tcPr>
          <w:p>
            <w:pPr>
              <w:spacing w:after="0"/>
              <w:rPr>
                <w:sz w:val="24"/>
                <w:szCs w:val="24"/>
                <w:color w:val="auto"/>
              </w:rPr>
            </w:pPr>
          </w:p>
        </w:tc>
        <w:tc>
          <w:tcPr>
            <w:tcW w:w="98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674.0</w:t>
            </w:r>
          </w:p>
        </w:tc>
        <w:tc>
          <w:tcPr>
            <w:tcW w:w="168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83"/>
        </w:trPr>
        <w:tc>
          <w:tcPr>
            <w:tcW w:w="6280" w:type="dxa"/>
            <w:vAlign w:val="bottom"/>
            <w:gridSpan w:val="3"/>
          </w:tcPr>
          <w:p>
            <w:pPr>
              <w:ind w:left="60"/>
              <w:spacing w:after="0"/>
              <w:rPr>
                <w:sz w:val="20"/>
                <w:szCs w:val="20"/>
                <w:color w:val="auto"/>
              </w:rPr>
            </w:pPr>
            <w:r>
              <w:rPr>
                <w:rFonts w:ascii="Arial" w:cs="Arial" w:eastAsia="Arial" w:hAnsi="Arial"/>
                <w:sz w:val="16"/>
                <w:szCs w:val="16"/>
                <w:color w:val="auto"/>
              </w:rPr>
              <w:t>Technical Solutions</w:t>
            </w:r>
          </w:p>
        </w:tc>
        <w:tc>
          <w:tcPr>
            <w:tcW w:w="9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662.0</w:t>
            </w:r>
          </w:p>
        </w:tc>
        <w:tc>
          <w:tcPr>
            <w:tcW w:w="2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551.9</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310"/>
        </w:trPr>
        <w:tc>
          <w:tcPr>
            <w:tcW w:w="628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Total Revenues</w:t>
            </w:r>
          </w:p>
        </w:tc>
        <w:tc>
          <w:tcPr>
            <w:tcW w:w="940" w:type="dxa"/>
            <w:vAlign w:val="bottom"/>
            <w:tcBorders>
              <w:bottom w:val="single" w:sz="8" w:color="DCE2EF"/>
            </w:tcBorders>
            <w:shd w:val="clear" w:color="auto" w:fill="DCE2EF"/>
          </w:tcPr>
          <w:p>
            <w:pPr>
              <w:jc w:val="right"/>
              <w:ind w:right="15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6,450.5</w:t>
            </w:r>
          </w:p>
        </w:tc>
        <w:tc>
          <w:tcPr>
            <w:tcW w:w="1200" w:type="dxa"/>
            <w:vAlign w:val="bottom"/>
            <w:tcBorders>
              <w:bottom w:val="single" w:sz="8" w:color="DCE2EF"/>
            </w:tcBorders>
            <w:gridSpan w:val="2"/>
            <w:shd w:val="clear" w:color="auto" w:fill="DCE2EF"/>
          </w:tcPr>
          <w:p>
            <w:pPr>
              <w:jc w:val="right"/>
              <w:ind w:right="28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w w:val="97"/>
              </w:rPr>
              <w:t>6,182.0</w:t>
            </w:r>
          </w:p>
        </w:tc>
        <w:tc>
          <w:tcPr>
            <w:tcW w:w="1680" w:type="dxa"/>
            <w:vAlign w:val="bottom"/>
            <w:tcBorders>
              <w:bottom w:val="single" w:sz="8" w:color="DCE2EF"/>
            </w:tcBorders>
            <w:gridSpan w:val="2"/>
            <w:shd w:val="clear" w:color="auto" w:fill="DCE2E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60"/>
        </w:trPr>
        <w:tc>
          <w:tcPr>
            <w:tcW w:w="6280" w:type="dxa"/>
            <w:vAlign w:val="bottom"/>
            <w:tcBorders>
              <w:top w:val="single" w:sz="8" w:color="DCE2EF"/>
            </w:tcBorders>
            <w:gridSpan w:val="3"/>
          </w:tcPr>
          <w:p>
            <w:pPr>
              <w:ind w:left="60"/>
              <w:spacing w:after="0"/>
              <w:rPr>
                <w:sz w:val="20"/>
                <w:szCs w:val="20"/>
                <w:color w:val="auto"/>
              </w:rPr>
            </w:pPr>
            <w:r>
              <w:rPr>
                <w:rFonts w:ascii="Arial" w:cs="Arial" w:eastAsia="Arial" w:hAnsi="Arial"/>
                <w:sz w:val="16"/>
                <w:szCs w:val="16"/>
                <w:b w:val="1"/>
                <w:bCs w:val="1"/>
                <w:color w:val="auto"/>
              </w:rPr>
              <w:t>Operating profit</w:t>
            </w:r>
          </w:p>
        </w:tc>
        <w:tc>
          <w:tcPr>
            <w:tcW w:w="94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220" w:type="dxa"/>
            <w:vAlign w:val="bottom"/>
            <w:tcBorders>
              <w:top w:val="single" w:sz="8" w:color="DCE2EF"/>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200" w:type="dxa"/>
            <w:vAlign w:val="bottom"/>
            <w:tcBorders>
              <w:top w:val="single" w:sz="8" w:color="DCE2EF"/>
            </w:tcBorders>
          </w:tcPr>
          <w:p>
            <w:pPr>
              <w:spacing w:after="0"/>
              <w:rPr>
                <w:sz w:val="22"/>
                <w:szCs w:val="22"/>
                <w:color w:val="auto"/>
              </w:rPr>
            </w:pPr>
          </w:p>
        </w:tc>
        <w:tc>
          <w:tcPr>
            <w:tcW w:w="1480" w:type="dxa"/>
            <w:vAlign w:val="bottom"/>
            <w:tcBorders>
              <w:top w:val="single" w:sz="8" w:color="DCE2EF"/>
            </w:tcBorders>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628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Business &amp; Industry</w:t>
            </w:r>
          </w:p>
        </w:tc>
        <w:tc>
          <w:tcPr>
            <w:tcW w:w="9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236.2</w:t>
            </w:r>
          </w:p>
        </w:tc>
        <w:tc>
          <w:tcPr>
            <w:tcW w:w="1200" w:type="dxa"/>
            <w:vAlign w:val="bottom"/>
            <w:gridSpan w:val="2"/>
            <w:shd w:val="clear" w:color="auto" w:fill="DCE2EF"/>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235.0</w:t>
            </w:r>
          </w:p>
        </w:tc>
        <w:tc>
          <w:tcPr>
            <w:tcW w:w="168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76"/>
        </w:trPr>
        <w:tc>
          <w:tcPr>
            <w:tcW w:w="6280" w:type="dxa"/>
            <w:vAlign w:val="bottom"/>
            <w:gridSpan w:val="3"/>
          </w:tcPr>
          <w:p>
            <w:pPr>
              <w:ind w:left="60"/>
              <w:spacing w:after="0"/>
              <w:rPr>
                <w:sz w:val="20"/>
                <w:szCs w:val="20"/>
                <w:color w:val="auto"/>
              </w:rPr>
            </w:pPr>
            <w:r>
              <w:rPr>
                <w:rFonts w:ascii="Arial" w:cs="Arial" w:eastAsia="Arial" w:hAnsi="Arial"/>
                <w:sz w:val="16"/>
                <w:szCs w:val="16"/>
                <w:color w:val="auto"/>
              </w:rPr>
              <w:t>Manufacturing &amp; Distribution</w:t>
            </w:r>
          </w:p>
        </w:tc>
        <w:tc>
          <w:tcPr>
            <w:tcW w:w="9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115.6</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125.9</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91"/>
        </w:trPr>
        <w:tc>
          <w:tcPr>
            <w:tcW w:w="628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Aviation</w:t>
            </w:r>
          </w:p>
        </w:tc>
        <w:tc>
          <w:tcPr>
            <w:tcW w:w="94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48.4</w:t>
            </w:r>
          </w:p>
        </w:tc>
        <w:tc>
          <w:tcPr>
            <w:tcW w:w="220" w:type="dxa"/>
            <w:vAlign w:val="bottom"/>
            <w:shd w:val="clear" w:color="auto" w:fill="DCE2EF"/>
          </w:tcPr>
          <w:p>
            <w:pPr>
              <w:spacing w:after="0"/>
              <w:rPr>
                <w:sz w:val="24"/>
                <w:szCs w:val="24"/>
                <w:color w:val="auto"/>
              </w:rPr>
            </w:pPr>
          </w:p>
        </w:tc>
        <w:tc>
          <w:tcPr>
            <w:tcW w:w="98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40.6</w:t>
            </w:r>
          </w:p>
        </w:tc>
        <w:tc>
          <w:tcPr>
            <w:tcW w:w="168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76"/>
        </w:trPr>
        <w:tc>
          <w:tcPr>
            <w:tcW w:w="6280" w:type="dxa"/>
            <w:vAlign w:val="bottom"/>
            <w:gridSpan w:val="3"/>
          </w:tcPr>
          <w:p>
            <w:pPr>
              <w:ind w:left="60"/>
              <w:spacing w:after="0"/>
              <w:rPr>
                <w:sz w:val="20"/>
                <w:szCs w:val="20"/>
                <w:color w:val="auto"/>
              </w:rPr>
            </w:pPr>
            <w:r>
              <w:rPr>
                <w:rFonts w:ascii="Arial" w:cs="Arial" w:eastAsia="Arial" w:hAnsi="Arial"/>
                <w:sz w:val="16"/>
                <w:szCs w:val="16"/>
                <w:color w:val="auto"/>
              </w:rPr>
              <w:t>Education</w:t>
            </w:r>
          </w:p>
        </w:tc>
        <w:tc>
          <w:tcPr>
            <w:tcW w:w="9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48.9</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42.3</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91"/>
        </w:trPr>
        <w:tc>
          <w:tcPr>
            <w:tcW w:w="628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Technical Solutions</w:t>
            </w:r>
          </w:p>
        </w:tc>
        <w:tc>
          <w:tcPr>
            <w:tcW w:w="94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49.4</w:t>
            </w:r>
          </w:p>
        </w:tc>
        <w:tc>
          <w:tcPr>
            <w:tcW w:w="220" w:type="dxa"/>
            <w:vAlign w:val="bottom"/>
            <w:shd w:val="clear" w:color="auto" w:fill="DCE2EF"/>
          </w:tcPr>
          <w:p>
            <w:pPr>
              <w:spacing w:after="0"/>
              <w:rPr>
                <w:sz w:val="24"/>
                <w:szCs w:val="24"/>
                <w:color w:val="auto"/>
              </w:rPr>
            </w:pPr>
          </w:p>
        </w:tc>
        <w:tc>
          <w:tcPr>
            <w:tcW w:w="98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41.4</w:t>
            </w:r>
          </w:p>
        </w:tc>
        <w:tc>
          <w:tcPr>
            <w:tcW w:w="168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83"/>
        </w:trPr>
        <w:tc>
          <w:tcPr>
            <w:tcW w:w="6280" w:type="dxa"/>
            <w:vAlign w:val="bottom"/>
            <w:gridSpan w:val="3"/>
          </w:tcPr>
          <w:p>
            <w:pPr>
              <w:ind w:left="60"/>
              <w:spacing w:after="0"/>
              <w:rPr>
                <w:sz w:val="20"/>
                <w:szCs w:val="20"/>
                <w:color w:val="auto"/>
              </w:rPr>
            </w:pPr>
            <w:r>
              <w:rPr>
                <w:rFonts w:ascii="Arial" w:cs="Arial" w:eastAsia="Arial" w:hAnsi="Arial"/>
                <w:sz w:val="16"/>
                <w:szCs w:val="16"/>
                <w:color w:val="auto"/>
              </w:rPr>
              <w:t>Corporate</w:t>
            </w:r>
            <w:r>
              <w:rPr>
                <w:rFonts w:ascii="Arial" w:cs="Arial" w:eastAsia="Arial" w:hAnsi="Arial"/>
                <w:sz w:val="21"/>
                <w:szCs w:val="21"/>
                <w:color w:val="auto"/>
                <w:vertAlign w:val="superscript"/>
              </w:rPr>
              <w:t>(1)</w:t>
            </w:r>
          </w:p>
        </w:tc>
        <w:tc>
          <w:tcPr>
            <w:tcW w:w="9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(251.8)</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(285.0)</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42"/>
        </w:trPr>
        <w:tc>
          <w:tcPr>
            <w:tcW w:w="628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Adjustment for income from unconsolidated affiliates, included in Aviation and</w:t>
            </w:r>
          </w:p>
        </w:tc>
        <w:tc>
          <w:tcPr>
            <w:tcW w:w="940" w:type="dxa"/>
            <w:vAlign w:val="bottom"/>
            <w:shd w:val="clear" w:color="auto" w:fill="DCE2EF"/>
          </w:tcPr>
          <w:p>
            <w:pPr>
              <w:spacing w:after="0"/>
              <w:rPr>
                <w:sz w:val="21"/>
                <w:szCs w:val="21"/>
                <w:color w:val="auto"/>
              </w:rPr>
            </w:pPr>
          </w:p>
        </w:tc>
        <w:tc>
          <w:tcPr>
            <w:tcW w:w="580" w:type="dxa"/>
            <w:vAlign w:val="bottom"/>
            <w:shd w:val="clear" w:color="auto" w:fill="DCE2EF"/>
          </w:tcPr>
          <w:p>
            <w:pPr>
              <w:spacing w:after="0"/>
              <w:rPr>
                <w:sz w:val="21"/>
                <w:szCs w:val="21"/>
                <w:color w:val="auto"/>
              </w:rPr>
            </w:pPr>
          </w:p>
        </w:tc>
        <w:tc>
          <w:tcPr>
            <w:tcW w:w="220" w:type="dxa"/>
            <w:vAlign w:val="bottom"/>
            <w:shd w:val="clear" w:color="auto" w:fill="DCE2EF"/>
          </w:tcPr>
          <w:p>
            <w:pPr>
              <w:spacing w:after="0"/>
              <w:rPr>
                <w:sz w:val="21"/>
                <w:szCs w:val="21"/>
                <w:color w:val="auto"/>
              </w:rPr>
            </w:pPr>
          </w:p>
        </w:tc>
        <w:tc>
          <w:tcPr>
            <w:tcW w:w="980" w:type="dxa"/>
            <w:vAlign w:val="bottom"/>
            <w:shd w:val="clear" w:color="auto" w:fill="DCE2EF"/>
          </w:tcPr>
          <w:p>
            <w:pPr>
              <w:spacing w:after="0"/>
              <w:rPr>
                <w:sz w:val="21"/>
                <w:szCs w:val="21"/>
                <w:color w:val="auto"/>
              </w:rPr>
            </w:pPr>
          </w:p>
        </w:tc>
        <w:tc>
          <w:tcPr>
            <w:tcW w:w="560" w:type="dxa"/>
            <w:vAlign w:val="bottom"/>
            <w:shd w:val="clear" w:color="auto" w:fill="DCE2EF"/>
          </w:tcPr>
          <w:p>
            <w:pPr>
              <w:spacing w:after="0"/>
              <w:rPr>
                <w:sz w:val="21"/>
                <w:szCs w:val="21"/>
                <w:color w:val="auto"/>
              </w:rPr>
            </w:pPr>
          </w:p>
        </w:tc>
        <w:tc>
          <w:tcPr>
            <w:tcW w:w="200" w:type="dxa"/>
            <w:vAlign w:val="bottom"/>
            <w:shd w:val="clear" w:color="auto" w:fill="DCE2EF"/>
          </w:tcPr>
          <w:p>
            <w:pPr>
              <w:spacing w:after="0"/>
              <w:rPr>
                <w:sz w:val="21"/>
                <w:szCs w:val="21"/>
                <w:color w:val="auto"/>
              </w:rPr>
            </w:pPr>
          </w:p>
        </w:tc>
        <w:tc>
          <w:tcPr>
            <w:tcW w:w="1480" w:type="dxa"/>
            <w:vAlign w:val="bottom"/>
            <w:shd w:val="clear" w:color="auto" w:fill="DCE2E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28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Technical Solutions</w:t>
            </w:r>
          </w:p>
        </w:tc>
        <w:tc>
          <w:tcPr>
            <w:tcW w:w="940" w:type="dxa"/>
            <w:vAlign w:val="bottom"/>
            <w:shd w:val="clear" w:color="auto" w:fill="DCE2EF"/>
          </w:tcPr>
          <w:p>
            <w:pPr>
              <w:spacing w:after="0"/>
              <w:rPr>
                <w:sz w:val="20"/>
                <w:szCs w:val="20"/>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(3.4)</w:t>
            </w:r>
          </w:p>
        </w:tc>
        <w:tc>
          <w:tcPr>
            <w:tcW w:w="220" w:type="dxa"/>
            <w:vAlign w:val="bottom"/>
            <w:shd w:val="clear" w:color="auto" w:fill="DCE2EF"/>
          </w:tcPr>
          <w:p>
            <w:pPr>
              <w:spacing w:after="0"/>
              <w:rPr>
                <w:sz w:val="20"/>
                <w:szCs w:val="20"/>
                <w:color w:val="auto"/>
              </w:rPr>
            </w:pPr>
          </w:p>
        </w:tc>
        <w:tc>
          <w:tcPr>
            <w:tcW w:w="980" w:type="dxa"/>
            <w:vAlign w:val="bottom"/>
            <w:shd w:val="clear" w:color="auto" w:fill="DCE2EF"/>
          </w:tcPr>
          <w:p>
            <w:pPr>
              <w:spacing w:after="0"/>
              <w:rPr>
                <w:sz w:val="20"/>
                <w:szCs w:val="20"/>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(4.7)</w:t>
            </w:r>
          </w:p>
        </w:tc>
        <w:tc>
          <w:tcPr>
            <w:tcW w:w="168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42"/>
        </w:trPr>
        <w:tc>
          <w:tcPr>
            <w:tcW w:w="6280" w:type="dxa"/>
            <w:vAlign w:val="bottom"/>
            <w:gridSpan w:val="3"/>
          </w:tcPr>
          <w:p>
            <w:pPr>
              <w:ind w:left="60"/>
              <w:spacing w:after="0"/>
              <w:rPr>
                <w:sz w:val="20"/>
                <w:szCs w:val="20"/>
                <w:color w:val="auto"/>
              </w:rPr>
            </w:pPr>
            <w:r>
              <w:rPr>
                <w:rFonts w:ascii="Arial" w:cs="Arial" w:eastAsia="Arial" w:hAnsi="Arial"/>
                <w:sz w:val="16"/>
                <w:szCs w:val="16"/>
                <w:color w:val="auto"/>
              </w:rPr>
              <w:t>Adjustment for tax deductions for energy efficient government buildings, included</w:t>
            </w:r>
          </w:p>
        </w:tc>
        <w:tc>
          <w:tcPr>
            <w:tcW w:w="940" w:type="dxa"/>
            <w:vAlign w:val="bottom"/>
          </w:tcPr>
          <w:p>
            <w:pPr>
              <w:spacing w:after="0"/>
              <w:rPr>
                <w:sz w:val="21"/>
                <w:szCs w:val="21"/>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(0.1)</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(2.6)</w:t>
            </w: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280" w:type="dxa"/>
            <w:vAlign w:val="bottom"/>
            <w:gridSpan w:val="3"/>
          </w:tcPr>
          <w:p>
            <w:pPr>
              <w:ind w:left="60"/>
              <w:spacing w:after="0"/>
              <w:rPr>
                <w:sz w:val="20"/>
                <w:szCs w:val="20"/>
                <w:color w:val="auto"/>
              </w:rPr>
            </w:pPr>
            <w:r>
              <w:rPr>
                <w:rFonts w:ascii="Arial" w:cs="Arial" w:eastAsia="Arial" w:hAnsi="Arial"/>
                <w:sz w:val="16"/>
                <w:szCs w:val="16"/>
                <w:color w:val="auto"/>
              </w:rPr>
              <w:t>in Technical Solutions</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96.5%</w:t>
            </w:r>
          </w:p>
        </w:tc>
        <w:tc>
          <w:tcPr>
            <w:tcW w:w="0" w:type="dxa"/>
            <w:vAlign w:val="bottom"/>
          </w:tcPr>
          <w:p>
            <w:pPr>
              <w:spacing w:after="0"/>
              <w:rPr>
                <w:sz w:val="1"/>
                <w:szCs w:val="1"/>
                <w:color w:val="auto"/>
              </w:rPr>
            </w:pPr>
          </w:p>
        </w:tc>
      </w:tr>
      <w:tr>
        <w:trPr>
          <w:trHeight w:val="245"/>
        </w:trPr>
        <w:tc>
          <w:tcPr>
            <w:tcW w:w="628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Total operating profit</w:t>
            </w:r>
          </w:p>
        </w:tc>
        <w:tc>
          <w:tcPr>
            <w:tcW w:w="940" w:type="dxa"/>
            <w:vAlign w:val="bottom"/>
            <w:tcBorders>
              <w:bottom w:val="single" w:sz="8" w:color="DCE2EF"/>
            </w:tcBorders>
            <w:shd w:val="clear" w:color="auto" w:fill="DCE2EF"/>
          </w:tcPr>
          <w:p>
            <w:pPr>
              <w:spacing w:after="0"/>
              <w:rPr>
                <w:sz w:val="21"/>
                <w:szCs w:val="21"/>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243.3</w:t>
            </w:r>
          </w:p>
        </w:tc>
        <w:tc>
          <w:tcPr>
            <w:tcW w:w="220" w:type="dxa"/>
            <w:vAlign w:val="bottom"/>
            <w:tcBorders>
              <w:bottom w:val="single" w:sz="8" w:color="DCE2EF"/>
            </w:tcBorders>
            <w:shd w:val="clear" w:color="auto" w:fill="DCE2EF"/>
          </w:tcPr>
          <w:p>
            <w:pPr>
              <w:spacing w:after="0"/>
              <w:rPr>
                <w:sz w:val="21"/>
                <w:szCs w:val="21"/>
                <w:color w:val="auto"/>
              </w:rPr>
            </w:pPr>
          </w:p>
        </w:tc>
        <w:tc>
          <w:tcPr>
            <w:tcW w:w="980" w:type="dxa"/>
            <w:vAlign w:val="bottom"/>
            <w:tcBorders>
              <w:bottom w:val="single" w:sz="8" w:color="DCE2EF"/>
            </w:tcBorders>
            <w:shd w:val="clear" w:color="auto" w:fill="DCE2EF"/>
          </w:tcPr>
          <w:p>
            <w:pPr>
              <w:spacing w:after="0"/>
              <w:rPr>
                <w:sz w:val="21"/>
                <w:szCs w:val="21"/>
                <w:color w:val="auto"/>
              </w:rPr>
            </w:pPr>
          </w:p>
        </w:tc>
        <w:tc>
          <w:tcPr>
            <w:tcW w:w="5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192.8</w:t>
            </w:r>
          </w:p>
        </w:tc>
        <w:tc>
          <w:tcPr>
            <w:tcW w:w="1680" w:type="dxa"/>
            <w:vAlign w:val="bottom"/>
            <w:tcBorders>
              <w:bottom w:val="single" w:sz="8" w:color="DCE2EF"/>
            </w:tcBorders>
            <w:gridSpan w:val="2"/>
            <w:shd w:val="clear" w:color="auto" w:fill="DCE2EF"/>
          </w:tcPr>
          <w:p>
            <w:pPr>
              <w:jc w:val="right"/>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76"/>
        </w:trPr>
        <w:tc>
          <w:tcPr>
            <w:tcW w:w="6280" w:type="dxa"/>
            <w:vAlign w:val="bottom"/>
            <w:gridSpan w:val="3"/>
          </w:tcPr>
          <w:p>
            <w:pPr>
              <w:ind w:left="60"/>
              <w:spacing w:after="0"/>
              <w:rPr>
                <w:sz w:val="20"/>
                <w:szCs w:val="20"/>
                <w:color w:val="auto"/>
              </w:rPr>
            </w:pPr>
            <w:r>
              <w:rPr>
                <w:rFonts w:ascii="Arial" w:cs="Arial" w:eastAsia="Arial" w:hAnsi="Arial"/>
                <w:sz w:val="16"/>
                <w:szCs w:val="16"/>
                <w:color w:val="auto"/>
              </w:rPr>
              <w:t>Income from unconsolidated affiliates</w:t>
            </w:r>
          </w:p>
        </w:tc>
        <w:tc>
          <w:tcPr>
            <w:tcW w:w="9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4.7</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90"/>
        </w:trPr>
        <w:tc>
          <w:tcPr>
            <w:tcW w:w="628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Interest expense</w:t>
            </w:r>
          </w:p>
        </w:tc>
        <w:tc>
          <w:tcPr>
            <w:tcW w:w="94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(72.1)</w:t>
            </w:r>
          </w:p>
        </w:tc>
        <w:tc>
          <w:tcPr>
            <w:tcW w:w="220" w:type="dxa"/>
            <w:vAlign w:val="bottom"/>
            <w:tcBorders>
              <w:bottom w:val="single" w:sz="8" w:color="DCE2EF"/>
            </w:tcBorders>
            <w:shd w:val="clear" w:color="auto" w:fill="DCE2EF"/>
          </w:tcPr>
          <w:p>
            <w:pPr>
              <w:spacing w:after="0"/>
              <w:rPr>
                <w:sz w:val="24"/>
                <w:szCs w:val="24"/>
                <w:color w:val="auto"/>
              </w:rPr>
            </w:pPr>
          </w:p>
        </w:tc>
        <w:tc>
          <w:tcPr>
            <w:tcW w:w="980" w:type="dxa"/>
            <w:vAlign w:val="bottom"/>
            <w:tcBorders>
              <w:bottom w:val="single" w:sz="8" w:color="auto"/>
            </w:tcBorders>
            <w:shd w:val="clear" w:color="auto" w:fill="DCE2EF"/>
          </w:tcPr>
          <w:p>
            <w:pPr>
              <w:spacing w:after="0"/>
              <w:rPr>
                <w:sz w:val="24"/>
                <w:szCs w:val="24"/>
                <w:color w:val="auto"/>
              </w:rPr>
            </w:pPr>
          </w:p>
        </w:tc>
        <w:tc>
          <w:tcPr>
            <w:tcW w:w="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(63.1)</w:t>
            </w:r>
          </w:p>
        </w:tc>
        <w:tc>
          <w:tcPr>
            <w:tcW w:w="1680" w:type="dxa"/>
            <w:vAlign w:val="bottom"/>
            <w:tcBorders>
              <w:bottom w:val="single" w:sz="8" w:color="DCE2EF"/>
            </w:tcBorders>
            <w:gridSpan w:val="2"/>
            <w:shd w:val="clear" w:color="auto" w:fill="DCE2EF"/>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35"/>
        </w:trPr>
        <w:tc>
          <w:tcPr>
            <w:tcW w:w="6280" w:type="dxa"/>
            <w:vAlign w:val="bottom"/>
            <w:gridSpan w:val="3"/>
          </w:tcPr>
          <w:p>
            <w:pPr>
              <w:ind w:left="60"/>
              <w:spacing w:after="0"/>
              <w:rPr>
                <w:sz w:val="20"/>
                <w:szCs w:val="20"/>
                <w:color w:val="auto"/>
              </w:rPr>
            </w:pPr>
            <w:r>
              <w:rPr>
                <w:rFonts w:ascii="Arial" w:cs="Arial" w:eastAsia="Arial" w:hAnsi="Arial"/>
                <w:sz w:val="16"/>
                <w:szCs w:val="16"/>
                <w:color w:val="auto"/>
              </w:rPr>
              <w:t>Income before income taxes</w:t>
            </w:r>
          </w:p>
        </w:tc>
        <w:tc>
          <w:tcPr>
            <w:tcW w:w="9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174.6</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134.4</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28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Income tax provision</w:t>
            </w:r>
          </w:p>
        </w:tc>
        <w:tc>
          <w:tcPr>
            <w:tcW w:w="94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(47.0)</w:t>
            </w:r>
          </w:p>
        </w:tc>
        <w:tc>
          <w:tcPr>
            <w:tcW w:w="220" w:type="dxa"/>
            <w:vAlign w:val="bottom"/>
            <w:tcBorders>
              <w:bottom w:val="single" w:sz="8" w:color="auto"/>
            </w:tcBorders>
            <w:shd w:val="clear" w:color="auto" w:fill="DCE2EF"/>
          </w:tcPr>
          <w:p>
            <w:pPr>
              <w:spacing w:after="0"/>
              <w:rPr>
                <w:sz w:val="24"/>
                <w:szCs w:val="24"/>
                <w:color w:val="auto"/>
              </w:rPr>
            </w:pPr>
          </w:p>
        </w:tc>
        <w:tc>
          <w:tcPr>
            <w:tcW w:w="980" w:type="dxa"/>
            <w:vAlign w:val="bottom"/>
            <w:tcBorders>
              <w:bottom w:val="single" w:sz="8" w:color="auto"/>
            </w:tcBorders>
            <w:shd w:val="clear" w:color="auto" w:fill="DCE2EF"/>
          </w:tcPr>
          <w:p>
            <w:pPr>
              <w:spacing w:after="0"/>
              <w:rPr>
                <w:sz w:val="24"/>
                <w:szCs w:val="24"/>
                <w:color w:val="auto"/>
              </w:rPr>
            </w:pPr>
          </w:p>
        </w:tc>
        <w:tc>
          <w:tcPr>
            <w:tcW w:w="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(41.3)</w:t>
            </w:r>
          </w:p>
        </w:tc>
        <w:tc>
          <w:tcPr>
            <w:tcW w:w="168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70"/>
        </w:trPr>
        <w:tc>
          <w:tcPr>
            <w:tcW w:w="6280" w:type="dxa"/>
            <w:vAlign w:val="bottom"/>
            <w:gridSpan w:val="3"/>
          </w:tcPr>
          <w:p>
            <w:pPr>
              <w:ind w:left="60"/>
              <w:spacing w:after="0"/>
              <w:rPr>
                <w:sz w:val="20"/>
                <w:szCs w:val="20"/>
                <w:color w:val="auto"/>
              </w:rPr>
            </w:pPr>
            <w:r>
              <w:rPr>
                <w:rFonts w:ascii="Arial" w:cs="Arial" w:eastAsia="Arial" w:hAnsi="Arial"/>
                <w:sz w:val="16"/>
                <w:szCs w:val="16"/>
                <w:b w:val="1"/>
                <w:bCs w:val="1"/>
                <w:color w:val="auto"/>
              </w:rPr>
              <w:t>Net income</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127.6</w:t>
            </w: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93.1</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-4253865</wp:posOffset>
            </wp:positionV>
            <wp:extent cx="145415" cy="114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45415" cy="1143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-4253865</wp:posOffset>
            </wp:positionV>
            <wp:extent cx="137160" cy="114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-3173730</wp:posOffset>
            </wp:positionV>
            <wp:extent cx="145415" cy="114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5415" cy="1143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-3173730</wp:posOffset>
            </wp:positionV>
            <wp:extent cx="137160" cy="114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-2990850</wp:posOffset>
            </wp:positionV>
            <wp:extent cx="1454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-2965450</wp:posOffset>
            </wp:positionV>
            <wp:extent cx="1454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-2990850</wp:posOffset>
            </wp:positionV>
            <wp:extent cx="137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-2965450</wp:posOffset>
            </wp:positionV>
            <wp:extent cx="137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-1116330</wp:posOffset>
            </wp:positionV>
            <wp:extent cx="145415" cy="114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45415" cy="1143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-1116330</wp:posOffset>
            </wp:positionV>
            <wp:extent cx="137160" cy="114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-576580</wp:posOffset>
            </wp:positionV>
            <wp:extent cx="145415" cy="114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5415" cy="1143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-576580</wp:posOffset>
            </wp:positionV>
            <wp:extent cx="137160" cy="114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7160" cy="11430"/>
                    </a:xfrm>
                    <a:prstGeom prst="rect">
                      <a:avLst/>
                    </a:prstGeom>
                    <a:noFill/>
                  </pic:spPr>
                </pic:pic>
              </a:graphicData>
            </a:graphic>
          </wp:anchor>
        </w:drawing>
      </w:r>
    </w:p>
    <w:p>
      <w:pPr>
        <w:spacing w:after="0" w:line="359" w:lineRule="exact"/>
        <w:rPr>
          <w:sz w:val="20"/>
          <w:szCs w:val="20"/>
          <w:color w:val="auto"/>
        </w:rPr>
      </w:pPr>
    </w:p>
    <w:p>
      <w:pPr>
        <w:ind w:left="160" w:hanging="152"/>
        <w:spacing w:after="0"/>
        <w:tabs>
          <w:tab w:leader="none" w:pos="160" w:val="left"/>
        </w:tabs>
        <w:numPr>
          <w:ilvl w:val="0"/>
          <w:numId w:val="12"/>
        </w:numPr>
        <w:rPr>
          <w:rFonts w:ascii="Arial" w:cs="Arial" w:eastAsia="Arial" w:hAnsi="Arial"/>
          <w:sz w:val="16"/>
          <w:szCs w:val="16"/>
          <w:color w:val="auto"/>
          <w:vertAlign w:val="superscript"/>
        </w:rPr>
      </w:pPr>
      <w:r>
        <w:rPr>
          <w:rFonts w:ascii="Arial" w:cs="Arial" w:eastAsia="Arial" w:hAnsi="Arial"/>
          <w:sz w:val="12"/>
          <w:szCs w:val="12"/>
          <w:color w:val="auto"/>
        </w:rPr>
        <w:t>The nine months ended July 31, 2024, includes a $36.0 million fair value adjustment to increase the contingent consideration related to the RavenVolt Acquisition.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16" w:name="page17"/>
    <w:bookmarkEnd w:id="16"/>
    <w:p>
      <w:pPr>
        <w:ind w:right="4280"/>
        <w:spacing w:after="0" w:line="297" w:lineRule="auto"/>
        <w:rPr>
          <w:sz w:val="20"/>
          <w:szCs w:val="20"/>
          <w:color w:val="auto"/>
        </w:rPr>
      </w:pPr>
      <w:r>
        <w:rPr>
          <w:rFonts w:ascii="Arial" w:cs="Arial" w:eastAsia="Arial" w:hAnsi="Arial"/>
          <w:sz w:val="19"/>
          <w:szCs w:val="19"/>
          <w:b w:val="1"/>
          <w:bCs w:val="1"/>
          <w:color w:val="0046AD"/>
        </w:rPr>
        <w:t>ABM INDUSTRIES INCORPORATED AND SUBSIDIARIES RECONCILIATIONS OF NON-GAAP FINANCIAL MEASURES (UNAUDITED)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0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millions, except per share amounts)</w:t>
            </w:r>
          </w:p>
        </w:tc>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250"/>
        </w:trPr>
        <w:tc>
          <w:tcPr>
            <w:tcW w:w="1980" w:type="dxa"/>
            <w:vAlign w:val="bottom"/>
            <w:tcBorders>
              <w:top w:val="single" w:sz="8" w:color="auto"/>
            </w:tcBorders>
          </w:tcPr>
          <w:p>
            <w:pPr>
              <w:spacing w:after="0"/>
              <w:rPr>
                <w:sz w:val="21"/>
                <w:szCs w:val="21"/>
                <w:color w:val="auto"/>
              </w:rPr>
            </w:pPr>
          </w:p>
        </w:tc>
        <w:tc>
          <w:tcPr>
            <w:tcW w:w="2820" w:type="dxa"/>
            <w:vAlign w:val="bottom"/>
          </w:tcPr>
          <w:p>
            <w:pPr>
              <w:spacing w:after="0"/>
              <w:rPr>
                <w:sz w:val="21"/>
                <w:szCs w:val="21"/>
                <w:color w:val="auto"/>
              </w:rPr>
            </w:pPr>
          </w:p>
        </w:tc>
        <w:tc>
          <w:tcPr>
            <w:tcW w:w="274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5"/>
                <w:szCs w:val="15"/>
                <w:b w:val="1"/>
                <w:bCs w:val="1"/>
                <w:color w:val="auto"/>
              </w:rPr>
              <w:t>Three Months Ended July 31,</w:t>
            </w:r>
          </w:p>
        </w:tc>
        <w:tc>
          <w:tcPr>
            <w:tcW w:w="3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64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5"/>
                <w:szCs w:val="15"/>
                <w:b w:val="1"/>
                <w:bCs w:val="1"/>
                <w:color w:val="auto"/>
              </w:rPr>
              <w:t>Nine Months Ended July 31,</w:t>
            </w:r>
          </w:p>
        </w:tc>
        <w:tc>
          <w:tcPr>
            <w:tcW w:w="460" w:type="dxa"/>
            <w:vAlign w:val="bottom"/>
            <w:tcBorders>
              <w:bottom w:val="single" w:sz="8" w:color="auto"/>
            </w:tcBorders>
          </w:tcPr>
          <w:p>
            <w:pPr>
              <w:spacing w:after="0"/>
              <w:rPr>
                <w:sz w:val="21"/>
                <w:szCs w:val="21"/>
                <w:color w:val="auto"/>
              </w:rPr>
            </w:pPr>
          </w:p>
        </w:tc>
      </w:tr>
      <w:tr>
        <w:trPr>
          <w:trHeight w:val="231"/>
        </w:trPr>
        <w:tc>
          <w:tcPr>
            <w:tcW w:w="19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040" w:type="dxa"/>
            <w:vAlign w:val="bottom"/>
          </w:tcPr>
          <w:p>
            <w:pPr>
              <w:jc w:val="right"/>
              <w:ind w:right="66"/>
              <w:spacing w:after="0"/>
              <w:rPr>
                <w:sz w:val="20"/>
                <w:szCs w:val="20"/>
                <w:color w:val="auto"/>
              </w:rPr>
            </w:pPr>
            <w:r>
              <w:rPr>
                <w:rFonts w:ascii="Arial" w:cs="Arial" w:eastAsia="Arial" w:hAnsi="Arial"/>
                <w:sz w:val="15"/>
                <w:szCs w:val="15"/>
                <w:b w:val="1"/>
                <w:bCs w:val="1"/>
                <w:color w:val="auto"/>
              </w:rPr>
              <w:t>2025</w:t>
            </w:r>
          </w:p>
        </w:tc>
        <w:tc>
          <w:tcPr>
            <w:tcW w:w="420" w:type="dxa"/>
            <w:vAlign w:val="bottom"/>
          </w:tcPr>
          <w:p>
            <w:pPr>
              <w:spacing w:after="0"/>
              <w:rPr>
                <w:sz w:val="20"/>
                <w:szCs w:val="20"/>
                <w:color w:val="auto"/>
              </w:rPr>
            </w:pPr>
          </w:p>
        </w:tc>
        <w:tc>
          <w:tcPr>
            <w:tcW w:w="1280" w:type="dxa"/>
            <w:vAlign w:val="bottom"/>
            <w:gridSpan w:val="2"/>
          </w:tcPr>
          <w:p>
            <w:pPr>
              <w:jc w:val="right"/>
              <w:ind w:right="108"/>
              <w:spacing w:after="0"/>
              <w:rPr>
                <w:sz w:val="20"/>
                <w:szCs w:val="20"/>
                <w:color w:val="auto"/>
              </w:rPr>
            </w:pPr>
            <w:r>
              <w:rPr>
                <w:rFonts w:ascii="Arial" w:cs="Arial" w:eastAsia="Arial" w:hAnsi="Arial"/>
                <w:sz w:val="15"/>
                <w:szCs w:val="15"/>
                <w:b w:val="1"/>
                <w:bCs w:val="1"/>
                <w:color w:val="auto"/>
              </w:rPr>
              <w:t>2024</w:t>
            </w:r>
          </w:p>
        </w:tc>
        <w:tc>
          <w:tcPr>
            <w:tcW w:w="380" w:type="dxa"/>
            <w:vAlign w:val="bottom"/>
          </w:tcPr>
          <w:p>
            <w:pPr>
              <w:spacing w:after="0"/>
              <w:rPr>
                <w:sz w:val="20"/>
                <w:szCs w:val="20"/>
                <w:color w:val="auto"/>
              </w:rPr>
            </w:pPr>
          </w:p>
        </w:tc>
        <w:tc>
          <w:tcPr>
            <w:tcW w:w="1180" w:type="dxa"/>
            <w:vAlign w:val="bottom"/>
            <w:gridSpan w:val="2"/>
          </w:tcPr>
          <w:p>
            <w:pPr>
              <w:jc w:val="right"/>
              <w:ind w:right="6"/>
              <w:spacing w:after="0"/>
              <w:rPr>
                <w:sz w:val="20"/>
                <w:szCs w:val="20"/>
                <w:color w:val="auto"/>
              </w:rPr>
            </w:pPr>
            <w:r>
              <w:rPr>
                <w:rFonts w:ascii="Arial" w:cs="Arial" w:eastAsia="Arial" w:hAnsi="Arial"/>
                <w:sz w:val="15"/>
                <w:szCs w:val="15"/>
                <w:b w:val="1"/>
                <w:bCs w:val="1"/>
                <w:color w:val="auto"/>
              </w:rPr>
              <w:t>2025</w:t>
            </w:r>
          </w:p>
        </w:tc>
        <w:tc>
          <w:tcPr>
            <w:tcW w:w="480" w:type="dxa"/>
            <w:vAlign w:val="bottom"/>
          </w:tcPr>
          <w:p>
            <w:pPr>
              <w:spacing w:after="0"/>
              <w:rPr>
                <w:sz w:val="20"/>
                <w:szCs w:val="20"/>
                <w:color w:val="auto"/>
              </w:rPr>
            </w:pPr>
          </w:p>
        </w:tc>
        <w:tc>
          <w:tcPr>
            <w:tcW w:w="1200" w:type="dxa"/>
            <w:vAlign w:val="bottom"/>
            <w:gridSpan w:val="2"/>
          </w:tcPr>
          <w:p>
            <w:pPr>
              <w:jc w:val="right"/>
              <w:ind w:right="28"/>
              <w:spacing w:after="0"/>
              <w:rPr>
                <w:sz w:val="20"/>
                <w:szCs w:val="20"/>
                <w:color w:val="auto"/>
              </w:rPr>
            </w:pPr>
            <w:r>
              <w:rPr>
                <w:rFonts w:ascii="Arial" w:cs="Arial" w:eastAsia="Arial" w:hAnsi="Arial"/>
                <w:sz w:val="15"/>
                <w:szCs w:val="15"/>
                <w:b w:val="1"/>
                <w:bCs w:val="1"/>
                <w:color w:val="auto"/>
              </w:rPr>
              <w:t>2024</w:t>
            </w:r>
          </w:p>
        </w:tc>
        <w:tc>
          <w:tcPr>
            <w:tcW w:w="460" w:type="dxa"/>
            <w:vAlign w:val="bottom"/>
          </w:tcPr>
          <w:p>
            <w:pPr>
              <w:spacing w:after="0"/>
              <w:rPr>
                <w:sz w:val="20"/>
                <w:szCs w:val="20"/>
                <w:color w:val="auto"/>
              </w:rPr>
            </w:pPr>
          </w:p>
        </w:tc>
      </w:tr>
      <w:tr>
        <w:trPr>
          <w:trHeight w:val="231"/>
        </w:trPr>
        <w:tc>
          <w:tcPr>
            <w:tcW w:w="4800" w:type="dxa"/>
            <w:vAlign w:val="bottom"/>
            <w:gridSpan w:val="2"/>
            <w:shd w:val="clear" w:color="auto" w:fill="DCE2EF"/>
          </w:tcPr>
          <w:p>
            <w:pPr>
              <w:ind w:left="60"/>
              <w:spacing w:after="0"/>
              <w:rPr>
                <w:sz w:val="20"/>
                <w:szCs w:val="20"/>
                <w:color w:val="auto"/>
              </w:rPr>
            </w:pPr>
            <w:r>
              <w:rPr>
                <w:rFonts w:ascii="Arial" w:cs="Arial" w:eastAsia="Arial" w:hAnsi="Arial"/>
                <w:sz w:val="15"/>
                <w:szCs w:val="15"/>
                <w:b w:val="1"/>
                <w:bCs w:val="1"/>
                <w:color w:val="auto"/>
              </w:rPr>
              <w:t>Reconciliation of Net Income to Adjusted Net Income</w:t>
            </w:r>
          </w:p>
        </w:tc>
        <w:tc>
          <w:tcPr>
            <w:tcW w:w="1040" w:type="dxa"/>
            <w:vAlign w:val="bottom"/>
            <w:tcBorders>
              <w:top w:val="single" w:sz="8" w:color="auto"/>
            </w:tcBorders>
            <w:shd w:val="clear" w:color="auto" w:fill="DCE2EF"/>
          </w:tcPr>
          <w:p>
            <w:pPr>
              <w:spacing w:after="0"/>
              <w:rPr>
                <w:sz w:val="20"/>
                <w:szCs w:val="20"/>
                <w:color w:val="auto"/>
              </w:rPr>
            </w:pPr>
          </w:p>
        </w:tc>
        <w:tc>
          <w:tcPr>
            <w:tcW w:w="420" w:type="dxa"/>
            <w:vAlign w:val="bottom"/>
            <w:tcBorders>
              <w:top w:val="single" w:sz="8" w:color="auto"/>
            </w:tcBorders>
            <w:shd w:val="clear" w:color="auto" w:fill="DCE2EF"/>
          </w:tcPr>
          <w:p>
            <w:pPr>
              <w:spacing w:after="0"/>
              <w:rPr>
                <w:sz w:val="20"/>
                <w:szCs w:val="20"/>
                <w:color w:val="auto"/>
              </w:rPr>
            </w:pPr>
          </w:p>
        </w:tc>
        <w:tc>
          <w:tcPr>
            <w:tcW w:w="220" w:type="dxa"/>
            <w:vAlign w:val="bottom"/>
            <w:shd w:val="clear" w:color="auto" w:fill="DCE2EF"/>
          </w:tcPr>
          <w:p>
            <w:pPr>
              <w:spacing w:after="0"/>
              <w:rPr>
                <w:sz w:val="20"/>
                <w:szCs w:val="20"/>
                <w:color w:val="auto"/>
              </w:rPr>
            </w:pPr>
          </w:p>
        </w:tc>
        <w:tc>
          <w:tcPr>
            <w:tcW w:w="1060" w:type="dxa"/>
            <w:vAlign w:val="bottom"/>
            <w:tcBorders>
              <w:top w:val="single" w:sz="8" w:color="auto"/>
            </w:tcBorders>
            <w:shd w:val="clear" w:color="auto" w:fill="DCE2EF"/>
          </w:tcPr>
          <w:p>
            <w:pPr>
              <w:spacing w:after="0"/>
              <w:rPr>
                <w:sz w:val="20"/>
                <w:szCs w:val="20"/>
                <w:color w:val="auto"/>
              </w:rPr>
            </w:pPr>
          </w:p>
        </w:tc>
        <w:tc>
          <w:tcPr>
            <w:tcW w:w="380" w:type="dxa"/>
            <w:vAlign w:val="bottom"/>
            <w:tcBorders>
              <w:top w:val="single" w:sz="8" w:color="auto"/>
            </w:tcBorders>
            <w:shd w:val="clear" w:color="auto" w:fill="DCE2EF"/>
          </w:tcPr>
          <w:p>
            <w:pPr>
              <w:spacing w:after="0"/>
              <w:rPr>
                <w:sz w:val="20"/>
                <w:szCs w:val="20"/>
                <w:color w:val="auto"/>
              </w:rPr>
            </w:pPr>
          </w:p>
        </w:tc>
        <w:tc>
          <w:tcPr>
            <w:tcW w:w="220" w:type="dxa"/>
            <w:vAlign w:val="bottom"/>
            <w:shd w:val="clear" w:color="auto" w:fill="DCE2EF"/>
          </w:tcPr>
          <w:p>
            <w:pPr>
              <w:spacing w:after="0"/>
              <w:rPr>
                <w:sz w:val="20"/>
                <w:szCs w:val="20"/>
                <w:color w:val="auto"/>
              </w:rPr>
            </w:pPr>
          </w:p>
        </w:tc>
        <w:tc>
          <w:tcPr>
            <w:tcW w:w="960" w:type="dxa"/>
            <w:vAlign w:val="bottom"/>
            <w:tcBorders>
              <w:top w:val="single" w:sz="8" w:color="auto"/>
            </w:tcBorders>
            <w:shd w:val="clear" w:color="auto" w:fill="DCE2EF"/>
          </w:tcPr>
          <w:p>
            <w:pPr>
              <w:spacing w:after="0"/>
              <w:rPr>
                <w:sz w:val="20"/>
                <w:szCs w:val="20"/>
                <w:color w:val="auto"/>
              </w:rPr>
            </w:pPr>
          </w:p>
        </w:tc>
        <w:tc>
          <w:tcPr>
            <w:tcW w:w="480" w:type="dxa"/>
            <w:vAlign w:val="bottom"/>
            <w:tcBorders>
              <w:top w:val="single" w:sz="8" w:color="auto"/>
            </w:tcBorders>
            <w:shd w:val="clear" w:color="auto" w:fill="DCE2EF"/>
          </w:tcPr>
          <w:p>
            <w:pPr>
              <w:spacing w:after="0"/>
              <w:rPr>
                <w:sz w:val="20"/>
                <w:szCs w:val="20"/>
                <w:color w:val="auto"/>
              </w:rPr>
            </w:pPr>
          </w:p>
        </w:tc>
        <w:tc>
          <w:tcPr>
            <w:tcW w:w="220" w:type="dxa"/>
            <w:vAlign w:val="bottom"/>
            <w:shd w:val="clear" w:color="auto" w:fill="DCE2EF"/>
          </w:tcPr>
          <w:p>
            <w:pPr>
              <w:spacing w:after="0"/>
              <w:rPr>
                <w:sz w:val="20"/>
                <w:szCs w:val="20"/>
                <w:color w:val="auto"/>
              </w:rPr>
            </w:pPr>
          </w:p>
        </w:tc>
        <w:tc>
          <w:tcPr>
            <w:tcW w:w="980" w:type="dxa"/>
            <w:vAlign w:val="bottom"/>
            <w:tcBorders>
              <w:top w:val="single" w:sz="8" w:color="auto"/>
            </w:tcBorders>
            <w:shd w:val="clear" w:color="auto" w:fill="DCE2EF"/>
          </w:tcPr>
          <w:p>
            <w:pPr>
              <w:spacing w:after="0"/>
              <w:rPr>
                <w:sz w:val="20"/>
                <w:szCs w:val="20"/>
                <w:color w:val="auto"/>
              </w:rPr>
            </w:pPr>
          </w:p>
        </w:tc>
        <w:tc>
          <w:tcPr>
            <w:tcW w:w="460" w:type="dxa"/>
            <w:vAlign w:val="bottom"/>
            <w:tcBorders>
              <w:top w:val="single" w:sz="8" w:color="auto"/>
            </w:tcBorders>
            <w:shd w:val="clear" w:color="auto" w:fill="DCE2EF"/>
          </w:tcPr>
          <w:p>
            <w:pPr>
              <w:spacing w:after="0"/>
              <w:rPr>
                <w:sz w:val="20"/>
                <w:szCs w:val="20"/>
                <w:color w:val="auto"/>
              </w:rPr>
            </w:pPr>
          </w:p>
        </w:tc>
      </w:tr>
      <w:tr>
        <w:trPr>
          <w:trHeight w:val="160"/>
        </w:trPr>
        <w:tc>
          <w:tcPr>
            <w:tcW w:w="1980" w:type="dxa"/>
            <w:vAlign w:val="bottom"/>
            <w:shd w:val="clear" w:color="auto" w:fill="DCE2EF"/>
          </w:tcPr>
          <w:p>
            <w:pPr>
              <w:spacing w:after="0"/>
              <w:rPr>
                <w:sz w:val="13"/>
                <w:szCs w:val="13"/>
                <w:color w:val="auto"/>
              </w:rPr>
            </w:pPr>
          </w:p>
        </w:tc>
        <w:tc>
          <w:tcPr>
            <w:tcW w:w="2820" w:type="dxa"/>
            <w:vAlign w:val="bottom"/>
            <w:shd w:val="clear" w:color="auto" w:fill="DCE2EF"/>
          </w:tcPr>
          <w:p>
            <w:pPr>
              <w:spacing w:after="0"/>
              <w:rPr>
                <w:sz w:val="13"/>
                <w:szCs w:val="13"/>
                <w:color w:val="auto"/>
              </w:rPr>
            </w:pPr>
          </w:p>
        </w:tc>
        <w:tc>
          <w:tcPr>
            <w:tcW w:w="1040" w:type="dxa"/>
            <w:vAlign w:val="bottom"/>
            <w:shd w:val="clear" w:color="auto" w:fill="DCE2EF"/>
          </w:tcPr>
          <w:p>
            <w:pPr>
              <w:spacing w:after="0"/>
              <w:rPr>
                <w:sz w:val="13"/>
                <w:szCs w:val="13"/>
                <w:color w:val="auto"/>
              </w:rPr>
            </w:pPr>
          </w:p>
        </w:tc>
        <w:tc>
          <w:tcPr>
            <w:tcW w:w="420" w:type="dxa"/>
            <w:vAlign w:val="bottom"/>
            <w:shd w:val="clear" w:color="auto" w:fill="DCE2EF"/>
          </w:tcPr>
          <w:p>
            <w:pPr>
              <w:spacing w:after="0"/>
              <w:rPr>
                <w:sz w:val="13"/>
                <w:szCs w:val="13"/>
                <w:color w:val="auto"/>
              </w:rPr>
            </w:pPr>
          </w:p>
        </w:tc>
        <w:tc>
          <w:tcPr>
            <w:tcW w:w="220" w:type="dxa"/>
            <w:vAlign w:val="bottom"/>
            <w:shd w:val="clear" w:color="auto" w:fill="DCE2EF"/>
          </w:tcPr>
          <w:p>
            <w:pPr>
              <w:spacing w:after="0"/>
              <w:rPr>
                <w:sz w:val="13"/>
                <w:szCs w:val="13"/>
                <w:color w:val="auto"/>
              </w:rPr>
            </w:pPr>
          </w:p>
        </w:tc>
        <w:tc>
          <w:tcPr>
            <w:tcW w:w="1060" w:type="dxa"/>
            <w:vAlign w:val="bottom"/>
            <w:shd w:val="clear" w:color="auto" w:fill="DCE2EF"/>
          </w:tcPr>
          <w:p>
            <w:pPr>
              <w:spacing w:after="0"/>
              <w:rPr>
                <w:sz w:val="13"/>
                <w:szCs w:val="13"/>
                <w:color w:val="auto"/>
              </w:rPr>
            </w:pPr>
          </w:p>
        </w:tc>
        <w:tc>
          <w:tcPr>
            <w:tcW w:w="380" w:type="dxa"/>
            <w:vAlign w:val="bottom"/>
            <w:shd w:val="clear" w:color="auto" w:fill="DCE2EF"/>
          </w:tcPr>
          <w:p>
            <w:pPr>
              <w:spacing w:after="0"/>
              <w:rPr>
                <w:sz w:val="13"/>
                <w:szCs w:val="13"/>
                <w:color w:val="auto"/>
              </w:rPr>
            </w:pPr>
          </w:p>
        </w:tc>
        <w:tc>
          <w:tcPr>
            <w:tcW w:w="220" w:type="dxa"/>
            <w:vAlign w:val="bottom"/>
            <w:shd w:val="clear" w:color="auto" w:fill="DCE2EF"/>
          </w:tcPr>
          <w:p>
            <w:pPr>
              <w:spacing w:after="0"/>
              <w:rPr>
                <w:sz w:val="13"/>
                <w:szCs w:val="13"/>
                <w:color w:val="auto"/>
              </w:rPr>
            </w:pPr>
          </w:p>
        </w:tc>
        <w:tc>
          <w:tcPr>
            <w:tcW w:w="960" w:type="dxa"/>
            <w:vAlign w:val="bottom"/>
            <w:shd w:val="clear" w:color="auto" w:fill="DCE2EF"/>
          </w:tcPr>
          <w:p>
            <w:pPr>
              <w:spacing w:after="0"/>
              <w:rPr>
                <w:sz w:val="13"/>
                <w:szCs w:val="13"/>
                <w:color w:val="auto"/>
              </w:rPr>
            </w:pPr>
          </w:p>
        </w:tc>
        <w:tc>
          <w:tcPr>
            <w:tcW w:w="480" w:type="dxa"/>
            <w:vAlign w:val="bottom"/>
            <w:shd w:val="clear" w:color="auto" w:fill="DCE2EF"/>
          </w:tcPr>
          <w:p>
            <w:pPr>
              <w:spacing w:after="0"/>
              <w:rPr>
                <w:sz w:val="13"/>
                <w:szCs w:val="13"/>
                <w:color w:val="auto"/>
              </w:rPr>
            </w:pPr>
          </w:p>
        </w:tc>
        <w:tc>
          <w:tcPr>
            <w:tcW w:w="220" w:type="dxa"/>
            <w:vAlign w:val="bottom"/>
            <w:shd w:val="clear" w:color="auto" w:fill="DCE2EF"/>
          </w:tcPr>
          <w:p>
            <w:pPr>
              <w:spacing w:after="0"/>
              <w:rPr>
                <w:sz w:val="13"/>
                <w:szCs w:val="13"/>
                <w:color w:val="auto"/>
              </w:rPr>
            </w:pPr>
          </w:p>
        </w:tc>
        <w:tc>
          <w:tcPr>
            <w:tcW w:w="980" w:type="dxa"/>
            <w:vAlign w:val="bottom"/>
            <w:shd w:val="clear" w:color="auto" w:fill="DCE2EF"/>
          </w:tcPr>
          <w:p>
            <w:pPr>
              <w:spacing w:after="0"/>
              <w:rPr>
                <w:sz w:val="13"/>
                <w:szCs w:val="13"/>
                <w:color w:val="auto"/>
              </w:rPr>
            </w:pPr>
          </w:p>
        </w:tc>
        <w:tc>
          <w:tcPr>
            <w:tcW w:w="460" w:type="dxa"/>
            <w:vAlign w:val="bottom"/>
            <w:shd w:val="clear" w:color="auto" w:fill="DCE2EF"/>
          </w:tcPr>
          <w:p>
            <w:pPr>
              <w:spacing w:after="0"/>
              <w:rPr>
                <w:sz w:val="13"/>
                <w:szCs w:val="13"/>
                <w:color w:val="auto"/>
              </w:rPr>
            </w:pPr>
          </w:p>
        </w:tc>
      </w:tr>
      <w:tr>
        <w:trPr>
          <w:trHeight w:val="254"/>
        </w:trPr>
        <w:tc>
          <w:tcPr>
            <w:tcW w:w="4800" w:type="dxa"/>
            <w:vAlign w:val="bottom"/>
            <w:gridSpan w:val="2"/>
          </w:tcPr>
          <w:p>
            <w:pPr>
              <w:ind w:left="60"/>
              <w:spacing w:after="0"/>
              <w:rPr>
                <w:sz w:val="20"/>
                <w:szCs w:val="20"/>
                <w:color w:val="auto"/>
              </w:rPr>
            </w:pPr>
            <w:r>
              <w:rPr>
                <w:rFonts w:ascii="Arial" w:cs="Arial" w:eastAsia="Arial" w:hAnsi="Arial"/>
                <w:sz w:val="15"/>
                <w:szCs w:val="15"/>
                <w:color w:val="auto"/>
              </w:rPr>
              <w:t>Net income</w:t>
            </w:r>
          </w:p>
        </w:tc>
        <w:tc>
          <w:tcPr>
            <w:tcW w:w="1040" w:type="dxa"/>
            <w:vAlign w:val="bottom"/>
          </w:tcPr>
          <w:p>
            <w:pPr>
              <w:jc w:val="right"/>
              <w:ind w:right="46"/>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41.8</w:t>
            </w:r>
          </w:p>
        </w:tc>
        <w:tc>
          <w:tcPr>
            <w:tcW w:w="1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4.7</w:t>
            </w:r>
          </w:p>
        </w:tc>
        <w:tc>
          <w:tcPr>
            <w:tcW w:w="1180" w:type="dxa"/>
            <w:vAlign w:val="bottom"/>
            <w:gridSpan w:val="2"/>
          </w:tcPr>
          <w:p>
            <w:pPr>
              <w:jc w:val="right"/>
              <w:ind w:right="66"/>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127.6</w:t>
            </w:r>
          </w:p>
        </w:tc>
        <w:tc>
          <w:tcPr>
            <w:tcW w:w="12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93.1</w:t>
            </w:r>
          </w:p>
        </w:tc>
      </w:tr>
      <w:tr>
        <w:trPr>
          <w:trHeight w:val="259"/>
        </w:trPr>
        <w:tc>
          <w:tcPr>
            <w:tcW w:w="4800" w:type="dxa"/>
            <w:vAlign w:val="bottom"/>
            <w:gridSpan w:val="2"/>
            <w:shd w:val="clear" w:color="auto" w:fill="DCE2EF"/>
          </w:tcPr>
          <w:p>
            <w:pPr>
              <w:ind w:left="60"/>
              <w:spacing w:after="0"/>
              <w:rPr>
                <w:sz w:val="20"/>
                <w:szCs w:val="20"/>
                <w:color w:val="auto"/>
              </w:rPr>
            </w:pPr>
            <w:r>
              <w:rPr>
                <w:rFonts w:ascii="Arial" w:cs="Arial" w:eastAsia="Arial" w:hAnsi="Arial"/>
                <w:sz w:val="15"/>
                <w:szCs w:val="15"/>
                <w:color w:val="auto"/>
              </w:rPr>
              <w:t>Items impacting comparability</w:t>
            </w:r>
            <w:r>
              <w:rPr>
                <w:rFonts w:ascii="Arial" w:cs="Arial" w:eastAsia="Arial" w:hAnsi="Arial"/>
                <w:sz w:val="20"/>
                <w:szCs w:val="20"/>
                <w:color w:val="auto"/>
                <w:vertAlign w:val="superscript"/>
              </w:rPr>
              <w:t>(a)(b)</w:t>
            </w:r>
          </w:p>
        </w:tc>
        <w:tc>
          <w:tcPr>
            <w:tcW w:w="1040" w:type="dxa"/>
            <w:vAlign w:val="bottom"/>
            <w:shd w:val="clear" w:color="auto" w:fill="DCE2EF"/>
          </w:tcPr>
          <w:p>
            <w:pPr>
              <w:spacing w:after="0"/>
              <w:rPr>
                <w:sz w:val="22"/>
                <w:szCs w:val="22"/>
                <w:color w:val="auto"/>
              </w:rPr>
            </w:pPr>
          </w:p>
        </w:tc>
        <w:tc>
          <w:tcPr>
            <w:tcW w:w="420" w:type="dxa"/>
            <w:vAlign w:val="bottom"/>
            <w:shd w:val="clear" w:color="auto" w:fill="DCE2EF"/>
          </w:tcPr>
          <w:p>
            <w:pPr>
              <w:spacing w:after="0"/>
              <w:rPr>
                <w:sz w:val="22"/>
                <w:szCs w:val="22"/>
                <w:color w:val="auto"/>
              </w:rPr>
            </w:pPr>
          </w:p>
        </w:tc>
        <w:tc>
          <w:tcPr>
            <w:tcW w:w="220" w:type="dxa"/>
            <w:vAlign w:val="bottom"/>
            <w:shd w:val="clear" w:color="auto" w:fill="DCE2EF"/>
          </w:tcPr>
          <w:p>
            <w:pPr>
              <w:spacing w:after="0"/>
              <w:rPr>
                <w:sz w:val="22"/>
                <w:szCs w:val="22"/>
                <w:color w:val="auto"/>
              </w:rPr>
            </w:pPr>
          </w:p>
        </w:tc>
        <w:tc>
          <w:tcPr>
            <w:tcW w:w="1060" w:type="dxa"/>
            <w:vAlign w:val="bottom"/>
            <w:shd w:val="clear" w:color="auto" w:fill="DCE2EF"/>
          </w:tcPr>
          <w:p>
            <w:pPr>
              <w:spacing w:after="0"/>
              <w:rPr>
                <w:sz w:val="22"/>
                <w:szCs w:val="22"/>
                <w:color w:val="auto"/>
              </w:rPr>
            </w:pPr>
          </w:p>
        </w:tc>
        <w:tc>
          <w:tcPr>
            <w:tcW w:w="380" w:type="dxa"/>
            <w:vAlign w:val="bottom"/>
            <w:shd w:val="clear" w:color="auto" w:fill="DCE2EF"/>
          </w:tcPr>
          <w:p>
            <w:pPr>
              <w:spacing w:after="0"/>
              <w:rPr>
                <w:sz w:val="22"/>
                <w:szCs w:val="22"/>
                <w:color w:val="auto"/>
              </w:rPr>
            </w:pPr>
          </w:p>
        </w:tc>
        <w:tc>
          <w:tcPr>
            <w:tcW w:w="220" w:type="dxa"/>
            <w:vAlign w:val="bottom"/>
            <w:shd w:val="clear" w:color="auto" w:fill="DCE2EF"/>
          </w:tcPr>
          <w:p>
            <w:pPr>
              <w:spacing w:after="0"/>
              <w:rPr>
                <w:sz w:val="22"/>
                <w:szCs w:val="22"/>
                <w:color w:val="auto"/>
              </w:rPr>
            </w:pPr>
          </w:p>
        </w:tc>
        <w:tc>
          <w:tcPr>
            <w:tcW w:w="960" w:type="dxa"/>
            <w:vAlign w:val="bottom"/>
            <w:shd w:val="clear" w:color="auto" w:fill="DCE2EF"/>
          </w:tcPr>
          <w:p>
            <w:pPr>
              <w:spacing w:after="0"/>
              <w:rPr>
                <w:sz w:val="22"/>
                <w:szCs w:val="22"/>
                <w:color w:val="auto"/>
              </w:rPr>
            </w:pPr>
          </w:p>
        </w:tc>
        <w:tc>
          <w:tcPr>
            <w:tcW w:w="480" w:type="dxa"/>
            <w:vAlign w:val="bottom"/>
            <w:shd w:val="clear" w:color="auto" w:fill="DCE2EF"/>
          </w:tcPr>
          <w:p>
            <w:pPr>
              <w:spacing w:after="0"/>
              <w:rPr>
                <w:sz w:val="22"/>
                <w:szCs w:val="22"/>
                <w:color w:val="auto"/>
              </w:rPr>
            </w:pPr>
          </w:p>
        </w:tc>
        <w:tc>
          <w:tcPr>
            <w:tcW w:w="220" w:type="dxa"/>
            <w:vAlign w:val="bottom"/>
            <w:shd w:val="clear" w:color="auto" w:fill="DCE2EF"/>
          </w:tcPr>
          <w:p>
            <w:pPr>
              <w:spacing w:after="0"/>
              <w:rPr>
                <w:sz w:val="22"/>
                <w:szCs w:val="22"/>
                <w:color w:val="auto"/>
              </w:rPr>
            </w:pPr>
          </w:p>
        </w:tc>
        <w:tc>
          <w:tcPr>
            <w:tcW w:w="980" w:type="dxa"/>
            <w:vAlign w:val="bottom"/>
            <w:shd w:val="clear" w:color="auto" w:fill="DCE2EF"/>
          </w:tcPr>
          <w:p>
            <w:pPr>
              <w:spacing w:after="0"/>
              <w:rPr>
                <w:sz w:val="22"/>
                <w:szCs w:val="22"/>
                <w:color w:val="auto"/>
              </w:rPr>
            </w:pPr>
          </w:p>
        </w:tc>
        <w:tc>
          <w:tcPr>
            <w:tcW w:w="460" w:type="dxa"/>
            <w:vAlign w:val="bottom"/>
            <w:shd w:val="clear" w:color="auto" w:fill="DCE2EF"/>
          </w:tcPr>
          <w:p>
            <w:pPr>
              <w:spacing w:after="0"/>
              <w:rPr>
                <w:sz w:val="22"/>
                <w:szCs w:val="22"/>
                <w:color w:val="auto"/>
              </w:rPr>
            </w:pPr>
          </w:p>
        </w:tc>
      </w:tr>
      <w:tr>
        <w:trPr>
          <w:trHeight w:val="253"/>
        </w:trPr>
        <w:tc>
          <w:tcPr>
            <w:tcW w:w="4800" w:type="dxa"/>
            <w:vAlign w:val="bottom"/>
            <w:gridSpan w:val="2"/>
          </w:tcPr>
          <w:p>
            <w:pPr>
              <w:ind w:left="140"/>
              <w:spacing w:after="0"/>
              <w:rPr>
                <w:sz w:val="20"/>
                <w:szCs w:val="20"/>
                <w:color w:val="auto"/>
              </w:rPr>
            </w:pPr>
            <w:r>
              <w:rPr>
                <w:rFonts w:ascii="Arial" w:cs="Arial" w:eastAsia="Arial" w:hAnsi="Arial"/>
                <w:sz w:val="15"/>
                <w:szCs w:val="15"/>
                <w:color w:val="auto"/>
              </w:rPr>
              <w:t>Legal costs and other settlements</w:t>
            </w:r>
          </w:p>
        </w:tc>
        <w:tc>
          <w:tcPr>
            <w:tcW w:w="104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(2.6)</w:t>
            </w: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0.2</w:t>
            </w: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2.5</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60"/>
        </w:trPr>
        <w:tc>
          <w:tcPr>
            <w:tcW w:w="4800" w:type="dxa"/>
            <w:vAlign w:val="bottom"/>
            <w:gridSpan w:val="2"/>
            <w:shd w:val="clear" w:color="auto" w:fill="DCE2EF"/>
          </w:tcPr>
          <w:p>
            <w:pPr>
              <w:ind w:left="140"/>
              <w:spacing w:after="0"/>
              <w:rPr>
                <w:sz w:val="20"/>
                <w:szCs w:val="20"/>
                <w:color w:val="auto"/>
              </w:rPr>
            </w:pPr>
            <w:r>
              <w:rPr>
                <w:rFonts w:ascii="Arial" w:cs="Arial" w:eastAsia="Arial" w:hAnsi="Arial"/>
                <w:sz w:val="15"/>
                <w:szCs w:val="15"/>
                <w:color w:val="auto"/>
              </w:rPr>
              <w:t>Acquisition and integration related costs</w:t>
            </w:r>
            <w:r>
              <w:rPr>
                <w:rFonts w:ascii="Arial" w:cs="Arial" w:eastAsia="Arial" w:hAnsi="Arial"/>
                <w:sz w:val="20"/>
                <w:szCs w:val="20"/>
                <w:color w:val="auto"/>
                <w:vertAlign w:val="superscript"/>
              </w:rPr>
              <w:t>(c)</w:t>
            </w:r>
          </w:p>
        </w:tc>
        <w:tc>
          <w:tcPr>
            <w:tcW w:w="1040" w:type="dxa"/>
            <w:vAlign w:val="bottom"/>
            <w:shd w:val="clear" w:color="auto" w:fill="DCE2EF"/>
          </w:tcPr>
          <w:p>
            <w:pPr>
              <w:spacing w:after="0"/>
              <w:rPr>
                <w:sz w:val="22"/>
                <w:szCs w:val="22"/>
                <w:color w:val="auto"/>
              </w:rPr>
            </w:pPr>
          </w:p>
        </w:tc>
        <w:tc>
          <w:tcPr>
            <w:tcW w:w="4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4.7</w:t>
            </w:r>
          </w:p>
        </w:tc>
        <w:tc>
          <w:tcPr>
            <w:tcW w:w="220" w:type="dxa"/>
            <w:vAlign w:val="bottom"/>
            <w:shd w:val="clear" w:color="auto" w:fill="DCE2EF"/>
          </w:tcPr>
          <w:p>
            <w:pPr>
              <w:spacing w:after="0"/>
              <w:rPr>
                <w:sz w:val="22"/>
                <w:szCs w:val="22"/>
                <w:color w:val="auto"/>
              </w:rPr>
            </w:pPr>
          </w:p>
        </w:tc>
        <w:tc>
          <w:tcPr>
            <w:tcW w:w="1060" w:type="dxa"/>
            <w:vAlign w:val="bottom"/>
            <w:shd w:val="clear" w:color="auto" w:fill="DCE2EF"/>
          </w:tcPr>
          <w:p>
            <w:pPr>
              <w:spacing w:after="0"/>
              <w:rPr>
                <w:sz w:val="22"/>
                <w:szCs w:val="22"/>
                <w:color w:val="auto"/>
              </w:rPr>
            </w:pPr>
          </w:p>
        </w:tc>
        <w:tc>
          <w:tcPr>
            <w:tcW w:w="38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3.9</w:t>
            </w:r>
          </w:p>
        </w:tc>
        <w:tc>
          <w:tcPr>
            <w:tcW w:w="220" w:type="dxa"/>
            <w:vAlign w:val="bottom"/>
            <w:shd w:val="clear" w:color="auto" w:fill="DCE2EF"/>
          </w:tcPr>
          <w:p>
            <w:pPr>
              <w:spacing w:after="0"/>
              <w:rPr>
                <w:sz w:val="22"/>
                <w:szCs w:val="22"/>
                <w:color w:val="auto"/>
              </w:rPr>
            </w:pPr>
          </w:p>
        </w:tc>
        <w:tc>
          <w:tcPr>
            <w:tcW w:w="960" w:type="dxa"/>
            <w:vAlign w:val="bottom"/>
            <w:shd w:val="clear" w:color="auto" w:fill="DCE2EF"/>
          </w:tcPr>
          <w:p>
            <w:pPr>
              <w:spacing w:after="0"/>
              <w:rPr>
                <w:sz w:val="22"/>
                <w:szCs w:val="22"/>
                <w:color w:val="auto"/>
              </w:rPr>
            </w:pPr>
          </w:p>
        </w:tc>
        <w:tc>
          <w:tcPr>
            <w:tcW w:w="48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11.4</w:t>
            </w:r>
          </w:p>
        </w:tc>
        <w:tc>
          <w:tcPr>
            <w:tcW w:w="220" w:type="dxa"/>
            <w:vAlign w:val="bottom"/>
            <w:shd w:val="clear" w:color="auto" w:fill="DCE2EF"/>
          </w:tcPr>
          <w:p>
            <w:pPr>
              <w:spacing w:after="0"/>
              <w:rPr>
                <w:sz w:val="22"/>
                <w:szCs w:val="22"/>
                <w:color w:val="auto"/>
              </w:rPr>
            </w:pPr>
          </w:p>
        </w:tc>
        <w:tc>
          <w:tcPr>
            <w:tcW w:w="980" w:type="dxa"/>
            <w:vAlign w:val="bottom"/>
            <w:shd w:val="clear" w:color="auto" w:fill="DCE2EF"/>
          </w:tcPr>
          <w:p>
            <w:pPr>
              <w:spacing w:after="0"/>
              <w:rPr>
                <w:sz w:val="22"/>
                <w:szCs w:val="22"/>
                <w:color w:val="auto"/>
              </w:rPr>
            </w:pPr>
          </w:p>
        </w:tc>
        <w:tc>
          <w:tcPr>
            <w:tcW w:w="460" w:type="dxa"/>
            <w:vAlign w:val="bottom"/>
            <w:shd w:val="clear" w:color="auto" w:fill="DCE2EF"/>
          </w:tcPr>
          <w:p>
            <w:pPr>
              <w:jc w:val="right"/>
              <w:spacing w:after="0"/>
              <w:rPr>
                <w:sz w:val="20"/>
                <w:szCs w:val="20"/>
                <w:color w:val="auto"/>
              </w:rPr>
            </w:pPr>
            <w:r>
              <w:rPr>
                <w:rFonts w:ascii="Arial" w:cs="Arial" w:eastAsia="Arial" w:hAnsi="Arial"/>
                <w:sz w:val="14"/>
                <w:szCs w:val="14"/>
                <w:color w:val="auto"/>
              </w:rPr>
              <w:t>7.6</w:t>
            </w:r>
          </w:p>
        </w:tc>
      </w:tr>
      <w:tr>
        <w:trPr>
          <w:trHeight w:val="257"/>
        </w:trPr>
        <w:tc>
          <w:tcPr>
            <w:tcW w:w="4800" w:type="dxa"/>
            <w:vAlign w:val="bottom"/>
            <w:gridSpan w:val="2"/>
          </w:tcPr>
          <w:p>
            <w:pPr>
              <w:ind w:left="180"/>
              <w:spacing w:after="0"/>
              <w:rPr>
                <w:sz w:val="20"/>
                <w:szCs w:val="20"/>
                <w:color w:val="auto"/>
              </w:rPr>
            </w:pPr>
            <w:r>
              <w:rPr>
                <w:rFonts w:ascii="Arial" w:cs="Arial" w:eastAsia="Arial" w:hAnsi="Arial"/>
                <w:sz w:val="15"/>
                <w:szCs w:val="15"/>
                <w:color w:val="auto"/>
              </w:rPr>
              <w:t>Transformation initiative costs</w:t>
            </w:r>
            <w:r>
              <w:rPr>
                <w:rFonts w:ascii="Arial" w:cs="Arial" w:eastAsia="Arial" w:hAnsi="Arial"/>
                <w:sz w:val="20"/>
                <w:szCs w:val="20"/>
                <w:color w:val="auto"/>
                <w:vertAlign w:val="superscript"/>
              </w:rPr>
              <w:t>(d)</w:t>
            </w:r>
          </w:p>
        </w:tc>
        <w:tc>
          <w:tcPr>
            <w:tcW w:w="104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11.1</w:t>
            </w: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11.1</w:t>
            </w: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30.1</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27.8</w:t>
            </w:r>
          </w:p>
        </w:tc>
      </w:tr>
      <w:tr>
        <w:trPr>
          <w:trHeight w:val="257"/>
        </w:trPr>
        <w:tc>
          <w:tcPr>
            <w:tcW w:w="4800" w:type="dxa"/>
            <w:vAlign w:val="bottom"/>
            <w:gridSpan w:val="2"/>
            <w:shd w:val="clear" w:color="auto" w:fill="DCE2EF"/>
          </w:tcPr>
          <w:p>
            <w:pPr>
              <w:ind w:left="140"/>
              <w:spacing w:after="0"/>
              <w:rPr>
                <w:sz w:val="20"/>
                <w:szCs w:val="20"/>
                <w:color w:val="auto"/>
              </w:rPr>
            </w:pPr>
            <w:r>
              <w:rPr>
                <w:rFonts w:ascii="Arial" w:cs="Arial" w:eastAsia="Arial" w:hAnsi="Arial"/>
                <w:sz w:val="15"/>
                <w:szCs w:val="15"/>
                <w:color w:val="auto"/>
              </w:rPr>
              <w:t>Change in fair value of contingent consideration</w:t>
            </w:r>
            <w:r>
              <w:rPr>
                <w:rFonts w:ascii="Arial" w:cs="Arial" w:eastAsia="Arial" w:hAnsi="Arial"/>
                <w:sz w:val="20"/>
                <w:szCs w:val="20"/>
                <w:color w:val="auto"/>
                <w:vertAlign w:val="superscript"/>
              </w:rPr>
              <w:t>(e)</w:t>
            </w:r>
          </w:p>
        </w:tc>
        <w:tc>
          <w:tcPr>
            <w:tcW w:w="1040" w:type="dxa"/>
            <w:vAlign w:val="bottom"/>
            <w:shd w:val="clear" w:color="auto" w:fill="DCE2EF"/>
          </w:tcPr>
          <w:p>
            <w:pPr>
              <w:spacing w:after="0"/>
              <w:rPr>
                <w:sz w:val="22"/>
                <w:szCs w:val="22"/>
                <w:color w:val="auto"/>
              </w:rPr>
            </w:pPr>
          </w:p>
        </w:tc>
        <w:tc>
          <w:tcPr>
            <w:tcW w:w="4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CE2EF"/>
          </w:tcPr>
          <w:p>
            <w:pPr>
              <w:spacing w:after="0"/>
              <w:rPr>
                <w:sz w:val="22"/>
                <w:szCs w:val="22"/>
                <w:color w:val="auto"/>
              </w:rPr>
            </w:pPr>
          </w:p>
        </w:tc>
        <w:tc>
          <w:tcPr>
            <w:tcW w:w="1060" w:type="dxa"/>
            <w:vAlign w:val="bottom"/>
            <w:shd w:val="clear" w:color="auto" w:fill="DCE2EF"/>
          </w:tcPr>
          <w:p>
            <w:pPr>
              <w:spacing w:after="0"/>
              <w:rPr>
                <w:sz w:val="22"/>
                <w:szCs w:val="22"/>
                <w:color w:val="auto"/>
              </w:rPr>
            </w:pPr>
          </w:p>
        </w:tc>
        <w:tc>
          <w:tcPr>
            <w:tcW w:w="3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36.0</w:t>
            </w:r>
          </w:p>
        </w:tc>
        <w:tc>
          <w:tcPr>
            <w:tcW w:w="220" w:type="dxa"/>
            <w:vAlign w:val="bottom"/>
            <w:shd w:val="clear" w:color="auto" w:fill="DCE2EF"/>
          </w:tcPr>
          <w:p>
            <w:pPr>
              <w:spacing w:after="0"/>
              <w:rPr>
                <w:sz w:val="22"/>
                <w:szCs w:val="22"/>
                <w:color w:val="auto"/>
              </w:rPr>
            </w:pPr>
          </w:p>
        </w:tc>
        <w:tc>
          <w:tcPr>
            <w:tcW w:w="960" w:type="dxa"/>
            <w:vAlign w:val="bottom"/>
            <w:shd w:val="clear" w:color="auto" w:fill="DCE2EF"/>
          </w:tcPr>
          <w:p>
            <w:pPr>
              <w:spacing w:after="0"/>
              <w:rPr>
                <w:sz w:val="22"/>
                <w:szCs w:val="22"/>
                <w:color w:val="auto"/>
              </w:rPr>
            </w:pPr>
          </w:p>
        </w:tc>
        <w:tc>
          <w:tcPr>
            <w:tcW w:w="4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CE2EF"/>
          </w:tcPr>
          <w:p>
            <w:pPr>
              <w:spacing w:after="0"/>
              <w:rPr>
                <w:sz w:val="22"/>
                <w:szCs w:val="22"/>
                <w:color w:val="auto"/>
              </w:rPr>
            </w:pPr>
          </w:p>
        </w:tc>
        <w:tc>
          <w:tcPr>
            <w:tcW w:w="980" w:type="dxa"/>
            <w:vAlign w:val="bottom"/>
            <w:shd w:val="clear" w:color="auto" w:fill="DCE2EF"/>
          </w:tcPr>
          <w:p>
            <w:pPr>
              <w:spacing w:after="0"/>
              <w:rPr>
                <w:sz w:val="22"/>
                <w:szCs w:val="22"/>
                <w:color w:val="auto"/>
              </w:rPr>
            </w:pPr>
          </w:p>
        </w:tc>
        <w:tc>
          <w:tcPr>
            <w:tcW w:w="46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36.0</w:t>
            </w:r>
          </w:p>
        </w:tc>
      </w:tr>
      <w:tr>
        <w:trPr>
          <w:trHeight w:val="256"/>
        </w:trPr>
        <w:tc>
          <w:tcPr>
            <w:tcW w:w="4800" w:type="dxa"/>
            <w:vAlign w:val="bottom"/>
            <w:gridSpan w:val="2"/>
          </w:tcPr>
          <w:p>
            <w:pPr>
              <w:ind w:left="140"/>
              <w:spacing w:after="0"/>
              <w:rPr>
                <w:sz w:val="20"/>
                <w:szCs w:val="20"/>
                <w:color w:val="auto"/>
              </w:rPr>
            </w:pPr>
            <w:r>
              <w:rPr>
                <w:rFonts w:ascii="Arial" w:cs="Arial" w:eastAsia="Arial" w:hAnsi="Arial"/>
                <w:sz w:val="15"/>
                <w:szCs w:val="15"/>
                <w:color w:val="auto"/>
              </w:rPr>
              <w:t>Other</w:t>
            </w:r>
            <w:r>
              <w:rPr>
                <w:rFonts w:ascii="Arial" w:cs="Arial" w:eastAsia="Arial" w:hAnsi="Arial"/>
                <w:sz w:val="20"/>
                <w:szCs w:val="20"/>
                <w:color w:val="auto"/>
                <w:vertAlign w:val="superscript"/>
              </w:rPr>
              <w:t>(f)</w:t>
            </w:r>
          </w:p>
        </w:tc>
        <w:tc>
          <w:tcPr>
            <w:tcW w:w="10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220" w:type="dxa"/>
            <w:vAlign w:val="bottom"/>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22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2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r>
      <w:tr>
        <w:trPr>
          <w:trHeight w:val="237"/>
        </w:trPr>
        <w:tc>
          <w:tcPr>
            <w:tcW w:w="4800" w:type="dxa"/>
            <w:vAlign w:val="bottom"/>
            <w:gridSpan w:val="2"/>
            <w:shd w:val="clear" w:color="auto" w:fill="DCE2EF"/>
          </w:tcPr>
          <w:p>
            <w:pPr>
              <w:ind w:left="60"/>
              <w:spacing w:after="0"/>
              <w:rPr>
                <w:sz w:val="20"/>
                <w:szCs w:val="20"/>
                <w:color w:val="auto"/>
              </w:rPr>
            </w:pPr>
            <w:r>
              <w:rPr>
                <w:rFonts w:ascii="Arial" w:cs="Arial" w:eastAsia="Arial" w:hAnsi="Arial"/>
                <w:sz w:val="15"/>
                <w:szCs w:val="15"/>
                <w:color w:val="auto"/>
              </w:rPr>
              <w:t>Total items impacting comparability</w:t>
            </w:r>
          </w:p>
        </w:tc>
        <w:tc>
          <w:tcPr>
            <w:tcW w:w="1040" w:type="dxa"/>
            <w:vAlign w:val="bottom"/>
            <w:shd w:val="clear" w:color="auto" w:fill="DCE2EF"/>
          </w:tcPr>
          <w:p>
            <w:pPr>
              <w:spacing w:after="0"/>
              <w:rPr>
                <w:sz w:val="20"/>
                <w:szCs w:val="20"/>
                <w:color w:val="auto"/>
              </w:rPr>
            </w:pPr>
          </w:p>
        </w:tc>
        <w:tc>
          <w:tcPr>
            <w:tcW w:w="4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13.8</w:t>
            </w:r>
          </w:p>
        </w:tc>
        <w:tc>
          <w:tcPr>
            <w:tcW w:w="220" w:type="dxa"/>
            <w:vAlign w:val="bottom"/>
            <w:shd w:val="clear" w:color="auto" w:fill="DCE2EF"/>
          </w:tcPr>
          <w:p>
            <w:pPr>
              <w:spacing w:after="0"/>
              <w:rPr>
                <w:sz w:val="20"/>
                <w:szCs w:val="20"/>
                <w:color w:val="auto"/>
              </w:rPr>
            </w:pPr>
          </w:p>
        </w:tc>
        <w:tc>
          <w:tcPr>
            <w:tcW w:w="1060" w:type="dxa"/>
            <w:vAlign w:val="bottom"/>
            <w:shd w:val="clear" w:color="auto" w:fill="DCE2EF"/>
          </w:tcPr>
          <w:p>
            <w:pPr>
              <w:spacing w:after="0"/>
              <w:rPr>
                <w:sz w:val="20"/>
                <w:szCs w:val="20"/>
                <w:color w:val="auto"/>
              </w:rPr>
            </w:pPr>
          </w:p>
        </w:tc>
        <w:tc>
          <w:tcPr>
            <w:tcW w:w="380" w:type="dxa"/>
            <w:vAlign w:val="bottom"/>
            <w:shd w:val="clear" w:color="auto" w:fill="DCE2EF"/>
          </w:tcPr>
          <w:p>
            <w:pPr>
              <w:jc w:val="right"/>
              <w:spacing w:after="0"/>
              <w:rPr>
                <w:sz w:val="20"/>
                <w:szCs w:val="20"/>
                <w:color w:val="auto"/>
              </w:rPr>
            </w:pPr>
            <w:r>
              <w:rPr>
                <w:rFonts w:ascii="Arial" w:cs="Arial" w:eastAsia="Arial" w:hAnsi="Arial"/>
                <w:sz w:val="14"/>
                <w:szCs w:val="14"/>
                <w:color w:val="auto"/>
              </w:rPr>
              <w:t>53.9</w:t>
            </w:r>
          </w:p>
        </w:tc>
        <w:tc>
          <w:tcPr>
            <w:tcW w:w="220" w:type="dxa"/>
            <w:vAlign w:val="bottom"/>
            <w:shd w:val="clear" w:color="auto" w:fill="DCE2EF"/>
          </w:tcPr>
          <w:p>
            <w:pPr>
              <w:spacing w:after="0"/>
              <w:rPr>
                <w:sz w:val="20"/>
                <w:szCs w:val="20"/>
                <w:color w:val="auto"/>
              </w:rPr>
            </w:pPr>
          </w:p>
        </w:tc>
        <w:tc>
          <w:tcPr>
            <w:tcW w:w="960" w:type="dxa"/>
            <w:vAlign w:val="bottom"/>
            <w:shd w:val="clear" w:color="auto" w:fill="DCE2EF"/>
          </w:tcPr>
          <w:p>
            <w:pPr>
              <w:spacing w:after="0"/>
              <w:rPr>
                <w:sz w:val="20"/>
                <w:szCs w:val="20"/>
                <w:color w:val="auto"/>
              </w:rPr>
            </w:pPr>
          </w:p>
        </w:tc>
        <w:tc>
          <w:tcPr>
            <w:tcW w:w="480" w:type="dxa"/>
            <w:vAlign w:val="bottom"/>
            <w:shd w:val="clear" w:color="auto" w:fill="DCE2EF"/>
          </w:tcPr>
          <w:p>
            <w:pPr>
              <w:jc w:val="right"/>
              <w:spacing w:after="0"/>
              <w:rPr>
                <w:sz w:val="20"/>
                <w:szCs w:val="20"/>
                <w:color w:val="auto"/>
              </w:rPr>
            </w:pPr>
            <w:r>
              <w:rPr>
                <w:rFonts w:ascii="Arial" w:cs="Arial" w:eastAsia="Arial" w:hAnsi="Arial"/>
                <w:sz w:val="14"/>
                <w:szCs w:val="14"/>
                <w:color w:val="auto"/>
              </w:rPr>
              <w:t>46.8</w:t>
            </w:r>
          </w:p>
        </w:tc>
        <w:tc>
          <w:tcPr>
            <w:tcW w:w="220" w:type="dxa"/>
            <w:vAlign w:val="bottom"/>
            <w:shd w:val="clear" w:color="auto" w:fill="DCE2EF"/>
          </w:tcPr>
          <w:p>
            <w:pPr>
              <w:spacing w:after="0"/>
              <w:rPr>
                <w:sz w:val="20"/>
                <w:szCs w:val="20"/>
                <w:color w:val="auto"/>
              </w:rPr>
            </w:pPr>
          </w:p>
        </w:tc>
        <w:tc>
          <w:tcPr>
            <w:tcW w:w="980" w:type="dxa"/>
            <w:vAlign w:val="bottom"/>
            <w:shd w:val="clear" w:color="auto" w:fill="DCE2EF"/>
          </w:tcPr>
          <w:p>
            <w:pPr>
              <w:spacing w:after="0"/>
              <w:rPr>
                <w:sz w:val="20"/>
                <w:szCs w:val="20"/>
                <w:color w:val="auto"/>
              </w:rPr>
            </w:pPr>
          </w:p>
        </w:tc>
        <w:tc>
          <w:tcPr>
            <w:tcW w:w="460" w:type="dxa"/>
            <w:vAlign w:val="bottom"/>
            <w:shd w:val="clear" w:color="auto" w:fill="DCE2EF"/>
          </w:tcPr>
          <w:p>
            <w:pPr>
              <w:jc w:val="right"/>
              <w:spacing w:after="0"/>
              <w:rPr>
                <w:sz w:val="20"/>
                <w:szCs w:val="20"/>
                <w:color w:val="auto"/>
              </w:rPr>
            </w:pPr>
            <w:r>
              <w:rPr>
                <w:rFonts w:ascii="Arial" w:cs="Arial" w:eastAsia="Arial" w:hAnsi="Arial"/>
                <w:sz w:val="14"/>
                <w:szCs w:val="14"/>
                <w:color w:val="auto"/>
              </w:rPr>
              <w:t>75.1</w:t>
            </w:r>
          </w:p>
        </w:tc>
      </w:tr>
      <w:tr>
        <w:trPr>
          <w:trHeight w:val="257"/>
        </w:trPr>
        <w:tc>
          <w:tcPr>
            <w:tcW w:w="4800" w:type="dxa"/>
            <w:vAlign w:val="bottom"/>
            <w:gridSpan w:val="2"/>
          </w:tcPr>
          <w:p>
            <w:pPr>
              <w:ind w:left="60"/>
              <w:spacing w:after="0"/>
              <w:rPr>
                <w:sz w:val="20"/>
                <w:szCs w:val="20"/>
                <w:color w:val="auto"/>
              </w:rPr>
            </w:pPr>
            <w:r>
              <w:rPr>
                <w:rFonts w:ascii="Arial" w:cs="Arial" w:eastAsia="Arial" w:hAnsi="Arial"/>
                <w:sz w:val="15"/>
                <w:szCs w:val="15"/>
                <w:color w:val="auto"/>
              </w:rPr>
              <w:t xml:space="preserve">Income tax benefit </w:t>
            </w:r>
            <w:r>
              <w:rPr>
                <w:rFonts w:ascii="Arial" w:cs="Arial" w:eastAsia="Arial" w:hAnsi="Arial"/>
                <w:sz w:val="20"/>
                <w:szCs w:val="20"/>
                <w:color w:val="auto"/>
                <w:vertAlign w:val="superscript"/>
              </w:rPr>
              <w:t>(g)(h)</w:t>
            </w:r>
          </w:p>
        </w:tc>
        <w:tc>
          <w:tcPr>
            <w:tcW w:w="10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220" w:type="dxa"/>
            <w:vAlign w:val="bottom"/>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22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w:t>
            </w:r>
          </w:p>
        </w:tc>
        <w:tc>
          <w:tcPr>
            <w:tcW w:w="2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r>
      <w:tr>
        <w:trPr>
          <w:trHeight w:val="230"/>
        </w:trPr>
        <w:tc>
          <w:tcPr>
            <w:tcW w:w="4800" w:type="dxa"/>
            <w:vAlign w:val="bottom"/>
            <w:tcBorders>
              <w:bottom w:val="single" w:sz="8" w:color="DCE2EF"/>
            </w:tcBorders>
            <w:gridSpan w:val="2"/>
            <w:shd w:val="clear" w:color="auto" w:fill="DCE2EF"/>
          </w:tcPr>
          <w:p>
            <w:pPr>
              <w:ind w:left="60"/>
              <w:spacing w:after="0"/>
              <w:rPr>
                <w:sz w:val="20"/>
                <w:szCs w:val="20"/>
                <w:color w:val="auto"/>
              </w:rPr>
            </w:pPr>
            <w:r>
              <w:rPr>
                <w:rFonts w:ascii="Arial" w:cs="Arial" w:eastAsia="Arial" w:hAnsi="Arial"/>
                <w:sz w:val="15"/>
                <w:szCs w:val="15"/>
                <w:color w:val="auto"/>
              </w:rPr>
              <w:t>Items impacting comparability, net of taxes</w:t>
            </w:r>
          </w:p>
        </w:tc>
        <w:tc>
          <w:tcPr>
            <w:tcW w:w="1040" w:type="dxa"/>
            <w:vAlign w:val="bottom"/>
            <w:tcBorders>
              <w:bottom w:val="single" w:sz="8" w:color="auto"/>
            </w:tcBorders>
            <w:shd w:val="clear" w:color="auto" w:fill="DCE2EF"/>
          </w:tcPr>
          <w:p>
            <w:pPr>
              <w:spacing w:after="0"/>
              <w:rPr>
                <w:sz w:val="20"/>
                <w:szCs w:val="20"/>
                <w:color w:val="auto"/>
              </w:rPr>
            </w:pPr>
          </w:p>
        </w:tc>
        <w:tc>
          <w:tcPr>
            <w:tcW w:w="4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9.9</w:t>
            </w:r>
          </w:p>
        </w:tc>
        <w:tc>
          <w:tcPr>
            <w:tcW w:w="220" w:type="dxa"/>
            <w:vAlign w:val="bottom"/>
            <w:tcBorders>
              <w:bottom w:val="single" w:sz="8" w:color="DCE2EF"/>
            </w:tcBorders>
            <w:shd w:val="clear" w:color="auto" w:fill="DCE2EF"/>
          </w:tcPr>
          <w:p>
            <w:pPr>
              <w:spacing w:after="0"/>
              <w:rPr>
                <w:sz w:val="20"/>
                <w:szCs w:val="20"/>
                <w:color w:val="auto"/>
              </w:rPr>
            </w:pPr>
          </w:p>
        </w:tc>
        <w:tc>
          <w:tcPr>
            <w:tcW w:w="1060" w:type="dxa"/>
            <w:vAlign w:val="bottom"/>
            <w:tcBorders>
              <w:bottom w:val="single" w:sz="8" w:color="auto"/>
            </w:tcBorders>
            <w:shd w:val="clear" w:color="auto" w:fill="DCE2EF"/>
          </w:tcPr>
          <w:p>
            <w:pPr>
              <w:spacing w:after="0"/>
              <w:rPr>
                <w:sz w:val="20"/>
                <w:szCs w:val="20"/>
                <w:color w:val="auto"/>
              </w:rPr>
            </w:pPr>
          </w:p>
        </w:tc>
        <w:tc>
          <w:tcPr>
            <w:tcW w:w="3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48.9</w:t>
            </w:r>
          </w:p>
        </w:tc>
        <w:tc>
          <w:tcPr>
            <w:tcW w:w="220" w:type="dxa"/>
            <w:vAlign w:val="bottom"/>
            <w:tcBorders>
              <w:bottom w:val="single" w:sz="8" w:color="DCE2EF"/>
            </w:tcBorders>
            <w:shd w:val="clear" w:color="auto" w:fill="DCE2EF"/>
          </w:tcPr>
          <w:p>
            <w:pPr>
              <w:spacing w:after="0"/>
              <w:rPr>
                <w:sz w:val="20"/>
                <w:szCs w:val="20"/>
                <w:color w:val="auto"/>
              </w:rPr>
            </w:pPr>
          </w:p>
        </w:tc>
        <w:tc>
          <w:tcPr>
            <w:tcW w:w="960" w:type="dxa"/>
            <w:vAlign w:val="bottom"/>
            <w:tcBorders>
              <w:bottom w:val="single" w:sz="8" w:color="auto"/>
            </w:tcBorders>
            <w:shd w:val="clear" w:color="auto" w:fill="DCE2EF"/>
          </w:tcPr>
          <w:p>
            <w:pPr>
              <w:spacing w:after="0"/>
              <w:rPr>
                <w:sz w:val="20"/>
                <w:szCs w:val="20"/>
                <w:color w:val="auto"/>
              </w:rPr>
            </w:pPr>
          </w:p>
        </w:tc>
        <w:tc>
          <w:tcPr>
            <w:tcW w:w="4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33.5</w:t>
            </w:r>
          </w:p>
        </w:tc>
        <w:tc>
          <w:tcPr>
            <w:tcW w:w="220" w:type="dxa"/>
            <w:vAlign w:val="bottom"/>
            <w:tcBorders>
              <w:bottom w:val="single" w:sz="8" w:color="DCE2EF"/>
            </w:tcBorders>
            <w:shd w:val="clear" w:color="auto" w:fill="DCE2EF"/>
          </w:tcPr>
          <w:p>
            <w:pPr>
              <w:spacing w:after="0"/>
              <w:rPr>
                <w:sz w:val="20"/>
                <w:szCs w:val="20"/>
                <w:color w:val="auto"/>
              </w:rPr>
            </w:pPr>
          </w:p>
        </w:tc>
        <w:tc>
          <w:tcPr>
            <w:tcW w:w="980" w:type="dxa"/>
            <w:vAlign w:val="bottom"/>
            <w:tcBorders>
              <w:bottom w:val="single" w:sz="8" w:color="auto"/>
            </w:tcBorders>
            <w:shd w:val="clear" w:color="auto" w:fill="DCE2EF"/>
          </w:tcPr>
          <w:p>
            <w:pPr>
              <w:spacing w:after="0"/>
              <w:rPr>
                <w:sz w:val="20"/>
                <w:szCs w:val="20"/>
                <w:color w:val="auto"/>
              </w:rPr>
            </w:pPr>
          </w:p>
        </w:tc>
        <w:tc>
          <w:tcPr>
            <w:tcW w:w="4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63.8</w:t>
            </w:r>
          </w:p>
        </w:tc>
      </w:tr>
      <w:tr>
        <w:trPr>
          <w:trHeight w:val="237"/>
        </w:trPr>
        <w:tc>
          <w:tcPr>
            <w:tcW w:w="4800" w:type="dxa"/>
            <w:vAlign w:val="bottom"/>
            <w:gridSpan w:val="2"/>
          </w:tcPr>
          <w:p>
            <w:pPr>
              <w:ind w:left="60"/>
              <w:spacing w:after="0"/>
              <w:rPr>
                <w:sz w:val="20"/>
                <w:szCs w:val="20"/>
                <w:color w:val="auto"/>
              </w:rPr>
            </w:pPr>
            <w:r>
              <w:rPr>
                <w:rFonts w:ascii="Arial" w:cs="Arial" w:eastAsia="Arial" w:hAnsi="Arial"/>
                <w:sz w:val="15"/>
                <w:szCs w:val="15"/>
                <w:color w:val="auto"/>
              </w:rPr>
              <w:t>Adjusted net income</w:t>
            </w:r>
          </w:p>
        </w:tc>
        <w:tc>
          <w:tcPr>
            <w:tcW w:w="104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w:t>
            </w:r>
          </w:p>
        </w:tc>
        <w:tc>
          <w:tcPr>
            <w:tcW w:w="220" w:type="dxa"/>
            <w:vAlign w:val="bottom"/>
          </w:tcPr>
          <w:p>
            <w:pPr>
              <w:spacing w:after="0"/>
              <w:rPr>
                <w:sz w:val="20"/>
                <w:szCs w:val="20"/>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53.6</w:t>
            </w:r>
          </w:p>
        </w:tc>
        <w:tc>
          <w:tcPr>
            <w:tcW w:w="220" w:type="dxa"/>
            <w:vAlign w:val="bottom"/>
          </w:tcPr>
          <w:p>
            <w:pPr>
              <w:spacing w:after="0"/>
              <w:rPr>
                <w:sz w:val="20"/>
                <w:szCs w:val="20"/>
                <w:color w:val="auto"/>
              </w:rPr>
            </w:pPr>
          </w:p>
        </w:tc>
        <w:tc>
          <w:tcPr>
            <w:tcW w:w="96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161.1</w:t>
            </w:r>
          </w:p>
        </w:tc>
        <w:tc>
          <w:tcPr>
            <w:tcW w:w="220" w:type="dxa"/>
            <w:vAlign w:val="bottom"/>
          </w:tcPr>
          <w:p>
            <w:pPr>
              <w:spacing w:after="0"/>
              <w:rPr>
                <w:sz w:val="20"/>
                <w:szCs w:val="20"/>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-2059305</wp:posOffset>
            </wp:positionV>
            <wp:extent cx="137160" cy="114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-2059305</wp:posOffset>
            </wp:positionV>
            <wp:extent cx="137160" cy="114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-2059305</wp:posOffset>
            </wp:positionV>
            <wp:extent cx="137160" cy="114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-662305</wp:posOffset>
            </wp:positionV>
            <wp:extent cx="137160" cy="114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-662305</wp:posOffset>
            </wp:positionV>
            <wp:extent cx="137160" cy="114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-662305</wp:posOffset>
            </wp:positionV>
            <wp:extent cx="137160" cy="114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-336550</wp:posOffset>
            </wp:positionV>
            <wp:extent cx="137160" cy="114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-336550</wp:posOffset>
            </wp:positionV>
            <wp:extent cx="137160" cy="114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-336550</wp:posOffset>
            </wp:positionV>
            <wp:extent cx="137160" cy="114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-173355</wp:posOffset>
            </wp:positionV>
            <wp:extent cx="137160" cy="114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-173355</wp:posOffset>
            </wp:positionV>
            <wp:extent cx="137160" cy="114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-173355</wp:posOffset>
            </wp:positionV>
            <wp:extent cx="137160" cy="114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7160" cy="1143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620" w:type="dxa"/>
            <w:vAlign w:val="bottom"/>
          </w:tcPr>
          <w:p>
            <w:pPr>
              <w:spacing w:after="0"/>
              <w:rPr>
                <w:sz w:val="18"/>
                <w:szCs w:val="18"/>
                <w:color w:val="auto"/>
              </w:rPr>
            </w:pPr>
          </w:p>
        </w:tc>
        <w:tc>
          <w:tcPr>
            <w:tcW w:w="29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5"/>
                <w:szCs w:val="15"/>
                <w:b w:val="1"/>
                <w:bCs w:val="1"/>
                <w:color w:val="auto"/>
              </w:rPr>
              <w:t>Three Months Ended July 31,</w:t>
            </w:r>
          </w:p>
        </w:tc>
        <w:tc>
          <w:tcPr>
            <w:tcW w:w="5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5"/>
                <w:szCs w:val="15"/>
                <w:b w:val="1"/>
                <w:bCs w:val="1"/>
                <w:color w:val="auto"/>
              </w:rPr>
              <w:t>Nine Months Ended July 31,</w:t>
            </w:r>
          </w:p>
        </w:tc>
        <w:tc>
          <w:tcPr>
            <w:tcW w:w="400" w:type="dxa"/>
            <w:vAlign w:val="bottom"/>
            <w:tcBorders>
              <w:bottom w:val="single" w:sz="8" w:color="auto"/>
            </w:tcBorders>
          </w:tcPr>
          <w:p>
            <w:pPr>
              <w:spacing w:after="0"/>
              <w:rPr>
                <w:sz w:val="18"/>
                <w:szCs w:val="18"/>
                <w:color w:val="auto"/>
              </w:rPr>
            </w:pPr>
          </w:p>
        </w:tc>
      </w:tr>
      <w:tr>
        <w:trPr>
          <w:trHeight w:val="244"/>
        </w:trPr>
        <w:tc>
          <w:tcPr>
            <w:tcW w:w="46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2025</w:t>
            </w:r>
          </w:p>
        </w:tc>
        <w:tc>
          <w:tcPr>
            <w:tcW w:w="64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2024</w:t>
            </w:r>
          </w:p>
        </w:tc>
        <w:tc>
          <w:tcPr>
            <w:tcW w:w="58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5"/>
                <w:szCs w:val="15"/>
                <w:b w:val="1"/>
                <w:bCs w:val="1"/>
                <w:color w:val="auto"/>
              </w:rPr>
              <w:t>2025</w:t>
            </w:r>
          </w:p>
        </w:tc>
        <w:tc>
          <w:tcPr>
            <w:tcW w:w="44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2024</w:t>
            </w:r>
          </w:p>
        </w:tc>
        <w:tc>
          <w:tcPr>
            <w:tcW w:w="400" w:type="dxa"/>
            <w:vAlign w:val="bottom"/>
          </w:tcPr>
          <w:p>
            <w:pPr>
              <w:spacing w:after="0"/>
              <w:rPr>
                <w:sz w:val="21"/>
                <w:szCs w:val="21"/>
                <w:color w:val="auto"/>
              </w:rPr>
            </w:pPr>
          </w:p>
        </w:tc>
      </w:tr>
      <w:tr>
        <w:trPr>
          <w:trHeight w:val="231"/>
        </w:trPr>
        <w:tc>
          <w:tcPr>
            <w:tcW w:w="4620" w:type="dxa"/>
            <w:vAlign w:val="bottom"/>
            <w:shd w:val="clear" w:color="auto" w:fill="DCE2EF"/>
          </w:tcPr>
          <w:p>
            <w:pPr>
              <w:ind w:left="60"/>
              <w:spacing w:after="0"/>
              <w:rPr>
                <w:sz w:val="20"/>
                <w:szCs w:val="20"/>
                <w:color w:val="auto"/>
              </w:rPr>
            </w:pPr>
            <w:r>
              <w:rPr>
                <w:rFonts w:ascii="Arial" w:cs="Arial" w:eastAsia="Arial" w:hAnsi="Arial"/>
                <w:sz w:val="15"/>
                <w:szCs w:val="15"/>
                <w:b w:val="1"/>
                <w:bCs w:val="1"/>
                <w:color w:val="auto"/>
              </w:rPr>
              <w:t>Reconciliation of Net Income to Adjusted EBITDA</w:t>
            </w:r>
          </w:p>
        </w:tc>
        <w:tc>
          <w:tcPr>
            <w:tcW w:w="1020" w:type="dxa"/>
            <w:vAlign w:val="bottom"/>
            <w:tcBorders>
              <w:top w:val="single" w:sz="8" w:color="auto"/>
            </w:tcBorders>
            <w:shd w:val="clear" w:color="auto" w:fill="DCE2EF"/>
          </w:tcPr>
          <w:p>
            <w:pPr>
              <w:spacing w:after="0"/>
              <w:rPr>
                <w:sz w:val="20"/>
                <w:szCs w:val="20"/>
                <w:color w:val="auto"/>
              </w:rPr>
            </w:pPr>
          </w:p>
        </w:tc>
        <w:tc>
          <w:tcPr>
            <w:tcW w:w="640" w:type="dxa"/>
            <w:vAlign w:val="bottom"/>
            <w:tcBorders>
              <w:top w:val="single" w:sz="8" w:color="auto"/>
            </w:tcBorders>
            <w:shd w:val="clear" w:color="auto" w:fill="DCE2EF"/>
          </w:tcPr>
          <w:p>
            <w:pPr>
              <w:spacing w:after="0"/>
              <w:rPr>
                <w:sz w:val="20"/>
                <w:szCs w:val="20"/>
                <w:color w:val="auto"/>
              </w:rPr>
            </w:pPr>
          </w:p>
        </w:tc>
        <w:tc>
          <w:tcPr>
            <w:tcW w:w="220" w:type="dxa"/>
            <w:vAlign w:val="bottom"/>
            <w:shd w:val="clear" w:color="auto" w:fill="DCE2EF"/>
          </w:tcPr>
          <w:p>
            <w:pPr>
              <w:spacing w:after="0"/>
              <w:rPr>
                <w:sz w:val="20"/>
                <w:szCs w:val="20"/>
                <w:color w:val="auto"/>
              </w:rPr>
            </w:pPr>
          </w:p>
        </w:tc>
        <w:tc>
          <w:tcPr>
            <w:tcW w:w="1080" w:type="dxa"/>
            <w:vAlign w:val="bottom"/>
            <w:tcBorders>
              <w:top w:val="single" w:sz="8" w:color="auto"/>
            </w:tcBorders>
            <w:shd w:val="clear" w:color="auto" w:fill="DCE2EF"/>
          </w:tcPr>
          <w:p>
            <w:pPr>
              <w:spacing w:after="0"/>
              <w:rPr>
                <w:sz w:val="20"/>
                <w:szCs w:val="20"/>
                <w:color w:val="auto"/>
              </w:rPr>
            </w:pPr>
          </w:p>
        </w:tc>
        <w:tc>
          <w:tcPr>
            <w:tcW w:w="580" w:type="dxa"/>
            <w:vAlign w:val="bottom"/>
            <w:tcBorders>
              <w:top w:val="single" w:sz="8" w:color="auto"/>
            </w:tcBorders>
            <w:shd w:val="clear" w:color="auto" w:fill="DCE2EF"/>
          </w:tcPr>
          <w:p>
            <w:pPr>
              <w:spacing w:after="0"/>
              <w:rPr>
                <w:sz w:val="20"/>
                <w:szCs w:val="20"/>
                <w:color w:val="auto"/>
              </w:rPr>
            </w:pPr>
          </w:p>
        </w:tc>
        <w:tc>
          <w:tcPr>
            <w:tcW w:w="220" w:type="dxa"/>
            <w:vAlign w:val="bottom"/>
            <w:shd w:val="clear" w:color="auto" w:fill="DCE2EF"/>
          </w:tcPr>
          <w:p>
            <w:pPr>
              <w:spacing w:after="0"/>
              <w:rPr>
                <w:sz w:val="20"/>
                <w:szCs w:val="20"/>
                <w:color w:val="auto"/>
              </w:rPr>
            </w:pPr>
          </w:p>
        </w:tc>
        <w:tc>
          <w:tcPr>
            <w:tcW w:w="880" w:type="dxa"/>
            <w:vAlign w:val="bottom"/>
            <w:tcBorders>
              <w:top w:val="single" w:sz="8" w:color="auto"/>
            </w:tcBorders>
            <w:shd w:val="clear" w:color="auto" w:fill="DCE2EF"/>
          </w:tcPr>
          <w:p>
            <w:pPr>
              <w:spacing w:after="0"/>
              <w:rPr>
                <w:sz w:val="20"/>
                <w:szCs w:val="20"/>
                <w:color w:val="auto"/>
              </w:rPr>
            </w:pPr>
          </w:p>
        </w:tc>
        <w:tc>
          <w:tcPr>
            <w:tcW w:w="440" w:type="dxa"/>
            <w:vAlign w:val="bottom"/>
            <w:tcBorders>
              <w:top w:val="single" w:sz="8" w:color="auto"/>
            </w:tcBorders>
            <w:shd w:val="clear" w:color="auto" w:fill="DCE2EF"/>
          </w:tcPr>
          <w:p>
            <w:pPr>
              <w:spacing w:after="0"/>
              <w:rPr>
                <w:sz w:val="20"/>
                <w:szCs w:val="20"/>
                <w:color w:val="auto"/>
              </w:rPr>
            </w:pPr>
          </w:p>
        </w:tc>
        <w:tc>
          <w:tcPr>
            <w:tcW w:w="220" w:type="dxa"/>
            <w:vAlign w:val="bottom"/>
            <w:shd w:val="clear" w:color="auto" w:fill="DCE2EF"/>
          </w:tcPr>
          <w:p>
            <w:pPr>
              <w:spacing w:after="0"/>
              <w:rPr>
                <w:sz w:val="20"/>
                <w:szCs w:val="20"/>
                <w:color w:val="auto"/>
              </w:rPr>
            </w:pPr>
          </w:p>
        </w:tc>
        <w:tc>
          <w:tcPr>
            <w:tcW w:w="920" w:type="dxa"/>
            <w:vAlign w:val="bottom"/>
            <w:tcBorders>
              <w:top w:val="single" w:sz="8" w:color="auto"/>
            </w:tcBorders>
            <w:shd w:val="clear" w:color="auto" w:fill="DCE2EF"/>
          </w:tcPr>
          <w:p>
            <w:pPr>
              <w:spacing w:after="0"/>
              <w:rPr>
                <w:sz w:val="20"/>
                <w:szCs w:val="20"/>
                <w:color w:val="auto"/>
              </w:rPr>
            </w:pPr>
          </w:p>
        </w:tc>
        <w:tc>
          <w:tcPr>
            <w:tcW w:w="400" w:type="dxa"/>
            <w:vAlign w:val="bottom"/>
            <w:tcBorders>
              <w:top w:val="single" w:sz="8" w:color="auto"/>
            </w:tcBorders>
            <w:shd w:val="clear" w:color="auto" w:fill="DCE2EF"/>
          </w:tcPr>
          <w:p>
            <w:pPr>
              <w:spacing w:after="0"/>
              <w:rPr>
                <w:sz w:val="20"/>
                <w:szCs w:val="20"/>
                <w:color w:val="auto"/>
              </w:rPr>
            </w:pPr>
          </w:p>
        </w:tc>
      </w:tr>
      <w:tr>
        <w:trPr>
          <w:trHeight w:val="160"/>
        </w:trPr>
        <w:tc>
          <w:tcPr>
            <w:tcW w:w="4620" w:type="dxa"/>
            <w:vAlign w:val="bottom"/>
            <w:shd w:val="clear" w:color="auto" w:fill="DCE2EF"/>
          </w:tcPr>
          <w:p>
            <w:pPr>
              <w:spacing w:after="0"/>
              <w:rPr>
                <w:sz w:val="13"/>
                <w:szCs w:val="13"/>
                <w:color w:val="auto"/>
              </w:rPr>
            </w:pPr>
          </w:p>
        </w:tc>
        <w:tc>
          <w:tcPr>
            <w:tcW w:w="1020" w:type="dxa"/>
            <w:vAlign w:val="bottom"/>
            <w:shd w:val="clear" w:color="auto" w:fill="DCE2EF"/>
          </w:tcPr>
          <w:p>
            <w:pPr>
              <w:spacing w:after="0"/>
              <w:rPr>
                <w:sz w:val="13"/>
                <w:szCs w:val="13"/>
                <w:color w:val="auto"/>
              </w:rPr>
            </w:pPr>
          </w:p>
        </w:tc>
        <w:tc>
          <w:tcPr>
            <w:tcW w:w="640" w:type="dxa"/>
            <w:vAlign w:val="bottom"/>
            <w:shd w:val="clear" w:color="auto" w:fill="DCE2EF"/>
          </w:tcPr>
          <w:p>
            <w:pPr>
              <w:spacing w:after="0"/>
              <w:rPr>
                <w:sz w:val="13"/>
                <w:szCs w:val="13"/>
                <w:color w:val="auto"/>
              </w:rPr>
            </w:pPr>
          </w:p>
        </w:tc>
        <w:tc>
          <w:tcPr>
            <w:tcW w:w="220" w:type="dxa"/>
            <w:vAlign w:val="bottom"/>
            <w:shd w:val="clear" w:color="auto" w:fill="DCE2EF"/>
          </w:tcPr>
          <w:p>
            <w:pPr>
              <w:spacing w:after="0"/>
              <w:rPr>
                <w:sz w:val="13"/>
                <w:szCs w:val="13"/>
                <w:color w:val="auto"/>
              </w:rPr>
            </w:pPr>
          </w:p>
        </w:tc>
        <w:tc>
          <w:tcPr>
            <w:tcW w:w="1080" w:type="dxa"/>
            <w:vAlign w:val="bottom"/>
            <w:shd w:val="clear" w:color="auto" w:fill="DCE2EF"/>
          </w:tcPr>
          <w:p>
            <w:pPr>
              <w:spacing w:after="0"/>
              <w:rPr>
                <w:sz w:val="13"/>
                <w:szCs w:val="13"/>
                <w:color w:val="auto"/>
              </w:rPr>
            </w:pPr>
          </w:p>
        </w:tc>
        <w:tc>
          <w:tcPr>
            <w:tcW w:w="580" w:type="dxa"/>
            <w:vAlign w:val="bottom"/>
            <w:shd w:val="clear" w:color="auto" w:fill="DCE2EF"/>
          </w:tcPr>
          <w:p>
            <w:pPr>
              <w:spacing w:after="0"/>
              <w:rPr>
                <w:sz w:val="13"/>
                <w:szCs w:val="13"/>
                <w:color w:val="auto"/>
              </w:rPr>
            </w:pPr>
          </w:p>
        </w:tc>
        <w:tc>
          <w:tcPr>
            <w:tcW w:w="220" w:type="dxa"/>
            <w:vAlign w:val="bottom"/>
            <w:shd w:val="clear" w:color="auto" w:fill="DCE2EF"/>
          </w:tcPr>
          <w:p>
            <w:pPr>
              <w:spacing w:after="0"/>
              <w:rPr>
                <w:sz w:val="13"/>
                <w:szCs w:val="13"/>
                <w:color w:val="auto"/>
              </w:rPr>
            </w:pPr>
          </w:p>
        </w:tc>
        <w:tc>
          <w:tcPr>
            <w:tcW w:w="880" w:type="dxa"/>
            <w:vAlign w:val="bottom"/>
            <w:shd w:val="clear" w:color="auto" w:fill="DCE2EF"/>
          </w:tcPr>
          <w:p>
            <w:pPr>
              <w:spacing w:after="0"/>
              <w:rPr>
                <w:sz w:val="13"/>
                <w:szCs w:val="13"/>
                <w:color w:val="auto"/>
              </w:rPr>
            </w:pPr>
          </w:p>
        </w:tc>
        <w:tc>
          <w:tcPr>
            <w:tcW w:w="440" w:type="dxa"/>
            <w:vAlign w:val="bottom"/>
            <w:shd w:val="clear" w:color="auto" w:fill="DCE2EF"/>
          </w:tcPr>
          <w:p>
            <w:pPr>
              <w:spacing w:after="0"/>
              <w:rPr>
                <w:sz w:val="13"/>
                <w:szCs w:val="13"/>
                <w:color w:val="auto"/>
              </w:rPr>
            </w:pPr>
          </w:p>
        </w:tc>
        <w:tc>
          <w:tcPr>
            <w:tcW w:w="220" w:type="dxa"/>
            <w:vAlign w:val="bottom"/>
            <w:shd w:val="clear" w:color="auto" w:fill="DCE2EF"/>
          </w:tcPr>
          <w:p>
            <w:pPr>
              <w:spacing w:after="0"/>
              <w:rPr>
                <w:sz w:val="13"/>
                <w:szCs w:val="13"/>
                <w:color w:val="auto"/>
              </w:rPr>
            </w:pPr>
          </w:p>
        </w:tc>
        <w:tc>
          <w:tcPr>
            <w:tcW w:w="920" w:type="dxa"/>
            <w:vAlign w:val="bottom"/>
            <w:shd w:val="clear" w:color="auto" w:fill="DCE2EF"/>
          </w:tcPr>
          <w:p>
            <w:pPr>
              <w:spacing w:after="0"/>
              <w:rPr>
                <w:sz w:val="13"/>
                <w:szCs w:val="13"/>
                <w:color w:val="auto"/>
              </w:rPr>
            </w:pPr>
          </w:p>
        </w:tc>
        <w:tc>
          <w:tcPr>
            <w:tcW w:w="400" w:type="dxa"/>
            <w:vAlign w:val="bottom"/>
            <w:shd w:val="clear" w:color="auto" w:fill="DCE2EF"/>
          </w:tcPr>
          <w:p>
            <w:pPr>
              <w:spacing w:after="0"/>
              <w:rPr>
                <w:sz w:val="13"/>
                <w:szCs w:val="13"/>
                <w:color w:val="auto"/>
              </w:rPr>
            </w:pPr>
          </w:p>
        </w:tc>
      </w:tr>
      <w:tr>
        <w:trPr>
          <w:trHeight w:val="256"/>
        </w:trPr>
        <w:tc>
          <w:tcPr>
            <w:tcW w:w="4620" w:type="dxa"/>
            <w:vAlign w:val="bottom"/>
          </w:tcPr>
          <w:p>
            <w:pPr>
              <w:ind w:left="60"/>
              <w:spacing w:after="0"/>
              <w:rPr>
                <w:sz w:val="20"/>
                <w:szCs w:val="20"/>
                <w:color w:val="auto"/>
              </w:rPr>
            </w:pPr>
            <w:r>
              <w:rPr>
                <w:rFonts w:ascii="Arial" w:cs="Arial" w:eastAsia="Arial" w:hAnsi="Arial"/>
                <w:sz w:val="15"/>
                <w:szCs w:val="15"/>
                <w:b w:val="1"/>
                <w:bCs w:val="1"/>
                <w:color w:val="auto"/>
              </w:rPr>
              <w:t>Net Income</w:t>
            </w:r>
          </w:p>
        </w:tc>
        <w:tc>
          <w:tcPr>
            <w:tcW w:w="10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   41.8</w:t>
            </w: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   4.7</w:t>
            </w:r>
          </w:p>
        </w:tc>
        <w:tc>
          <w:tcPr>
            <w:tcW w:w="1100" w:type="dxa"/>
            <w:vAlign w:val="bottom"/>
            <w:gridSpan w:val="2"/>
          </w:tcPr>
          <w:p>
            <w:pPr>
              <w:jc w:val="right"/>
              <w:ind w:right="104"/>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127.6</w:t>
            </w: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93.1</w:t>
            </w:r>
          </w:p>
        </w:tc>
      </w:tr>
      <w:tr>
        <w:trPr>
          <w:trHeight w:val="257"/>
        </w:trPr>
        <w:tc>
          <w:tcPr>
            <w:tcW w:w="4620" w:type="dxa"/>
            <w:vAlign w:val="bottom"/>
            <w:shd w:val="clear" w:color="auto" w:fill="DCE2EF"/>
          </w:tcPr>
          <w:p>
            <w:pPr>
              <w:ind w:left="100"/>
              <w:spacing w:after="0"/>
              <w:rPr>
                <w:sz w:val="20"/>
                <w:szCs w:val="20"/>
                <w:color w:val="auto"/>
              </w:rPr>
            </w:pPr>
            <w:r>
              <w:rPr>
                <w:rFonts w:ascii="Arial" w:cs="Arial" w:eastAsia="Arial" w:hAnsi="Arial"/>
                <w:sz w:val="15"/>
                <w:szCs w:val="15"/>
                <w:color w:val="auto"/>
              </w:rPr>
              <w:t>Items impacting comparability</w:t>
            </w:r>
          </w:p>
        </w:tc>
        <w:tc>
          <w:tcPr>
            <w:tcW w:w="1020" w:type="dxa"/>
            <w:vAlign w:val="bottom"/>
            <w:shd w:val="clear" w:color="auto" w:fill="DCE2EF"/>
          </w:tcPr>
          <w:p>
            <w:pPr>
              <w:spacing w:after="0"/>
              <w:rPr>
                <w:sz w:val="22"/>
                <w:szCs w:val="22"/>
                <w:color w:val="auto"/>
              </w:rPr>
            </w:pPr>
          </w:p>
        </w:tc>
        <w:tc>
          <w:tcPr>
            <w:tcW w:w="6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13.8</w:t>
            </w:r>
          </w:p>
        </w:tc>
        <w:tc>
          <w:tcPr>
            <w:tcW w:w="220" w:type="dxa"/>
            <w:vAlign w:val="bottom"/>
            <w:shd w:val="clear" w:color="auto" w:fill="DCE2EF"/>
          </w:tcPr>
          <w:p>
            <w:pPr>
              <w:spacing w:after="0"/>
              <w:rPr>
                <w:sz w:val="22"/>
                <w:szCs w:val="22"/>
                <w:color w:val="auto"/>
              </w:rPr>
            </w:pPr>
          </w:p>
        </w:tc>
        <w:tc>
          <w:tcPr>
            <w:tcW w:w="1080" w:type="dxa"/>
            <w:vAlign w:val="bottom"/>
            <w:shd w:val="clear" w:color="auto" w:fill="DCE2EF"/>
          </w:tcPr>
          <w:p>
            <w:pPr>
              <w:spacing w:after="0"/>
              <w:rPr>
                <w:sz w:val="22"/>
                <w:szCs w:val="22"/>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53.9</w:t>
            </w:r>
          </w:p>
        </w:tc>
        <w:tc>
          <w:tcPr>
            <w:tcW w:w="220" w:type="dxa"/>
            <w:vAlign w:val="bottom"/>
            <w:shd w:val="clear" w:color="auto" w:fill="DCE2EF"/>
          </w:tcPr>
          <w:p>
            <w:pPr>
              <w:spacing w:after="0"/>
              <w:rPr>
                <w:sz w:val="22"/>
                <w:szCs w:val="22"/>
                <w:color w:val="auto"/>
              </w:rPr>
            </w:pPr>
          </w:p>
        </w:tc>
        <w:tc>
          <w:tcPr>
            <w:tcW w:w="880" w:type="dxa"/>
            <w:vAlign w:val="bottom"/>
            <w:shd w:val="clear" w:color="auto" w:fill="DCE2EF"/>
          </w:tcPr>
          <w:p>
            <w:pPr>
              <w:spacing w:after="0"/>
              <w:rPr>
                <w:sz w:val="22"/>
                <w:szCs w:val="22"/>
                <w:color w:val="auto"/>
              </w:rPr>
            </w:pPr>
          </w:p>
        </w:tc>
        <w:tc>
          <w:tcPr>
            <w:tcW w:w="4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46.8</w:t>
            </w:r>
          </w:p>
        </w:tc>
        <w:tc>
          <w:tcPr>
            <w:tcW w:w="220" w:type="dxa"/>
            <w:vAlign w:val="bottom"/>
            <w:shd w:val="clear" w:color="auto" w:fill="DCE2EF"/>
          </w:tcPr>
          <w:p>
            <w:pPr>
              <w:spacing w:after="0"/>
              <w:rPr>
                <w:sz w:val="22"/>
                <w:szCs w:val="22"/>
                <w:color w:val="auto"/>
              </w:rPr>
            </w:pPr>
          </w:p>
        </w:tc>
        <w:tc>
          <w:tcPr>
            <w:tcW w:w="920" w:type="dxa"/>
            <w:vAlign w:val="bottom"/>
            <w:shd w:val="clear" w:color="auto" w:fill="DCE2EF"/>
          </w:tcPr>
          <w:p>
            <w:pPr>
              <w:spacing w:after="0"/>
              <w:rPr>
                <w:sz w:val="22"/>
                <w:szCs w:val="22"/>
                <w:color w:val="auto"/>
              </w:rPr>
            </w:pPr>
          </w:p>
        </w:tc>
        <w:tc>
          <w:tcPr>
            <w:tcW w:w="4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75.1</w:t>
            </w:r>
          </w:p>
        </w:tc>
      </w:tr>
      <w:tr>
        <w:trPr>
          <w:trHeight w:val="253"/>
        </w:trPr>
        <w:tc>
          <w:tcPr>
            <w:tcW w:w="4620" w:type="dxa"/>
            <w:vAlign w:val="bottom"/>
          </w:tcPr>
          <w:p>
            <w:pPr>
              <w:ind w:left="100"/>
              <w:spacing w:after="0"/>
              <w:rPr>
                <w:sz w:val="20"/>
                <w:szCs w:val="20"/>
                <w:color w:val="auto"/>
              </w:rPr>
            </w:pPr>
            <w:r>
              <w:rPr>
                <w:rFonts w:ascii="Arial" w:cs="Arial" w:eastAsia="Arial" w:hAnsi="Arial"/>
                <w:sz w:val="15"/>
                <w:szCs w:val="15"/>
                <w:color w:val="auto"/>
              </w:rPr>
              <w:t>Income taxes provision</w:t>
            </w:r>
          </w:p>
        </w:tc>
        <w:tc>
          <w:tcPr>
            <w:tcW w:w="10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17.6</w:t>
            </w: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13.3</w:t>
            </w: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47.0</w:t>
            </w: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41.3</w:t>
            </w:r>
          </w:p>
        </w:tc>
      </w:tr>
      <w:tr>
        <w:trPr>
          <w:trHeight w:val="260"/>
        </w:trPr>
        <w:tc>
          <w:tcPr>
            <w:tcW w:w="4620" w:type="dxa"/>
            <w:vAlign w:val="bottom"/>
            <w:shd w:val="clear" w:color="auto" w:fill="DCE2EF"/>
          </w:tcPr>
          <w:p>
            <w:pPr>
              <w:ind w:left="100"/>
              <w:spacing w:after="0"/>
              <w:rPr>
                <w:sz w:val="20"/>
                <w:szCs w:val="20"/>
                <w:color w:val="auto"/>
              </w:rPr>
            </w:pPr>
            <w:r>
              <w:rPr>
                <w:rFonts w:ascii="Arial" w:cs="Arial" w:eastAsia="Arial" w:hAnsi="Arial"/>
                <w:sz w:val="15"/>
                <w:szCs w:val="15"/>
                <w:color w:val="auto"/>
              </w:rPr>
              <w:t>Interest expense</w:t>
            </w:r>
          </w:p>
        </w:tc>
        <w:tc>
          <w:tcPr>
            <w:tcW w:w="1020" w:type="dxa"/>
            <w:vAlign w:val="bottom"/>
            <w:shd w:val="clear" w:color="auto" w:fill="DCE2EF"/>
          </w:tcPr>
          <w:p>
            <w:pPr>
              <w:spacing w:after="0"/>
              <w:rPr>
                <w:sz w:val="22"/>
                <w:szCs w:val="22"/>
                <w:color w:val="auto"/>
              </w:rPr>
            </w:pPr>
          </w:p>
        </w:tc>
        <w:tc>
          <w:tcPr>
            <w:tcW w:w="6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25.3</w:t>
            </w:r>
          </w:p>
        </w:tc>
        <w:tc>
          <w:tcPr>
            <w:tcW w:w="220" w:type="dxa"/>
            <w:vAlign w:val="bottom"/>
            <w:shd w:val="clear" w:color="auto" w:fill="DCE2EF"/>
          </w:tcPr>
          <w:p>
            <w:pPr>
              <w:spacing w:after="0"/>
              <w:rPr>
                <w:sz w:val="22"/>
                <w:szCs w:val="22"/>
                <w:color w:val="auto"/>
              </w:rPr>
            </w:pPr>
          </w:p>
        </w:tc>
        <w:tc>
          <w:tcPr>
            <w:tcW w:w="1080" w:type="dxa"/>
            <w:vAlign w:val="bottom"/>
            <w:shd w:val="clear" w:color="auto" w:fill="DCE2EF"/>
          </w:tcPr>
          <w:p>
            <w:pPr>
              <w:spacing w:after="0"/>
              <w:rPr>
                <w:sz w:val="22"/>
                <w:szCs w:val="22"/>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21.2</w:t>
            </w:r>
          </w:p>
        </w:tc>
        <w:tc>
          <w:tcPr>
            <w:tcW w:w="220" w:type="dxa"/>
            <w:vAlign w:val="bottom"/>
            <w:shd w:val="clear" w:color="auto" w:fill="DCE2EF"/>
          </w:tcPr>
          <w:p>
            <w:pPr>
              <w:spacing w:after="0"/>
              <w:rPr>
                <w:sz w:val="22"/>
                <w:szCs w:val="22"/>
                <w:color w:val="auto"/>
              </w:rPr>
            </w:pPr>
          </w:p>
        </w:tc>
        <w:tc>
          <w:tcPr>
            <w:tcW w:w="880" w:type="dxa"/>
            <w:vAlign w:val="bottom"/>
            <w:shd w:val="clear" w:color="auto" w:fill="DCE2EF"/>
          </w:tcPr>
          <w:p>
            <w:pPr>
              <w:spacing w:after="0"/>
              <w:rPr>
                <w:sz w:val="22"/>
                <w:szCs w:val="22"/>
                <w:color w:val="auto"/>
              </w:rPr>
            </w:pPr>
          </w:p>
        </w:tc>
        <w:tc>
          <w:tcPr>
            <w:tcW w:w="4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72.1</w:t>
            </w:r>
          </w:p>
        </w:tc>
        <w:tc>
          <w:tcPr>
            <w:tcW w:w="220" w:type="dxa"/>
            <w:vAlign w:val="bottom"/>
            <w:shd w:val="clear" w:color="auto" w:fill="DCE2EF"/>
          </w:tcPr>
          <w:p>
            <w:pPr>
              <w:spacing w:after="0"/>
              <w:rPr>
                <w:sz w:val="22"/>
                <w:szCs w:val="22"/>
                <w:color w:val="auto"/>
              </w:rPr>
            </w:pPr>
          </w:p>
        </w:tc>
        <w:tc>
          <w:tcPr>
            <w:tcW w:w="920" w:type="dxa"/>
            <w:vAlign w:val="bottom"/>
            <w:shd w:val="clear" w:color="auto" w:fill="DCE2EF"/>
          </w:tcPr>
          <w:p>
            <w:pPr>
              <w:spacing w:after="0"/>
              <w:rPr>
                <w:sz w:val="22"/>
                <w:szCs w:val="22"/>
                <w:color w:val="auto"/>
              </w:rPr>
            </w:pPr>
          </w:p>
        </w:tc>
        <w:tc>
          <w:tcPr>
            <w:tcW w:w="4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63.1</w:t>
            </w:r>
          </w:p>
        </w:tc>
      </w:tr>
      <w:tr>
        <w:trPr>
          <w:trHeight w:val="253"/>
        </w:trPr>
        <w:tc>
          <w:tcPr>
            <w:tcW w:w="4620" w:type="dxa"/>
            <w:vAlign w:val="bottom"/>
          </w:tcPr>
          <w:p>
            <w:pPr>
              <w:ind w:left="100"/>
              <w:spacing w:after="0"/>
              <w:rPr>
                <w:sz w:val="20"/>
                <w:szCs w:val="20"/>
                <w:color w:val="auto"/>
              </w:rPr>
            </w:pPr>
            <w:r>
              <w:rPr>
                <w:rFonts w:ascii="Arial" w:cs="Arial" w:eastAsia="Arial" w:hAnsi="Arial"/>
                <w:sz w:val="15"/>
                <w:szCs w:val="15"/>
                <w:color w:val="auto"/>
              </w:rPr>
              <w:t>Depreciation and amortization</w:t>
            </w:r>
          </w:p>
        </w:tc>
        <w:tc>
          <w:tcPr>
            <w:tcW w:w="10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27.4</w:t>
            </w:r>
          </w:p>
        </w:tc>
        <w:tc>
          <w:tcPr>
            <w:tcW w:w="220" w:type="dxa"/>
            <w:vAlign w:val="bottom"/>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26.7</w:t>
            </w:r>
          </w:p>
        </w:tc>
        <w:tc>
          <w:tcPr>
            <w:tcW w:w="220" w:type="dxa"/>
            <w:vAlign w:val="bottom"/>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78.9</w:t>
            </w:r>
          </w:p>
        </w:tc>
        <w:tc>
          <w:tcPr>
            <w:tcW w:w="22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79.5</w:t>
            </w:r>
          </w:p>
        </w:tc>
      </w:tr>
      <w:tr>
        <w:trPr>
          <w:trHeight w:val="280"/>
        </w:trPr>
        <w:tc>
          <w:tcPr>
            <w:tcW w:w="4620" w:type="dxa"/>
            <w:vAlign w:val="bottom"/>
            <w:shd w:val="clear" w:color="auto" w:fill="DCE2EF"/>
          </w:tcPr>
          <w:p>
            <w:pPr>
              <w:ind w:left="60"/>
              <w:spacing w:after="0"/>
              <w:rPr>
                <w:sz w:val="20"/>
                <w:szCs w:val="20"/>
                <w:color w:val="auto"/>
              </w:rPr>
            </w:pPr>
            <w:r>
              <w:rPr>
                <w:rFonts w:ascii="Arial" w:cs="Arial" w:eastAsia="Arial" w:hAnsi="Arial"/>
                <w:sz w:val="15"/>
                <w:szCs w:val="15"/>
                <w:color w:val="auto"/>
              </w:rPr>
              <w:t>Adjusted EBITDA</w:t>
            </w:r>
          </w:p>
        </w:tc>
        <w:tc>
          <w:tcPr>
            <w:tcW w:w="10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125.8</w:t>
            </w:r>
          </w:p>
        </w:tc>
        <w:tc>
          <w:tcPr>
            <w:tcW w:w="1300" w:type="dxa"/>
            <w:vAlign w:val="bottom"/>
            <w:gridSpan w:val="2"/>
            <w:shd w:val="clear" w:color="auto" w:fill="DCE2EF"/>
          </w:tcPr>
          <w:p>
            <w:pPr>
              <w:jc w:val="right"/>
              <w:ind w:right="60"/>
              <w:spacing w:after="0"/>
              <w:rPr>
                <w:sz w:val="20"/>
                <w:szCs w:val="20"/>
                <w:color w:val="auto"/>
              </w:rPr>
            </w:pPr>
            <w:r>
              <w:rPr>
                <w:rFonts w:ascii="Arial" w:cs="Arial" w:eastAsia="Arial" w:hAnsi="Arial"/>
                <w:sz w:val="15"/>
                <w:szCs w:val="15"/>
                <w:color w:val="auto"/>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119.8</w:t>
            </w:r>
          </w:p>
        </w:tc>
        <w:tc>
          <w:tcPr>
            <w:tcW w:w="1100" w:type="dxa"/>
            <w:vAlign w:val="bottom"/>
            <w:gridSpan w:val="2"/>
            <w:shd w:val="clear" w:color="auto" w:fill="DCE2EF"/>
          </w:tcPr>
          <w:p>
            <w:pPr>
              <w:jc w:val="right"/>
              <w:ind w:right="124"/>
              <w:spacing w:after="0"/>
              <w:rPr>
                <w:sz w:val="20"/>
                <w:szCs w:val="20"/>
                <w:color w:val="auto"/>
              </w:rPr>
            </w:pPr>
            <w:r>
              <w:rPr>
                <w:rFonts w:ascii="Arial" w:cs="Arial" w:eastAsia="Arial" w:hAnsi="Arial"/>
                <w:sz w:val="15"/>
                <w:szCs w:val="15"/>
                <w:color w:val="auto"/>
              </w:rPr>
              <w:t>$</w:t>
            </w:r>
          </w:p>
        </w:tc>
        <w:tc>
          <w:tcPr>
            <w:tcW w:w="4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372.4</w:t>
            </w:r>
          </w:p>
        </w:tc>
        <w:tc>
          <w:tcPr>
            <w:tcW w:w="1140" w:type="dxa"/>
            <w:vAlign w:val="bottom"/>
            <w:gridSpan w:val="2"/>
            <w:shd w:val="clear" w:color="auto" w:fill="DCE2EF"/>
          </w:tcPr>
          <w:p>
            <w:pPr>
              <w:jc w:val="right"/>
              <w:ind w:right="260"/>
              <w:spacing w:after="0"/>
              <w:rPr>
                <w:sz w:val="20"/>
                <w:szCs w:val="20"/>
                <w:color w:val="auto"/>
              </w:rPr>
            </w:pPr>
            <w:r>
              <w:rPr>
                <w:rFonts w:ascii="Arial" w:cs="Arial" w:eastAsia="Arial" w:hAnsi="Arial"/>
                <w:sz w:val="15"/>
                <w:szCs w:val="15"/>
                <w:color w:val="auto"/>
              </w:rPr>
              <w:t>$</w:t>
            </w:r>
          </w:p>
        </w:tc>
        <w:tc>
          <w:tcPr>
            <w:tcW w:w="400" w:type="dxa"/>
            <w:vAlign w:val="bottom"/>
            <w:shd w:val="clear" w:color="auto" w:fill="DCE2EF"/>
          </w:tcPr>
          <w:p>
            <w:pPr>
              <w:jc w:val="right"/>
              <w:spacing w:after="0"/>
              <w:rPr>
                <w:sz w:val="20"/>
                <w:szCs w:val="20"/>
                <w:color w:val="auto"/>
              </w:rPr>
            </w:pPr>
            <w:r>
              <w:rPr>
                <w:rFonts w:ascii="Arial" w:cs="Arial" w:eastAsia="Arial" w:hAnsi="Arial"/>
                <w:sz w:val="15"/>
                <w:szCs w:val="15"/>
                <w:color w:val="auto"/>
                <w:w w:val="95"/>
              </w:rPr>
              <w:t>352.1</w:t>
            </w:r>
          </w:p>
        </w:tc>
      </w:tr>
      <w:tr>
        <w:trPr>
          <w:trHeight w:val="495"/>
        </w:trPr>
        <w:tc>
          <w:tcPr>
            <w:tcW w:w="4620" w:type="dxa"/>
            <w:vAlign w:val="bottom"/>
            <w:tcBorders>
              <w:top w:val="single" w:sz="8" w:color="DCE2EF"/>
            </w:tcBorders>
          </w:tcPr>
          <w:p>
            <w:pPr>
              <w:ind w:left="60"/>
              <w:spacing w:after="0"/>
              <w:rPr>
                <w:sz w:val="20"/>
                <w:szCs w:val="20"/>
                <w:color w:val="auto"/>
              </w:rPr>
            </w:pPr>
            <w:r>
              <w:rPr>
                <w:rFonts w:ascii="Arial" w:cs="Arial" w:eastAsia="Arial" w:hAnsi="Arial"/>
                <w:sz w:val="15"/>
                <w:szCs w:val="15"/>
                <w:b w:val="1"/>
                <w:bCs w:val="1"/>
                <w:color w:val="auto"/>
              </w:rPr>
              <w:t>Net Income margin as a % of revenues</w:t>
            </w:r>
          </w:p>
        </w:tc>
        <w:tc>
          <w:tcPr>
            <w:tcW w:w="10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220" w:type="dxa"/>
            <w:vAlign w:val="bottom"/>
            <w:tcBorders>
              <w:top w:val="single" w:sz="8" w:color="DCE2EF"/>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220" w:type="dxa"/>
            <w:vAlign w:val="bottom"/>
            <w:tcBorders>
              <w:top w:val="single" w:sz="8" w:color="DCE2EF"/>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220" w:type="dxa"/>
            <w:vAlign w:val="bottom"/>
            <w:tcBorders>
              <w:top w:val="single" w:sz="8" w:color="DCE2E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-1589405</wp:posOffset>
            </wp:positionV>
            <wp:extent cx="145415" cy="114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45415" cy="1143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-1589405</wp:posOffset>
            </wp:positionV>
            <wp:extent cx="137160" cy="114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-1589405</wp:posOffset>
            </wp:positionV>
            <wp:extent cx="137160" cy="114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-517525</wp:posOffset>
            </wp:positionV>
            <wp:extent cx="145415" cy="114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45415" cy="1143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-517525</wp:posOffset>
            </wp:positionV>
            <wp:extent cx="137160" cy="114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-517525</wp:posOffset>
            </wp:positionV>
            <wp:extent cx="137160" cy="114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-351790</wp:posOffset>
            </wp:positionV>
            <wp:extent cx="1454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-326390</wp:posOffset>
            </wp:positionV>
            <wp:extent cx="14541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-351790</wp:posOffset>
            </wp:positionV>
            <wp:extent cx="1371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-326390</wp:posOffset>
            </wp:positionV>
            <wp:extent cx="13716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-351790</wp:posOffset>
            </wp:positionV>
            <wp:extent cx="1371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-326390</wp:posOffset>
            </wp:positionV>
            <wp:extent cx="13716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480" w:type="dxa"/>
            <w:vAlign w:val="bottom"/>
          </w:tcPr>
          <w:p>
            <w:pPr>
              <w:spacing w:after="0"/>
              <w:rPr>
                <w:sz w:val="18"/>
                <w:szCs w:val="18"/>
                <w:color w:val="auto"/>
              </w:rPr>
            </w:pPr>
          </w:p>
        </w:tc>
        <w:tc>
          <w:tcPr>
            <w:tcW w:w="2960" w:type="dxa"/>
            <w:vAlign w:val="bottom"/>
            <w:tcBorders>
              <w:bottom w:val="single" w:sz="8" w:color="auto"/>
            </w:tcBorders>
            <w:gridSpan w:val="4"/>
          </w:tcPr>
          <w:p>
            <w:pPr>
              <w:ind w:left="720"/>
              <w:spacing w:after="0"/>
              <w:rPr>
                <w:sz w:val="20"/>
                <w:szCs w:val="20"/>
                <w:color w:val="auto"/>
              </w:rPr>
            </w:pPr>
            <w:r>
              <w:rPr>
                <w:rFonts w:ascii="Arial" w:cs="Arial" w:eastAsia="Arial" w:hAnsi="Arial"/>
                <w:sz w:val="15"/>
                <w:szCs w:val="15"/>
                <w:b w:val="1"/>
                <w:bCs w:val="1"/>
                <w:color w:val="auto"/>
              </w:rPr>
              <w:t>Three Months Ended July 31,</w:t>
            </w:r>
          </w:p>
        </w:tc>
        <w:tc>
          <w:tcPr>
            <w:tcW w:w="6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tcBorders>
              <w:bottom w:val="single" w:sz="8" w:color="auto"/>
            </w:tcBorders>
            <w:gridSpan w:val="5"/>
          </w:tcPr>
          <w:p>
            <w:pPr>
              <w:jc w:val="right"/>
              <w:ind w:right="384"/>
              <w:spacing w:after="0"/>
              <w:rPr>
                <w:sz w:val="20"/>
                <w:szCs w:val="20"/>
                <w:color w:val="auto"/>
              </w:rPr>
            </w:pPr>
            <w:r>
              <w:rPr>
                <w:rFonts w:ascii="Arial" w:cs="Arial" w:eastAsia="Arial" w:hAnsi="Arial"/>
                <w:sz w:val="15"/>
                <w:szCs w:val="15"/>
                <w:b w:val="1"/>
                <w:bCs w:val="1"/>
                <w:color w:val="auto"/>
              </w:rPr>
              <w:t>Nine Months Ended July 31,</w:t>
            </w:r>
          </w:p>
        </w:tc>
      </w:tr>
      <w:tr>
        <w:trPr>
          <w:trHeight w:val="231"/>
        </w:trPr>
        <w:tc>
          <w:tcPr>
            <w:tcW w:w="4480" w:type="dxa"/>
            <w:vAlign w:val="bottom"/>
          </w:tcPr>
          <w:p>
            <w:pPr>
              <w:spacing w:after="0"/>
              <w:rPr>
                <w:sz w:val="20"/>
                <w:szCs w:val="20"/>
                <w:color w:val="auto"/>
              </w:rPr>
            </w:pPr>
          </w:p>
        </w:tc>
        <w:tc>
          <w:tcPr>
            <w:tcW w:w="1080" w:type="dxa"/>
            <w:vAlign w:val="bottom"/>
          </w:tcPr>
          <w:p>
            <w:pPr>
              <w:jc w:val="center"/>
              <w:ind w:left="544"/>
              <w:spacing w:after="0"/>
              <w:rPr>
                <w:sz w:val="20"/>
                <w:szCs w:val="20"/>
                <w:color w:val="auto"/>
              </w:rPr>
            </w:pPr>
            <w:r>
              <w:rPr>
                <w:rFonts w:ascii="Arial" w:cs="Arial" w:eastAsia="Arial" w:hAnsi="Arial"/>
                <w:sz w:val="15"/>
                <w:szCs w:val="15"/>
                <w:b w:val="1"/>
                <w:bCs w:val="1"/>
                <w:color w:val="auto"/>
              </w:rPr>
              <w:t>2025</w:t>
            </w:r>
          </w:p>
        </w:tc>
        <w:tc>
          <w:tcPr>
            <w:tcW w:w="600" w:type="dxa"/>
            <w:vAlign w:val="bottom"/>
          </w:tcPr>
          <w:p>
            <w:pPr>
              <w:spacing w:after="0"/>
              <w:rPr>
                <w:sz w:val="20"/>
                <w:szCs w:val="20"/>
                <w:color w:val="auto"/>
              </w:rPr>
            </w:pPr>
          </w:p>
        </w:tc>
        <w:tc>
          <w:tcPr>
            <w:tcW w:w="1280" w:type="dxa"/>
            <w:vAlign w:val="bottom"/>
            <w:gridSpan w:val="2"/>
          </w:tcPr>
          <w:p>
            <w:pPr>
              <w:jc w:val="center"/>
              <w:ind w:left="744"/>
              <w:spacing w:after="0"/>
              <w:rPr>
                <w:sz w:val="20"/>
                <w:szCs w:val="20"/>
                <w:color w:val="auto"/>
              </w:rPr>
            </w:pPr>
            <w:r>
              <w:rPr>
                <w:rFonts w:ascii="Arial" w:cs="Arial" w:eastAsia="Arial" w:hAnsi="Arial"/>
                <w:sz w:val="15"/>
                <w:szCs w:val="15"/>
                <w:b w:val="1"/>
                <w:bCs w:val="1"/>
                <w:color w:val="auto"/>
              </w:rPr>
              <w:t>2024</w:t>
            </w:r>
          </w:p>
        </w:tc>
        <w:tc>
          <w:tcPr>
            <w:tcW w:w="6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5"/>
                <w:szCs w:val="15"/>
                <w:b w:val="1"/>
                <w:bCs w:val="1"/>
                <w:color w:val="auto"/>
              </w:rPr>
              <w:t>2025</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ind w:right="404"/>
              <w:spacing w:after="0"/>
              <w:rPr>
                <w:sz w:val="20"/>
                <w:szCs w:val="20"/>
                <w:color w:val="auto"/>
              </w:rPr>
            </w:pPr>
            <w:r>
              <w:rPr>
                <w:rFonts w:ascii="Arial" w:cs="Arial" w:eastAsia="Arial" w:hAnsi="Arial"/>
                <w:sz w:val="15"/>
                <w:szCs w:val="15"/>
                <w:b w:val="1"/>
                <w:bCs w:val="1"/>
                <w:color w:val="auto"/>
              </w:rPr>
              <w:t>2024</w:t>
            </w:r>
          </w:p>
        </w:tc>
      </w:tr>
      <w:tr>
        <w:trPr>
          <w:trHeight w:val="231"/>
        </w:trPr>
        <w:tc>
          <w:tcPr>
            <w:tcW w:w="4480" w:type="dxa"/>
            <w:vAlign w:val="bottom"/>
            <w:shd w:val="clear" w:color="auto" w:fill="DCE2EF"/>
          </w:tcPr>
          <w:p>
            <w:pPr>
              <w:ind w:left="60"/>
              <w:spacing w:after="0"/>
              <w:rPr>
                <w:sz w:val="20"/>
                <w:szCs w:val="20"/>
                <w:color w:val="auto"/>
              </w:rPr>
            </w:pPr>
            <w:r>
              <w:rPr>
                <w:rFonts w:ascii="Arial" w:cs="Arial" w:eastAsia="Arial" w:hAnsi="Arial"/>
                <w:sz w:val="15"/>
                <w:szCs w:val="15"/>
                <w:b w:val="1"/>
                <w:bCs w:val="1"/>
                <w:color w:val="auto"/>
              </w:rPr>
              <w:t>Revenues Excluding Management Reimbursement</w:t>
            </w:r>
          </w:p>
        </w:tc>
        <w:tc>
          <w:tcPr>
            <w:tcW w:w="1080" w:type="dxa"/>
            <w:vAlign w:val="bottom"/>
            <w:tcBorders>
              <w:top w:val="single" w:sz="8" w:color="auto"/>
            </w:tcBorders>
            <w:shd w:val="clear" w:color="auto" w:fill="DCE2EF"/>
          </w:tcPr>
          <w:p>
            <w:pPr>
              <w:spacing w:after="0"/>
              <w:rPr>
                <w:sz w:val="20"/>
                <w:szCs w:val="20"/>
                <w:color w:val="auto"/>
              </w:rPr>
            </w:pPr>
          </w:p>
        </w:tc>
        <w:tc>
          <w:tcPr>
            <w:tcW w:w="600" w:type="dxa"/>
            <w:vAlign w:val="bottom"/>
            <w:tcBorders>
              <w:top w:val="single" w:sz="8" w:color="auto"/>
            </w:tcBorders>
            <w:shd w:val="clear" w:color="auto" w:fill="DCE2EF"/>
          </w:tcPr>
          <w:p>
            <w:pPr>
              <w:spacing w:after="0"/>
              <w:rPr>
                <w:sz w:val="20"/>
                <w:szCs w:val="20"/>
                <w:color w:val="auto"/>
              </w:rPr>
            </w:pPr>
          </w:p>
        </w:tc>
        <w:tc>
          <w:tcPr>
            <w:tcW w:w="220" w:type="dxa"/>
            <w:vAlign w:val="bottom"/>
            <w:shd w:val="clear" w:color="auto" w:fill="DCE2EF"/>
          </w:tcPr>
          <w:p>
            <w:pPr>
              <w:spacing w:after="0"/>
              <w:rPr>
                <w:sz w:val="20"/>
                <w:szCs w:val="20"/>
                <w:color w:val="auto"/>
              </w:rPr>
            </w:pPr>
          </w:p>
        </w:tc>
        <w:tc>
          <w:tcPr>
            <w:tcW w:w="1060" w:type="dxa"/>
            <w:vAlign w:val="bottom"/>
            <w:tcBorders>
              <w:top w:val="single" w:sz="8" w:color="auto"/>
            </w:tcBorders>
            <w:shd w:val="clear" w:color="auto" w:fill="DCE2EF"/>
          </w:tcPr>
          <w:p>
            <w:pPr>
              <w:spacing w:after="0"/>
              <w:rPr>
                <w:sz w:val="20"/>
                <w:szCs w:val="20"/>
                <w:color w:val="auto"/>
              </w:rPr>
            </w:pPr>
          </w:p>
        </w:tc>
        <w:tc>
          <w:tcPr>
            <w:tcW w:w="600" w:type="dxa"/>
            <w:vAlign w:val="bottom"/>
            <w:tcBorders>
              <w:top w:val="single" w:sz="8" w:color="auto"/>
            </w:tcBorders>
            <w:shd w:val="clear" w:color="auto" w:fill="DCE2EF"/>
          </w:tcPr>
          <w:p>
            <w:pPr>
              <w:spacing w:after="0"/>
              <w:rPr>
                <w:sz w:val="20"/>
                <w:szCs w:val="20"/>
                <w:color w:val="auto"/>
              </w:rPr>
            </w:pPr>
          </w:p>
        </w:tc>
        <w:tc>
          <w:tcPr>
            <w:tcW w:w="220" w:type="dxa"/>
            <w:vAlign w:val="bottom"/>
            <w:shd w:val="clear" w:color="auto" w:fill="DCE2EF"/>
          </w:tcPr>
          <w:p>
            <w:pPr>
              <w:spacing w:after="0"/>
              <w:rPr>
                <w:sz w:val="20"/>
                <w:szCs w:val="20"/>
                <w:color w:val="auto"/>
              </w:rPr>
            </w:pPr>
          </w:p>
        </w:tc>
        <w:tc>
          <w:tcPr>
            <w:tcW w:w="920" w:type="dxa"/>
            <w:vAlign w:val="bottom"/>
            <w:tcBorders>
              <w:top w:val="single" w:sz="8" w:color="auto"/>
            </w:tcBorders>
            <w:shd w:val="clear" w:color="auto" w:fill="DCE2EF"/>
          </w:tcPr>
          <w:p>
            <w:pPr>
              <w:spacing w:after="0"/>
              <w:rPr>
                <w:sz w:val="20"/>
                <w:szCs w:val="20"/>
                <w:color w:val="auto"/>
              </w:rPr>
            </w:pPr>
          </w:p>
        </w:tc>
        <w:tc>
          <w:tcPr>
            <w:tcW w:w="540" w:type="dxa"/>
            <w:vAlign w:val="bottom"/>
            <w:tcBorders>
              <w:top w:val="single" w:sz="8" w:color="auto"/>
            </w:tcBorders>
            <w:shd w:val="clear" w:color="auto" w:fill="DCE2EF"/>
          </w:tcPr>
          <w:p>
            <w:pPr>
              <w:spacing w:after="0"/>
              <w:rPr>
                <w:sz w:val="20"/>
                <w:szCs w:val="20"/>
                <w:color w:val="auto"/>
              </w:rPr>
            </w:pPr>
          </w:p>
        </w:tc>
        <w:tc>
          <w:tcPr>
            <w:tcW w:w="220" w:type="dxa"/>
            <w:vAlign w:val="bottom"/>
            <w:shd w:val="clear" w:color="auto" w:fill="DCE2EF"/>
          </w:tcPr>
          <w:p>
            <w:pPr>
              <w:spacing w:after="0"/>
              <w:rPr>
                <w:sz w:val="20"/>
                <w:szCs w:val="20"/>
                <w:color w:val="auto"/>
              </w:rPr>
            </w:pPr>
          </w:p>
        </w:tc>
        <w:tc>
          <w:tcPr>
            <w:tcW w:w="420" w:type="dxa"/>
            <w:vAlign w:val="bottom"/>
            <w:tcBorders>
              <w:top w:val="single" w:sz="8" w:color="auto"/>
            </w:tcBorders>
            <w:shd w:val="clear" w:color="auto" w:fill="DCE2EF"/>
          </w:tcPr>
          <w:p>
            <w:pPr>
              <w:spacing w:after="0"/>
              <w:rPr>
                <w:sz w:val="20"/>
                <w:szCs w:val="20"/>
                <w:color w:val="auto"/>
              </w:rPr>
            </w:pPr>
          </w:p>
        </w:tc>
        <w:tc>
          <w:tcPr>
            <w:tcW w:w="880" w:type="dxa"/>
            <w:vAlign w:val="bottom"/>
            <w:tcBorders>
              <w:top w:val="single" w:sz="8" w:color="auto"/>
            </w:tcBorders>
            <w:shd w:val="clear" w:color="auto" w:fill="DCE2EF"/>
          </w:tcPr>
          <w:p>
            <w:pPr>
              <w:spacing w:after="0"/>
              <w:rPr>
                <w:sz w:val="20"/>
                <w:szCs w:val="20"/>
                <w:color w:val="auto"/>
              </w:rPr>
            </w:pPr>
          </w:p>
        </w:tc>
      </w:tr>
      <w:tr>
        <w:trPr>
          <w:trHeight w:val="147"/>
        </w:trPr>
        <w:tc>
          <w:tcPr>
            <w:tcW w:w="4480" w:type="dxa"/>
            <w:vAlign w:val="bottom"/>
            <w:shd w:val="clear" w:color="auto" w:fill="DCE2EF"/>
          </w:tcPr>
          <w:p>
            <w:pPr>
              <w:spacing w:after="0"/>
              <w:rPr>
                <w:sz w:val="12"/>
                <w:szCs w:val="12"/>
                <w:color w:val="auto"/>
              </w:rPr>
            </w:pPr>
          </w:p>
        </w:tc>
        <w:tc>
          <w:tcPr>
            <w:tcW w:w="1080" w:type="dxa"/>
            <w:vAlign w:val="bottom"/>
            <w:shd w:val="clear" w:color="auto" w:fill="DCE2EF"/>
          </w:tcPr>
          <w:p>
            <w:pPr>
              <w:spacing w:after="0"/>
              <w:rPr>
                <w:sz w:val="12"/>
                <w:szCs w:val="12"/>
                <w:color w:val="auto"/>
              </w:rPr>
            </w:pPr>
          </w:p>
        </w:tc>
        <w:tc>
          <w:tcPr>
            <w:tcW w:w="600" w:type="dxa"/>
            <w:vAlign w:val="bottom"/>
            <w:shd w:val="clear" w:color="auto" w:fill="DCE2EF"/>
          </w:tcPr>
          <w:p>
            <w:pPr>
              <w:spacing w:after="0"/>
              <w:rPr>
                <w:sz w:val="12"/>
                <w:szCs w:val="12"/>
                <w:color w:val="auto"/>
              </w:rPr>
            </w:pPr>
          </w:p>
        </w:tc>
        <w:tc>
          <w:tcPr>
            <w:tcW w:w="220" w:type="dxa"/>
            <w:vAlign w:val="bottom"/>
            <w:shd w:val="clear" w:color="auto" w:fill="DCE2EF"/>
          </w:tcPr>
          <w:p>
            <w:pPr>
              <w:spacing w:after="0"/>
              <w:rPr>
                <w:sz w:val="12"/>
                <w:szCs w:val="12"/>
                <w:color w:val="auto"/>
              </w:rPr>
            </w:pPr>
          </w:p>
        </w:tc>
        <w:tc>
          <w:tcPr>
            <w:tcW w:w="1060" w:type="dxa"/>
            <w:vAlign w:val="bottom"/>
            <w:shd w:val="clear" w:color="auto" w:fill="DCE2EF"/>
          </w:tcPr>
          <w:p>
            <w:pPr>
              <w:spacing w:after="0"/>
              <w:rPr>
                <w:sz w:val="12"/>
                <w:szCs w:val="12"/>
                <w:color w:val="auto"/>
              </w:rPr>
            </w:pPr>
          </w:p>
        </w:tc>
        <w:tc>
          <w:tcPr>
            <w:tcW w:w="600" w:type="dxa"/>
            <w:vAlign w:val="bottom"/>
            <w:shd w:val="clear" w:color="auto" w:fill="DCE2EF"/>
          </w:tcPr>
          <w:p>
            <w:pPr>
              <w:spacing w:after="0"/>
              <w:rPr>
                <w:sz w:val="12"/>
                <w:szCs w:val="12"/>
                <w:color w:val="auto"/>
              </w:rPr>
            </w:pPr>
          </w:p>
        </w:tc>
        <w:tc>
          <w:tcPr>
            <w:tcW w:w="220" w:type="dxa"/>
            <w:vAlign w:val="bottom"/>
            <w:shd w:val="clear" w:color="auto" w:fill="DCE2EF"/>
          </w:tcPr>
          <w:p>
            <w:pPr>
              <w:spacing w:after="0"/>
              <w:rPr>
                <w:sz w:val="12"/>
                <w:szCs w:val="12"/>
                <w:color w:val="auto"/>
              </w:rPr>
            </w:pPr>
          </w:p>
        </w:tc>
        <w:tc>
          <w:tcPr>
            <w:tcW w:w="920" w:type="dxa"/>
            <w:vAlign w:val="bottom"/>
            <w:shd w:val="clear" w:color="auto" w:fill="DCE2EF"/>
          </w:tcPr>
          <w:p>
            <w:pPr>
              <w:spacing w:after="0"/>
              <w:rPr>
                <w:sz w:val="12"/>
                <w:szCs w:val="12"/>
                <w:color w:val="auto"/>
              </w:rPr>
            </w:pPr>
          </w:p>
        </w:tc>
        <w:tc>
          <w:tcPr>
            <w:tcW w:w="540" w:type="dxa"/>
            <w:vAlign w:val="bottom"/>
            <w:shd w:val="clear" w:color="auto" w:fill="DCE2EF"/>
          </w:tcPr>
          <w:p>
            <w:pPr>
              <w:spacing w:after="0"/>
              <w:rPr>
                <w:sz w:val="12"/>
                <w:szCs w:val="12"/>
                <w:color w:val="auto"/>
              </w:rPr>
            </w:pPr>
          </w:p>
        </w:tc>
        <w:tc>
          <w:tcPr>
            <w:tcW w:w="220" w:type="dxa"/>
            <w:vAlign w:val="bottom"/>
            <w:shd w:val="clear" w:color="auto" w:fill="DCE2EF"/>
          </w:tcPr>
          <w:p>
            <w:pPr>
              <w:spacing w:after="0"/>
              <w:rPr>
                <w:sz w:val="12"/>
                <w:szCs w:val="12"/>
                <w:color w:val="auto"/>
              </w:rPr>
            </w:pPr>
          </w:p>
        </w:tc>
        <w:tc>
          <w:tcPr>
            <w:tcW w:w="420" w:type="dxa"/>
            <w:vAlign w:val="bottom"/>
            <w:shd w:val="clear" w:color="auto" w:fill="DCE2EF"/>
          </w:tcPr>
          <w:p>
            <w:pPr>
              <w:spacing w:after="0"/>
              <w:rPr>
                <w:sz w:val="12"/>
                <w:szCs w:val="12"/>
                <w:color w:val="auto"/>
              </w:rPr>
            </w:pPr>
          </w:p>
        </w:tc>
        <w:tc>
          <w:tcPr>
            <w:tcW w:w="880" w:type="dxa"/>
            <w:vAlign w:val="bottom"/>
            <w:shd w:val="clear" w:color="auto" w:fill="DCE2EF"/>
          </w:tcPr>
          <w:p>
            <w:pPr>
              <w:spacing w:after="0"/>
              <w:rPr>
                <w:sz w:val="12"/>
                <w:szCs w:val="12"/>
                <w:color w:val="auto"/>
              </w:rPr>
            </w:pPr>
          </w:p>
        </w:tc>
      </w:tr>
      <w:tr>
        <w:trPr>
          <w:trHeight w:val="254"/>
        </w:trPr>
        <w:tc>
          <w:tcPr>
            <w:tcW w:w="4480" w:type="dxa"/>
            <w:vAlign w:val="bottom"/>
          </w:tcPr>
          <w:p>
            <w:pPr>
              <w:ind w:left="60"/>
              <w:spacing w:after="0"/>
              <w:rPr>
                <w:sz w:val="20"/>
                <w:szCs w:val="20"/>
                <w:color w:val="auto"/>
              </w:rPr>
            </w:pPr>
            <w:r>
              <w:rPr>
                <w:rFonts w:ascii="Arial" w:cs="Arial" w:eastAsia="Arial" w:hAnsi="Arial"/>
                <w:sz w:val="15"/>
                <w:szCs w:val="15"/>
                <w:color w:val="auto"/>
              </w:rPr>
              <w:t>Revenue</w:t>
            </w:r>
          </w:p>
        </w:tc>
        <w:tc>
          <w:tcPr>
            <w:tcW w:w="1080" w:type="dxa"/>
            <w:vAlign w:val="bottom"/>
          </w:tcPr>
          <w:p>
            <w:pPr>
              <w:jc w:val="center"/>
              <w:ind w:left="544"/>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2,224.0</w:t>
            </w:r>
          </w:p>
        </w:tc>
        <w:tc>
          <w:tcPr>
            <w:tcW w:w="1280" w:type="dxa"/>
            <w:vAlign w:val="bottom"/>
            <w:gridSpan w:val="2"/>
          </w:tcPr>
          <w:p>
            <w:pPr>
              <w:jc w:val="center"/>
              <w:ind w:left="764"/>
              <w:spacing w:after="0"/>
              <w:rPr>
                <w:sz w:val="20"/>
                <w:szCs w:val="20"/>
                <w:color w:val="auto"/>
              </w:rPr>
            </w:pPr>
            <w:r>
              <w:rPr>
                <w:rFonts w:ascii="Arial" w:cs="Arial" w:eastAsia="Arial" w:hAnsi="Arial"/>
                <w:sz w:val="15"/>
                <w:szCs w:val="15"/>
                <w:color w:val="auto"/>
                <w:w w:val="95"/>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2,094.2</w:t>
            </w:r>
          </w:p>
        </w:tc>
        <w:tc>
          <w:tcPr>
            <w:tcW w:w="1140" w:type="dxa"/>
            <w:vAlign w:val="bottom"/>
            <w:gridSpan w:val="2"/>
          </w:tcPr>
          <w:p>
            <w:pPr>
              <w:jc w:val="right"/>
              <w:ind w:right="164"/>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w w:val="99"/>
              </w:rPr>
              <w:t>6,450.5</w:t>
            </w: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6,182.0</w:t>
            </w:r>
          </w:p>
        </w:tc>
      </w:tr>
      <w:tr>
        <w:trPr>
          <w:trHeight w:val="256"/>
        </w:trPr>
        <w:tc>
          <w:tcPr>
            <w:tcW w:w="4480" w:type="dxa"/>
            <w:vAlign w:val="bottom"/>
            <w:tcBorders>
              <w:bottom w:val="single" w:sz="8" w:color="DCE2EF"/>
            </w:tcBorders>
            <w:shd w:val="clear" w:color="auto" w:fill="DCE2EF"/>
          </w:tcPr>
          <w:p>
            <w:pPr>
              <w:ind w:left="100"/>
              <w:spacing w:after="0"/>
              <w:rPr>
                <w:sz w:val="20"/>
                <w:szCs w:val="20"/>
                <w:color w:val="auto"/>
              </w:rPr>
            </w:pPr>
            <w:r>
              <w:rPr>
                <w:rFonts w:ascii="Arial" w:cs="Arial" w:eastAsia="Arial" w:hAnsi="Arial"/>
                <w:sz w:val="15"/>
                <w:szCs w:val="15"/>
                <w:color w:val="auto"/>
              </w:rPr>
              <w:t>Management Reimbursement</w:t>
            </w:r>
          </w:p>
        </w:tc>
        <w:tc>
          <w:tcPr>
            <w:tcW w:w="1080" w:type="dxa"/>
            <w:vAlign w:val="bottom"/>
            <w:tcBorders>
              <w:bottom w:val="single" w:sz="8" w:color="auto"/>
            </w:tcBorders>
            <w:shd w:val="clear" w:color="auto" w:fill="DCE2EF"/>
          </w:tcPr>
          <w:p>
            <w:pPr>
              <w:spacing w:after="0"/>
              <w:rPr>
                <w:sz w:val="22"/>
                <w:szCs w:val="22"/>
                <w:color w:val="auto"/>
              </w:rPr>
            </w:pPr>
          </w:p>
        </w:tc>
        <w:tc>
          <w:tcPr>
            <w:tcW w:w="6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(88.7)</w:t>
            </w:r>
          </w:p>
        </w:tc>
        <w:tc>
          <w:tcPr>
            <w:tcW w:w="220" w:type="dxa"/>
            <w:vAlign w:val="bottom"/>
            <w:tcBorders>
              <w:bottom w:val="single" w:sz="8" w:color="DCE2EF"/>
            </w:tcBorders>
            <w:shd w:val="clear" w:color="auto" w:fill="DCE2EF"/>
          </w:tcPr>
          <w:p>
            <w:pPr>
              <w:spacing w:after="0"/>
              <w:rPr>
                <w:sz w:val="22"/>
                <w:szCs w:val="22"/>
                <w:color w:val="auto"/>
              </w:rPr>
            </w:pPr>
          </w:p>
        </w:tc>
        <w:tc>
          <w:tcPr>
            <w:tcW w:w="1060" w:type="dxa"/>
            <w:vAlign w:val="bottom"/>
            <w:tcBorders>
              <w:bottom w:val="single" w:sz="8" w:color="auto"/>
            </w:tcBorders>
            <w:shd w:val="clear" w:color="auto" w:fill="DCE2EF"/>
          </w:tcPr>
          <w:p>
            <w:pPr>
              <w:spacing w:after="0"/>
              <w:rPr>
                <w:sz w:val="22"/>
                <w:szCs w:val="22"/>
                <w:color w:val="auto"/>
              </w:rPr>
            </w:pPr>
          </w:p>
        </w:tc>
        <w:tc>
          <w:tcPr>
            <w:tcW w:w="6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(79.6)</w:t>
            </w:r>
          </w:p>
        </w:tc>
        <w:tc>
          <w:tcPr>
            <w:tcW w:w="220" w:type="dxa"/>
            <w:vAlign w:val="bottom"/>
            <w:tcBorders>
              <w:bottom w:val="single" w:sz="8" w:color="DCE2EF"/>
            </w:tcBorders>
            <w:shd w:val="clear" w:color="auto" w:fill="DCE2EF"/>
          </w:tcPr>
          <w:p>
            <w:pPr>
              <w:spacing w:after="0"/>
              <w:rPr>
                <w:sz w:val="22"/>
                <w:szCs w:val="22"/>
                <w:color w:val="auto"/>
              </w:rPr>
            </w:pPr>
          </w:p>
        </w:tc>
        <w:tc>
          <w:tcPr>
            <w:tcW w:w="920" w:type="dxa"/>
            <w:vAlign w:val="bottom"/>
            <w:tcBorders>
              <w:bottom w:val="single" w:sz="8" w:color="auto"/>
            </w:tcBorders>
            <w:shd w:val="clear" w:color="auto" w:fill="DCE2EF"/>
          </w:tcPr>
          <w:p>
            <w:pPr>
              <w:spacing w:after="0"/>
              <w:rPr>
                <w:sz w:val="22"/>
                <w:szCs w:val="22"/>
                <w:color w:val="auto"/>
              </w:rPr>
            </w:pPr>
          </w:p>
        </w:tc>
        <w:tc>
          <w:tcPr>
            <w:tcW w:w="5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(255.2)</w:t>
            </w:r>
          </w:p>
        </w:tc>
        <w:tc>
          <w:tcPr>
            <w:tcW w:w="220" w:type="dxa"/>
            <w:vAlign w:val="bottom"/>
            <w:tcBorders>
              <w:bottom w:val="single" w:sz="8" w:color="DCE2EF"/>
            </w:tcBorders>
            <w:shd w:val="clear" w:color="auto" w:fill="DCE2EF"/>
          </w:tcPr>
          <w:p>
            <w:pPr>
              <w:spacing w:after="0"/>
              <w:rPr>
                <w:sz w:val="22"/>
                <w:szCs w:val="22"/>
                <w:color w:val="auto"/>
              </w:rPr>
            </w:pPr>
          </w:p>
        </w:tc>
        <w:tc>
          <w:tcPr>
            <w:tcW w:w="420" w:type="dxa"/>
            <w:vAlign w:val="bottom"/>
            <w:tcBorders>
              <w:bottom w:val="single" w:sz="8" w:color="auto"/>
            </w:tcBorders>
            <w:shd w:val="clear" w:color="auto" w:fill="DCE2EF"/>
          </w:tcPr>
          <w:p>
            <w:pPr>
              <w:spacing w:after="0"/>
              <w:rPr>
                <w:sz w:val="22"/>
                <w:szCs w:val="22"/>
                <w:color w:val="auto"/>
              </w:rPr>
            </w:pPr>
          </w:p>
        </w:tc>
        <w:tc>
          <w:tcPr>
            <w:tcW w:w="8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(236.6)</w:t>
            </w:r>
          </w:p>
        </w:tc>
      </w:tr>
      <w:tr>
        <w:trPr>
          <w:trHeight w:val="240"/>
        </w:trPr>
        <w:tc>
          <w:tcPr>
            <w:tcW w:w="4480" w:type="dxa"/>
            <w:vAlign w:val="bottom"/>
          </w:tcPr>
          <w:p>
            <w:pPr>
              <w:ind w:left="60"/>
              <w:spacing w:after="0"/>
              <w:rPr>
                <w:sz w:val="20"/>
                <w:szCs w:val="20"/>
                <w:color w:val="auto"/>
              </w:rPr>
            </w:pPr>
            <w:r>
              <w:rPr>
                <w:rFonts w:ascii="Arial" w:cs="Arial" w:eastAsia="Arial" w:hAnsi="Arial"/>
                <w:sz w:val="14"/>
                <w:szCs w:val="14"/>
                <w:color w:val="auto"/>
              </w:rPr>
              <w:t>Revenues excluding management reimbursement</w:t>
            </w:r>
          </w:p>
        </w:tc>
        <w:tc>
          <w:tcPr>
            <w:tcW w:w="1080" w:type="dxa"/>
            <w:vAlign w:val="bottom"/>
          </w:tcPr>
          <w:p>
            <w:pPr>
              <w:jc w:val="center"/>
              <w:ind w:left="544"/>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2,135.3</w:t>
            </w:r>
          </w:p>
        </w:tc>
        <w:tc>
          <w:tcPr>
            <w:tcW w:w="1280" w:type="dxa"/>
            <w:vAlign w:val="bottom"/>
            <w:gridSpan w:val="2"/>
          </w:tcPr>
          <w:p>
            <w:pPr>
              <w:jc w:val="center"/>
              <w:ind w:left="764"/>
              <w:spacing w:after="0"/>
              <w:rPr>
                <w:sz w:val="20"/>
                <w:szCs w:val="20"/>
                <w:color w:val="auto"/>
              </w:rPr>
            </w:pPr>
            <w:r>
              <w:rPr>
                <w:rFonts w:ascii="Arial" w:cs="Arial" w:eastAsia="Arial" w:hAnsi="Arial"/>
                <w:sz w:val="15"/>
                <w:szCs w:val="15"/>
                <w:color w:val="auto"/>
                <w:w w:val="95"/>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2,014.6</w:t>
            </w:r>
          </w:p>
        </w:tc>
        <w:tc>
          <w:tcPr>
            <w:tcW w:w="1140" w:type="dxa"/>
            <w:vAlign w:val="bottom"/>
            <w:gridSpan w:val="2"/>
          </w:tcPr>
          <w:p>
            <w:pPr>
              <w:jc w:val="right"/>
              <w:ind w:right="164"/>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w w:val="99"/>
              </w:rPr>
              <w:t>6,195.4</w:t>
            </w: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5,945.4</w:t>
            </w:r>
          </w:p>
        </w:tc>
      </w:tr>
      <w:tr>
        <w:trPr>
          <w:trHeight w:val="20"/>
        </w:trPr>
        <w:tc>
          <w:tcPr>
            <w:tcW w:w="44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4480" w:type="dxa"/>
            <w:vAlign w:val="bottom"/>
            <w:shd w:val="clear" w:color="auto" w:fill="DCE2EF"/>
          </w:tcPr>
          <w:p>
            <w:pPr>
              <w:spacing w:after="0"/>
              <w:rPr>
                <w:sz w:val="20"/>
                <w:szCs w:val="20"/>
                <w:color w:val="auto"/>
              </w:rPr>
            </w:pPr>
          </w:p>
        </w:tc>
        <w:tc>
          <w:tcPr>
            <w:tcW w:w="1080" w:type="dxa"/>
            <w:vAlign w:val="bottom"/>
            <w:shd w:val="clear" w:color="auto" w:fill="DCE2EF"/>
          </w:tcPr>
          <w:p>
            <w:pPr>
              <w:spacing w:after="0"/>
              <w:rPr>
                <w:sz w:val="20"/>
                <w:szCs w:val="20"/>
                <w:color w:val="auto"/>
              </w:rPr>
            </w:pPr>
          </w:p>
        </w:tc>
        <w:tc>
          <w:tcPr>
            <w:tcW w:w="600" w:type="dxa"/>
            <w:vAlign w:val="bottom"/>
            <w:shd w:val="clear" w:color="auto" w:fill="DCE2EF"/>
          </w:tcPr>
          <w:p>
            <w:pPr>
              <w:spacing w:after="0"/>
              <w:rPr>
                <w:sz w:val="20"/>
                <w:szCs w:val="20"/>
                <w:color w:val="auto"/>
              </w:rPr>
            </w:pPr>
          </w:p>
        </w:tc>
        <w:tc>
          <w:tcPr>
            <w:tcW w:w="220" w:type="dxa"/>
            <w:vAlign w:val="bottom"/>
            <w:shd w:val="clear" w:color="auto" w:fill="DCE2EF"/>
          </w:tcPr>
          <w:p>
            <w:pPr>
              <w:spacing w:after="0"/>
              <w:rPr>
                <w:sz w:val="20"/>
                <w:szCs w:val="20"/>
                <w:color w:val="auto"/>
              </w:rPr>
            </w:pPr>
          </w:p>
        </w:tc>
        <w:tc>
          <w:tcPr>
            <w:tcW w:w="1060" w:type="dxa"/>
            <w:vAlign w:val="bottom"/>
            <w:shd w:val="clear" w:color="auto" w:fill="DCE2EF"/>
          </w:tcPr>
          <w:p>
            <w:pPr>
              <w:spacing w:after="0"/>
              <w:rPr>
                <w:sz w:val="20"/>
                <w:szCs w:val="20"/>
                <w:color w:val="auto"/>
              </w:rPr>
            </w:pPr>
          </w:p>
        </w:tc>
        <w:tc>
          <w:tcPr>
            <w:tcW w:w="600" w:type="dxa"/>
            <w:vAlign w:val="bottom"/>
            <w:shd w:val="clear" w:color="auto" w:fill="DCE2EF"/>
          </w:tcPr>
          <w:p>
            <w:pPr>
              <w:spacing w:after="0"/>
              <w:rPr>
                <w:sz w:val="20"/>
                <w:szCs w:val="20"/>
                <w:color w:val="auto"/>
              </w:rPr>
            </w:pPr>
          </w:p>
        </w:tc>
        <w:tc>
          <w:tcPr>
            <w:tcW w:w="220" w:type="dxa"/>
            <w:vAlign w:val="bottom"/>
            <w:shd w:val="clear" w:color="auto" w:fill="DCE2EF"/>
          </w:tcPr>
          <w:p>
            <w:pPr>
              <w:spacing w:after="0"/>
              <w:rPr>
                <w:sz w:val="20"/>
                <w:szCs w:val="20"/>
                <w:color w:val="auto"/>
              </w:rPr>
            </w:pPr>
          </w:p>
        </w:tc>
        <w:tc>
          <w:tcPr>
            <w:tcW w:w="920" w:type="dxa"/>
            <w:vAlign w:val="bottom"/>
            <w:shd w:val="clear" w:color="auto" w:fill="DCE2EF"/>
          </w:tcPr>
          <w:p>
            <w:pPr>
              <w:spacing w:after="0"/>
              <w:rPr>
                <w:sz w:val="20"/>
                <w:szCs w:val="20"/>
                <w:color w:val="auto"/>
              </w:rPr>
            </w:pPr>
          </w:p>
        </w:tc>
        <w:tc>
          <w:tcPr>
            <w:tcW w:w="540" w:type="dxa"/>
            <w:vAlign w:val="bottom"/>
            <w:shd w:val="clear" w:color="auto" w:fill="DCE2EF"/>
          </w:tcPr>
          <w:p>
            <w:pPr>
              <w:spacing w:after="0"/>
              <w:rPr>
                <w:sz w:val="20"/>
                <w:szCs w:val="20"/>
                <w:color w:val="auto"/>
              </w:rPr>
            </w:pPr>
          </w:p>
        </w:tc>
        <w:tc>
          <w:tcPr>
            <w:tcW w:w="220" w:type="dxa"/>
            <w:vAlign w:val="bottom"/>
            <w:shd w:val="clear" w:color="auto" w:fill="DCE2EF"/>
          </w:tcPr>
          <w:p>
            <w:pPr>
              <w:spacing w:after="0"/>
              <w:rPr>
                <w:sz w:val="20"/>
                <w:szCs w:val="20"/>
                <w:color w:val="auto"/>
              </w:rPr>
            </w:pPr>
          </w:p>
        </w:tc>
        <w:tc>
          <w:tcPr>
            <w:tcW w:w="420" w:type="dxa"/>
            <w:vAlign w:val="bottom"/>
            <w:shd w:val="clear" w:color="auto" w:fill="DCE2EF"/>
          </w:tcPr>
          <w:p>
            <w:pPr>
              <w:spacing w:after="0"/>
              <w:rPr>
                <w:sz w:val="20"/>
                <w:szCs w:val="20"/>
                <w:color w:val="auto"/>
              </w:rPr>
            </w:pPr>
          </w:p>
        </w:tc>
        <w:tc>
          <w:tcPr>
            <w:tcW w:w="880" w:type="dxa"/>
            <w:vAlign w:val="bottom"/>
            <w:shd w:val="clear" w:color="auto" w:fill="DCE2EF"/>
          </w:tcPr>
          <w:p>
            <w:pPr>
              <w:spacing w:after="0"/>
              <w:rPr>
                <w:sz w:val="20"/>
                <w:szCs w:val="20"/>
                <w:color w:val="auto"/>
              </w:rPr>
            </w:pPr>
          </w:p>
        </w:tc>
      </w:tr>
      <w:tr>
        <w:trPr>
          <w:trHeight w:val="210"/>
        </w:trPr>
        <w:tc>
          <w:tcPr>
            <w:tcW w:w="4480" w:type="dxa"/>
            <w:vAlign w:val="bottom"/>
          </w:tcPr>
          <w:p>
            <w:pPr>
              <w:ind w:left="60"/>
              <w:spacing w:after="0"/>
              <w:rPr>
                <w:sz w:val="20"/>
                <w:szCs w:val="20"/>
                <w:color w:val="auto"/>
              </w:rPr>
            </w:pPr>
            <w:r>
              <w:rPr>
                <w:rFonts w:ascii="Arial" w:cs="Arial" w:eastAsia="Arial" w:hAnsi="Arial"/>
                <w:sz w:val="15"/>
                <w:szCs w:val="15"/>
                <w:b w:val="1"/>
                <w:bCs w:val="1"/>
                <w:color w:val="auto"/>
              </w:rPr>
              <w:t>Adjusted EBITDA margin as a % of revenues excluding</w:t>
            </w: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0"/>
        </w:trPr>
        <w:tc>
          <w:tcPr>
            <w:tcW w:w="4480" w:type="dxa"/>
            <w:vAlign w:val="bottom"/>
          </w:tcPr>
          <w:p>
            <w:pPr>
              <w:ind w:left="60"/>
              <w:spacing w:after="0"/>
              <w:rPr>
                <w:sz w:val="20"/>
                <w:szCs w:val="20"/>
                <w:color w:val="auto"/>
              </w:rPr>
            </w:pPr>
            <w:r>
              <w:rPr>
                <w:rFonts w:ascii="Arial" w:cs="Arial" w:eastAsia="Arial" w:hAnsi="Arial"/>
                <w:sz w:val="15"/>
                <w:szCs w:val="15"/>
                <w:b w:val="1"/>
                <w:bCs w:val="1"/>
                <w:color w:val="auto"/>
              </w:rPr>
              <w:t>management reimbursement</w:t>
            </w: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5.9%</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5.9%</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-1195070</wp:posOffset>
            </wp:positionV>
            <wp:extent cx="146050" cy="114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-1195070</wp:posOffset>
            </wp:positionV>
            <wp:extent cx="145415" cy="114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45415" cy="1143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-1195070</wp:posOffset>
            </wp:positionV>
            <wp:extent cx="137160" cy="114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-620395</wp:posOffset>
            </wp:positionV>
            <wp:extent cx="146050" cy="114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-620395</wp:posOffset>
            </wp:positionV>
            <wp:extent cx="145415" cy="114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45415" cy="1143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-620395</wp:posOffset>
            </wp:positionV>
            <wp:extent cx="137160" cy="114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7160" cy="1143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8"/>
        </w:trPr>
        <w:tc>
          <w:tcPr>
            <w:tcW w:w="4460" w:type="dxa"/>
            <w:vAlign w:val="bottom"/>
          </w:tcPr>
          <w:p>
            <w:pPr>
              <w:spacing w:after="0"/>
              <w:rPr>
                <w:sz w:val="18"/>
                <w:szCs w:val="18"/>
                <w:color w:val="auto"/>
              </w:rPr>
            </w:pPr>
          </w:p>
        </w:tc>
        <w:tc>
          <w:tcPr>
            <w:tcW w:w="314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5"/>
                <w:szCs w:val="15"/>
                <w:b w:val="1"/>
                <w:bCs w:val="1"/>
                <w:color w:val="auto"/>
              </w:rPr>
              <w:t>Three Months Ended July 31,</w:t>
            </w:r>
          </w:p>
        </w:tc>
        <w:tc>
          <w:tcPr>
            <w:tcW w:w="4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5"/>
                <w:szCs w:val="15"/>
                <w:b w:val="1"/>
                <w:bCs w:val="1"/>
                <w:color w:val="auto"/>
              </w:rPr>
              <w:t>Nine Months Ended July 31,</w:t>
            </w:r>
          </w:p>
        </w:tc>
        <w:tc>
          <w:tcPr>
            <w:tcW w:w="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460" w:type="dxa"/>
            <w:vAlign w:val="bottom"/>
          </w:tcPr>
          <w:p>
            <w:pPr>
              <w:spacing w:after="0"/>
              <w:rPr>
                <w:sz w:val="20"/>
                <w:szCs w:val="20"/>
                <w:color w:val="auto"/>
              </w:rPr>
            </w:pPr>
          </w:p>
        </w:tc>
        <w:tc>
          <w:tcPr>
            <w:tcW w:w="1240" w:type="dxa"/>
            <w:vAlign w:val="bottom"/>
          </w:tcPr>
          <w:p>
            <w:pPr>
              <w:jc w:val="right"/>
              <w:ind w:right="165"/>
              <w:spacing w:after="0"/>
              <w:rPr>
                <w:sz w:val="20"/>
                <w:szCs w:val="20"/>
                <w:color w:val="auto"/>
              </w:rPr>
            </w:pPr>
            <w:r>
              <w:rPr>
                <w:rFonts w:ascii="Arial" w:cs="Arial" w:eastAsia="Arial" w:hAnsi="Arial"/>
                <w:sz w:val="15"/>
                <w:szCs w:val="15"/>
                <w:b w:val="1"/>
                <w:bCs w:val="1"/>
                <w:color w:val="auto"/>
              </w:rPr>
              <w:t>2025</w:t>
            </w:r>
          </w:p>
        </w:tc>
        <w:tc>
          <w:tcPr>
            <w:tcW w:w="420" w:type="dxa"/>
            <w:vAlign w:val="bottom"/>
          </w:tcPr>
          <w:p>
            <w:pPr>
              <w:spacing w:after="0"/>
              <w:rPr>
                <w:sz w:val="20"/>
                <w:szCs w:val="20"/>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2024</w:t>
            </w:r>
          </w:p>
        </w:tc>
        <w:tc>
          <w:tcPr>
            <w:tcW w:w="420" w:type="dxa"/>
            <w:vAlign w:val="bottom"/>
          </w:tcPr>
          <w:p>
            <w:pPr>
              <w:spacing w:after="0"/>
              <w:rPr>
                <w:sz w:val="20"/>
                <w:szCs w:val="20"/>
                <w:color w:val="auto"/>
              </w:rPr>
            </w:pPr>
          </w:p>
        </w:tc>
        <w:tc>
          <w:tcPr>
            <w:tcW w:w="1240" w:type="dxa"/>
            <w:vAlign w:val="bottom"/>
            <w:gridSpan w:val="2"/>
          </w:tcPr>
          <w:p>
            <w:pPr>
              <w:jc w:val="right"/>
              <w:ind w:right="64"/>
              <w:spacing w:after="0"/>
              <w:rPr>
                <w:sz w:val="20"/>
                <w:szCs w:val="20"/>
                <w:color w:val="auto"/>
              </w:rPr>
            </w:pPr>
            <w:r>
              <w:rPr>
                <w:rFonts w:ascii="Arial" w:cs="Arial" w:eastAsia="Arial" w:hAnsi="Arial"/>
                <w:sz w:val="15"/>
                <w:szCs w:val="15"/>
                <w:b w:val="1"/>
                <w:bCs w:val="1"/>
                <w:color w:val="auto"/>
              </w:rPr>
              <w:t>2025</w:t>
            </w:r>
          </w:p>
        </w:tc>
        <w:tc>
          <w:tcPr>
            <w:tcW w:w="4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2024</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460" w:type="dxa"/>
            <w:vAlign w:val="bottom"/>
            <w:shd w:val="clear" w:color="auto" w:fill="DCE2EF"/>
          </w:tcPr>
          <w:p>
            <w:pPr>
              <w:ind w:left="60"/>
              <w:spacing w:after="0"/>
              <w:rPr>
                <w:sz w:val="20"/>
                <w:szCs w:val="20"/>
                <w:color w:val="auto"/>
              </w:rPr>
            </w:pPr>
            <w:r>
              <w:rPr>
                <w:rFonts w:ascii="Arial" w:cs="Arial" w:eastAsia="Arial" w:hAnsi="Arial"/>
                <w:sz w:val="15"/>
                <w:szCs w:val="15"/>
                <w:b w:val="1"/>
                <w:bCs w:val="1"/>
                <w:color w:val="auto"/>
              </w:rPr>
              <w:t>Reconciliation of Net Income per Diluted Share to</w:t>
            </w:r>
          </w:p>
        </w:tc>
        <w:tc>
          <w:tcPr>
            <w:tcW w:w="1240" w:type="dxa"/>
            <w:vAlign w:val="bottom"/>
            <w:tcBorders>
              <w:top w:val="single" w:sz="8" w:color="auto"/>
            </w:tcBorders>
            <w:shd w:val="clear" w:color="auto" w:fill="DCE2EF"/>
          </w:tcPr>
          <w:p>
            <w:pPr>
              <w:spacing w:after="0"/>
              <w:rPr>
                <w:sz w:val="15"/>
                <w:szCs w:val="15"/>
                <w:color w:val="auto"/>
              </w:rPr>
            </w:pPr>
          </w:p>
        </w:tc>
        <w:tc>
          <w:tcPr>
            <w:tcW w:w="420" w:type="dxa"/>
            <w:vAlign w:val="bottom"/>
            <w:tcBorders>
              <w:top w:val="single" w:sz="8" w:color="auto"/>
            </w:tcBorders>
            <w:shd w:val="clear" w:color="auto" w:fill="DCE2EF"/>
          </w:tcPr>
          <w:p>
            <w:pPr>
              <w:spacing w:after="0"/>
              <w:rPr>
                <w:sz w:val="15"/>
                <w:szCs w:val="15"/>
                <w:color w:val="auto"/>
              </w:rPr>
            </w:pPr>
          </w:p>
        </w:tc>
        <w:tc>
          <w:tcPr>
            <w:tcW w:w="220" w:type="dxa"/>
            <w:vAlign w:val="bottom"/>
            <w:shd w:val="clear" w:color="auto" w:fill="DCE2EF"/>
          </w:tcPr>
          <w:p>
            <w:pPr>
              <w:spacing w:after="0"/>
              <w:rPr>
                <w:sz w:val="15"/>
                <w:szCs w:val="15"/>
                <w:color w:val="auto"/>
              </w:rPr>
            </w:pPr>
          </w:p>
        </w:tc>
        <w:tc>
          <w:tcPr>
            <w:tcW w:w="1260" w:type="dxa"/>
            <w:vAlign w:val="bottom"/>
            <w:tcBorders>
              <w:top w:val="single" w:sz="8" w:color="auto"/>
            </w:tcBorders>
            <w:shd w:val="clear" w:color="auto" w:fill="DCE2EF"/>
          </w:tcPr>
          <w:p>
            <w:pPr>
              <w:spacing w:after="0"/>
              <w:rPr>
                <w:sz w:val="15"/>
                <w:szCs w:val="15"/>
                <w:color w:val="auto"/>
              </w:rPr>
            </w:pPr>
          </w:p>
        </w:tc>
        <w:tc>
          <w:tcPr>
            <w:tcW w:w="420" w:type="dxa"/>
            <w:vAlign w:val="bottom"/>
            <w:tcBorders>
              <w:top w:val="single" w:sz="8" w:color="auto"/>
            </w:tcBorders>
            <w:shd w:val="clear" w:color="auto" w:fill="DCE2EF"/>
          </w:tcPr>
          <w:p>
            <w:pPr>
              <w:spacing w:after="0"/>
              <w:rPr>
                <w:sz w:val="15"/>
                <w:szCs w:val="15"/>
                <w:color w:val="auto"/>
              </w:rPr>
            </w:pPr>
          </w:p>
        </w:tc>
        <w:tc>
          <w:tcPr>
            <w:tcW w:w="200" w:type="dxa"/>
            <w:vAlign w:val="bottom"/>
            <w:shd w:val="clear" w:color="auto" w:fill="DCE2EF"/>
          </w:tcPr>
          <w:p>
            <w:pPr>
              <w:spacing w:after="0"/>
              <w:rPr>
                <w:sz w:val="15"/>
                <w:szCs w:val="15"/>
                <w:color w:val="auto"/>
              </w:rPr>
            </w:pPr>
          </w:p>
        </w:tc>
        <w:tc>
          <w:tcPr>
            <w:tcW w:w="1040" w:type="dxa"/>
            <w:vAlign w:val="bottom"/>
            <w:tcBorders>
              <w:top w:val="single" w:sz="8" w:color="auto"/>
            </w:tcBorders>
            <w:shd w:val="clear" w:color="auto" w:fill="DCE2EF"/>
          </w:tcPr>
          <w:p>
            <w:pPr>
              <w:spacing w:after="0"/>
              <w:rPr>
                <w:sz w:val="15"/>
                <w:szCs w:val="15"/>
                <w:color w:val="auto"/>
              </w:rPr>
            </w:pPr>
          </w:p>
        </w:tc>
        <w:tc>
          <w:tcPr>
            <w:tcW w:w="420" w:type="dxa"/>
            <w:vAlign w:val="bottom"/>
            <w:tcBorders>
              <w:top w:val="single" w:sz="8" w:color="auto"/>
            </w:tcBorders>
            <w:shd w:val="clear" w:color="auto" w:fill="DCE2EF"/>
          </w:tcPr>
          <w:p>
            <w:pPr>
              <w:spacing w:after="0"/>
              <w:rPr>
                <w:sz w:val="15"/>
                <w:szCs w:val="15"/>
                <w:color w:val="auto"/>
              </w:rPr>
            </w:pPr>
          </w:p>
        </w:tc>
        <w:tc>
          <w:tcPr>
            <w:tcW w:w="200" w:type="dxa"/>
            <w:vAlign w:val="bottom"/>
            <w:shd w:val="clear" w:color="auto" w:fill="DCE2EF"/>
          </w:tcPr>
          <w:p>
            <w:pPr>
              <w:spacing w:after="0"/>
              <w:rPr>
                <w:sz w:val="15"/>
                <w:szCs w:val="15"/>
                <w:color w:val="auto"/>
              </w:rPr>
            </w:pPr>
          </w:p>
        </w:tc>
        <w:tc>
          <w:tcPr>
            <w:tcW w:w="960" w:type="dxa"/>
            <w:vAlign w:val="bottom"/>
            <w:tcBorders>
              <w:top w:val="single" w:sz="8" w:color="auto"/>
            </w:tcBorders>
            <w:shd w:val="clear" w:color="auto" w:fill="DCE2EF"/>
          </w:tcPr>
          <w:p>
            <w:pPr>
              <w:spacing w:after="0"/>
              <w:rPr>
                <w:sz w:val="15"/>
                <w:szCs w:val="15"/>
                <w:color w:val="auto"/>
              </w:rPr>
            </w:pPr>
          </w:p>
        </w:tc>
        <w:tc>
          <w:tcPr>
            <w:tcW w:w="400" w:type="dxa"/>
            <w:vAlign w:val="bottom"/>
            <w:tcBorders>
              <w:top w:val="single" w:sz="8" w:color="auto"/>
            </w:tcBorders>
            <w:shd w:val="clear" w:color="auto" w:fill="DCE2E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460" w:type="dxa"/>
            <w:vAlign w:val="bottom"/>
            <w:shd w:val="clear" w:color="auto" w:fill="DCE2EF"/>
          </w:tcPr>
          <w:p>
            <w:pPr>
              <w:ind w:left="60"/>
              <w:spacing w:after="0"/>
              <w:rPr>
                <w:sz w:val="20"/>
                <w:szCs w:val="20"/>
                <w:color w:val="auto"/>
              </w:rPr>
            </w:pPr>
            <w:r>
              <w:rPr>
                <w:rFonts w:ascii="Arial" w:cs="Arial" w:eastAsia="Arial" w:hAnsi="Arial"/>
                <w:sz w:val="15"/>
                <w:szCs w:val="15"/>
                <w:b w:val="1"/>
                <w:bCs w:val="1"/>
                <w:color w:val="auto"/>
              </w:rPr>
              <w:t>Adjusted Net Income per Diluted Share</w:t>
            </w:r>
          </w:p>
        </w:tc>
        <w:tc>
          <w:tcPr>
            <w:tcW w:w="1240" w:type="dxa"/>
            <w:vAlign w:val="bottom"/>
            <w:shd w:val="clear" w:color="auto" w:fill="DCE2EF"/>
          </w:tcPr>
          <w:p>
            <w:pPr>
              <w:spacing w:after="0"/>
              <w:rPr>
                <w:sz w:val="19"/>
                <w:szCs w:val="19"/>
                <w:color w:val="auto"/>
              </w:rPr>
            </w:pPr>
          </w:p>
        </w:tc>
        <w:tc>
          <w:tcPr>
            <w:tcW w:w="420" w:type="dxa"/>
            <w:vAlign w:val="bottom"/>
            <w:shd w:val="clear" w:color="auto" w:fill="DCE2EF"/>
          </w:tcPr>
          <w:p>
            <w:pPr>
              <w:spacing w:after="0"/>
              <w:rPr>
                <w:sz w:val="19"/>
                <w:szCs w:val="19"/>
                <w:color w:val="auto"/>
              </w:rPr>
            </w:pPr>
          </w:p>
        </w:tc>
        <w:tc>
          <w:tcPr>
            <w:tcW w:w="220" w:type="dxa"/>
            <w:vAlign w:val="bottom"/>
            <w:shd w:val="clear" w:color="auto" w:fill="DCE2EF"/>
          </w:tcPr>
          <w:p>
            <w:pPr>
              <w:spacing w:after="0"/>
              <w:rPr>
                <w:sz w:val="19"/>
                <w:szCs w:val="19"/>
                <w:color w:val="auto"/>
              </w:rPr>
            </w:pPr>
          </w:p>
        </w:tc>
        <w:tc>
          <w:tcPr>
            <w:tcW w:w="1260" w:type="dxa"/>
            <w:vAlign w:val="bottom"/>
            <w:shd w:val="clear" w:color="auto" w:fill="DCE2EF"/>
          </w:tcPr>
          <w:p>
            <w:pPr>
              <w:spacing w:after="0"/>
              <w:rPr>
                <w:sz w:val="19"/>
                <w:szCs w:val="19"/>
                <w:color w:val="auto"/>
              </w:rPr>
            </w:pPr>
          </w:p>
        </w:tc>
        <w:tc>
          <w:tcPr>
            <w:tcW w:w="42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1040" w:type="dxa"/>
            <w:vAlign w:val="bottom"/>
            <w:shd w:val="clear" w:color="auto" w:fill="DCE2EF"/>
          </w:tcPr>
          <w:p>
            <w:pPr>
              <w:spacing w:after="0"/>
              <w:rPr>
                <w:sz w:val="19"/>
                <w:szCs w:val="19"/>
                <w:color w:val="auto"/>
              </w:rPr>
            </w:pPr>
          </w:p>
        </w:tc>
        <w:tc>
          <w:tcPr>
            <w:tcW w:w="42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960" w:type="dxa"/>
            <w:vAlign w:val="bottom"/>
            <w:shd w:val="clear" w:color="auto" w:fill="DCE2EF"/>
          </w:tcPr>
          <w:p>
            <w:pPr>
              <w:spacing w:after="0"/>
              <w:rPr>
                <w:sz w:val="19"/>
                <w:szCs w:val="19"/>
                <w:color w:val="auto"/>
              </w:rPr>
            </w:pPr>
          </w:p>
        </w:tc>
        <w:tc>
          <w:tcPr>
            <w:tcW w:w="40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4460" w:type="dxa"/>
            <w:vAlign w:val="bottom"/>
          </w:tcPr>
          <w:p>
            <w:pPr>
              <w:ind w:left="60"/>
              <w:spacing w:after="0"/>
              <w:rPr>
                <w:sz w:val="20"/>
                <w:szCs w:val="20"/>
                <w:color w:val="auto"/>
              </w:rPr>
            </w:pPr>
            <w:r>
              <w:rPr>
                <w:rFonts w:ascii="Arial" w:cs="Arial" w:eastAsia="Arial" w:hAnsi="Arial"/>
                <w:sz w:val="15"/>
                <w:szCs w:val="15"/>
                <w:color w:val="auto"/>
              </w:rPr>
              <w:t>Net income per diluted share</w:t>
            </w:r>
          </w:p>
        </w:tc>
        <w:tc>
          <w:tcPr>
            <w:tcW w:w="1240" w:type="dxa"/>
            <w:vAlign w:val="bottom"/>
          </w:tcPr>
          <w:p>
            <w:pPr>
              <w:jc w:val="right"/>
              <w:ind w:right="25"/>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0.67</w:t>
            </w:r>
          </w:p>
        </w:tc>
        <w:tc>
          <w:tcPr>
            <w:tcW w:w="1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0.07</w:t>
            </w:r>
          </w:p>
        </w:tc>
        <w:tc>
          <w:tcPr>
            <w:tcW w:w="1240" w:type="dxa"/>
            <w:vAlign w:val="bottom"/>
            <w:gridSpan w:val="2"/>
          </w:tcPr>
          <w:p>
            <w:pPr>
              <w:jc w:val="right"/>
              <w:ind w:right="44"/>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2.03</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57"/>
        </w:trPr>
        <w:tc>
          <w:tcPr>
            <w:tcW w:w="4460" w:type="dxa"/>
            <w:vAlign w:val="bottom"/>
            <w:tcBorders>
              <w:bottom w:val="single" w:sz="8" w:color="DCE2EF"/>
            </w:tcBorders>
            <w:shd w:val="clear" w:color="auto" w:fill="DCE2EF"/>
          </w:tcPr>
          <w:p>
            <w:pPr>
              <w:ind w:left="100"/>
              <w:spacing w:after="0"/>
              <w:rPr>
                <w:sz w:val="20"/>
                <w:szCs w:val="20"/>
                <w:color w:val="auto"/>
              </w:rPr>
            </w:pPr>
            <w:r>
              <w:rPr>
                <w:rFonts w:ascii="Arial" w:cs="Arial" w:eastAsia="Arial" w:hAnsi="Arial"/>
                <w:sz w:val="15"/>
                <w:szCs w:val="15"/>
                <w:color w:val="auto"/>
              </w:rPr>
              <w:t>Items impacting comparability, net of taxes</w:t>
            </w:r>
          </w:p>
        </w:tc>
        <w:tc>
          <w:tcPr>
            <w:tcW w:w="1240" w:type="dxa"/>
            <w:vAlign w:val="bottom"/>
            <w:tcBorders>
              <w:bottom w:val="single" w:sz="8" w:color="auto"/>
            </w:tcBorders>
            <w:shd w:val="clear" w:color="auto" w:fill="DCE2EF"/>
          </w:tcPr>
          <w:p>
            <w:pPr>
              <w:spacing w:after="0"/>
              <w:rPr>
                <w:sz w:val="22"/>
                <w:szCs w:val="22"/>
                <w:color w:val="auto"/>
              </w:rPr>
            </w:pPr>
          </w:p>
        </w:tc>
        <w:tc>
          <w:tcPr>
            <w:tcW w:w="4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0.16</w:t>
            </w:r>
          </w:p>
        </w:tc>
        <w:tc>
          <w:tcPr>
            <w:tcW w:w="220" w:type="dxa"/>
            <w:vAlign w:val="bottom"/>
            <w:tcBorders>
              <w:bottom w:val="single" w:sz="8" w:color="DCE2EF"/>
            </w:tcBorders>
            <w:shd w:val="clear" w:color="auto" w:fill="DCE2EF"/>
          </w:tcPr>
          <w:p>
            <w:pPr>
              <w:spacing w:after="0"/>
              <w:rPr>
                <w:sz w:val="22"/>
                <w:szCs w:val="22"/>
                <w:color w:val="auto"/>
              </w:rPr>
            </w:pPr>
          </w:p>
        </w:tc>
        <w:tc>
          <w:tcPr>
            <w:tcW w:w="1260" w:type="dxa"/>
            <w:vAlign w:val="bottom"/>
            <w:tcBorders>
              <w:bottom w:val="single" w:sz="8" w:color="auto"/>
            </w:tcBorders>
            <w:shd w:val="clear" w:color="auto" w:fill="DCE2EF"/>
          </w:tcPr>
          <w:p>
            <w:pPr>
              <w:spacing w:after="0"/>
              <w:rPr>
                <w:sz w:val="22"/>
                <w:szCs w:val="22"/>
                <w:color w:val="auto"/>
              </w:rPr>
            </w:pPr>
          </w:p>
        </w:tc>
        <w:tc>
          <w:tcPr>
            <w:tcW w:w="4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0.77</w:t>
            </w:r>
          </w:p>
        </w:tc>
        <w:tc>
          <w:tcPr>
            <w:tcW w:w="200" w:type="dxa"/>
            <w:vAlign w:val="bottom"/>
            <w:tcBorders>
              <w:bottom w:val="single" w:sz="8" w:color="DCE2EF"/>
            </w:tcBorders>
            <w:shd w:val="clear" w:color="auto" w:fill="DCE2EF"/>
          </w:tcPr>
          <w:p>
            <w:pPr>
              <w:spacing w:after="0"/>
              <w:rPr>
                <w:sz w:val="22"/>
                <w:szCs w:val="22"/>
                <w:color w:val="auto"/>
              </w:rPr>
            </w:pPr>
          </w:p>
        </w:tc>
        <w:tc>
          <w:tcPr>
            <w:tcW w:w="1040" w:type="dxa"/>
            <w:vAlign w:val="bottom"/>
            <w:tcBorders>
              <w:bottom w:val="single" w:sz="8" w:color="auto"/>
            </w:tcBorders>
            <w:shd w:val="clear" w:color="auto" w:fill="DCE2EF"/>
          </w:tcPr>
          <w:p>
            <w:pPr>
              <w:spacing w:after="0"/>
              <w:rPr>
                <w:sz w:val="22"/>
                <w:szCs w:val="22"/>
                <w:color w:val="auto"/>
              </w:rPr>
            </w:pPr>
          </w:p>
        </w:tc>
        <w:tc>
          <w:tcPr>
            <w:tcW w:w="4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0.53</w:t>
            </w:r>
          </w:p>
        </w:tc>
        <w:tc>
          <w:tcPr>
            <w:tcW w:w="200" w:type="dxa"/>
            <w:vAlign w:val="bottom"/>
            <w:tcBorders>
              <w:bottom w:val="single" w:sz="8" w:color="DCE2EF"/>
            </w:tcBorders>
            <w:shd w:val="clear" w:color="auto" w:fill="DCE2EF"/>
          </w:tcPr>
          <w:p>
            <w:pPr>
              <w:spacing w:after="0"/>
              <w:rPr>
                <w:sz w:val="22"/>
                <w:szCs w:val="22"/>
                <w:color w:val="auto"/>
              </w:rPr>
            </w:pPr>
          </w:p>
        </w:tc>
        <w:tc>
          <w:tcPr>
            <w:tcW w:w="960" w:type="dxa"/>
            <w:vAlign w:val="bottom"/>
            <w:tcBorders>
              <w:bottom w:val="single" w:sz="8" w:color="auto"/>
            </w:tcBorders>
            <w:shd w:val="clear" w:color="auto" w:fill="DCE2EF"/>
          </w:tcPr>
          <w:p>
            <w:pPr>
              <w:spacing w:after="0"/>
              <w:rPr>
                <w:sz w:val="22"/>
                <w:szCs w:val="22"/>
                <w:color w:val="auto"/>
              </w:rPr>
            </w:pPr>
          </w:p>
        </w:tc>
        <w:tc>
          <w:tcPr>
            <w:tcW w:w="4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233"/>
        </w:trPr>
        <w:tc>
          <w:tcPr>
            <w:tcW w:w="4460" w:type="dxa"/>
            <w:vAlign w:val="bottom"/>
          </w:tcPr>
          <w:p>
            <w:pPr>
              <w:ind w:left="60"/>
              <w:spacing w:after="0"/>
              <w:rPr>
                <w:sz w:val="20"/>
                <w:szCs w:val="20"/>
                <w:color w:val="auto"/>
              </w:rPr>
            </w:pPr>
            <w:r>
              <w:rPr>
                <w:rFonts w:ascii="Arial" w:cs="Arial" w:eastAsia="Arial" w:hAnsi="Arial"/>
                <w:sz w:val="15"/>
                <w:szCs w:val="15"/>
                <w:color w:val="auto"/>
              </w:rPr>
              <w:t>Adjusted net income per diluted share</w:t>
            </w:r>
          </w:p>
        </w:tc>
        <w:tc>
          <w:tcPr>
            <w:tcW w:w="124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0.82</w:t>
            </w:r>
          </w:p>
        </w:tc>
        <w:tc>
          <w:tcPr>
            <w:tcW w:w="14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0.84</w:t>
            </w:r>
          </w:p>
        </w:tc>
        <w:tc>
          <w:tcPr>
            <w:tcW w:w="1240" w:type="dxa"/>
            <w:vAlign w:val="bottom"/>
            <w:gridSpan w:val="2"/>
          </w:tcPr>
          <w:p>
            <w:pPr>
              <w:jc w:val="right"/>
              <w:ind w:right="84"/>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2.56</w:t>
            </w: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2.47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460" w:type="dxa"/>
            <w:vAlign w:val="bottom"/>
            <w:shd w:val="clear" w:color="auto" w:fill="DCE2EF"/>
          </w:tcPr>
          <w:p>
            <w:pPr>
              <w:ind w:left="60"/>
              <w:spacing w:after="0"/>
              <w:rPr>
                <w:sz w:val="20"/>
                <w:szCs w:val="20"/>
                <w:color w:val="auto"/>
              </w:rPr>
            </w:pPr>
            <w:r>
              <w:rPr>
                <w:rFonts w:ascii="Arial" w:cs="Arial" w:eastAsia="Arial" w:hAnsi="Arial"/>
                <w:sz w:val="15"/>
                <w:szCs w:val="15"/>
                <w:color w:val="auto"/>
              </w:rPr>
              <w:t>Diluted shares</w:t>
            </w:r>
          </w:p>
        </w:tc>
        <w:tc>
          <w:tcPr>
            <w:tcW w:w="1240" w:type="dxa"/>
            <w:vAlign w:val="bottom"/>
            <w:shd w:val="clear" w:color="auto" w:fill="DCE2EF"/>
          </w:tcPr>
          <w:p>
            <w:pPr>
              <w:spacing w:after="0"/>
              <w:rPr>
                <w:sz w:val="16"/>
                <w:szCs w:val="16"/>
                <w:color w:val="auto"/>
              </w:rPr>
            </w:pPr>
          </w:p>
        </w:tc>
        <w:tc>
          <w:tcPr>
            <w:tcW w:w="42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62.8</w:t>
            </w:r>
          </w:p>
        </w:tc>
        <w:tc>
          <w:tcPr>
            <w:tcW w:w="220" w:type="dxa"/>
            <w:vAlign w:val="bottom"/>
            <w:shd w:val="clear" w:color="auto" w:fill="DCE2EF"/>
          </w:tcPr>
          <w:p>
            <w:pPr>
              <w:spacing w:after="0"/>
              <w:rPr>
                <w:sz w:val="16"/>
                <w:szCs w:val="16"/>
                <w:color w:val="auto"/>
              </w:rPr>
            </w:pPr>
          </w:p>
        </w:tc>
        <w:tc>
          <w:tcPr>
            <w:tcW w:w="1260" w:type="dxa"/>
            <w:vAlign w:val="bottom"/>
            <w:shd w:val="clear" w:color="auto" w:fill="DCE2EF"/>
          </w:tcPr>
          <w:p>
            <w:pPr>
              <w:spacing w:after="0"/>
              <w:rPr>
                <w:sz w:val="16"/>
                <w:szCs w:val="16"/>
                <w:color w:val="auto"/>
              </w:rPr>
            </w:pPr>
          </w:p>
        </w:tc>
        <w:tc>
          <w:tcPr>
            <w:tcW w:w="42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63.5</w:t>
            </w:r>
          </w:p>
        </w:tc>
        <w:tc>
          <w:tcPr>
            <w:tcW w:w="200" w:type="dxa"/>
            <w:vAlign w:val="bottom"/>
            <w:shd w:val="clear" w:color="auto" w:fill="DCE2EF"/>
          </w:tcPr>
          <w:p>
            <w:pPr>
              <w:spacing w:after="0"/>
              <w:rPr>
                <w:sz w:val="16"/>
                <w:szCs w:val="16"/>
                <w:color w:val="auto"/>
              </w:rPr>
            </w:pPr>
          </w:p>
        </w:tc>
        <w:tc>
          <w:tcPr>
            <w:tcW w:w="1040" w:type="dxa"/>
            <w:vAlign w:val="bottom"/>
            <w:shd w:val="clear" w:color="auto" w:fill="DCE2EF"/>
          </w:tcPr>
          <w:p>
            <w:pPr>
              <w:spacing w:after="0"/>
              <w:rPr>
                <w:sz w:val="16"/>
                <w:szCs w:val="16"/>
                <w:color w:val="auto"/>
              </w:rPr>
            </w:pPr>
          </w:p>
        </w:tc>
        <w:tc>
          <w:tcPr>
            <w:tcW w:w="42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63.0</w:t>
            </w:r>
          </w:p>
        </w:tc>
        <w:tc>
          <w:tcPr>
            <w:tcW w:w="200" w:type="dxa"/>
            <w:vAlign w:val="bottom"/>
            <w:shd w:val="clear" w:color="auto" w:fill="DCE2EF"/>
          </w:tcPr>
          <w:p>
            <w:pPr>
              <w:spacing w:after="0"/>
              <w:rPr>
                <w:sz w:val="16"/>
                <w:szCs w:val="16"/>
                <w:color w:val="auto"/>
              </w:rPr>
            </w:pPr>
          </w:p>
        </w:tc>
        <w:tc>
          <w:tcPr>
            <w:tcW w:w="960" w:type="dxa"/>
            <w:vAlign w:val="bottom"/>
            <w:shd w:val="clear" w:color="auto" w:fill="DCE2EF"/>
          </w:tcPr>
          <w:p>
            <w:pPr>
              <w:spacing w:after="0"/>
              <w:rPr>
                <w:sz w:val="16"/>
                <w:szCs w:val="16"/>
                <w:color w:val="auto"/>
              </w:rPr>
            </w:pPr>
          </w:p>
        </w:tc>
        <w:tc>
          <w:tcPr>
            <w:tcW w:w="40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63.6</w:t>
            </w:r>
          </w:p>
        </w:tc>
        <w:tc>
          <w:tcPr>
            <w:tcW w:w="0" w:type="dxa"/>
            <w:vAlign w:val="bottom"/>
          </w:tcPr>
          <w:p>
            <w:pPr>
              <w:spacing w:after="0"/>
              <w:rPr>
                <w:sz w:val="1"/>
                <w:szCs w:val="1"/>
                <w:color w:val="auto"/>
              </w:rPr>
            </w:pPr>
          </w:p>
        </w:tc>
      </w:tr>
      <w:tr>
        <w:trPr>
          <w:trHeight w:val="56"/>
        </w:trPr>
        <w:tc>
          <w:tcPr>
            <w:tcW w:w="4460" w:type="dxa"/>
            <w:vAlign w:val="bottom"/>
            <w:shd w:val="clear" w:color="auto" w:fill="DCE2EF"/>
          </w:tcPr>
          <w:p>
            <w:pPr>
              <w:spacing w:after="0"/>
              <w:rPr>
                <w:sz w:val="4"/>
                <w:szCs w:val="4"/>
                <w:color w:val="auto"/>
              </w:rPr>
            </w:pPr>
          </w:p>
        </w:tc>
        <w:tc>
          <w:tcPr>
            <w:tcW w:w="1240" w:type="dxa"/>
            <w:vAlign w:val="bottom"/>
            <w:shd w:val="clear" w:color="auto" w:fill="DCE2EF"/>
          </w:tcPr>
          <w:p>
            <w:pPr>
              <w:spacing w:after="0"/>
              <w:rPr>
                <w:sz w:val="4"/>
                <w:szCs w:val="4"/>
                <w:color w:val="auto"/>
              </w:rPr>
            </w:pPr>
          </w:p>
        </w:tc>
        <w:tc>
          <w:tcPr>
            <w:tcW w:w="420" w:type="dxa"/>
            <w:vAlign w:val="bottom"/>
            <w:vMerge w:val="continue"/>
            <w:shd w:val="clear" w:color="auto" w:fill="DCE2EF"/>
          </w:tcPr>
          <w:p>
            <w:pPr>
              <w:spacing w:after="0"/>
              <w:rPr>
                <w:sz w:val="4"/>
                <w:szCs w:val="4"/>
                <w:color w:val="auto"/>
              </w:rPr>
            </w:pPr>
          </w:p>
        </w:tc>
        <w:tc>
          <w:tcPr>
            <w:tcW w:w="220" w:type="dxa"/>
            <w:vAlign w:val="bottom"/>
            <w:shd w:val="clear" w:color="auto" w:fill="DCE2EF"/>
          </w:tcPr>
          <w:p>
            <w:pPr>
              <w:spacing w:after="0"/>
              <w:rPr>
                <w:sz w:val="4"/>
                <w:szCs w:val="4"/>
                <w:color w:val="auto"/>
              </w:rPr>
            </w:pPr>
          </w:p>
        </w:tc>
        <w:tc>
          <w:tcPr>
            <w:tcW w:w="1260" w:type="dxa"/>
            <w:vAlign w:val="bottom"/>
            <w:shd w:val="clear" w:color="auto" w:fill="DCE2EF"/>
          </w:tcPr>
          <w:p>
            <w:pPr>
              <w:spacing w:after="0"/>
              <w:rPr>
                <w:sz w:val="4"/>
                <w:szCs w:val="4"/>
                <w:color w:val="auto"/>
              </w:rPr>
            </w:pPr>
          </w:p>
        </w:tc>
        <w:tc>
          <w:tcPr>
            <w:tcW w:w="420" w:type="dxa"/>
            <w:vAlign w:val="bottom"/>
            <w:vMerge w:val="continue"/>
            <w:shd w:val="clear" w:color="auto" w:fill="DCE2EF"/>
          </w:tcPr>
          <w:p>
            <w:pPr>
              <w:spacing w:after="0"/>
              <w:rPr>
                <w:sz w:val="4"/>
                <w:szCs w:val="4"/>
                <w:color w:val="auto"/>
              </w:rPr>
            </w:pPr>
          </w:p>
        </w:tc>
        <w:tc>
          <w:tcPr>
            <w:tcW w:w="200" w:type="dxa"/>
            <w:vAlign w:val="bottom"/>
            <w:shd w:val="clear" w:color="auto" w:fill="DCE2EF"/>
          </w:tcPr>
          <w:p>
            <w:pPr>
              <w:spacing w:after="0"/>
              <w:rPr>
                <w:sz w:val="4"/>
                <w:szCs w:val="4"/>
                <w:color w:val="auto"/>
              </w:rPr>
            </w:pPr>
          </w:p>
        </w:tc>
        <w:tc>
          <w:tcPr>
            <w:tcW w:w="1040" w:type="dxa"/>
            <w:vAlign w:val="bottom"/>
            <w:shd w:val="clear" w:color="auto" w:fill="DCE2EF"/>
          </w:tcPr>
          <w:p>
            <w:pPr>
              <w:spacing w:after="0"/>
              <w:rPr>
                <w:sz w:val="4"/>
                <w:szCs w:val="4"/>
                <w:color w:val="auto"/>
              </w:rPr>
            </w:pPr>
          </w:p>
        </w:tc>
        <w:tc>
          <w:tcPr>
            <w:tcW w:w="420" w:type="dxa"/>
            <w:vAlign w:val="bottom"/>
            <w:vMerge w:val="continue"/>
            <w:shd w:val="clear" w:color="auto" w:fill="DCE2EF"/>
          </w:tcPr>
          <w:p>
            <w:pPr>
              <w:spacing w:after="0"/>
              <w:rPr>
                <w:sz w:val="4"/>
                <w:szCs w:val="4"/>
                <w:color w:val="auto"/>
              </w:rPr>
            </w:pPr>
          </w:p>
        </w:tc>
        <w:tc>
          <w:tcPr>
            <w:tcW w:w="200" w:type="dxa"/>
            <w:vAlign w:val="bottom"/>
            <w:shd w:val="clear" w:color="auto" w:fill="DCE2EF"/>
          </w:tcPr>
          <w:p>
            <w:pPr>
              <w:spacing w:after="0"/>
              <w:rPr>
                <w:sz w:val="4"/>
                <w:szCs w:val="4"/>
                <w:color w:val="auto"/>
              </w:rPr>
            </w:pPr>
          </w:p>
        </w:tc>
        <w:tc>
          <w:tcPr>
            <w:tcW w:w="960" w:type="dxa"/>
            <w:vAlign w:val="bottom"/>
            <w:shd w:val="clear" w:color="auto" w:fill="DCE2EF"/>
          </w:tcPr>
          <w:p>
            <w:pPr>
              <w:spacing w:after="0"/>
              <w:rPr>
                <w:sz w:val="4"/>
                <w:szCs w:val="4"/>
                <w:color w:val="auto"/>
              </w:rPr>
            </w:pPr>
          </w:p>
        </w:tc>
        <w:tc>
          <w:tcPr>
            <w:tcW w:w="400" w:type="dxa"/>
            <w:vAlign w:val="bottom"/>
            <w:vMerge w:val="continue"/>
            <w:shd w:val="clear" w:color="auto" w:fill="DCE2E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-953770</wp:posOffset>
            </wp:positionV>
            <wp:extent cx="137160" cy="114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-953770</wp:posOffset>
            </wp:positionV>
            <wp:extent cx="137160" cy="114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-953770</wp:posOffset>
            </wp:positionV>
            <wp:extent cx="137160" cy="114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-361950</wp:posOffset>
            </wp:positionV>
            <wp:extent cx="137160" cy="114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-361950</wp:posOffset>
            </wp:positionV>
            <wp:extent cx="137160" cy="114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-361950</wp:posOffset>
            </wp:positionV>
            <wp:extent cx="137160" cy="114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7160" cy="1143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8"/>
        </w:trPr>
        <w:tc>
          <w:tcPr>
            <w:tcW w:w="4480" w:type="dxa"/>
            <w:vAlign w:val="bottom"/>
          </w:tcPr>
          <w:p>
            <w:pPr>
              <w:spacing w:after="0"/>
              <w:rPr>
                <w:sz w:val="18"/>
                <w:szCs w:val="18"/>
                <w:color w:val="auto"/>
              </w:rPr>
            </w:pPr>
          </w:p>
        </w:tc>
        <w:tc>
          <w:tcPr>
            <w:tcW w:w="29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5"/>
                <w:szCs w:val="15"/>
                <w:b w:val="1"/>
                <w:bCs w:val="1"/>
                <w:color w:val="auto"/>
              </w:rPr>
              <w:t>Three Months Ended July 31,</w:t>
            </w: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Borders>
              <w:bottom w:val="single" w:sz="8" w:color="auto"/>
            </w:tcBorders>
            <w:gridSpan w:val="5"/>
          </w:tcPr>
          <w:p>
            <w:pPr>
              <w:jc w:val="right"/>
              <w:ind w:right="344"/>
              <w:spacing w:after="0"/>
              <w:rPr>
                <w:sz w:val="20"/>
                <w:szCs w:val="20"/>
                <w:color w:val="auto"/>
              </w:rPr>
            </w:pPr>
            <w:r>
              <w:rPr>
                <w:rFonts w:ascii="Arial" w:cs="Arial" w:eastAsia="Arial" w:hAnsi="Arial"/>
                <w:sz w:val="15"/>
                <w:szCs w:val="15"/>
                <w:b w:val="1"/>
                <w:bCs w:val="1"/>
                <w:color w:val="auto"/>
              </w:rPr>
              <w:t>Nine Months Ended July 31,</w:t>
            </w:r>
          </w:p>
        </w:tc>
      </w:tr>
      <w:tr>
        <w:trPr>
          <w:trHeight w:val="244"/>
        </w:trPr>
        <w:tc>
          <w:tcPr>
            <w:tcW w:w="4480" w:type="dxa"/>
            <w:vAlign w:val="bottom"/>
          </w:tcPr>
          <w:p>
            <w:pPr>
              <w:spacing w:after="0"/>
              <w:rPr>
                <w:sz w:val="21"/>
                <w:szCs w:val="21"/>
                <w:color w:val="auto"/>
              </w:rPr>
            </w:pPr>
          </w:p>
        </w:tc>
        <w:tc>
          <w:tcPr>
            <w:tcW w:w="1160" w:type="dxa"/>
            <w:vAlign w:val="bottom"/>
          </w:tcPr>
          <w:p>
            <w:pPr>
              <w:jc w:val="right"/>
              <w:ind w:right="64"/>
              <w:spacing w:after="0"/>
              <w:rPr>
                <w:sz w:val="20"/>
                <w:szCs w:val="20"/>
                <w:color w:val="auto"/>
              </w:rPr>
            </w:pPr>
            <w:r>
              <w:rPr>
                <w:rFonts w:ascii="Arial" w:cs="Arial" w:eastAsia="Arial" w:hAnsi="Arial"/>
                <w:sz w:val="15"/>
                <w:szCs w:val="15"/>
                <w:b w:val="1"/>
                <w:bCs w:val="1"/>
                <w:color w:val="auto"/>
              </w:rPr>
              <w:t>2025</w:t>
            </w:r>
          </w:p>
        </w:tc>
        <w:tc>
          <w:tcPr>
            <w:tcW w:w="1760" w:type="dxa"/>
            <w:vAlign w:val="bottom"/>
            <w:gridSpan w:val="3"/>
          </w:tcPr>
          <w:p>
            <w:pPr>
              <w:jc w:val="right"/>
              <w:ind w:right="20"/>
              <w:spacing w:after="0"/>
              <w:rPr>
                <w:sz w:val="20"/>
                <w:szCs w:val="20"/>
                <w:color w:val="auto"/>
              </w:rPr>
            </w:pPr>
            <w:r>
              <w:rPr>
                <w:rFonts w:ascii="Arial" w:cs="Arial" w:eastAsia="Arial" w:hAnsi="Arial"/>
                <w:sz w:val="15"/>
                <w:szCs w:val="15"/>
                <w:b w:val="1"/>
                <w:bCs w:val="1"/>
                <w:color w:val="auto"/>
              </w:rPr>
              <w:t>2024</w:t>
            </w: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5"/>
                <w:szCs w:val="15"/>
                <w:b w:val="1"/>
                <w:bCs w:val="1"/>
                <w:color w:val="auto"/>
              </w:rPr>
              <w:t>2025</w:t>
            </w:r>
          </w:p>
        </w:tc>
        <w:tc>
          <w:tcPr>
            <w:tcW w:w="44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2024</w:t>
            </w:r>
          </w:p>
        </w:tc>
        <w:tc>
          <w:tcPr>
            <w:tcW w:w="460" w:type="dxa"/>
            <w:vAlign w:val="bottom"/>
          </w:tcPr>
          <w:p>
            <w:pPr>
              <w:spacing w:after="0"/>
              <w:rPr>
                <w:sz w:val="21"/>
                <w:szCs w:val="21"/>
                <w:color w:val="auto"/>
              </w:rPr>
            </w:pPr>
          </w:p>
        </w:tc>
      </w:tr>
      <w:tr>
        <w:trPr>
          <w:trHeight w:val="182"/>
        </w:trPr>
        <w:tc>
          <w:tcPr>
            <w:tcW w:w="4480" w:type="dxa"/>
            <w:vAlign w:val="bottom"/>
            <w:shd w:val="clear" w:color="auto" w:fill="DCE2EF"/>
          </w:tcPr>
          <w:p>
            <w:pPr>
              <w:ind w:left="60"/>
              <w:spacing w:after="0"/>
              <w:rPr>
                <w:sz w:val="20"/>
                <w:szCs w:val="20"/>
                <w:color w:val="auto"/>
              </w:rPr>
            </w:pPr>
            <w:r>
              <w:rPr>
                <w:rFonts w:ascii="Arial" w:cs="Arial" w:eastAsia="Arial" w:hAnsi="Arial"/>
                <w:sz w:val="15"/>
                <w:szCs w:val="15"/>
                <w:b w:val="1"/>
                <w:bCs w:val="1"/>
                <w:color w:val="auto"/>
              </w:rPr>
              <w:t>Reconciliation of Net Cash Provided by Operating</w:t>
            </w:r>
          </w:p>
        </w:tc>
        <w:tc>
          <w:tcPr>
            <w:tcW w:w="1160" w:type="dxa"/>
            <w:vAlign w:val="bottom"/>
            <w:tcBorders>
              <w:top w:val="single" w:sz="8" w:color="auto"/>
            </w:tcBorders>
            <w:shd w:val="clear" w:color="auto" w:fill="DCE2EF"/>
          </w:tcPr>
          <w:p>
            <w:pPr>
              <w:spacing w:after="0"/>
              <w:rPr>
                <w:sz w:val="15"/>
                <w:szCs w:val="15"/>
                <w:color w:val="auto"/>
              </w:rPr>
            </w:pPr>
          </w:p>
        </w:tc>
        <w:tc>
          <w:tcPr>
            <w:tcW w:w="520" w:type="dxa"/>
            <w:vAlign w:val="bottom"/>
            <w:tcBorders>
              <w:top w:val="single" w:sz="8" w:color="auto"/>
            </w:tcBorders>
            <w:shd w:val="clear" w:color="auto" w:fill="DCE2EF"/>
          </w:tcPr>
          <w:p>
            <w:pPr>
              <w:spacing w:after="0"/>
              <w:rPr>
                <w:sz w:val="15"/>
                <w:szCs w:val="15"/>
                <w:color w:val="auto"/>
              </w:rPr>
            </w:pPr>
          </w:p>
        </w:tc>
        <w:tc>
          <w:tcPr>
            <w:tcW w:w="220" w:type="dxa"/>
            <w:vAlign w:val="bottom"/>
            <w:shd w:val="clear" w:color="auto" w:fill="DCE2EF"/>
          </w:tcPr>
          <w:p>
            <w:pPr>
              <w:spacing w:after="0"/>
              <w:rPr>
                <w:sz w:val="15"/>
                <w:szCs w:val="15"/>
                <w:color w:val="auto"/>
              </w:rPr>
            </w:pPr>
          </w:p>
        </w:tc>
        <w:tc>
          <w:tcPr>
            <w:tcW w:w="1020" w:type="dxa"/>
            <w:vAlign w:val="bottom"/>
            <w:tcBorders>
              <w:top w:val="single" w:sz="8" w:color="auto"/>
            </w:tcBorders>
            <w:shd w:val="clear" w:color="auto" w:fill="DCE2EF"/>
          </w:tcPr>
          <w:p>
            <w:pPr>
              <w:spacing w:after="0"/>
              <w:rPr>
                <w:sz w:val="15"/>
                <w:szCs w:val="15"/>
                <w:color w:val="auto"/>
              </w:rPr>
            </w:pPr>
          </w:p>
        </w:tc>
        <w:tc>
          <w:tcPr>
            <w:tcW w:w="160" w:type="dxa"/>
            <w:vAlign w:val="bottom"/>
            <w:tcBorders>
              <w:top w:val="single" w:sz="8" w:color="auto"/>
            </w:tcBorders>
            <w:shd w:val="clear" w:color="auto" w:fill="DCE2EF"/>
          </w:tcPr>
          <w:p>
            <w:pPr>
              <w:spacing w:after="0"/>
              <w:rPr>
                <w:sz w:val="15"/>
                <w:szCs w:val="15"/>
                <w:color w:val="auto"/>
              </w:rPr>
            </w:pPr>
          </w:p>
        </w:tc>
        <w:tc>
          <w:tcPr>
            <w:tcW w:w="500" w:type="dxa"/>
            <w:vAlign w:val="bottom"/>
            <w:tcBorders>
              <w:top w:val="single" w:sz="8" w:color="auto"/>
            </w:tcBorders>
            <w:shd w:val="clear" w:color="auto" w:fill="DCE2EF"/>
          </w:tcPr>
          <w:p>
            <w:pPr>
              <w:spacing w:after="0"/>
              <w:rPr>
                <w:sz w:val="15"/>
                <w:szCs w:val="15"/>
                <w:color w:val="auto"/>
              </w:rPr>
            </w:pPr>
          </w:p>
        </w:tc>
        <w:tc>
          <w:tcPr>
            <w:tcW w:w="200" w:type="dxa"/>
            <w:vAlign w:val="bottom"/>
            <w:shd w:val="clear" w:color="auto" w:fill="DCE2EF"/>
          </w:tcPr>
          <w:p>
            <w:pPr>
              <w:spacing w:after="0"/>
              <w:rPr>
                <w:sz w:val="15"/>
                <w:szCs w:val="15"/>
                <w:color w:val="auto"/>
              </w:rPr>
            </w:pPr>
          </w:p>
        </w:tc>
        <w:tc>
          <w:tcPr>
            <w:tcW w:w="880" w:type="dxa"/>
            <w:vAlign w:val="bottom"/>
            <w:tcBorders>
              <w:top w:val="single" w:sz="8" w:color="auto"/>
            </w:tcBorders>
            <w:shd w:val="clear" w:color="auto" w:fill="DCE2EF"/>
          </w:tcPr>
          <w:p>
            <w:pPr>
              <w:spacing w:after="0"/>
              <w:rPr>
                <w:sz w:val="15"/>
                <w:szCs w:val="15"/>
                <w:color w:val="auto"/>
              </w:rPr>
            </w:pPr>
          </w:p>
        </w:tc>
        <w:tc>
          <w:tcPr>
            <w:tcW w:w="440" w:type="dxa"/>
            <w:vAlign w:val="bottom"/>
            <w:tcBorders>
              <w:top w:val="single" w:sz="8" w:color="auto"/>
            </w:tcBorders>
            <w:shd w:val="clear" w:color="auto" w:fill="DCE2EF"/>
          </w:tcPr>
          <w:p>
            <w:pPr>
              <w:spacing w:after="0"/>
              <w:rPr>
                <w:sz w:val="15"/>
                <w:szCs w:val="15"/>
                <w:color w:val="auto"/>
              </w:rPr>
            </w:pPr>
          </w:p>
        </w:tc>
        <w:tc>
          <w:tcPr>
            <w:tcW w:w="220" w:type="dxa"/>
            <w:vAlign w:val="bottom"/>
            <w:shd w:val="clear" w:color="auto" w:fill="DCE2EF"/>
          </w:tcPr>
          <w:p>
            <w:pPr>
              <w:spacing w:after="0"/>
              <w:rPr>
                <w:sz w:val="15"/>
                <w:szCs w:val="15"/>
                <w:color w:val="auto"/>
              </w:rPr>
            </w:pPr>
          </w:p>
        </w:tc>
        <w:tc>
          <w:tcPr>
            <w:tcW w:w="860" w:type="dxa"/>
            <w:vAlign w:val="bottom"/>
            <w:tcBorders>
              <w:top w:val="single" w:sz="8" w:color="auto"/>
            </w:tcBorders>
            <w:shd w:val="clear" w:color="auto" w:fill="DCE2EF"/>
          </w:tcPr>
          <w:p>
            <w:pPr>
              <w:spacing w:after="0"/>
              <w:rPr>
                <w:sz w:val="15"/>
                <w:szCs w:val="15"/>
                <w:color w:val="auto"/>
              </w:rPr>
            </w:pPr>
          </w:p>
        </w:tc>
        <w:tc>
          <w:tcPr>
            <w:tcW w:w="460" w:type="dxa"/>
            <w:vAlign w:val="bottom"/>
            <w:tcBorders>
              <w:top w:val="single" w:sz="8" w:color="auto"/>
            </w:tcBorders>
            <w:shd w:val="clear" w:color="auto" w:fill="DCE2EF"/>
          </w:tcPr>
          <w:p>
            <w:pPr>
              <w:spacing w:after="0"/>
              <w:rPr>
                <w:sz w:val="15"/>
                <w:szCs w:val="15"/>
                <w:color w:val="auto"/>
              </w:rPr>
            </w:pPr>
          </w:p>
        </w:tc>
      </w:tr>
      <w:tr>
        <w:trPr>
          <w:trHeight w:val="222"/>
        </w:trPr>
        <w:tc>
          <w:tcPr>
            <w:tcW w:w="4480" w:type="dxa"/>
            <w:vAlign w:val="bottom"/>
            <w:shd w:val="clear" w:color="auto" w:fill="DCE2EF"/>
          </w:tcPr>
          <w:p>
            <w:pPr>
              <w:ind w:left="60"/>
              <w:spacing w:after="0"/>
              <w:rPr>
                <w:sz w:val="20"/>
                <w:szCs w:val="20"/>
                <w:color w:val="auto"/>
              </w:rPr>
            </w:pPr>
            <w:r>
              <w:rPr>
                <w:rFonts w:ascii="Arial" w:cs="Arial" w:eastAsia="Arial" w:hAnsi="Arial"/>
                <w:sz w:val="15"/>
                <w:szCs w:val="15"/>
                <w:b w:val="1"/>
                <w:bCs w:val="1"/>
                <w:color w:val="auto"/>
              </w:rPr>
              <w:t>Activities to Free Cash Flow</w:t>
            </w:r>
          </w:p>
        </w:tc>
        <w:tc>
          <w:tcPr>
            <w:tcW w:w="1160" w:type="dxa"/>
            <w:vAlign w:val="bottom"/>
            <w:shd w:val="clear" w:color="auto" w:fill="DCE2EF"/>
          </w:tcPr>
          <w:p>
            <w:pPr>
              <w:spacing w:after="0"/>
              <w:rPr>
                <w:sz w:val="19"/>
                <w:szCs w:val="19"/>
                <w:color w:val="auto"/>
              </w:rPr>
            </w:pPr>
          </w:p>
        </w:tc>
        <w:tc>
          <w:tcPr>
            <w:tcW w:w="520" w:type="dxa"/>
            <w:vAlign w:val="bottom"/>
            <w:shd w:val="clear" w:color="auto" w:fill="DCE2EF"/>
          </w:tcPr>
          <w:p>
            <w:pPr>
              <w:spacing w:after="0"/>
              <w:rPr>
                <w:sz w:val="19"/>
                <w:szCs w:val="19"/>
                <w:color w:val="auto"/>
              </w:rPr>
            </w:pPr>
          </w:p>
        </w:tc>
        <w:tc>
          <w:tcPr>
            <w:tcW w:w="220" w:type="dxa"/>
            <w:vAlign w:val="bottom"/>
            <w:shd w:val="clear" w:color="auto" w:fill="DCE2EF"/>
          </w:tcPr>
          <w:p>
            <w:pPr>
              <w:spacing w:after="0"/>
              <w:rPr>
                <w:sz w:val="19"/>
                <w:szCs w:val="19"/>
                <w:color w:val="auto"/>
              </w:rPr>
            </w:pPr>
          </w:p>
        </w:tc>
        <w:tc>
          <w:tcPr>
            <w:tcW w:w="1020" w:type="dxa"/>
            <w:vAlign w:val="bottom"/>
            <w:shd w:val="clear" w:color="auto" w:fill="DCE2EF"/>
          </w:tcPr>
          <w:p>
            <w:pPr>
              <w:spacing w:after="0"/>
              <w:rPr>
                <w:sz w:val="19"/>
                <w:szCs w:val="19"/>
                <w:color w:val="auto"/>
              </w:rPr>
            </w:pPr>
          </w:p>
        </w:tc>
        <w:tc>
          <w:tcPr>
            <w:tcW w:w="160" w:type="dxa"/>
            <w:vAlign w:val="bottom"/>
            <w:shd w:val="clear" w:color="auto" w:fill="DCE2EF"/>
          </w:tcPr>
          <w:p>
            <w:pPr>
              <w:spacing w:after="0"/>
              <w:rPr>
                <w:sz w:val="19"/>
                <w:szCs w:val="19"/>
                <w:color w:val="auto"/>
              </w:rPr>
            </w:pPr>
          </w:p>
        </w:tc>
        <w:tc>
          <w:tcPr>
            <w:tcW w:w="500" w:type="dxa"/>
            <w:vAlign w:val="bottom"/>
            <w:shd w:val="clear" w:color="auto" w:fill="DCE2EF"/>
          </w:tcPr>
          <w:p>
            <w:pPr>
              <w:spacing w:after="0"/>
              <w:rPr>
                <w:sz w:val="19"/>
                <w:szCs w:val="19"/>
                <w:color w:val="auto"/>
              </w:rPr>
            </w:pPr>
          </w:p>
        </w:tc>
        <w:tc>
          <w:tcPr>
            <w:tcW w:w="200" w:type="dxa"/>
            <w:vAlign w:val="bottom"/>
            <w:shd w:val="clear" w:color="auto" w:fill="DCE2EF"/>
          </w:tcPr>
          <w:p>
            <w:pPr>
              <w:spacing w:after="0"/>
              <w:rPr>
                <w:sz w:val="19"/>
                <w:szCs w:val="19"/>
                <w:color w:val="auto"/>
              </w:rPr>
            </w:pPr>
          </w:p>
        </w:tc>
        <w:tc>
          <w:tcPr>
            <w:tcW w:w="880" w:type="dxa"/>
            <w:vAlign w:val="bottom"/>
            <w:shd w:val="clear" w:color="auto" w:fill="DCE2EF"/>
          </w:tcPr>
          <w:p>
            <w:pPr>
              <w:spacing w:after="0"/>
              <w:rPr>
                <w:sz w:val="19"/>
                <w:szCs w:val="19"/>
                <w:color w:val="auto"/>
              </w:rPr>
            </w:pPr>
          </w:p>
        </w:tc>
        <w:tc>
          <w:tcPr>
            <w:tcW w:w="440" w:type="dxa"/>
            <w:vAlign w:val="bottom"/>
            <w:shd w:val="clear" w:color="auto" w:fill="DCE2EF"/>
          </w:tcPr>
          <w:p>
            <w:pPr>
              <w:spacing w:after="0"/>
              <w:rPr>
                <w:sz w:val="19"/>
                <w:szCs w:val="19"/>
                <w:color w:val="auto"/>
              </w:rPr>
            </w:pPr>
          </w:p>
        </w:tc>
        <w:tc>
          <w:tcPr>
            <w:tcW w:w="220" w:type="dxa"/>
            <w:vAlign w:val="bottom"/>
            <w:shd w:val="clear" w:color="auto" w:fill="DCE2EF"/>
          </w:tcPr>
          <w:p>
            <w:pPr>
              <w:spacing w:after="0"/>
              <w:rPr>
                <w:sz w:val="19"/>
                <w:szCs w:val="19"/>
                <w:color w:val="auto"/>
              </w:rPr>
            </w:pPr>
          </w:p>
        </w:tc>
        <w:tc>
          <w:tcPr>
            <w:tcW w:w="860" w:type="dxa"/>
            <w:vAlign w:val="bottom"/>
            <w:shd w:val="clear" w:color="auto" w:fill="DCE2EF"/>
          </w:tcPr>
          <w:p>
            <w:pPr>
              <w:spacing w:after="0"/>
              <w:rPr>
                <w:sz w:val="19"/>
                <w:szCs w:val="19"/>
                <w:color w:val="auto"/>
              </w:rPr>
            </w:pPr>
          </w:p>
        </w:tc>
        <w:tc>
          <w:tcPr>
            <w:tcW w:w="460" w:type="dxa"/>
            <w:vAlign w:val="bottom"/>
            <w:shd w:val="clear" w:color="auto" w:fill="DCE2EF"/>
          </w:tcPr>
          <w:p>
            <w:pPr>
              <w:spacing w:after="0"/>
              <w:rPr>
                <w:sz w:val="19"/>
                <w:szCs w:val="19"/>
                <w:color w:val="auto"/>
              </w:rPr>
            </w:pPr>
          </w:p>
        </w:tc>
      </w:tr>
      <w:tr>
        <w:trPr>
          <w:trHeight w:val="253"/>
        </w:trPr>
        <w:tc>
          <w:tcPr>
            <w:tcW w:w="4480" w:type="dxa"/>
            <w:vAlign w:val="bottom"/>
          </w:tcPr>
          <w:p>
            <w:pPr>
              <w:ind w:left="60"/>
              <w:spacing w:after="0"/>
              <w:rPr>
                <w:sz w:val="20"/>
                <w:szCs w:val="20"/>
                <w:color w:val="auto"/>
              </w:rPr>
            </w:pPr>
            <w:r>
              <w:rPr>
                <w:rFonts w:ascii="Arial" w:cs="Arial" w:eastAsia="Arial" w:hAnsi="Arial"/>
                <w:sz w:val="15"/>
                <w:szCs w:val="15"/>
                <w:color w:val="auto"/>
              </w:rPr>
              <w:t>Net cash provided by operating activities</w:t>
            </w:r>
          </w:p>
        </w:tc>
        <w:tc>
          <w:tcPr>
            <w:tcW w:w="11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175.0</w:t>
            </w: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79.5</w:t>
            </w:r>
          </w:p>
        </w:tc>
        <w:tc>
          <w:tcPr>
            <w:tcW w:w="1080" w:type="dxa"/>
            <w:vAlign w:val="bottom"/>
            <w:gridSpan w:val="2"/>
          </w:tcPr>
          <w:p>
            <w:pPr>
              <w:jc w:val="right"/>
              <w:ind w:right="144"/>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101.0</w:t>
            </w: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196.3</w:t>
            </w:r>
          </w:p>
        </w:tc>
      </w:tr>
      <w:tr>
        <w:trPr>
          <w:trHeight w:val="257"/>
        </w:trPr>
        <w:tc>
          <w:tcPr>
            <w:tcW w:w="4480" w:type="dxa"/>
            <w:vAlign w:val="bottom"/>
            <w:tcBorders>
              <w:bottom w:val="single" w:sz="8" w:color="DCE2EF"/>
            </w:tcBorders>
            <w:shd w:val="clear" w:color="auto" w:fill="DCE2EF"/>
          </w:tcPr>
          <w:p>
            <w:pPr>
              <w:ind w:left="60"/>
              <w:spacing w:after="0"/>
              <w:rPr>
                <w:sz w:val="20"/>
                <w:szCs w:val="20"/>
                <w:color w:val="auto"/>
              </w:rPr>
            </w:pPr>
            <w:r>
              <w:rPr>
                <w:rFonts w:ascii="Arial" w:cs="Arial" w:eastAsia="Arial" w:hAnsi="Arial"/>
                <w:sz w:val="15"/>
                <w:szCs w:val="15"/>
                <w:color w:val="auto"/>
              </w:rPr>
              <w:t>Additions to property, plant and equipment</w:t>
            </w:r>
          </w:p>
        </w:tc>
        <w:tc>
          <w:tcPr>
            <w:tcW w:w="1160" w:type="dxa"/>
            <w:vAlign w:val="bottom"/>
            <w:tcBorders>
              <w:bottom w:val="single" w:sz="8" w:color="auto"/>
            </w:tcBorders>
            <w:shd w:val="clear" w:color="auto" w:fill="DCE2EF"/>
          </w:tcPr>
          <w:p>
            <w:pPr>
              <w:spacing w:after="0"/>
              <w:rPr>
                <w:sz w:val="22"/>
                <w:szCs w:val="22"/>
                <w:color w:val="auto"/>
              </w:rPr>
            </w:pPr>
          </w:p>
        </w:tc>
        <w:tc>
          <w:tcPr>
            <w:tcW w:w="5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(24.8)</w:t>
            </w:r>
          </w:p>
        </w:tc>
        <w:tc>
          <w:tcPr>
            <w:tcW w:w="220" w:type="dxa"/>
            <w:vAlign w:val="bottom"/>
            <w:tcBorders>
              <w:bottom w:val="single" w:sz="8" w:color="DCE2EF"/>
            </w:tcBorders>
            <w:shd w:val="clear" w:color="auto" w:fill="DCE2EF"/>
          </w:tcPr>
          <w:p>
            <w:pPr>
              <w:spacing w:after="0"/>
              <w:rPr>
                <w:sz w:val="22"/>
                <w:szCs w:val="22"/>
                <w:color w:val="auto"/>
              </w:rPr>
            </w:pPr>
          </w:p>
        </w:tc>
        <w:tc>
          <w:tcPr>
            <w:tcW w:w="1020" w:type="dxa"/>
            <w:vAlign w:val="bottom"/>
            <w:tcBorders>
              <w:bottom w:val="single" w:sz="8" w:color="auto"/>
            </w:tcBorders>
            <w:shd w:val="clear" w:color="auto" w:fill="DCE2EF"/>
          </w:tcPr>
          <w:p>
            <w:pPr>
              <w:spacing w:after="0"/>
              <w:rPr>
                <w:sz w:val="22"/>
                <w:szCs w:val="22"/>
                <w:color w:val="auto"/>
              </w:rPr>
            </w:pPr>
          </w:p>
        </w:tc>
        <w:tc>
          <w:tcPr>
            <w:tcW w:w="160" w:type="dxa"/>
            <w:vAlign w:val="bottom"/>
            <w:tcBorders>
              <w:bottom w:val="single" w:sz="8" w:color="auto"/>
            </w:tcBorders>
            <w:shd w:val="clear" w:color="auto" w:fill="DCE2EF"/>
          </w:tcPr>
          <w:p>
            <w:pPr>
              <w:spacing w:after="0"/>
              <w:rPr>
                <w:sz w:val="22"/>
                <w:szCs w:val="22"/>
                <w:color w:val="auto"/>
              </w:rPr>
            </w:pPr>
          </w:p>
        </w:tc>
        <w:tc>
          <w:tcPr>
            <w:tcW w:w="5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(15.4)</w:t>
            </w:r>
          </w:p>
        </w:tc>
        <w:tc>
          <w:tcPr>
            <w:tcW w:w="200" w:type="dxa"/>
            <w:vAlign w:val="bottom"/>
            <w:tcBorders>
              <w:bottom w:val="single" w:sz="8" w:color="DCE2EF"/>
            </w:tcBorders>
            <w:shd w:val="clear" w:color="auto" w:fill="DCE2EF"/>
          </w:tcPr>
          <w:p>
            <w:pPr>
              <w:spacing w:after="0"/>
              <w:rPr>
                <w:sz w:val="22"/>
                <w:szCs w:val="22"/>
                <w:color w:val="auto"/>
              </w:rPr>
            </w:pPr>
          </w:p>
        </w:tc>
        <w:tc>
          <w:tcPr>
            <w:tcW w:w="880" w:type="dxa"/>
            <w:vAlign w:val="bottom"/>
            <w:tcBorders>
              <w:bottom w:val="single" w:sz="8" w:color="auto"/>
            </w:tcBorders>
            <w:shd w:val="clear" w:color="auto" w:fill="DCE2EF"/>
          </w:tcPr>
          <w:p>
            <w:pPr>
              <w:spacing w:after="0"/>
              <w:rPr>
                <w:sz w:val="22"/>
                <w:szCs w:val="22"/>
                <w:color w:val="auto"/>
              </w:rPr>
            </w:pPr>
          </w:p>
        </w:tc>
        <w:tc>
          <w:tcPr>
            <w:tcW w:w="4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(58.6)</w:t>
            </w:r>
          </w:p>
        </w:tc>
        <w:tc>
          <w:tcPr>
            <w:tcW w:w="220" w:type="dxa"/>
            <w:vAlign w:val="bottom"/>
            <w:tcBorders>
              <w:bottom w:val="single" w:sz="8" w:color="DCE2EF"/>
            </w:tcBorders>
            <w:shd w:val="clear" w:color="auto" w:fill="DCE2EF"/>
          </w:tcPr>
          <w:p>
            <w:pPr>
              <w:spacing w:after="0"/>
              <w:rPr>
                <w:sz w:val="22"/>
                <w:szCs w:val="22"/>
                <w:color w:val="auto"/>
              </w:rPr>
            </w:pPr>
          </w:p>
        </w:tc>
        <w:tc>
          <w:tcPr>
            <w:tcW w:w="860" w:type="dxa"/>
            <w:vAlign w:val="bottom"/>
            <w:tcBorders>
              <w:bottom w:val="single" w:sz="8" w:color="auto"/>
            </w:tcBorders>
            <w:shd w:val="clear" w:color="auto" w:fill="DCE2EF"/>
          </w:tcPr>
          <w:p>
            <w:pPr>
              <w:spacing w:after="0"/>
              <w:rPr>
                <w:sz w:val="22"/>
                <w:szCs w:val="22"/>
                <w:color w:val="auto"/>
              </w:rPr>
            </w:pPr>
          </w:p>
        </w:tc>
        <w:tc>
          <w:tcPr>
            <w:tcW w:w="4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(44.6)</w:t>
            </w:r>
          </w:p>
        </w:tc>
      </w:tr>
      <w:tr>
        <w:trPr>
          <w:trHeight w:val="233"/>
        </w:trPr>
        <w:tc>
          <w:tcPr>
            <w:tcW w:w="4480" w:type="dxa"/>
            <w:vAlign w:val="bottom"/>
          </w:tcPr>
          <w:p>
            <w:pPr>
              <w:ind w:left="60"/>
              <w:spacing w:after="0"/>
              <w:rPr>
                <w:sz w:val="20"/>
                <w:szCs w:val="20"/>
                <w:color w:val="auto"/>
              </w:rPr>
            </w:pPr>
            <w:r>
              <w:rPr>
                <w:rFonts w:ascii="Arial" w:cs="Arial" w:eastAsia="Arial" w:hAnsi="Arial"/>
                <w:sz w:val="15"/>
                <w:szCs w:val="15"/>
                <w:color w:val="auto"/>
              </w:rPr>
              <w:t>Free cash flow</w:t>
            </w:r>
          </w:p>
        </w:tc>
        <w:tc>
          <w:tcPr>
            <w:tcW w:w="11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150.2</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64.1</w:t>
            </w:r>
          </w:p>
        </w:tc>
        <w:tc>
          <w:tcPr>
            <w:tcW w:w="1080" w:type="dxa"/>
            <w:vAlign w:val="bottom"/>
            <w:gridSpan w:val="2"/>
          </w:tcPr>
          <w:p>
            <w:pPr>
              <w:jc w:val="right"/>
              <w:ind w:right="44"/>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42.4</w:t>
            </w: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151.8</w:t>
            </w:r>
          </w:p>
        </w:tc>
      </w:tr>
      <w:tr>
        <w:trPr>
          <w:trHeight w:val="27"/>
        </w:trPr>
        <w:tc>
          <w:tcPr>
            <w:tcW w:w="4480" w:type="dxa"/>
            <w:vAlign w:val="bottom"/>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-790575</wp:posOffset>
            </wp:positionV>
            <wp:extent cx="137160" cy="114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-790575</wp:posOffset>
            </wp:positionV>
            <wp:extent cx="137160" cy="114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-790575</wp:posOffset>
            </wp:positionV>
            <wp:extent cx="137160" cy="114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-199390</wp:posOffset>
            </wp:positionV>
            <wp:extent cx="137160" cy="114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-199390</wp:posOffset>
            </wp:positionV>
            <wp:extent cx="137160" cy="114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-199390</wp:posOffset>
            </wp:positionV>
            <wp:extent cx="137160" cy="114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7160" cy="11430"/>
                    </a:xfrm>
                    <a:prstGeom prst="rect">
                      <a:avLst/>
                    </a:prstGeom>
                    <a:noFill/>
                  </pic:spPr>
                </pic:pic>
              </a:graphicData>
            </a:graphic>
          </wp:anchor>
        </w:drawing>
      </w:r>
    </w:p>
    <w:p>
      <w:pPr>
        <w:spacing w:after="0" w:line="80" w:lineRule="exact"/>
        <w:rPr>
          <w:sz w:val="20"/>
          <w:szCs w:val="20"/>
          <w:color w:val="auto"/>
        </w:rPr>
      </w:pPr>
    </w:p>
    <w:p>
      <w:pPr>
        <w:ind w:left="120" w:hanging="112"/>
        <w:spacing w:after="0"/>
        <w:tabs>
          <w:tab w:leader="none" w:pos="120" w:val="left"/>
        </w:tabs>
        <w:numPr>
          <w:ilvl w:val="0"/>
          <w:numId w:val="13"/>
        </w:numPr>
        <w:rPr>
          <w:rFonts w:ascii="Arial" w:cs="Arial" w:eastAsia="Arial" w:hAnsi="Arial"/>
          <w:sz w:val="13"/>
          <w:szCs w:val="13"/>
          <w:color w:val="auto"/>
          <w:vertAlign w:val="superscript"/>
        </w:rPr>
      </w:pPr>
      <w:r>
        <w:rPr>
          <w:rFonts w:ascii="Arial" w:cs="Arial" w:eastAsia="Arial" w:hAnsi="Arial"/>
          <w:sz w:val="10"/>
          <w:szCs w:val="10"/>
          <w:color w:val="auto"/>
        </w:rPr>
        <w:t>The Company adjusts income to exclude the impact of certain items that are unusual, non-recurring, or otherwise do not reflect management's views of the underlying operational results and trends of the Company.</w:t>
      </w:r>
    </w:p>
    <w:p>
      <w:pPr>
        <w:spacing w:after="0" w:line="93" w:lineRule="exact"/>
        <w:rPr>
          <w:rFonts w:ascii="Arial" w:cs="Arial" w:eastAsia="Arial" w:hAnsi="Arial"/>
          <w:sz w:val="13"/>
          <w:szCs w:val="13"/>
          <w:color w:val="auto"/>
          <w:vertAlign w:val="superscript"/>
        </w:rPr>
      </w:pPr>
    </w:p>
    <w:p>
      <w:pPr>
        <w:jc w:val="both"/>
        <w:ind w:firstLine="8"/>
        <w:spacing w:after="0" w:line="274" w:lineRule="auto"/>
        <w:tabs>
          <w:tab w:leader="none" w:pos="117" w:val="left"/>
        </w:tabs>
        <w:numPr>
          <w:ilvl w:val="0"/>
          <w:numId w:val="13"/>
        </w:numPr>
        <w:rPr>
          <w:rFonts w:ascii="Arial" w:cs="Arial" w:eastAsia="Arial" w:hAnsi="Arial"/>
          <w:sz w:val="13"/>
          <w:szCs w:val="13"/>
          <w:color w:val="auto"/>
          <w:vertAlign w:val="superscript"/>
        </w:rPr>
      </w:pPr>
      <w:r>
        <w:rPr>
          <w:rFonts w:ascii="Arial" w:cs="Arial" w:eastAsia="Arial" w:hAnsi="Arial"/>
          <w:sz w:val="10"/>
          <w:szCs w:val="10"/>
          <w:color w:val="auto"/>
        </w:rPr>
        <w:t>After communications with the staff of the Securities and Exchange Commission, we have revised the definition of our non-GAAP financial measures—including adjusted net income, adjusted earnings per share, adjusted EBITDA, and adjusted EBITDA margin—to no longer exclude the positive or negative impact of “prior year self-insurance adjustments”. Prior year self-insurance adjustments reflect the net changes to our self-insurance reserves for our general liability, workers’ compensation, automobile, and health insurance programs, related to claims from incidents that occurred in previous years. This definitional change has been applied to our third quarter 2025 results and retroactively to all presented periods to ensure comparability.</w:t>
      </w:r>
    </w:p>
    <w:p>
      <w:pPr>
        <w:spacing w:after="0" w:line="214" w:lineRule="exact"/>
        <w:rPr>
          <w:rFonts w:ascii="Arial" w:cs="Arial" w:eastAsia="Arial" w:hAnsi="Arial"/>
          <w:sz w:val="13"/>
          <w:szCs w:val="13"/>
          <w:color w:val="auto"/>
          <w:vertAlign w:val="superscript"/>
        </w:rPr>
      </w:pPr>
    </w:p>
    <w:p>
      <w:pPr>
        <w:ind w:left="120" w:hanging="112"/>
        <w:spacing w:after="0"/>
        <w:tabs>
          <w:tab w:leader="none" w:pos="120" w:val="left"/>
        </w:tabs>
        <w:numPr>
          <w:ilvl w:val="0"/>
          <w:numId w:val="13"/>
        </w:numPr>
        <w:rPr>
          <w:rFonts w:ascii="Arial" w:cs="Arial" w:eastAsia="Arial" w:hAnsi="Arial"/>
          <w:sz w:val="13"/>
          <w:szCs w:val="13"/>
          <w:color w:val="auto"/>
          <w:vertAlign w:val="superscript"/>
        </w:rPr>
      </w:pPr>
      <w:r>
        <w:rPr>
          <w:rFonts w:ascii="Arial" w:cs="Arial" w:eastAsia="Arial" w:hAnsi="Arial"/>
          <w:sz w:val="10"/>
          <w:szCs w:val="10"/>
          <w:color w:val="auto"/>
        </w:rPr>
        <w:t>Represents acquisition and integration related costs associated with recent acquisitions.</w:t>
      </w:r>
    </w:p>
    <w:p>
      <w:pPr>
        <w:spacing w:after="0" w:line="93" w:lineRule="exact"/>
        <w:rPr>
          <w:rFonts w:ascii="Arial" w:cs="Arial" w:eastAsia="Arial" w:hAnsi="Arial"/>
          <w:sz w:val="13"/>
          <w:szCs w:val="13"/>
          <w:color w:val="auto"/>
          <w:vertAlign w:val="superscript"/>
        </w:rPr>
      </w:pPr>
    </w:p>
    <w:p>
      <w:pPr>
        <w:jc w:val="both"/>
        <w:ind w:firstLine="8"/>
        <w:spacing w:after="0" w:line="439" w:lineRule="auto"/>
        <w:tabs>
          <w:tab w:leader="none" w:pos="117" w:val="left"/>
        </w:tabs>
        <w:numPr>
          <w:ilvl w:val="0"/>
          <w:numId w:val="13"/>
        </w:numPr>
        <w:rPr>
          <w:rFonts w:ascii="Arial" w:cs="Arial" w:eastAsia="Arial" w:hAnsi="Arial"/>
          <w:sz w:val="13"/>
          <w:szCs w:val="13"/>
          <w:color w:val="auto"/>
          <w:vertAlign w:val="superscript"/>
        </w:rPr>
      </w:pPr>
      <w:r>
        <w:rPr>
          <w:rFonts w:ascii="Arial" w:cs="Arial" w:eastAsia="Arial" w:hAnsi="Arial"/>
          <w:sz w:val="10"/>
          <w:szCs w:val="10"/>
          <w:color w:val="auto"/>
        </w:rPr>
        <w:t>Represents discrete transformational costs that primarily consist of general and administrative costs for developing technological needs and alternatives, project management, testing, training and data conversion, consulting and professional fees for i) new enterprise resource planning system, ii) client facing technology, iii) workforce management tools and iv) data analytics. These costs are not expected to recur beyond the deployment of these initiatives.</w:t>
      </w:r>
    </w:p>
    <w:p>
      <w:pPr>
        <w:spacing w:after="0" w:line="29" w:lineRule="exact"/>
        <w:rPr>
          <w:rFonts w:ascii="Arial" w:cs="Arial" w:eastAsia="Arial" w:hAnsi="Arial"/>
          <w:sz w:val="13"/>
          <w:szCs w:val="13"/>
          <w:color w:val="auto"/>
          <w:vertAlign w:val="superscript"/>
        </w:rPr>
      </w:pPr>
    </w:p>
    <w:p>
      <w:pPr>
        <w:ind w:left="120" w:hanging="112"/>
        <w:spacing w:after="0"/>
        <w:tabs>
          <w:tab w:leader="none" w:pos="120" w:val="left"/>
        </w:tabs>
        <w:numPr>
          <w:ilvl w:val="0"/>
          <w:numId w:val="13"/>
        </w:numPr>
        <w:rPr>
          <w:rFonts w:ascii="Arial" w:cs="Arial" w:eastAsia="Arial" w:hAnsi="Arial"/>
          <w:sz w:val="13"/>
          <w:szCs w:val="13"/>
          <w:color w:val="auto"/>
          <w:vertAlign w:val="superscript"/>
        </w:rPr>
      </w:pPr>
      <w:r>
        <w:rPr>
          <w:rFonts w:ascii="Arial" w:cs="Arial" w:eastAsia="Arial" w:hAnsi="Arial"/>
          <w:sz w:val="10"/>
          <w:szCs w:val="10"/>
          <w:color w:val="auto"/>
        </w:rPr>
        <w:t>Represents an adjustment to the estimate of the fair value of the contingent consideration associated with the RavenVolt acquisition.</w:t>
      </w:r>
    </w:p>
    <w:p>
      <w:pPr>
        <w:spacing w:after="0" w:line="93" w:lineRule="exact"/>
        <w:rPr>
          <w:rFonts w:ascii="Arial" w:cs="Arial" w:eastAsia="Arial" w:hAnsi="Arial"/>
          <w:sz w:val="13"/>
          <w:szCs w:val="13"/>
          <w:color w:val="auto"/>
          <w:vertAlign w:val="superscript"/>
        </w:rPr>
      </w:pPr>
    </w:p>
    <w:p>
      <w:pPr>
        <w:ind w:firstLine="8"/>
        <w:spacing w:after="0" w:line="213" w:lineRule="auto"/>
        <w:tabs>
          <w:tab w:leader="none" w:pos="109" w:val="left"/>
        </w:tabs>
        <w:numPr>
          <w:ilvl w:val="0"/>
          <w:numId w:val="13"/>
        </w:numPr>
        <w:rPr>
          <w:rFonts w:ascii="Arial" w:cs="Arial" w:eastAsia="Arial" w:hAnsi="Arial"/>
          <w:sz w:val="16"/>
          <w:szCs w:val="16"/>
          <w:color w:val="auto"/>
          <w:vertAlign w:val="superscript"/>
        </w:rPr>
      </w:pPr>
      <w:r>
        <w:rPr>
          <w:rFonts w:ascii="Arial" w:cs="Arial" w:eastAsia="Arial" w:hAnsi="Arial"/>
          <w:sz w:val="12"/>
          <w:szCs w:val="12"/>
          <w:color w:val="auto"/>
        </w:rPr>
        <w:t>Nine months ended July 31, 2025 include a parking tax audit settlement related to prior years. The three and nine months ended July 31, 2024 primarily represents severance costs related to the permanent elimination of the role of Executive Vice President, Chief Strategy &amp; Transformation Officer.</w:t>
      </w:r>
    </w:p>
    <w:p>
      <w:pPr>
        <w:spacing w:after="0" w:line="92" w:lineRule="exact"/>
        <w:rPr>
          <w:rFonts w:ascii="Arial" w:cs="Arial" w:eastAsia="Arial" w:hAnsi="Arial"/>
          <w:sz w:val="16"/>
          <w:szCs w:val="16"/>
          <w:color w:val="auto"/>
          <w:vertAlign w:val="superscript"/>
        </w:rPr>
      </w:pPr>
    </w:p>
    <w:p>
      <w:pPr>
        <w:ind w:firstLine="8"/>
        <w:spacing w:after="0" w:line="286" w:lineRule="auto"/>
        <w:tabs>
          <w:tab w:leader="none" w:pos="117" w:val="left"/>
        </w:tabs>
        <w:numPr>
          <w:ilvl w:val="0"/>
          <w:numId w:val="13"/>
        </w:numPr>
        <w:rPr>
          <w:rFonts w:ascii="Arial" w:cs="Arial" w:eastAsia="Arial" w:hAnsi="Arial"/>
          <w:sz w:val="13"/>
          <w:szCs w:val="13"/>
          <w:color w:val="auto"/>
          <w:vertAlign w:val="superscript"/>
        </w:rPr>
      </w:pPr>
      <w:r>
        <w:rPr>
          <w:rFonts w:ascii="Arial" w:cs="Arial" w:eastAsia="Arial" w:hAnsi="Arial"/>
          <w:sz w:val="10"/>
          <w:szCs w:val="10"/>
          <w:color w:val="auto"/>
        </w:rPr>
        <w:t>The Company's tax impact is calculated using the federal and state statutory rate of 28.11% for FY2025 and FY2024. We calculate tax from the underlying whole-dollar amounts, as a result, certain amounts may not recalculate based on reported numbers due to rounding.</w:t>
      </w:r>
    </w:p>
    <w:p>
      <w:pPr>
        <w:spacing w:after="0" w:line="62" w:lineRule="exact"/>
        <w:rPr>
          <w:rFonts w:ascii="Arial" w:cs="Arial" w:eastAsia="Arial" w:hAnsi="Arial"/>
          <w:sz w:val="13"/>
          <w:szCs w:val="13"/>
          <w:color w:val="auto"/>
          <w:vertAlign w:val="superscript"/>
        </w:rPr>
      </w:pPr>
    </w:p>
    <w:p>
      <w:pPr>
        <w:ind w:firstLine="8"/>
        <w:spacing w:after="0" w:line="286" w:lineRule="auto"/>
        <w:tabs>
          <w:tab w:leader="none" w:pos="117" w:val="left"/>
        </w:tabs>
        <w:numPr>
          <w:ilvl w:val="0"/>
          <w:numId w:val="13"/>
        </w:numPr>
        <w:rPr>
          <w:rFonts w:ascii="Arial" w:cs="Arial" w:eastAsia="Arial" w:hAnsi="Arial"/>
          <w:sz w:val="13"/>
          <w:szCs w:val="13"/>
          <w:color w:val="auto"/>
          <w:vertAlign w:val="superscript"/>
        </w:rPr>
      </w:pPr>
      <w:r>
        <w:rPr>
          <w:rFonts w:ascii="Arial" w:cs="Arial" w:eastAsia="Arial" w:hAnsi="Arial"/>
          <w:sz w:val="10"/>
          <w:szCs w:val="10"/>
          <w:color w:val="auto"/>
        </w:rPr>
        <w:t>The three and nine months ended July 31, 2025 include a $0.1 million charge related to ERC refunds received from IRS. The nine months ended July 31, 2025 and 2024 include a $0.1 million and $0.3 million benefit for uncertain tax positions with expiring statues.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19" w:name="page20"/>
    <w:bookmarkEnd w:id="1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212"/>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2025-09-05T06:06:56Z</dcterms:created>
  <dcterms:modified xsi:type="dcterms:W3CDTF">2025-09-05T06:06:56Z</dcterms:modified>
</cp:coreProperties>
</file>