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99"/>
        <w:spacing w:after="0"/>
        <w:rPr>
          <w:sz w:val="20"/>
          <w:szCs w:val="20"/>
          <w:color w:val="auto"/>
        </w:rPr>
      </w:pPr>
      <w:r>
        <w:rPr>
          <w:rFonts w:ascii="Arial" w:cs="Arial" w:eastAsia="Arial" w:hAnsi="Arial"/>
          <w:sz w:val="22"/>
          <w:szCs w:val="22"/>
          <w:b w:val="1"/>
          <w:bCs w:val="1"/>
          <w:color w:val="auto"/>
        </w:rPr>
        <w:t>(Amendment No. 10)</w:t>
      </w:r>
    </w:p>
    <w:p>
      <w:pPr>
        <w:spacing w:after="0" w:line="289"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Janet McCloud, Esq.</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Glaser, Weil, Fink, Jacobs, Howard &amp; Shapiro,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10250 Constellation Blvd., 19</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Los Angeles, CA 90067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(310) 553-3000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February 28,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54"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right="220"/>
        <w:spacing w:after="0" w:line="275"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19" w:right="319" w:bottom="1440" w:gutter="0" w:footer="0" w:header="0"/>
        </w:sectPr>
      </w:pPr>
    </w:p>
    <w:bookmarkStart w:id="1" w:name="page2"/>
    <w:bookmarkEnd w:id="1"/>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91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5591175"/>
                    </a:xfrm>
                    <a:prstGeom prst="rect">
                      <a:avLst/>
                    </a:prstGeom>
                    <a:noFill/>
                  </pic:spPr>
                </pic:pic>
              </a:graphicData>
            </a:graphic>
          </wp:anchor>
        </w:drawing>
        <w:t>CUSIP No. 000957100</w:t>
      </w:r>
    </w:p>
    <w:p>
      <w:pPr>
        <w:spacing w:after="0" w:line="239" w:lineRule="exact"/>
        <w:rPr>
          <w:sz w:val="20"/>
          <w:szCs w:val="20"/>
          <w:color w:val="auto"/>
        </w:rPr>
      </w:pPr>
    </w:p>
    <w:p>
      <w:pPr>
        <w:ind w:left="220"/>
        <w:spacing w:after="0"/>
        <w:tabs>
          <w:tab w:leader="none" w:pos="4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 I.R.S. Identification Nos. of above persons (entities only).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THE THEODORE ROSENBERG TRUST</w:t>
            </w:r>
          </w:p>
        </w:tc>
        <w:tc>
          <w:tcPr>
            <w:tcW w:w="0" w:type="dxa"/>
            <w:vAlign w:val="bottom"/>
          </w:tcPr>
          <w:p>
            <w:pPr>
              <w:spacing w:after="0"/>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1000" w:type="dxa"/>
            <w:vAlign w:val="bottom"/>
            <w:gridSpan w:val="5"/>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w w:val="99"/>
              </w:rPr>
              <w:t>(b)</w:t>
            </w:r>
          </w:p>
        </w:tc>
        <w:tc>
          <w:tcPr>
            <w:tcW w:w="9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8"/>
        </w:trPr>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120" w:type="dxa"/>
            <w:vAlign w:val="bottom"/>
            <w:gridSpan w:val="4"/>
          </w:tcPr>
          <w:p>
            <w:pPr>
              <w:ind w:left="80"/>
              <w:spacing w:after="0"/>
              <w:rPr>
                <w:sz w:val="20"/>
                <w:szCs w:val="20"/>
                <w:color w:val="auto"/>
              </w:rPr>
            </w:pPr>
            <w:r>
              <w:rPr>
                <w:rFonts w:ascii="Arial" w:cs="Arial" w:eastAsia="Arial" w:hAnsi="Arial"/>
                <w:sz w:val="18"/>
                <w:szCs w:val="18"/>
                <w:color w:val="auto"/>
                <w:w w:val="87"/>
              </w:rPr>
              <w:t>SEC Use Only</w:t>
            </w: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spacing w:after="0"/>
              <w:rPr>
                <w:sz w:val="18"/>
                <w:szCs w:val="18"/>
                <w:color w:val="auto"/>
              </w:rPr>
            </w:pPr>
          </w:p>
        </w:tc>
        <w:tc>
          <w:tcPr>
            <w:tcW w:w="99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100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N/A</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3"/>
                <w:szCs w:val="23"/>
                <w:color w:val="auto"/>
              </w:rPr>
            </w:pPr>
          </w:p>
        </w:tc>
        <w:tc>
          <w:tcPr>
            <w:tcW w:w="11000" w:type="dxa"/>
            <w:vAlign w:val="bottom"/>
            <w:gridSpan w:val="5"/>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spacing w:after="0"/>
              <w:rPr>
                <w:sz w:val="13"/>
                <w:szCs w:val="13"/>
                <w:color w:val="auto"/>
              </w:rPr>
            </w:pPr>
          </w:p>
        </w:tc>
        <w:tc>
          <w:tcPr>
            <w:tcW w:w="996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100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08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Number of</w:t>
            </w:r>
          </w:p>
        </w:tc>
        <w:tc>
          <w:tcPr>
            <w:tcW w:w="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880" w:type="dxa"/>
            <w:vAlign w:val="bottom"/>
            <w:vMerge w:val="restart"/>
          </w:tcPr>
          <w:p>
            <w:pPr>
              <w:spacing w:after="0"/>
              <w:rPr>
                <w:sz w:val="20"/>
                <w:szCs w:val="20"/>
                <w:color w:val="auto"/>
              </w:rPr>
            </w:pPr>
            <w:r>
              <w:rPr>
                <w:rFonts w:ascii="Arial" w:cs="Arial" w:eastAsia="Arial" w:hAnsi="Arial"/>
                <w:sz w:val="22"/>
                <w:szCs w:val="22"/>
                <w:color w:val="auto"/>
              </w:rPr>
              <w:t>4,819,075</w:t>
            </w:r>
          </w:p>
        </w:tc>
        <w:tc>
          <w:tcPr>
            <w:tcW w:w="0" w:type="dxa"/>
            <w:vAlign w:val="bottom"/>
          </w:tcPr>
          <w:p>
            <w:pPr>
              <w:spacing w:after="0"/>
              <w:rPr>
                <w:sz w:val="1"/>
                <w:szCs w:val="1"/>
                <w:color w:val="auto"/>
              </w:rPr>
            </w:pPr>
          </w:p>
        </w:tc>
      </w:tr>
      <w:tr>
        <w:trPr>
          <w:trHeight w:val="211"/>
        </w:trPr>
        <w:tc>
          <w:tcPr>
            <w:tcW w:w="360" w:type="dxa"/>
            <w:vAlign w:val="bottom"/>
          </w:tcPr>
          <w:p>
            <w:pPr>
              <w:spacing w:after="0"/>
              <w:rPr>
                <w:sz w:val="18"/>
                <w:szCs w:val="18"/>
                <w:color w:val="auto"/>
              </w:rPr>
            </w:pPr>
          </w:p>
        </w:tc>
        <w:tc>
          <w:tcPr>
            <w:tcW w:w="72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0"/>
              </w:rPr>
              <w:t>Shares</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080" w:type="dxa"/>
            <w:vAlign w:val="bottom"/>
            <w:tcBorders>
              <w:right w:val="single" w:sz="8" w:color="auto"/>
            </w:tcBorders>
            <w:gridSpan w:val="3"/>
          </w:tcPr>
          <w:p>
            <w:pPr>
              <w:jc w:val="center"/>
              <w:ind w:left="12"/>
              <w:spacing w:after="0" w:line="201" w:lineRule="exact"/>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7"/>
                <w:szCs w:val="17"/>
                <w:color w:val="auto"/>
              </w:rPr>
            </w:pPr>
          </w:p>
        </w:tc>
        <w:tc>
          <w:tcPr>
            <w:tcW w:w="3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c>
          <w:tcPr>
            <w:tcW w:w="9880" w:type="dxa"/>
            <w:vAlign w:val="bottom"/>
          </w:tcPr>
          <w:p>
            <w:pPr>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2"/>
        </w:trPr>
        <w:tc>
          <w:tcPr>
            <w:tcW w:w="108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8"/>
              </w:rPr>
              <w:t>Owned by</w:t>
            </w: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right w:val="single" w:sz="8" w:color="auto"/>
            </w:tcBorders>
          </w:tcPr>
          <w:p>
            <w:pPr>
              <w:jc w:val="center"/>
              <w:ind w:right="205"/>
              <w:spacing w:after="0" w:line="190" w:lineRule="exact"/>
              <w:rPr>
                <w:sz w:val="20"/>
                <w:szCs w:val="20"/>
                <w:color w:val="auto"/>
              </w:rPr>
            </w:pPr>
            <w:r>
              <w:rPr>
                <w:rFonts w:ascii="Arial" w:cs="Arial" w:eastAsia="Arial" w:hAnsi="Arial"/>
                <w:sz w:val="18"/>
                <w:szCs w:val="18"/>
                <w:color w:val="auto"/>
                <w:w w:val="87"/>
              </w:rPr>
              <w:t>Each</w:t>
            </w:r>
          </w:p>
        </w:tc>
        <w:tc>
          <w:tcPr>
            <w:tcW w:w="6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880" w:type="dxa"/>
            <w:vAlign w:val="bottom"/>
          </w:tcPr>
          <w:p>
            <w:pPr>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80" w:type="dxa"/>
            <w:vAlign w:val="bottom"/>
            <w:vMerge w:val="restart"/>
          </w:tcPr>
          <w:p>
            <w:pPr>
              <w:spacing w:after="0"/>
              <w:rPr>
                <w:sz w:val="20"/>
                <w:szCs w:val="20"/>
                <w:color w:val="auto"/>
              </w:rPr>
            </w:pPr>
            <w:r>
              <w:rPr>
                <w:rFonts w:ascii="Arial" w:cs="Arial" w:eastAsia="Arial" w:hAnsi="Arial"/>
                <w:sz w:val="22"/>
                <w:szCs w:val="22"/>
                <w:color w:val="auto"/>
              </w:rPr>
              <w:t>4,819075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20" w:type="dxa"/>
            <w:vAlign w:val="bottom"/>
            <w:tcBorders>
              <w:right w:val="single" w:sz="8" w:color="auto"/>
            </w:tcBorders>
            <w:gridSpan w:val="2"/>
          </w:tcPr>
          <w:p>
            <w:pPr>
              <w:jc w:val="center"/>
              <w:ind w:right="145"/>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60" w:type="dxa"/>
            <w:vAlign w:val="bottom"/>
            <w:tcBorders>
              <w:right w:val="single" w:sz="8" w:color="auto"/>
            </w:tcBorders>
            <w:vMerge w:val="restart"/>
          </w:tcPr>
          <w:p>
            <w:pPr>
              <w:jc w:val="center"/>
              <w:ind w:right="225"/>
              <w:spacing w:after="0"/>
              <w:rPr>
                <w:sz w:val="20"/>
                <w:szCs w:val="20"/>
                <w:color w:val="auto"/>
              </w:rPr>
            </w:pPr>
            <w:r>
              <w:rPr>
                <w:rFonts w:ascii="Arial" w:cs="Arial" w:eastAsia="Arial" w:hAnsi="Arial"/>
                <w:sz w:val="18"/>
                <w:szCs w:val="18"/>
                <w:color w:val="auto"/>
                <w:w w:val="94"/>
              </w:rPr>
              <w:t>With</w:t>
            </w: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66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tcBorders>
            <w:gridSpan w:val="2"/>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right w:val="single" w:sz="8" w:color="auto"/>
            </w:tcBorders>
            <w:gridSpan w:val="2"/>
          </w:tcPr>
          <w:p>
            <w:pPr>
              <w:spacing w:after="0"/>
              <w:rPr>
                <w:sz w:val="18"/>
                <w:szCs w:val="18"/>
                <w:color w:val="auto"/>
              </w:rPr>
            </w:pPr>
          </w:p>
        </w:tc>
        <w:tc>
          <w:tcPr>
            <w:tcW w:w="99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0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93"/>
              </w:rPr>
              <w:t>4,819,075</w:t>
            </w:r>
          </w:p>
        </w:tc>
        <w:tc>
          <w:tcPr>
            <w:tcW w:w="8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3"/>
                <w:szCs w:val="23"/>
                <w:color w:val="auto"/>
              </w:rPr>
            </w:pPr>
          </w:p>
        </w:tc>
        <w:tc>
          <w:tcPr>
            <w:tcW w:w="11000" w:type="dxa"/>
            <w:vAlign w:val="bottom"/>
            <w:gridSpan w:val="5"/>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1100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8"/>
                <w:szCs w:val="18"/>
                <w:color w:val="auto"/>
              </w:rPr>
            </w:pPr>
          </w:p>
        </w:tc>
        <w:tc>
          <w:tcPr>
            <w:tcW w:w="1100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5"/>
              </w:rPr>
              <w:t>9.3% *</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6"/>
                <w:szCs w:val="16"/>
                <w:color w:val="auto"/>
              </w:rPr>
            </w:pPr>
          </w:p>
        </w:tc>
        <w:tc>
          <w:tcPr>
            <w:tcW w:w="11000" w:type="dxa"/>
            <w:vAlign w:val="bottom"/>
            <w:gridSpan w:val="5"/>
          </w:tcPr>
          <w:p>
            <w:pPr>
              <w:ind w:left="80"/>
              <w:spacing w:after="0" w:line="190" w:lineRule="exact"/>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76"/>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680" w:right="2780" w:hanging="5672"/>
        <w:spacing w:after="0" w:line="440" w:lineRule="auto"/>
        <w:tabs>
          <w:tab w:leader="none" w:pos="234"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Percentage calculated on the basis of 51,917,607 shares of common stock issued and outstanding on February 26, 2010. 2</w:t>
      </w:r>
    </w:p>
    <w:p>
      <w:pPr>
        <w:sectPr>
          <w:pgSz w:w="11900" w:h="16838" w:orient="portrait"/>
          <w:cols w:equalWidth="0" w:num="1">
            <w:col w:w="11420"/>
          </w:cols>
          <w:pgMar w:left="240" w:top="293" w:right="239" w:bottom="1440" w:gutter="0" w:footer="0" w:header="0"/>
        </w:sectPr>
      </w:pPr>
    </w:p>
    <w:bookmarkStart w:id="2" w:name="page3"/>
    <w:bookmarkEnd w:id="2"/>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10 amends and supplements the Statement on Schedule 13D dated January 20,1988, of The Theodore Rosenberg Trust (the “Trust”), as amended and supplemented by Amendments No. 1 through No. 9 thereto (collectively, the “Schedule 13D”). Each item below amends and supplements the information disclosed under the corresponding item of the Schedule 13D. Capitalized terms used herein and not otherwise defined in this Amendment No. 10 shall have the meanings set forth in the Schedule 13D.</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Identity and Background.</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Amendment No. 10 to the Schedule 13D is being filed by the Trust, which was formed under the laws of California by Theodore Rosenberg pursuant to a Trust Agreement dated February 28, 1992, as subsequently amended and restated by the April 18, 2008 Amendment and Complete Restatement of The Theodore Rosenberg Trust (as so amended and restated, the “Trust Agreement”). Pursuant to the Trust Agreement, Theodore Rosenberg has been replaced as sole trustee of the Trust by the following trustees: Bank of America, N.A. (“Bank of America”); Martinn H. Mandles; Edward S. Matthews; and Jerold B. Rosenberg (collectively, the “Co-Trustees”). Theodore Rosenberg, sole beneficiary of the Trust, has no voting power or dispositive power over the shares of Common Stock held by the Trust.</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principal business address of the Trust and, with respect to each Co-Trustee, his or its citizenship or State of organization, residence or principal business address and present principal occupation or employment, as well as the name, principal business and address of any corporation or other organization in which such employment is conducted, are set forth on Annex A hereto, and such information is incorporated herein by reference.</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last five years, neither of Messrs. Matthews nor Rosenberg has been (a) convicted in a criminal proceeding (excluding traffic violations and similar misdemeanors) or (b) a party to a civil proceeding of a judicial or administrative body of competent jurisdiction, the result of such proceeding causing Messrs. Matthews or Rosenberg to be subject to a judgment, decree or final order enjoining future violations of, or prohibiting or mandating activities subject to, federal or state securities laws, or a finding of any violation with respect to such laws.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Trust is holding its shares of Common Stock for general investment purposes. It may purchase additional shares of Common Stock in the open market or through privately negotiated transactions, in each case based upon the Trust’s evaluation of the Company’s business, prospects and financial condition, the market for the Common Stock, other business and investment opportunities available to the Trust, general stock market and economic conditions, tax considerations and other future developments. The Trust may decide to sell all or part of its investment in the Common Stock, based upon its evaluation of the foregoing factors.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than as set forth above, the Trust has no present plans or proposals which relate to or would result in any of the following:</w:t>
      </w:r>
    </w:p>
    <w:p>
      <w:pPr>
        <w:spacing w:after="0" w:line="171" w:lineRule="exact"/>
        <w:rPr>
          <w:sz w:val="20"/>
          <w:szCs w:val="20"/>
          <w:color w:val="auto"/>
        </w:rPr>
      </w:pPr>
    </w:p>
    <w:p>
      <w:pPr>
        <w:ind w:left="700" w:hanging="23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Company, or the disposition of securities of the Company;</w:t>
      </w:r>
    </w:p>
    <w:p>
      <w:pPr>
        <w:spacing w:after="0" w:line="171" w:lineRule="exact"/>
        <w:rPr>
          <w:rFonts w:ascii="Arial" w:cs="Arial" w:eastAsia="Arial" w:hAnsi="Arial"/>
          <w:sz w:val="18"/>
          <w:szCs w:val="18"/>
          <w:color w:val="auto"/>
        </w:rPr>
      </w:pPr>
    </w:p>
    <w:p>
      <w:pPr>
        <w:jc w:val="center"/>
        <w:ind w:left="5680" w:right="1040" w:hanging="5216"/>
        <w:spacing w:after="0" w:line="440" w:lineRule="auto"/>
        <w:tabs>
          <w:tab w:leader="none" w:pos="723"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extraordinary corporate transaction, such as a merger, reorganization or liquidation, involving the Company or any of its subsidiaries; 3</w:t>
      </w:r>
    </w:p>
    <w:p>
      <w:pPr>
        <w:sectPr>
          <w:pgSz w:w="11900" w:h="16838" w:orient="portrait"/>
          <w:cols w:equalWidth="0" w:num="1">
            <w:col w:w="11380"/>
          </w:cols>
          <w:pgMar w:left="240" w:top="280" w:right="279" w:bottom="1440" w:gutter="0" w:footer="0" w:header="0"/>
        </w:sectPr>
      </w:pPr>
    </w:p>
    <w:bookmarkStart w:id="3" w:name="page4"/>
    <w:bookmarkEnd w:id="3"/>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sale or transfer of a material amount of assets of the Company or of any of its subsidiaries;</w:t>
      </w:r>
    </w:p>
    <w:p>
      <w:pPr>
        <w:spacing w:after="0" w:line="17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Company, including any plans or proposals to change the number or term of directors or to fill any existing vacancies on the board;</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Company;</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material change in the Company’s business or corporate structure;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Company’s charter or bylaws or other actions which may impede the acquisition of control of the Company by any person;</w:t>
      </w:r>
    </w:p>
    <w:p>
      <w:pPr>
        <w:spacing w:after="0" w:line="194" w:lineRule="exact"/>
        <w:rPr>
          <w:rFonts w:ascii="Arial" w:cs="Arial" w:eastAsia="Arial" w:hAnsi="Arial"/>
          <w:sz w:val="16"/>
          <w:szCs w:val="16"/>
          <w:color w:val="auto"/>
        </w:rPr>
      </w:pPr>
    </w:p>
    <w:p>
      <w:pPr>
        <w:ind w:firstLine="464"/>
        <w:spacing w:after="0" w:line="268"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Causing a class of securities of the Company to be delisted from a national securities exchange or to cease to be authorized to be quoted in an inter-dealer quotation system of a registered national securities association;</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class of equity securities of the Company becoming eligible for termination of registration pursuant to Section 12(g)(4) of the Exchange Act; or</w:t>
      </w:r>
    </w:p>
    <w:p>
      <w:pPr>
        <w:spacing w:after="0" w:line="194" w:lineRule="exact"/>
        <w:rPr>
          <w:rFonts w:ascii="Arial" w:cs="Arial" w:eastAsia="Arial" w:hAnsi="Arial"/>
          <w:sz w:val="16"/>
          <w:szCs w:val="16"/>
          <w:color w:val="auto"/>
        </w:rPr>
      </w:pPr>
    </w:p>
    <w:p>
      <w:pPr>
        <w:ind w:left="680" w:hanging="216"/>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(a)&amp;(b) The Trust and each of the Co-Trustees beneficially owns the number and percentages of the outstanding shares of Common Stock set forth in Annex B hereto (subject to the disclaimers of beneficial ownership set forth in Annex B), and such information is incorporated herein by this reference.</w:t>
      </w:r>
    </w:p>
    <w:p>
      <w:pPr>
        <w:spacing w:after="0" w:line="85" w:lineRule="exact"/>
        <w:rPr>
          <w:sz w:val="20"/>
          <w:szCs w:val="20"/>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240" w:top="280" w:right="5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March 24,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THEODORE ROSENBERG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Bank of America, N.A., Trustee</w:t>
      </w:r>
    </w:p>
    <w:p>
      <w:pPr>
        <w:sectPr>
          <w:pgSz w:w="11900" w:h="16838" w:orient="portrait"/>
          <w:cols w:equalWidth="0" w:num="1">
            <w:col w:w="11420"/>
          </w:cols>
          <w:pgMar w:left="240" w:top="274" w:right="239" w:bottom="1440" w:gutter="0" w:footer="0" w:header="0"/>
        </w:sectPr>
      </w:pP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jc w:val="center"/>
              <w:ind w:right="906"/>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LMA</w:t>
            </w:r>
            <w:r>
              <w:rPr>
                <w:rFonts w:ascii="Arial" w:cs="Arial" w:eastAsia="Arial" w:hAnsi="Arial"/>
                <w:sz w:val="18"/>
                <w:szCs w:val="18"/>
                <w:color w:val="auto"/>
              </w:rPr>
              <w:t xml:space="preserve"> D. B</w:t>
            </w:r>
            <w:r>
              <w:rPr>
                <w:rFonts w:ascii="Arial" w:cs="Arial" w:eastAsia="Arial" w:hAnsi="Arial"/>
                <w:sz w:val="14"/>
                <w:szCs w:val="14"/>
                <w:color w:val="auto"/>
              </w:rPr>
              <w:t>ANUELOS</w:t>
            </w:r>
          </w:p>
        </w:tc>
      </w:tr>
      <w:tr>
        <w:trPr>
          <w:trHeight w:val="265"/>
        </w:trPr>
        <w:tc>
          <w:tcPr>
            <w:tcW w:w="740" w:type="dxa"/>
            <w:vAlign w:val="bottom"/>
          </w:tcPr>
          <w:p>
            <w:pPr>
              <w:spacing w:after="0"/>
              <w:rPr>
                <w:sz w:val="23"/>
                <w:szCs w:val="23"/>
                <w:color w:val="auto"/>
              </w:rPr>
            </w:pPr>
          </w:p>
        </w:tc>
        <w:tc>
          <w:tcPr>
            <w:tcW w:w="2940" w:type="dxa"/>
            <w:vAlign w:val="bottom"/>
          </w:tcPr>
          <w:p>
            <w:pPr>
              <w:jc w:val="center"/>
              <w:ind w:right="626"/>
              <w:spacing w:after="0"/>
              <w:rPr>
                <w:sz w:val="20"/>
                <w:szCs w:val="20"/>
                <w:color w:val="auto"/>
              </w:rPr>
            </w:pPr>
            <w:r>
              <w:rPr>
                <w:rFonts w:ascii="Arial" w:cs="Arial" w:eastAsia="Arial" w:hAnsi="Arial"/>
                <w:sz w:val="14"/>
                <w:szCs w:val="14"/>
                <w:b w:val="1"/>
                <w:bCs w:val="1"/>
                <w:color w:val="auto"/>
                <w:w w:val="87"/>
              </w:rPr>
              <w:t>Alma D. Banuelos</w:t>
            </w:r>
          </w:p>
        </w:tc>
      </w:tr>
      <w:tr>
        <w:trPr>
          <w:trHeight w:val="174"/>
        </w:trPr>
        <w:tc>
          <w:tcPr>
            <w:tcW w:w="740" w:type="dxa"/>
            <w:vAlign w:val="bottom"/>
          </w:tcPr>
          <w:p>
            <w:pPr>
              <w:spacing w:after="0"/>
              <w:rPr>
                <w:sz w:val="15"/>
                <w:szCs w:val="15"/>
                <w:color w:val="auto"/>
              </w:rPr>
            </w:pPr>
          </w:p>
        </w:tc>
        <w:tc>
          <w:tcPr>
            <w:tcW w:w="2940" w:type="dxa"/>
            <w:vAlign w:val="bottom"/>
          </w:tcPr>
          <w:p>
            <w:pPr>
              <w:jc w:val="center"/>
              <w:ind w:right="646"/>
              <w:spacing w:after="0"/>
              <w:rPr>
                <w:sz w:val="20"/>
                <w:szCs w:val="20"/>
                <w:color w:val="auto"/>
              </w:rPr>
            </w:pPr>
            <w:r>
              <w:rPr>
                <w:rFonts w:ascii="Arial" w:cs="Arial" w:eastAsia="Arial" w:hAnsi="Arial"/>
                <w:sz w:val="14"/>
                <w:szCs w:val="14"/>
                <w:b w:val="1"/>
                <w:bCs w:val="1"/>
                <w:color w:val="auto"/>
                <w:w w:val="89"/>
              </w:rPr>
              <w:t>Managing Director</w:t>
            </w:r>
          </w:p>
        </w:tc>
      </w:tr>
      <w:tr>
        <w:trPr>
          <w:trHeight w:val="431"/>
        </w:trPr>
        <w:tc>
          <w:tcPr>
            <w:tcW w:w="740" w:type="dxa"/>
            <w:vAlign w:val="bottom"/>
          </w:tcPr>
          <w:p>
            <w:pPr>
              <w:ind w:left="540"/>
              <w:spacing w:after="0"/>
              <w:rPr>
                <w:sz w:val="20"/>
                <w:szCs w:val="20"/>
                <w:color w:val="auto"/>
              </w:rPr>
            </w:pPr>
            <w:r>
              <w:rPr>
                <w:rFonts w:ascii="Arial" w:cs="Arial" w:eastAsia="Arial" w:hAnsi="Arial"/>
                <w:sz w:val="18"/>
                <w:szCs w:val="18"/>
                <w:color w:val="auto"/>
                <w:w w:val="94"/>
              </w:rPr>
              <w:t>/s/</w:t>
            </w:r>
          </w:p>
        </w:tc>
        <w:tc>
          <w:tcPr>
            <w:tcW w:w="2940" w:type="dxa"/>
            <w:vAlign w:val="bottom"/>
          </w:tcPr>
          <w:p>
            <w:pPr>
              <w:jc w:val="center"/>
              <w:ind w:right="906"/>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ARTINN</w:t>
            </w:r>
            <w:r>
              <w:rPr>
                <w:rFonts w:ascii="Arial" w:cs="Arial" w:eastAsia="Arial" w:hAnsi="Arial"/>
                <w:sz w:val="18"/>
                <w:szCs w:val="18"/>
                <w:color w:val="auto"/>
              </w:rPr>
              <w:t xml:space="preserve"> H. M</w:t>
            </w:r>
            <w:r>
              <w:rPr>
                <w:rFonts w:ascii="Arial" w:cs="Arial" w:eastAsia="Arial" w:hAnsi="Arial"/>
                <w:sz w:val="14"/>
                <w:szCs w:val="14"/>
                <w:color w:val="auto"/>
              </w:rPr>
              <w:t>ANDLES</w:t>
            </w:r>
          </w:p>
        </w:tc>
      </w:tr>
      <w:tr>
        <w:trPr>
          <w:trHeight w:val="286"/>
        </w:trPr>
        <w:tc>
          <w:tcPr>
            <w:tcW w:w="740" w:type="dxa"/>
            <w:vAlign w:val="bottom"/>
          </w:tcPr>
          <w:p>
            <w:pPr>
              <w:spacing w:after="0"/>
              <w:rPr>
                <w:sz w:val="24"/>
                <w:szCs w:val="24"/>
                <w:color w:val="auto"/>
              </w:rPr>
            </w:pPr>
          </w:p>
        </w:tc>
        <w:tc>
          <w:tcPr>
            <w:tcW w:w="2940" w:type="dxa"/>
            <w:vAlign w:val="bottom"/>
          </w:tcPr>
          <w:p>
            <w:pPr>
              <w:jc w:val="center"/>
              <w:ind w:right="966"/>
              <w:spacing w:after="0"/>
              <w:rPr>
                <w:sz w:val="20"/>
                <w:szCs w:val="20"/>
                <w:color w:val="auto"/>
              </w:rPr>
            </w:pPr>
            <w:r>
              <w:rPr>
                <w:rFonts w:ascii="Arial" w:cs="Arial" w:eastAsia="Arial" w:hAnsi="Arial"/>
                <w:sz w:val="14"/>
                <w:szCs w:val="14"/>
                <w:b w:val="1"/>
                <w:bCs w:val="1"/>
                <w:color w:val="auto"/>
                <w:w w:val="91"/>
              </w:rPr>
              <w:t>Martinn H. Mandles</w:t>
            </w:r>
          </w:p>
        </w:tc>
      </w:tr>
      <w:tr>
        <w:trPr>
          <w:trHeight w:val="174"/>
        </w:trPr>
        <w:tc>
          <w:tcPr>
            <w:tcW w:w="740" w:type="dxa"/>
            <w:vAlign w:val="bottom"/>
          </w:tcPr>
          <w:p>
            <w:pPr>
              <w:spacing w:after="0"/>
              <w:rPr>
                <w:sz w:val="15"/>
                <w:szCs w:val="15"/>
                <w:color w:val="auto"/>
              </w:rPr>
            </w:pPr>
          </w:p>
        </w:tc>
        <w:tc>
          <w:tcPr>
            <w:tcW w:w="2940" w:type="dxa"/>
            <w:vAlign w:val="bottom"/>
          </w:tcPr>
          <w:p>
            <w:pPr>
              <w:jc w:val="center"/>
              <w:ind w:right="946"/>
              <w:spacing w:after="0"/>
              <w:rPr>
                <w:sz w:val="20"/>
                <w:szCs w:val="20"/>
                <w:color w:val="auto"/>
              </w:rPr>
            </w:pPr>
            <w:r>
              <w:rPr>
                <w:rFonts w:ascii="Arial" w:cs="Arial" w:eastAsia="Arial" w:hAnsi="Arial"/>
                <w:sz w:val="14"/>
                <w:szCs w:val="14"/>
                <w:b w:val="1"/>
                <w:bCs w:val="1"/>
                <w:color w:val="auto"/>
                <w:w w:val="86"/>
              </w:rPr>
              <w:t>Trustee</w:t>
            </w:r>
          </w:p>
        </w:tc>
      </w:tr>
      <w:tr>
        <w:trPr>
          <w:trHeight w:val="431"/>
        </w:trPr>
        <w:tc>
          <w:tcPr>
            <w:tcW w:w="740" w:type="dxa"/>
            <w:vAlign w:val="bottom"/>
          </w:tcPr>
          <w:p>
            <w:pPr>
              <w:ind w:left="520"/>
              <w:spacing w:after="0"/>
              <w:rPr>
                <w:sz w:val="20"/>
                <w:szCs w:val="20"/>
                <w:color w:val="auto"/>
              </w:rPr>
            </w:pPr>
            <w:r>
              <w:rPr>
                <w:rFonts w:ascii="Arial" w:cs="Arial" w:eastAsia="Arial" w:hAnsi="Arial"/>
                <w:sz w:val="18"/>
                <w:szCs w:val="18"/>
                <w:color w:val="auto"/>
              </w:rPr>
              <w:t>/s/</w:t>
            </w:r>
          </w:p>
        </w:tc>
        <w:tc>
          <w:tcPr>
            <w:tcW w:w="2940" w:type="dxa"/>
            <w:vAlign w:val="bottom"/>
          </w:tcPr>
          <w:p>
            <w:pPr>
              <w:jc w:val="center"/>
              <w:ind w:right="906"/>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DWARD</w:t>
            </w:r>
            <w:r>
              <w:rPr>
                <w:rFonts w:ascii="Arial" w:cs="Arial" w:eastAsia="Arial" w:hAnsi="Arial"/>
                <w:sz w:val="18"/>
                <w:szCs w:val="18"/>
                <w:color w:val="auto"/>
                <w:w w:val="98"/>
              </w:rPr>
              <w:t xml:space="preserve"> S. M</w:t>
            </w:r>
            <w:r>
              <w:rPr>
                <w:rFonts w:ascii="Arial" w:cs="Arial" w:eastAsia="Arial" w:hAnsi="Arial"/>
                <w:sz w:val="14"/>
                <w:szCs w:val="14"/>
                <w:color w:val="auto"/>
                <w:w w:val="98"/>
              </w:rPr>
              <w:t>ATTHEWS</w:t>
            </w:r>
          </w:p>
        </w:tc>
      </w:tr>
      <w:tr>
        <w:trPr>
          <w:trHeight w:val="286"/>
        </w:trPr>
        <w:tc>
          <w:tcPr>
            <w:tcW w:w="740" w:type="dxa"/>
            <w:vAlign w:val="bottom"/>
          </w:tcPr>
          <w:p>
            <w:pPr>
              <w:spacing w:after="0"/>
              <w:rPr>
                <w:sz w:val="24"/>
                <w:szCs w:val="24"/>
                <w:color w:val="auto"/>
              </w:rPr>
            </w:pPr>
          </w:p>
        </w:tc>
        <w:tc>
          <w:tcPr>
            <w:tcW w:w="2940" w:type="dxa"/>
            <w:vAlign w:val="bottom"/>
          </w:tcPr>
          <w:p>
            <w:pPr>
              <w:jc w:val="center"/>
              <w:ind w:right="966"/>
              <w:spacing w:after="0"/>
              <w:rPr>
                <w:sz w:val="20"/>
                <w:szCs w:val="20"/>
                <w:color w:val="auto"/>
              </w:rPr>
            </w:pPr>
            <w:r>
              <w:rPr>
                <w:rFonts w:ascii="Arial" w:cs="Arial" w:eastAsia="Arial" w:hAnsi="Arial"/>
                <w:sz w:val="14"/>
                <w:szCs w:val="14"/>
                <w:b w:val="1"/>
                <w:bCs w:val="1"/>
                <w:color w:val="auto"/>
                <w:w w:val="90"/>
              </w:rPr>
              <w:t>Edward S. Matthews</w:t>
            </w:r>
          </w:p>
        </w:tc>
      </w:tr>
      <w:tr>
        <w:trPr>
          <w:trHeight w:val="174"/>
        </w:trPr>
        <w:tc>
          <w:tcPr>
            <w:tcW w:w="740" w:type="dxa"/>
            <w:vAlign w:val="bottom"/>
          </w:tcPr>
          <w:p>
            <w:pPr>
              <w:spacing w:after="0"/>
              <w:rPr>
                <w:sz w:val="15"/>
                <w:szCs w:val="15"/>
                <w:color w:val="auto"/>
              </w:rPr>
            </w:pPr>
          </w:p>
        </w:tc>
        <w:tc>
          <w:tcPr>
            <w:tcW w:w="2940" w:type="dxa"/>
            <w:vAlign w:val="bottom"/>
          </w:tcPr>
          <w:p>
            <w:pPr>
              <w:jc w:val="center"/>
              <w:ind w:right="946"/>
              <w:spacing w:after="0"/>
              <w:rPr>
                <w:sz w:val="20"/>
                <w:szCs w:val="20"/>
                <w:color w:val="auto"/>
              </w:rPr>
            </w:pPr>
            <w:r>
              <w:rPr>
                <w:rFonts w:ascii="Arial" w:cs="Arial" w:eastAsia="Arial" w:hAnsi="Arial"/>
                <w:sz w:val="14"/>
                <w:szCs w:val="14"/>
                <w:b w:val="1"/>
                <w:bCs w:val="1"/>
                <w:color w:val="auto"/>
                <w:w w:val="86"/>
              </w:rPr>
              <w:t>Trustee</w:t>
            </w:r>
          </w:p>
        </w:tc>
      </w:tr>
      <w:tr>
        <w:trPr>
          <w:trHeight w:val="431"/>
        </w:trPr>
        <w:tc>
          <w:tcPr>
            <w:tcW w:w="740" w:type="dxa"/>
            <w:vAlign w:val="bottom"/>
          </w:tcPr>
          <w:p>
            <w:pPr>
              <w:ind w:left="540"/>
              <w:spacing w:after="0"/>
              <w:rPr>
                <w:sz w:val="20"/>
                <w:szCs w:val="20"/>
                <w:color w:val="auto"/>
              </w:rPr>
            </w:pPr>
            <w:r>
              <w:rPr>
                <w:rFonts w:ascii="Arial" w:cs="Arial" w:eastAsia="Arial" w:hAnsi="Arial"/>
                <w:sz w:val="18"/>
                <w:szCs w:val="18"/>
                <w:color w:val="auto"/>
                <w:w w:val="94"/>
              </w:rPr>
              <w:t>/s/</w:t>
            </w:r>
          </w:p>
        </w:tc>
        <w:tc>
          <w:tcPr>
            <w:tcW w:w="2940" w:type="dxa"/>
            <w:vAlign w:val="bottom"/>
          </w:tcPr>
          <w:p>
            <w:pPr>
              <w:jc w:val="center"/>
              <w:ind w:right="906"/>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EROLD</w:t>
            </w:r>
            <w:r>
              <w:rPr>
                <w:rFonts w:ascii="Arial" w:cs="Arial" w:eastAsia="Arial" w:hAnsi="Arial"/>
                <w:sz w:val="18"/>
                <w:szCs w:val="18"/>
                <w:color w:val="auto"/>
                <w:w w:val="95"/>
              </w:rPr>
              <w:t xml:space="preserve"> B. R</w:t>
            </w:r>
            <w:r>
              <w:rPr>
                <w:rFonts w:ascii="Arial" w:cs="Arial" w:eastAsia="Arial" w:hAnsi="Arial"/>
                <w:sz w:val="14"/>
                <w:szCs w:val="14"/>
                <w:color w:val="auto"/>
                <w:w w:val="95"/>
              </w:rPr>
              <w:t>OSENBERG</w:t>
            </w:r>
          </w:p>
        </w:tc>
      </w:tr>
      <w:tr>
        <w:trPr>
          <w:trHeight w:val="286"/>
        </w:trPr>
        <w:tc>
          <w:tcPr>
            <w:tcW w:w="740" w:type="dxa"/>
            <w:vAlign w:val="bottom"/>
          </w:tcPr>
          <w:p>
            <w:pPr>
              <w:spacing w:after="0"/>
              <w:rPr>
                <w:sz w:val="24"/>
                <w:szCs w:val="24"/>
                <w:color w:val="auto"/>
              </w:rPr>
            </w:pPr>
          </w:p>
        </w:tc>
        <w:tc>
          <w:tcPr>
            <w:tcW w:w="2940" w:type="dxa"/>
            <w:vAlign w:val="bottom"/>
          </w:tcPr>
          <w:p>
            <w:pPr>
              <w:jc w:val="center"/>
              <w:ind w:right="966"/>
              <w:spacing w:after="0"/>
              <w:rPr>
                <w:sz w:val="20"/>
                <w:szCs w:val="20"/>
                <w:color w:val="auto"/>
              </w:rPr>
            </w:pPr>
            <w:r>
              <w:rPr>
                <w:rFonts w:ascii="Arial" w:cs="Arial" w:eastAsia="Arial" w:hAnsi="Arial"/>
                <w:sz w:val="14"/>
                <w:szCs w:val="14"/>
                <w:b w:val="1"/>
                <w:bCs w:val="1"/>
                <w:color w:val="auto"/>
                <w:w w:val="86"/>
              </w:rPr>
              <w:t>Jerold B. Rosenberg</w:t>
            </w:r>
          </w:p>
        </w:tc>
      </w:tr>
      <w:tr>
        <w:trPr>
          <w:trHeight w:val="174"/>
        </w:trPr>
        <w:tc>
          <w:tcPr>
            <w:tcW w:w="740" w:type="dxa"/>
            <w:vAlign w:val="bottom"/>
          </w:tcPr>
          <w:p>
            <w:pPr>
              <w:spacing w:after="0"/>
              <w:rPr>
                <w:sz w:val="15"/>
                <w:szCs w:val="15"/>
                <w:color w:val="auto"/>
              </w:rPr>
            </w:pPr>
          </w:p>
        </w:tc>
        <w:tc>
          <w:tcPr>
            <w:tcW w:w="2940" w:type="dxa"/>
            <w:vAlign w:val="bottom"/>
          </w:tcPr>
          <w:p>
            <w:pPr>
              <w:jc w:val="center"/>
              <w:ind w:right="946"/>
              <w:spacing w:after="0"/>
              <w:rPr>
                <w:sz w:val="20"/>
                <w:szCs w:val="20"/>
                <w:color w:val="auto"/>
              </w:rPr>
            </w:pPr>
            <w:r>
              <w:rPr>
                <w:rFonts w:ascii="Arial" w:cs="Arial" w:eastAsia="Arial" w:hAnsi="Arial"/>
                <w:sz w:val="14"/>
                <w:szCs w:val="14"/>
                <w:b w:val="1"/>
                <w:bCs w:val="1"/>
                <w:color w:val="auto"/>
                <w:w w:val="86"/>
              </w:rPr>
              <w:t>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-1422400</wp:posOffset>
            </wp:positionV>
            <wp:extent cx="25469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-856615</wp:posOffset>
            </wp:positionV>
            <wp:extent cx="25469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-290830</wp:posOffset>
            </wp:positionV>
            <wp:extent cx="25469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2">
            <w:col w:w="7660" w:space="80"/>
            <w:col w:w="3680"/>
          </w:cols>
          <w:pgMar w:left="240" w:top="274" w:right="239" w:bottom="1440" w:gutter="0" w:footer="0" w:header="0"/>
          <w:type w:val="continuous"/>
        </w:sectPr>
      </w:pPr>
    </w:p>
    <w:bookmarkStart w:id="5" w:name="page6"/>
    <w:bookmarkEnd w:id="5"/>
    <w:p>
      <w:pPr>
        <w:ind w:left="10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0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Set forth below are the principal business address and principal business of the Trust and, with respect to the other persons identified in Item 2 of Amendment No. 10 to the Schedule 13D, his or its name, business address and present principal business, occupation or employment and the name, principal business and address of any corporation or other organization in which such employment is conducted. Bank of America is a national banking corporation organized under the laws of the United States, and each of the Co-Trustees who is an individual is a United States citizen.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9"/>
              </w:rPr>
              <w:t>Name and Principal</w:t>
            </w:r>
          </w:p>
        </w:tc>
      </w:tr>
      <w:tr>
        <w:trPr>
          <w:trHeight w:val="149"/>
        </w:trPr>
        <w:tc>
          <w:tcPr>
            <w:tcW w:w="11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Business &amp; Address</w:t>
            </w:r>
          </w:p>
        </w:tc>
      </w:tr>
      <w:tr>
        <w:trPr>
          <w:trHeight w:val="17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 and Address</w:t>
            </w:r>
          </w:p>
        </w:tc>
        <w:tc>
          <w:tcPr>
            <w:tcW w:w="2960" w:type="dxa"/>
            <w:vAlign w:val="bottom"/>
          </w:tcPr>
          <w:p>
            <w:pPr>
              <w:spacing w:after="0"/>
              <w:rPr>
                <w:sz w:val="15"/>
                <w:szCs w:val="15"/>
                <w:color w:val="auto"/>
              </w:rPr>
            </w:pPr>
          </w:p>
        </w:tc>
        <w:tc>
          <w:tcPr>
            <w:tcW w:w="366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Principal Business</w:t>
            </w:r>
          </w:p>
        </w:tc>
        <w:tc>
          <w:tcPr>
            <w:tcW w:w="12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Employer Organization</w:t>
            </w:r>
          </w:p>
        </w:tc>
      </w:tr>
      <w:tr>
        <w:trPr>
          <w:trHeight w:val="309"/>
        </w:trPr>
        <w:tc>
          <w:tcPr>
            <w:tcW w:w="4120" w:type="dxa"/>
            <w:vAlign w:val="bottom"/>
            <w:gridSpan w:val="2"/>
          </w:tcPr>
          <w:p>
            <w:pPr>
              <w:spacing w:after="0"/>
              <w:rPr>
                <w:sz w:val="20"/>
                <w:szCs w:val="20"/>
                <w:color w:val="auto"/>
              </w:rPr>
            </w:pPr>
            <w:r>
              <w:rPr>
                <w:rFonts w:ascii="Arial" w:cs="Arial" w:eastAsia="Arial" w:hAnsi="Arial"/>
                <w:sz w:val="18"/>
                <w:szCs w:val="18"/>
                <w:color w:val="auto"/>
              </w:rPr>
              <w:t>The Theodore Rosenberg Trust</w:t>
            </w:r>
          </w:p>
        </w:tc>
        <w:tc>
          <w:tcPr>
            <w:tcW w:w="3660" w:type="dxa"/>
            <w:vAlign w:val="bottom"/>
          </w:tcPr>
          <w:p>
            <w:pPr>
              <w:spacing w:after="0"/>
              <w:rPr>
                <w:sz w:val="20"/>
                <w:szCs w:val="20"/>
                <w:color w:val="auto"/>
              </w:rPr>
            </w:pPr>
            <w:r>
              <w:rPr>
                <w:rFonts w:ascii="Arial" w:cs="Arial" w:eastAsia="Arial" w:hAnsi="Arial"/>
                <w:sz w:val="18"/>
                <w:szCs w:val="18"/>
                <w:color w:val="auto"/>
              </w:rPr>
              <w:t>Management and distribution of trust assets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c/o Alma Banuelos</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U.S. Trust, Bank of America</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Private Wealth Management</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Mailcode: CA9-159-01-01</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2049 Century Park East, Ste. 200</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Los Angeles, California 90067</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9"/>
        </w:trPr>
        <w:tc>
          <w:tcPr>
            <w:tcW w:w="412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3660" w:type="dxa"/>
            <w:vAlign w:val="bottom"/>
          </w:tcPr>
          <w:p>
            <w:pPr>
              <w:spacing w:after="0"/>
              <w:rPr>
                <w:sz w:val="20"/>
                <w:szCs w:val="20"/>
                <w:color w:val="auto"/>
              </w:rPr>
            </w:pPr>
            <w:r>
              <w:rPr>
                <w:rFonts w:ascii="Arial" w:cs="Arial" w:eastAsia="Arial" w:hAnsi="Arial"/>
                <w:sz w:val="18"/>
                <w:szCs w:val="18"/>
                <w:color w:val="auto"/>
              </w:rPr>
              <w:t>National commercial banking</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Bank of America Corporate Center</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100 N. Tryon Street</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Charlotte, North Carolina 28255</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9"/>
        </w:trPr>
        <w:tc>
          <w:tcPr>
            <w:tcW w:w="4120" w:type="dxa"/>
            <w:vAlign w:val="bottom"/>
            <w:gridSpan w:val="2"/>
          </w:tcPr>
          <w:p>
            <w:pPr>
              <w:spacing w:after="0"/>
              <w:rPr>
                <w:sz w:val="20"/>
                <w:szCs w:val="20"/>
                <w:color w:val="auto"/>
              </w:rPr>
            </w:pPr>
            <w:r>
              <w:rPr>
                <w:rFonts w:ascii="Arial" w:cs="Arial" w:eastAsia="Arial" w:hAnsi="Arial"/>
                <w:sz w:val="18"/>
                <w:szCs w:val="18"/>
                <w:color w:val="auto"/>
              </w:rPr>
              <w:t>Jerold B. Rosenberg</w:t>
            </w:r>
          </w:p>
        </w:tc>
        <w:tc>
          <w:tcPr>
            <w:tcW w:w="3660" w:type="dxa"/>
            <w:vAlign w:val="bottom"/>
          </w:tcPr>
          <w:p>
            <w:pPr>
              <w:spacing w:after="0"/>
              <w:rPr>
                <w:sz w:val="20"/>
                <w:szCs w:val="20"/>
                <w:color w:val="auto"/>
              </w:rPr>
            </w:pPr>
            <w:r>
              <w:rPr>
                <w:rFonts w:ascii="Arial" w:cs="Arial" w:eastAsia="Arial" w:hAnsi="Arial"/>
                <w:sz w:val="18"/>
                <w:szCs w:val="18"/>
                <w:color w:val="auto"/>
              </w:rPr>
              <w:t>Insurance Broker</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The Rosenberg Company</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301 Mission Street, #35C</w:t>
            </w:r>
          </w:p>
        </w:tc>
        <w:tc>
          <w:tcPr>
            <w:tcW w:w="36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 xml:space="preserve">295 89 </w:t>
            </w:r>
            <w:r>
              <w:rPr>
                <w:rFonts w:ascii="Arial" w:cs="Arial" w:eastAsia="Arial" w:hAnsi="Arial"/>
                <w:sz w:val="11"/>
                <w:szCs w:val="11"/>
                <w:color w:val="auto"/>
              </w:rPr>
              <w:t>th</w:t>
            </w:r>
            <w:r>
              <w:rPr>
                <w:rFonts w:ascii="Arial" w:cs="Arial" w:eastAsia="Arial" w:hAnsi="Arial"/>
                <w:sz w:val="18"/>
                <w:szCs w:val="18"/>
                <w:color w:val="auto"/>
              </w:rPr>
              <w:t xml:space="preserve"> Street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San Francisco, CA 94105</w:t>
            </w:r>
          </w:p>
        </w:tc>
        <w:tc>
          <w:tcPr>
            <w:tcW w:w="36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Daly City, CA 94105</w:t>
            </w:r>
          </w:p>
        </w:tc>
      </w:tr>
      <w:tr>
        <w:trPr>
          <w:trHeight w:val="222"/>
        </w:trPr>
        <w:tc>
          <w:tcPr>
            <w:tcW w:w="1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Insurance Brokerage</w:t>
            </w: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Martinn H. Mandles</w:t>
            </w:r>
          </w:p>
        </w:tc>
        <w:tc>
          <w:tcPr>
            <w:tcW w:w="3660" w:type="dxa"/>
            <w:vAlign w:val="bottom"/>
          </w:tcPr>
          <w:p>
            <w:pPr>
              <w:spacing w:after="0"/>
              <w:rPr>
                <w:sz w:val="20"/>
                <w:szCs w:val="20"/>
                <w:color w:val="auto"/>
              </w:rPr>
            </w:pPr>
            <w:r>
              <w:rPr>
                <w:rFonts w:ascii="Arial" w:cs="Arial" w:eastAsia="Arial" w:hAnsi="Arial"/>
                <w:sz w:val="18"/>
                <w:szCs w:val="18"/>
                <w:color w:val="auto"/>
              </w:rPr>
              <w:t>Corporate Director and Private Trustee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2465 Century Hill</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at 10100 Galaxy Way</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Los Angeles, CA 90067</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9"/>
        </w:trPr>
        <w:tc>
          <w:tcPr>
            <w:tcW w:w="4120" w:type="dxa"/>
            <w:vAlign w:val="bottom"/>
            <w:gridSpan w:val="2"/>
          </w:tcPr>
          <w:p>
            <w:pPr>
              <w:spacing w:after="0"/>
              <w:rPr>
                <w:sz w:val="20"/>
                <w:szCs w:val="20"/>
                <w:color w:val="auto"/>
              </w:rPr>
            </w:pPr>
            <w:r>
              <w:rPr>
                <w:rFonts w:ascii="Arial" w:cs="Arial" w:eastAsia="Arial" w:hAnsi="Arial"/>
                <w:sz w:val="18"/>
                <w:szCs w:val="18"/>
                <w:color w:val="auto"/>
              </w:rPr>
              <w:t>Edward S. Matthews</w:t>
            </w:r>
          </w:p>
        </w:tc>
        <w:tc>
          <w:tcPr>
            <w:tcW w:w="3660" w:type="dxa"/>
            <w:vAlign w:val="bottom"/>
          </w:tcPr>
          <w:p>
            <w:pPr>
              <w:spacing w:after="0"/>
              <w:rPr>
                <w:sz w:val="20"/>
                <w:szCs w:val="20"/>
                <w:color w:val="auto"/>
              </w:rPr>
            </w:pPr>
            <w:r>
              <w:rPr>
                <w:rFonts w:ascii="Arial" w:cs="Arial" w:eastAsia="Arial" w:hAnsi="Arial"/>
                <w:sz w:val="18"/>
                <w:szCs w:val="18"/>
                <w:color w:val="auto"/>
                <w:w w:val="99"/>
              </w:rPr>
              <w:t>Retired; Serves Part-time as President of T&amp;S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T&amp;S Realty Co., LLC</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2536 Fillmore Street</w:t>
            </w:r>
          </w:p>
        </w:tc>
        <w:tc>
          <w:tcPr>
            <w:tcW w:w="3660" w:type="dxa"/>
            <w:vAlign w:val="bottom"/>
          </w:tcPr>
          <w:p>
            <w:pPr>
              <w:spacing w:after="0"/>
              <w:rPr>
                <w:sz w:val="20"/>
                <w:szCs w:val="20"/>
                <w:color w:val="auto"/>
              </w:rPr>
            </w:pPr>
            <w:r>
              <w:rPr>
                <w:rFonts w:ascii="Arial" w:cs="Arial" w:eastAsia="Arial" w:hAnsi="Arial"/>
                <w:sz w:val="18"/>
                <w:szCs w:val="18"/>
                <w:color w:val="auto"/>
              </w:rPr>
              <w:t>Realty Co., LLC</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2443 Fillmore St., #542</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San Francisco, CA 94115</w:t>
            </w:r>
          </w:p>
        </w:tc>
        <w:tc>
          <w:tcPr>
            <w:tcW w:w="36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San Francisco, CA 94115</w:t>
            </w:r>
          </w:p>
        </w:tc>
      </w:tr>
      <w:tr>
        <w:trPr>
          <w:trHeight w:val="222"/>
        </w:trPr>
        <w:tc>
          <w:tcPr>
            <w:tcW w:w="1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Investment Company</w:t>
            </w:r>
          </w:p>
        </w:tc>
      </w:tr>
      <w:tr>
        <w:trPr>
          <w:trHeight w:val="378"/>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60" w:type="dxa"/>
            <w:vAlign w:val="bottom"/>
          </w:tcPr>
          <w:p>
            <w:pPr>
              <w:ind w:left="15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TABLE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February 28, 2010, the Trust and the Trustees (other than Bank of America) beneficially owned (subject to the disclaimers of beneficial ownership set forth in the footnotes below) the number and percentages of the outstanding shares of Common Stock shown below. The beneficial ownership of Bank of America is set forth on page 3 of the Schedule 13G/A filed on March 10, 2010, a copy of which is attached hereto and incorporated herein by this reference.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Shares with Sole</w:t>
            </w:r>
          </w:p>
        </w:tc>
        <w:tc>
          <w:tcPr>
            <w:tcW w:w="780" w:type="dxa"/>
            <w:vAlign w:val="bottom"/>
          </w:tcPr>
          <w:p>
            <w:pPr>
              <w:spacing w:after="0"/>
              <w:rPr>
                <w:sz w:val="14"/>
                <w:szCs w:val="14"/>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4"/>
              </w:rPr>
              <w:t>Shares with Shared</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Voting and</w:t>
            </w:r>
          </w:p>
        </w:tc>
        <w:tc>
          <w:tcPr>
            <w:tcW w:w="780" w:type="dxa"/>
            <w:vAlign w:val="bottom"/>
          </w:tcPr>
          <w:p>
            <w:pPr>
              <w:spacing w:after="0"/>
              <w:rPr>
                <w:sz w:val="12"/>
                <w:szCs w:val="12"/>
                <w:color w:val="auto"/>
              </w:rPr>
            </w:pP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Voting and</w:t>
            </w:r>
          </w:p>
        </w:tc>
        <w:tc>
          <w:tcPr>
            <w:tcW w:w="1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Number</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61"/>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20" w:type="dxa"/>
            <w:vAlign w:val="bottom"/>
            <w:gridSpan w:val="2"/>
          </w:tcPr>
          <w:p>
            <w:pPr>
              <w:jc w:val="center"/>
              <w:ind w:right="692"/>
              <w:spacing w:after="0"/>
              <w:rPr>
                <w:sz w:val="20"/>
                <w:szCs w:val="20"/>
                <w:color w:val="auto"/>
              </w:rPr>
            </w:pPr>
            <w:r>
              <w:rPr>
                <w:rFonts w:ascii="Arial" w:cs="Arial" w:eastAsia="Arial" w:hAnsi="Arial"/>
                <w:sz w:val="14"/>
                <w:szCs w:val="14"/>
                <w:b w:val="1"/>
                <w:bCs w:val="1"/>
                <w:color w:val="auto"/>
                <w:w w:val="86"/>
              </w:rPr>
              <w:t>Dispositive Power</w:t>
            </w:r>
          </w:p>
        </w:tc>
        <w:tc>
          <w:tcPr>
            <w:tcW w:w="18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Dispositive Power</w:t>
            </w:r>
          </w:p>
        </w:tc>
        <w:tc>
          <w:tcPr>
            <w:tcW w:w="820" w:type="dxa"/>
            <w:vAlign w:val="bottom"/>
          </w:tcPr>
          <w:p>
            <w:pPr>
              <w:jc w:val="right"/>
              <w:ind w:right="59"/>
              <w:spacing w:after="0"/>
              <w:rPr>
                <w:sz w:val="20"/>
                <w:szCs w:val="20"/>
                <w:color w:val="auto"/>
              </w:rPr>
            </w:pPr>
            <w:r>
              <w:rPr>
                <w:rFonts w:ascii="Arial" w:cs="Arial" w:eastAsia="Arial" w:hAnsi="Arial"/>
                <w:sz w:val="14"/>
                <w:szCs w:val="14"/>
                <w:b w:val="1"/>
                <w:bCs w:val="1"/>
                <w:color w:val="auto"/>
              </w:rPr>
              <w:t>of Shares</w:t>
            </w:r>
          </w:p>
        </w:tc>
        <w:tc>
          <w:tcPr>
            <w:tcW w:w="9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Shares(1)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Theodore Rosenberg Trust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4,819,075</w:t>
            </w:r>
          </w:p>
        </w:tc>
        <w:tc>
          <w:tcPr>
            <w:tcW w:w="7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81"/>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4,819,075</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Martinn H. Mandles</w:t>
            </w:r>
          </w:p>
        </w:tc>
        <w:tc>
          <w:tcPr>
            <w:tcW w:w="1040" w:type="dxa"/>
            <w:vAlign w:val="bottom"/>
          </w:tcPr>
          <w:p>
            <w:pPr>
              <w:jc w:val="right"/>
              <w:spacing w:after="0"/>
              <w:rPr>
                <w:sz w:val="20"/>
                <w:szCs w:val="20"/>
                <w:color w:val="auto"/>
              </w:rPr>
            </w:pPr>
            <w:r>
              <w:rPr>
                <w:rFonts w:ascii="Arial" w:cs="Arial" w:eastAsia="Arial" w:hAnsi="Arial"/>
                <w:sz w:val="18"/>
                <w:szCs w:val="18"/>
                <w:color w:val="auto"/>
              </w:rPr>
              <w:t>25,587</w:t>
            </w:r>
          </w:p>
        </w:tc>
        <w:tc>
          <w:tcPr>
            <w:tcW w:w="780" w:type="dxa"/>
            <w:vAlign w:val="bottom"/>
          </w:tcPr>
          <w:p>
            <w:pPr>
              <w:jc w:val="right"/>
              <w:ind w:right="492"/>
              <w:spacing w:after="0"/>
              <w:rPr>
                <w:sz w:val="20"/>
                <w:szCs w:val="20"/>
                <w:color w:val="auto"/>
              </w:rPr>
            </w:pPr>
            <w:r>
              <w:rPr>
                <w:rFonts w:ascii="Arial" w:cs="Arial" w:eastAsia="Arial" w:hAnsi="Arial"/>
                <w:sz w:val="18"/>
                <w:szCs w:val="18"/>
                <w:color w:val="auto"/>
                <w:w w:val="81"/>
              </w:rPr>
              <w:t>(3)</w:t>
            </w:r>
          </w:p>
        </w:tc>
        <w:tc>
          <w:tcPr>
            <w:tcW w:w="1880" w:type="dxa"/>
            <w:vAlign w:val="bottom"/>
            <w:gridSpan w:val="2"/>
          </w:tcPr>
          <w:p>
            <w:pPr>
              <w:jc w:val="right"/>
              <w:ind w:right="560"/>
              <w:spacing w:after="0"/>
              <w:rPr>
                <w:sz w:val="20"/>
                <w:szCs w:val="20"/>
                <w:color w:val="auto"/>
              </w:rPr>
            </w:pPr>
            <w:r>
              <w:rPr>
                <w:rFonts w:ascii="Arial" w:cs="Arial" w:eastAsia="Arial" w:hAnsi="Arial"/>
                <w:sz w:val="18"/>
                <w:szCs w:val="18"/>
                <w:color w:val="auto"/>
              </w:rPr>
              <w:t>20,421 (4)</w:t>
            </w:r>
          </w:p>
        </w:tc>
        <w:tc>
          <w:tcPr>
            <w:tcW w:w="820" w:type="dxa"/>
            <w:vAlign w:val="bottom"/>
          </w:tcPr>
          <w:p>
            <w:pPr>
              <w:jc w:val="right"/>
              <w:spacing w:after="0"/>
              <w:rPr>
                <w:sz w:val="20"/>
                <w:szCs w:val="20"/>
                <w:color w:val="auto"/>
              </w:rPr>
            </w:pPr>
            <w:r>
              <w:rPr>
                <w:rFonts w:ascii="Arial" w:cs="Arial" w:eastAsia="Arial" w:hAnsi="Arial"/>
                <w:sz w:val="18"/>
                <w:szCs w:val="18"/>
                <w:color w:val="auto"/>
              </w:rPr>
              <w:t>46,008</w:t>
            </w:r>
          </w:p>
        </w:tc>
        <w:tc>
          <w:tcPr>
            <w:tcW w:w="960" w:type="dxa"/>
            <w:vAlign w:val="bottom"/>
          </w:tcPr>
          <w:p>
            <w:pPr>
              <w:spacing w:after="0"/>
              <w:rPr>
                <w:sz w:val="20"/>
                <w:szCs w:val="20"/>
                <w:color w:val="auto"/>
              </w:rPr>
            </w:pPr>
            <w:r>
              <w:rPr>
                <w:rFonts w:ascii="Arial" w:cs="Arial" w:eastAsia="Arial" w:hAnsi="Arial"/>
                <w:sz w:val="18"/>
                <w:szCs w:val="18"/>
                <w:color w:val="auto"/>
              </w:rPr>
              <w:t>(3)(4)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S. Matthews</w:t>
            </w:r>
          </w:p>
        </w:tc>
        <w:tc>
          <w:tcPr>
            <w:tcW w:w="18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Jerold B. Rosenberg</w:t>
            </w:r>
          </w:p>
        </w:tc>
        <w:tc>
          <w:tcPr>
            <w:tcW w:w="1040" w:type="dxa"/>
            <w:vAlign w:val="bottom"/>
          </w:tcPr>
          <w:p>
            <w:pPr>
              <w:jc w:val="right"/>
              <w:spacing w:after="0"/>
              <w:rPr>
                <w:sz w:val="20"/>
                <w:szCs w:val="20"/>
                <w:color w:val="auto"/>
              </w:rPr>
            </w:pPr>
            <w:r>
              <w:rPr>
                <w:rFonts w:ascii="Arial" w:cs="Arial" w:eastAsia="Arial" w:hAnsi="Arial"/>
                <w:sz w:val="18"/>
                <w:szCs w:val="18"/>
                <w:color w:val="auto"/>
              </w:rPr>
              <w:t>63,760</w:t>
            </w: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tcPr>
          <w:p>
            <w:pPr>
              <w:spacing w:after="0"/>
              <w:rPr>
                <w:sz w:val="19"/>
                <w:szCs w:val="19"/>
                <w:color w:val="auto"/>
              </w:rPr>
            </w:pPr>
          </w:p>
        </w:tc>
        <w:tc>
          <w:tcPr>
            <w:tcW w:w="1780" w:type="dxa"/>
            <w:vAlign w:val="bottom"/>
            <w:gridSpan w:val="2"/>
          </w:tcPr>
          <w:p>
            <w:pPr>
              <w:jc w:val="right"/>
              <w:ind w:right="872"/>
              <w:spacing w:after="0"/>
              <w:rPr>
                <w:sz w:val="20"/>
                <w:szCs w:val="20"/>
                <w:color w:val="auto"/>
              </w:rPr>
            </w:pPr>
            <w:r>
              <w:rPr>
                <w:rFonts w:ascii="Arial" w:cs="Arial" w:eastAsia="Arial" w:hAnsi="Arial"/>
                <w:sz w:val="18"/>
                <w:szCs w:val="18"/>
                <w:color w:val="auto"/>
              </w:rPr>
              <w:t>63,760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upon 51,917,607 shares of Common Stock outstanding on February 26, 2010.</w:t>
      </w:r>
    </w:p>
    <w:p>
      <w:pPr>
        <w:spacing w:after="0" w:line="9"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of Common Stock held by the Trust may not be voted or disposed of unless a majority of the four Trustees consent. Therefore, none of the Trustees has or shares voting or dispositive power over the Common Stock held by the Trust.</w:t>
      </w:r>
    </w:p>
    <w:p>
      <w:pPr>
        <w:jc w:val="both"/>
        <w:ind w:left="460" w:right="14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8,752 shares of Common Stock held by The Donald Schaumer Trust (of which Mr. Mandles is sole trustee) and 13,860 shares of Common Stock held by The David W. Steele Trust (of which Mr. Mandles’ spouse is sole trustee), as to which Mr. Mandles disclaims beneficial ownership. Also includes 2,975 shares of Common Stock held by The Mandles Family Trust (of which Mr. Mandles is co-trustee with his spouse).</w:t>
      </w:r>
    </w:p>
    <w:p>
      <w:pPr>
        <w:spacing w:after="0" w:line="2" w:lineRule="exact"/>
        <w:rPr>
          <w:rFonts w:ascii="Arial" w:cs="Arial" w:eastAsia="Arial" w:hAnsi="Arial"/>
          <w:sz w:val="16"/>
          <w:szCs w:val="16"/>
          <w:color w:val="auto"/>
        </w:rPr>
      </w:pPr>
    </w:p>
    <w:p>
      <w:pPr>
        <w:ind w:left="460" w:right="3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20,421 shares of Common Stock held by The Leo L. Schaumer Trust (of which Mr. Mandles is co-trustee with Bank of America), as to which Mr. Mandles disclaims beneficial ownership.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ANNEX B</w:t>
            </w:r>
          </w:p>
        </w:tc>
        <w:tc>
          <w:tcPr>
            <w:tcW w:w="0" w:type="dxa"/>
            <w:vAlign w:val="bottom"/>
          </w:tcPr>
          <w:p>
            <w:pPr>
              <w:spacing w:after="0"/>
              <w:rPr>
                <w:sz w:val="1"/>
                <w:szCs w:val="1"/>
                <w:color w:val="auto"/>
              </w:rPr>
            </w:pPr>
          </w:p>
        </w:tc>
      </w:tr>
      <w:tr>
        <w:trPr>
          <w:trHeight w:val="419"/>
        </w:trPr>
        <w:tc>
          <w:tcPr>
            <w:tcW w:w="1680" w:type="dxa"/>
            <w:vAlign w:val="bottom"/>
            <w:gridSpan w:val="6"/>
          </w:tcPr>
          <w:p>
            <w:pPr>
              <w:jc w:val="right"/>
              <w:spacing w:after="0"/>
              <w:rPr>
                <w:sz w:val="20"/>
                <w:szCs w:val="20"/>
                <w:color w:val="auto"/>
              </w:rPr>
            </w:pPr>
            <w:r>
              <w:rPr>
                <w:rFonts w:ascii="Arial" w:cs="Arial" w:eastAsia="Arial" w:hAnsi="Arial"/>
                <w:sz w:val="18"/>
                <w:szCs w:val="18"/>
                <w:color w:val="auto"/>
                <w:w w:val="88"/>
              </w:rPr>
              <w:t>CUSIP No 000957100</w:t>
            </w:r>
          </w:p>
        </w:tc>
        <w:tc>
          <w:tcPr>
            <w:tcW w:w="2980" w:type="dxa"/>
            <w:vAlign w:val="bottom"/>
          </w:tcPr>
          <w:p>
            <w:pPr>
              <w:spacing w:after="0"/>
              <w:rPr>
                <w:sz w:val="24"/>
                <w:szCs w:val="24"/>
                <w:color w:val="auto"/>
              </w:rPr>
            </w:pPr>
          </w:p>
        </w:tc>
        <w:tc>
          <w:tcPr>
            <w:tcW w:w="4640" w:type="dxa"/>
            <w:vAlign w:val="bottom"/>
          </w:tcPr>
          <w:p>
            <w:pPr>
              <w:jc w:val="right"/>
              <w:ind w:right="3085"/>
              <w:spacing w:after="0"/>
              <w:rPr>
                <w:sz w:val="20"/>
                <w:szCs w:val="20"/>
                <w:color w:val="auto"/>
              </w:rPr>
            </w:pPr>
            <w:r>
              <w:rPr>
                <w:rFonts w:ascii="Arial" w:cs="Arial" w:eastAsia="Arial" w:hAnsi="Arial"/>
                <w:sz w:val="18"/>
                <w:szCs w:val="18"/>
                <w:b w:val="1"/>
                <w:bCs w:val="1"/>
                <w:color w:val="auto"/>
              </w:rPr>
              <w:t>13G</w:t>
            </w:r>
          </w:p>
        </w:tc>
        <w:tc>
          <w:tcPr>
            <w:tcW w:w="2120" w:type="dxa"/>
            <w:vAlign w:val="bottom"/>
          </w:tcPr>
          <w:p>
            <w:pPr>
              <w:jc w:val="right"/>
              <w:spacing w:after="0"/>
              <w:rPr>
                <w:sz w:val="20"/>
                <w:szCs w:val="20"/>
                <w:color w:val="auto"/>
              </w:rPr>
            </w:pPr>
            <w:r>
              <w:rPr>
                <w:rFonts w:ascii="Arial" w:cs="Arial" w:eastAsia="Arial" w:hAnsi="Arial"/>
                <w:sz w:val="18"/>
                <w:szCs w:val="18"/>
                <w:color w:val="auto"/>
              </w:rPr>
              <w:t>Page 3 of 13 Pages</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lef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w:t>
            </w:r>
          </w:p>
        </w:tc>
        <w:tc>
          <w:tcPr>
            <w:tcW w:w="280" w:type="dxa"/>
            <w:vAlign w:val="bottom"/>
            <w:tcBorders>
              <w:right w:val="single" w:sz="8" w:color="auto"/>
            </w:tcBorders>
          </w:tcPr>
          <w:p>
            <w:pPr>
              <w:spacing w:after="0"/>
              <w:rPr>
                <w:sz w:val="17"/>
                <w:szCs w:val="17"/>
                <w:color w:val="auto"/>
              </w:rPr>
            </w:pPr>
          </w:p>
        </w:tc>
        <w:tc>
          <w:tcPr>
            <w:tcW w:w="4020" w:type="dxa"/>
            <w:vAlign w:val="bottom"/>
            <w:gridSpan w:val="4"/>
          </w:tcPr>
          <w:p>
            <w:pPr>
              <w:ind w:left="100"/>
              <w:spacing w:after="0" w:line="201" w:lineRule="exact"/>
              <w:rPr>
                <w:sz w:val="20"/>
                <w:szCs w:val="20"/>
                <w:color w:val="auto"/>
              </w:rPr>
            </w:pPr>
            <w:r>
              <w:rPr>
                <w:rFonts w:ascii="Arial" w:cs="Arial" w:eastAsia="Arial" w:hAnsi="Arial"/>
                <w:sz w:val="18"/>
                <w:szCs w:val="18"/>
                <w:color w:val="auto"/>
              </w:rPr>
              <w:t>NAMES OF REPORTING PERSONS</w:t>
            </w:r>
          </w:p>
        </w:tc>
        <w:tc>
          <w:tcPr>
            <w:tcW w:w="46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Borders>
              <w:left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866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402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Bank of America, NA</w:t>
            </w:r>
          </w:p>
        </w:tc>
        <w:tc>
          <w:tcPr>
            <w:tcW w:w="4640" w:type="dxa"/>
            <w:vAlign w:val="bottom"/>
            <w:tcBorders>
              <w:bottom w:val="single" w:sz="8" w:color="auto"/>
            </w:tcBorders>
          </w:tcPr>
          <w:p>
            <w:pPr>
              <w:jc w:val="right"/>
              <w:ind w:right="3305"/>
              <w:spacing w:after="0"/>
              <w:rPr>
                <w:sz w:val="20"/>
                <w:szCs w:val="20"/>
                <w:color w:val="auto"/>
              </w:rPr>
            </w:pPr>
            <w:r>
              <w:rPr>
                <w:rFonts w:ascii="Arial" w:cs="Arial" w:eastAsia="Arial" w:hAnsi="Arial"/>
                <w:sz w:val="22"/>
                <w:szCs w:val="22"/>
                <w:color w:val="auto"/>
              </w:rPr>
              <w:t>94-1687665</w:t>
            </w: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Borders>
              <w:left w:val="single" w:sz="8" w:color="auto"/>
            </w:tcBorders>
          </w:tcPr>
          <w:p>
            <w:pPr>
              <w:jc w:val="right"/>
              <w:spacing w:after="0" w:line="172" w:lineRule="exact"/>
              <w:rPr>
                <w:sz w:val="20"/>
                <w:szCs w:val="20"/>
                <w:color w:val="auto"/>
              </w:rPr>
            </w:pPr>
            <w:r>
              <w:rPr>
                <w:rFonts w:ascii="Arial" w:cs="Arial" w:eastAsia="Arial" w:hAnsi="Arial"/>
                <w:sz w:val="18"/>
                <w:szCs w:val="18"/>
                <w:b w:val="1"/>
                <w:bCs w:val="1"/>
                <w:color w:val="auto"/>
              </w:rPr>
              <w:t>2</w:t>
            </w:r>
          </w:p>
        </w:tc>
        <w:tc>
          <w:tcPr>
            <w:tcW w:w="280" w:type="dxa"/>
            <w:vAlign w:val="bottom"/>
            <w:tcBorders>
              <w:right w:val="single" w:sz="8" w:color="auto"/>
            </w:tcBorders>
          </w:tcPr>
          <w:p>
            <w:pPr>
              <w:spacing w:after="0"/>
              <w:rPr>
                <w:sz w:val="14"/>
                <w:szCs w:val="14"/>
                <w:color w:val="auto"/>
              </w:rPr>
            </w:pPr>
          </w:p>
        </w:tc>
        <w:tc>
          <w:tcPr>
            <w:tcW w:w="8660" w:type="dxa"/>
            <w:vAlign w:val="bottom"/>
            <w:gridSpan w:val="5"/>
          </w:tcPr>
          <w:p>
            <w:pPr>
              <w:ind w:left="100"/>
              <w:spacing w:after="0" w:line="172" w:lineRule="exact"/>
              <w:rPr>
                <w:sz w:val="20"/>
                <w:szCs w:val="20"/>
                <w:color w:val="auto"/>
              </w:rPr>
            </w:pPr>
            <w:r>
              <w:rPr>
                <w:rFonts w:ascii="Arial" w:cs="Arial" w:eastAsia="Arial" w:hAnsi="Arial"/>
                <w:sz w:val="18"/>
                <w:szCs w:val="18"/>
                <w:color w:val="auto"/>
              </w:rPr>
              <w:t>CHECK THE APPROPRIATE BOX IF A MEMBER OF A GROUP (See Instructions)</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40" w:type="dxa"/>
            <w:vAlign w:val="bottom"/>
            <w:tcBorders>
              <w:left w:val="single" w:sz="8" w:color="auto"/>
            </w:tcBorders>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4020" w:type="dxa"/>
            <w:vAlign w:val="bottom"/>
            <w:gridSpan w:val="4"/>
          </w:tcPr>
          <w:p>
            <w:pPr>
              <w:ind w:left="10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4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Borders>
              <w:right w:val="single" w:sz="8" w:color="auto"/>
            </w:tcBorders>
          </w:tcPr>
          <w:p>
            <w:pPr>
              <w:spacing w:after="0"/>
              <w:rPr>
                <w:sz w:val="19"/>
                <w:szCs w:val="19"/>
                <w:color w:val="auto"/>
              </w:rPr>
            </w:pPr>
          </w:p>
        </w:tc>
        <w:tc>
          <w:tcPr>
            <w:tcW w:w="402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46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80" w:type="dxa"/>
            <w:vAlign w:val="bottom"/>
            <w:tcBorders>
              <w:right w:val="single" w:sz="8" w:color="auto"/>
            </w:tcBorders>
          </w:tcPr>
          <w:p>
            <w:pPr>
              <w:spacing w:after="0"/>
              <w:rPr>
                <w:sz w:val="19"/>
                <w:szCs w:val="19"/>
                <w:color w:val="auto"/>
              </w:rPr>
            </w:pPr>
          </w:p>
        </w:tc>
        <w:tc>
          <w:tcPr>
            <w:tcW w:w="40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46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402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United States</w:t>
            </w:r>
          </w:p>
        </w:tc>
        <w:tc>
          <w:tcPr>
            <w:tcW w:w="46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9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13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948,675</w:t>
            </w:r>
          </w:p>
        </w:tc>
        <w:tc>
          <w:tcPr>
            <w:tcW w:w="46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40" w:type="dxa"/>
            <w:vAlign w:val="bottom"/>
            <w:tcBorders>
              <w:left w:val="single" w:sz="8" w:color="auto"/>
              <w:righ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29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4640" w:type="dxa"/>
            <w:vAlign w:val="bottom"/>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Borders>
              <w:left w:val="single" w:sz="8" w:color="auto"/>
            </w:tcBorders>
          </w:tcPr>
          <w:p>
            <w:pPr>
              <w:spacing w:after="0"/>
              <w:rPr>
                <w:sz w:val="8"/>
                <w:szCs w:val="8"/>
                <w:color w:val="auto"/>
              </w:rPr>
            </w:pPr>
          </w:p>
        </w:tc>
        <w:tc>
          <w:tcPr>
            <w:tcW w:w="100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8"/>
                <w:szCs w:val="8"/>
                <w:color w:val="auto"/>
              </w:rPr>
            </w:pPr>
          </w:p>
        </w:tc>
        <w:tc>
          <w:tcPr>
            <w:tcW w:w="240" w:type="dxa"/>
            <w:vAlign w:val="bottom"/>
            <w:tcBorders>
              <w:right w:val="single" w:sz="8" w:color="auto"/>
            </w:tcBorders>
            <w:vMerge w:val="continue"/>
          </w:tcPr>
          <w:p>
            <w:pPr>
              <w:spacing w:after="0"/>
              <w:rPr>
                <w:sz w:val="8"/>
                <w:szCs w:val="8"/>
                <w:color w:val="auto"/>
              </w:rPr>
            </w:pPr>
          </w:p>
        </w:tc>
        <w:tc>
          <w:tcPr>
            <w:tcW w:w="2980" w:type="dxa"/>
            <w:vAlign w:val="bottom"/>
            <w:vMerge w:val="continue"/>
          </w:tcPr>
          <w:p>
            <w:pPr>
              <w:spacing w:after="0"/>
              <w:rPr>
                <w:sz w:val="8"/>
                <w:szCs w:val="8"/>
                <w:color w:val="auto"/>
              </w:rPr>
            </w:pPr>
          </w:p>
        </w:tc>
        <w:tc>
          <w:tcPr>
            <w:tcW w:w="4640" w:type="dxa"/>
            <w:vAlign w:val="bottom"/>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0" w:type="dxa"/>
            <w:vAlign w:val="bottom"/>
            <w:tcBorders>
              <w:left w:val="single" w:sz="8" w:color="auto"/>
            </w:tcBorders>
          </w:tcPr>
          <w:p>
            <w:pPr>
              <w:spacing w:after="0"/>
              <w:rPr>
                <w:sz w:val="9"/>
                <w:szCs w:val="9"/>
                <w:color w:val="auto"/>
              </w:rPr>
            </w:pPr>
          </w:p>
        </w:tc>
        <w:tc>
          <w:tcPr>
            <w:tcW w:w="100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BENEFICIALLY</w:t>
            </w:r>
          </w:p>
        </w:tc>
        <w:tc>
          <w:tcPr>
            <w:tcW w:w="8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2980" w:type="dxa"/>
            <w:vAlign w:val="bottom"/>
          </w:tcPr>
          <w:p>
            <w:pPr>
              <w:ind w:left="100"/>
              <w:spacing w:after="0"/>
              <w:rPr>
                <w:sz w:val="20"/>
                <w:szCs w:val="20"/>
                <w:color w:val="auto"/>
              </w:rPr>
            </w:pPr>
            <w:r>
              <w:rPr>
                <w:rFonts w:ascii="Arial" w:cs="Arial" w:eastAsia="Arial" w:hAnsi="Arial"/>
                <w:sz w:val="22"/>
                <w:szCs w:val="22"/>
                <w:color w:val="auto"/>
              </w:rPr>
              <w:t>6,650,869</w:t>
            </w:r>
          </w:p>
        </w:tc>
        <w:tc>
          <w:tcPr>
            <w:tcW w:w="4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340" w:type="dxa"/>
            <w:vAlign w:val="bottom"/>
            <w:tcBorders>
              <w:left w:val="single" w:sz="8" w:color="auto"/>
              <w:right w:val="single" w:sz="8" w:color="auto"/>
            </w:tcBorders>
            <w:gridSpan w:val="3"/>
            <w:vMerge w:val="restart"/>
          </w:tcPr>
          <w:p>
            <w:pPr>
              <w:jc w:val="center"/>
              <w:spacing w:after="0" w:line="167" w:lineRule="exact"/>
              <w:rPr>
                <w:sz w:val="20"/>
                <w:szCs w:val="20"/>
                <w:color w:val="auto"/>
              </w:rPr>
            </w:pPr>
            <w:r>
              <w:rPr>
                <w:rFonts w:ascii="Arial" w:cs="Arial" w:eastAsia="Arial" w:hAnsi="Arial"/>
                <w:sz w:val="18"/>
                <w:szCs w:val="18"/>
                <w:color w:val="auto"/>
                <w:w w:val="95"/>
              </w:rPr>
              <w:t>OWNED BY</w:t>
            </w: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4640" w:type="dxa"/>
            <w:vAlign w:val="bottom"/>
            <w:tcBorders>
              <w:bottom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340" w:type="dxa"/>
            <w:vAlign w:val="bottom"/>
            <w:tcBorders>
              <w:left w:val="single" w:sz="8" w:color="auto"/>
              <w:right w:val="single" w:sz="8" w:color="auto"/>
            </w:tcBorders>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29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40" w:type="dxa"/>
            <w:vAlign w:val="bottom"/>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100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2"/>
                <w:szCs w:val="12"/>
                <w:color w:val="auto"/>
              </w:rPr>
            </w:pPr>
          </w:p>
        </w:tc>
        <w:tc>
          <w:tcPr>
            <w:tcW w:w="240" w:type="dxa"/>
            <w:vAlign w:val="bottom"/>
            <w:tcBorders>
              <w:right w:val="single" w:sz="8" w:color="auto"/>
            </w:tcBorders>
            <w:vMerge w:val="continue"/>
          </w:tcPr>
          <w:p>
            <w:pPr>
              <w:spacing w:after="0"/>
              <w:rPr>
                <w:sz w:val="12"/>
                <w:szCs w:val="12"/>
                <w:color w:val="auto"/>
              </w:rPr>
            </w:pPr>
          </w:p>
        </w:tc>
        <w:tc>
          <w:tcPr>
            <w:tcW w:w="2980" w:type="dxa"/>
            <w:vAlign w:val="bottom"/>
            <w:vMerge w:val="continue"/>
          </w:tcPr>
          <w:p>
            <w:pPr>
              <w:spacing w:after="0"/>
              <w:rPr>
                <w:sz w:val="12"/>
                <w:szCs w:val="12"/>
                <w:color w:val="auto"/>
              </w:rPr>
            </w:pPr>
          </w:p>
        </w:tc>
        <w:tc>
          <w:tcPr>
            <w:tcW w:w="4640" w:type="dxa"/>
            <w:vAlign w:val="bottom"/>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40" w:type="dxa"/>
            <w:vAlign w:val="bottom"/>
            <w:tcBorders>
              <w:left w:val="single" w:sz="8" w:color="auto"/>
            </w:tcBorders>
          </w:tcPr>
          <w:p>
            <w:pPr>
              <w:spacing w:after="0"/>
              <w:rPr>
                <w:sz w:val="6"/>
                <w:szCs w:val="6"/>
                <w:color w:val="auto"/>
              </w:rPr>
            </w:pPr>
          </w:p>
        </w:tc>
        <w:tc>
          <w:tcPr>
            <w:tcW w:w="100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2980" w:type="dxa"/>
            <w:vAlign w:val="bottom"/>
          </w:tcPr>
          <w:p>
            <w:pPr>
              <w:spacing w:after="0"/>
              <w:rPr>
                <w:sz w:val="6"/>
                <w:szCs w:val="6"/>
                <w:color w:val="auto"/>
              </w:rPr>
            </w:pPr>
          </w:p>
        </w:tc>
        <w:tc>
          <w:tcPr>
            <w:tcW w:w="4640" w:type="dxa"/>
            <w:vAlign w:val="bottom"/>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left w:val="single" w:sz="8" w:color="auto"/>
              <w:right w:val="single" w:sz="8" w:color="auto"/>
            </w:tcBorders>
            <w:gridSpan w:val="3"/>
          </w:tcPr>
          <w:p>
            <w:pPr>
              <w:jc w:val="center"/>
              <w:ind w:left="13"/>
              <w:spacing w:after="0"/>
              <w:rPr>
                <w:sz w:val="20"/>
                <w:szCs w:val="20"/>
                <w:color w:val="auto"/>
              </w:rPr>
            </w:pPr>
            <w:r>
              <w:rPr>
                <w:rFonts w:ascii="Arial" w:cs="Arial" w:eastAsia="Arial" w:hAnsi="Arial"/>
                <w:sz w:val="18"/>
                <w:szCs w:val="18"/>
                <w:color w:val="auto"/>
                <w:w w:val="89"/>
              </w:rPr>
              <w:t>REPORTING</w:t>
            </w: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980" w:type="dxa"/>
            <w:vAlign w:val="bottom"/>
            <w:vMerge w:val="restart"/>
          </w:tcPr>
          <w:p>
            <w:pPr>
              <w:ind w:left="100"/>
              <w:spacing w:after="0"/>
              <w:rPr>
                <w:sz w:val="20"/>
                <w:szCs w:val="20"/>
                <w:color w:val="auto"/>
              </w:rPr>
            </w:pPr>
            <w:r>
              <w:rPr>
                <w:rFonts w:ascii="Arial" w:cs="Arial" w:eastAsia="Arial" w:hAnsi="Arial"/>
                <w:sz w:val="22"/>
                <w:szCs w:val="22"/>
                <w:color w:val="auto"/>
              </w:rPr>
              <w:t>1,072,237</w:t>
            </w:r>
          </w:p>
        </w:tc>
        <w:tc>
          <w:tcPr>
            <w:tcW w:w="46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40" w:type="dxa"/>
            <w:vAlign w:val="bottom"/>
            <w:tcBorders>
              <w:left w:val="single" w:sz="8" w:color="auto"/>
              <w:right w:val="single" w:sz="8" w:color="auto"/>
            </w:tcBorders>
            <w:gridSpan w:val="3"/>
          </w:tcPr>
          <w:p>
            <w:pPr>
              <w:jc w:val="center"/>
              <w:spacing w:after="0" w:line="151" w:lineRule="exact"/>
              <w:rPr>
                <w:sz w:val="20"/>
                <w:szCs w:val="20"/>
                <w:color w:val="auto"/>
              </w:rPr>
            </w:pPr>
            <w:r>
              <w:rPr>
                <w:rFonts w:ascii="Arial" w:cs="Arial" w:eastAsia="Arial" w:hAnsi="Arial"/>
                <w:sz w:val="16"/>
                <w:szCs w:val="16"/>
                <w:color w:val="auto"/>
              </w:rPr>
              <w:t>PERSON WITH</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2980" w:type="dxa"/>
            <w:vAlign w:val="bottom"/>
            <w:tcBorders>
              <w:bottom w:val="single" w:sz="8" w:color="auto"/>
            </w:tcBorders>
            <w:vMerge w:val="continue"/>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2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6,515,540</w:t>
            </w:r>
          </w:p>
        </w:tc>
        <w:tc>
          <w:tcPr>
            <w:tcW w:w="46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9</w:t>
            </w:r>
          </w:p>
        </w:tc>
        <w:tc>
          <w:tcPr>
            <w:tcW w:w="280" w:type="dxa"/>
            <w:vAlign w:val="bottom"/>
            <w:tcBorders>
              <w:right w:val="single" w:sz="8" w:color="auto"/>
            </w:tcBorders>
          </w:tcPr>
          <w:p>
            <w:pPr>
              <w:spacing w:after="0"/>
              <w:rPr>
                <w:sz w:val="19"/>
                <w:szCs w:val="19"/>
                <w:color w:val="auto"/>
              </w:rPr>
            </w:pPr>
          </w:p>
        </w:tc>
        <w:tc>
          <w:tcPr>
            <w:tcW w:w="866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w w:val="91"/>
              </w:rPr>
              <w:t>7,599,544</w:t>
            </w:r>
          </w:p>
        </w:tc>
        <w:tc>
          <w:tcPr>
            <w:tcW w:w="2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right w:val="single" w:sz="8" w:color="auto"/>
            </w:tcBorders>
          </w:tcPr>
          <w:p>
            <w:pPr>
              <w:spacing w:after="0"/>
              <w:rPr>
                <w:sz w:val="19"/>
                <w:szCs w:val="19"/>
                <w:color w:val="auto"/>
              </w:rPr>
            </w:pPr>
          </w:p>
        </w:tc>
        <w:tc>
          <w:tcPr>
            <w:tcW w:w="866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11</w:t>
            </w:r>
          </w:p>
        </w:tc>
        <w:tc>
          <w:tcPr>
            <w:tcW w:w="280" w:type="dxa"/>
            <w:vAlign w:val="bottom"/>
            <w:tcBorders>
              <w:right w:val="single" w:sz="8" w:color="auto"/>
            </w:tcBorders>
          </w:tcPr>
          <w:p>
            <w:pPr>
              <w:spacing w:after="0"/>
              <w:rPr>
                <w:sz w:val="19"/>
                <w:szCs w:val="19"/>
                <w:color w:val="auto"/>
              </w:rPr>
            </w:pPr>
          </w:p>
        </w:tc>
        <w:tc>
          <w:tcPr>
            <w:tcW w:w="86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2"/>
              </w:rPr>
              <w:t>14.7%</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0" w:type="dxa"/>
            <w:vAlign w:val="bottom"/>
            <w:tcBorders>
              <w:left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rPr>
              <w:t>12</w:t>
            </w:r>
          </w:p>
        </w:tc>
        <w:tc>
          <w:tcPr>
            <w:tcW w:w="280" w:type="dxa"/>
            <w:vAlign w:val="bottom"/>
            <w:tcBorders>
              <w:right w:val="single" w:sz="8" w:color="auto"/>
            </w:tcBorders>
          </w:tcPr>
          <w:p>
            <w:pPr>
              <w:spacing w:after="0"/>
              <w:rPr>
                <w:sz w:val="16"/>
                <w:szCs w:val="16"/>
                <w:color w:val="auto"/>
              </w:rPr>
            </w:pPr>
          </w:p>
        </w:tc>
        <w:tc>
          <w:tcPr>
            <w:tcW w:w="4020" w:type="dxa"/>
            <w:vAlign w:val="bottom"/>
            <w:gridSpan w:val="4"/>
          </w:tcPr>
          <w:p>
            <w:pPr>
              <w:ind w:left="100"/>
              <w:spacing w:after="0" w:line="192" w:lineRule="exact"/>
              <w:rPr>
                <w:sz w:val="20"/>
                <w:szCs w:val="20"/>
                <w:color w:val="auto"/>
              </w:rPr>
            </w:pPr>
            <w:r>
              <w:rPr>
                <w:rFonts w:ascii="Arial" w:cs="Arial" w:eastAsia="Arial" w:hAnsi="Arial"/>
                <w:sz w:val="18"/>
                <w:szCs w:val="18"/>
                <w:color w:val="auto"/>
                <w:w w:val="93"/>
              </w:rPr>
              <w:t>TYPE OF REPORTING PERSON (See Instructions)</w:t>
            </w:r>
          </w:p>
        </w:tc>
        <w:tc>
          <w:tcPr>
            <w:tcW w:w="4640" w:type="dxa"/>
            <w:vAlign w:val="bottom"/>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BK</w:t>
            </w: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jc w:val="right"/>
              <w:ind w:right="3445"/>
              <w:spacing w:after="0"/>
              <w:rPr>
                <w:sz w:val="20"/>
                <w:szCs w:val="20"/>
                <w:color w:val="auto"/>
              </w:rPr>
            </w:pPr>
            <w:r>
              <w:rPr>
                <w:rFonts w:ascii="Arial" w:cs="Arial" w:eastAsia="Arial" w:hAnsi="Arial"/>
                <w:sz w:val="18"/>
                <w:szCs w:val="18"/>
                <w:color w:val="auto"/>
              </w:rPr>
              <w:t>2</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2019-12-10T06:20:39Z</dcterms:created>
  <dcterms:modified xsi:type="dcterms:W3CDTF">2019-12-10T06:20:39Z</dcterms:modified>
</cp:coreProperties>
</file>