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color w:val="auto"/>
        </w:rPr>
        <w:drawing>
          <wp:anchor simplePos="0" relativeHeight="251657728" behindDoc="1" locked="0" layoutInCell="0" allowOverlap="1">
            <wp:simplePos x="0" y="0"/>
            <wp:positionH relativeFrom="page">
              <wp:posOffset>147320</wp:posOffset>
            </wp:positionH>
            <wp:positionV relativeFrom="page">
              <wp:posOffset>206375</wp:posOffset>
            </wp:positionV>
            <wp:extent cx="72663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235585</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8"/>
          <w:szCs w:val="28"/>
          <w:color w:val="auto"/>
        </w:rPr>
        <w:t>SECURITIES AND EXCHANGE COMMISSION</w:t>
      </w: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148590</wp:posOffset>
            </wp:positionV>
            <wp:extent cx="1816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8"/>
          <w:szCs w:val="28"/>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158115</wp:posOffset>
            </wp:positionV>
            <wp:extent cx="1816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September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158750</wp:posOffset>
            </wp:positionV>
            <wp:extent cx="18167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37"/>
          <w:szCs w:val="37"/>
          <w:color w:val="auto"/>
        </w:rPr>
        <w:t>ABM Industries Incorporated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153035</wp:posOffset>
            </wp:positionV>
            <wp:extent cx="18167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1240" w:type="dxa"/>
        <w:tblCellMar>
          <w:top w:w="0" w:type="dxa"/>
          <w:left w:w="0" w:type="dxa"/>
          <w:bottom w:w="0" w:type="dxa"/>
          <w:right w:w="0" w:type="dxa"/>
        </w:tblCellMar>
      </w:tblPr>
      <w:tr>
        <w:trPr>
          <w:trHeight w:val="183"/>
        </w:trPr>
        <w:tc>
          <w:tcPr>
            <w:tcW w:w="3360" w:type="dxa"/>
            <w:vAlign w:val="bottom"/>
          </w:tcPr>
          <w:p>
            <w:pPr>
              <w:jc w:val="center"/>
              <w:ind w:right="1991"/>
              <w:spacing w:after="0"/>
              <w:rPr>
                <w:sz w:val="20"/>
                <w:szCs w:val="20"/>
                <w:color w:val="auto"/>
              </w:rPr>
            </w:pPr>
            <w:r>
              <w:rPr>
                <w:rFonts w:ascii="Arial" w:cs="Arial" w:eastAsia="Arial" w:hAnsi="Arial"/>
                <w:sz w:val="15"/>
                <w:szCs w:val="15"/>
                <w:b w:val="1"/>
                <w:bCs w:val="1"/>
                <w:color w:val="auto"/>
                <w:w w:val="94"/>
              </w:rPr>
              <w:t>Delaware</w:t>
            </w:r>
          </w:p>
        </w:tc>
        <w:tc>
          <w:tcPr>
            <w:tcW w:w="2580" w:type="dxa"/>
            <w:vAlign w:val="bottom"/>
          </w:tcPr>
          <w:p>
            <w:pPr>
              <w:jc w:val="center"/>
              <w:ind w:right="273"/>
              <w:spacing w:after="0"/>
              <w:rPr>
                <w:sz w:val="20"/>
                <w:szCs w:val="20"/>
                <w:color w:val="auto"/>
              </w:rPr>
            </w:pPr>
            <w:r>
              <w:rPr>
                <w:rFonts w:ascii="Arial" w:cs="Arial" w:eastAsia="Arial" w:hAnsi="Arial"/>
                <w:sz w:val="15"/>
                <w:szCs w:val="15"/>
                <w:b w:val="1"/>
                <w:bCs w:val="1"/>
                <w:color w:val="auto"/>
                <w:w w:val="94"/>
              </w:rPr>
              <w:t>1-8929</w:t>
            </w:r>
          </w:p>
        </w:tc>
        <w:tc>
          <w:tcPr>
            <w:tcW w:w="2820" w:type="dxa"/>
            <w:vAlign w:val="bottom"/>
          </w:tcPr>
          <w:p>
            <w:pPr>
              <w:jc w:val="center"/>
              <w:ind w:left="1852"/>
              <w:spacing w:after="0"/>
              <w:rPr>
                <w:sz w:val="20"/>
                <w:szCs w:val="20"/>
                <w:color w:val="auto"/>
              </w:rPr>
            </w:pPr>
            <w:r>
              <w:rPr>
                <w:rFonts w:ascii="Arial" w:cs="Arial" w:eastAsia="Arial" w:hAnsi="Arial"/>
                <w:sz w:val="15"/>
                <w:szCs w:val="15"/>
                <w:b w:val="1"/>
                <w:bCs w:val="1"/>
                <w:color w:val="auto"/>
                <w:w w:val="92"/>
              </w:rPr>
              <w:t>94-1369354</w:t>
            </w:r>
          </w:p>
        </w:tc>
      </w:tr>
      <w:tr>
        <w:trPr>
          <w:trHeight w:val="127"/>
        </w:trPr>
        <w:tc>
          <w:tcPr>
            <w:tcW w:w="3360" w:type="dxa"/>
            <w:vAlign w:val="bottom"/>
          </w:tcPr>
          <w:p>
            <w:pPr>
              <w:jc w:val="center"/>
              <w:ind w:right="1991"/>
              <w:spacing w:after="0" w:line="127" w:lineRule="exact"/>
              <w:rPr>
                <w:sz w:val="20"/>
                <w:szCs w:val="20"/>
                <w:color w:val="auto"/>
              </w:rPr>
            </w:pPr>
            <w:r>
              <w:rPr>
                <w:rFonts w:ascii="Arial" w:cs="Arial" w:eastAsia="Arial" w:hAnsi="Arial"/>
                <w:sz w:val="12"/>
                <w:szCs w:val="12"/>
                <w:color w:val="auto"/>
                <w:w w:val="95"/>
              </w:rPr>
              <w:t>(State or other jurisdiction</w:t>
            </w:r>
          </w:p>
        </w:tc>
        <w:tc>
          <w:tcPr>
            <w:tcW w:w="2580" w:type="dxa"/>
            <w:vAlign w:val="bottom"/>
          </w:tcPr>
          <w:p>
            <w:pPr>
              <w:jc w:val="center"/>
              <w:ind w:right="273"/>
              <w:spacing w:after="0" w:line="127" w:lineRule="exact"/>
              <w:rPr>
                <w:sz w:val="20"/>
                <w:szCs w:val="20"/>
                <w:color w:val="auto"/>
              </w:rPr>
            </w:pPr>
            <w:r>
              <w:rPr>
                <w:rFonts w:ascii="Arial" w:cs="Arial" w:eastAsia="Arial" w:hAnsi="Arial"/>
                <w:sz w:val="12"/>
                <w:szCs w:val="12"/>
                <w:color w:val="auto"/>
                <w:w w:val="97"/>
              </w:rPr>
              <w:t>(Commission</w:t>
            </w:r>
          </w:p>
        </w:tc>
        <w:tc>
          <w:tcPr>
            <w:tcW w:w="2820" w:type="dxa"/>
            <w:vAlign w:val="bottom"/>
          </w:tcPr>
          <w:p>
            <w:pPr>
              <w:jc w:val="center"/>
              <w:ind w:left="1852"/>
              <w:spacing w:after="0" w:line="127" w:lineRule="exact"/>
              <w:rPr>
                <w:sz w:val="20"/>
                <w:szCs w:val="20"/>
                <w:color w:val="auto"/>
              </w:rPr>
            </w:pPr>
            <w:r>
              <w:rPr>
                <w:rFonts w:ascii="Arial" w:cs="Arial" w:eastAsia="Arial" w:hAnsi="Arial"/>
                <w:sz w:val="12"/>
                <w:szCs w:val="12"/>
                <w:color w:val="auto"/>
                <w:w w:val="94"/>
              </w:rPr>
              <w:t>(IRS Employer</w:t>
            </w:r>
          </w:p>
        </w:tc>
      </w:tr>
      <w:tr>
        <w:trPr>
          <w:trHeight w:val="156"/>
        </w:trPr>
        <w:tc>
          <w:tcPr>
            <w:tcW w:w="3360" w:type="dxa"/>
            <w:vAlign w:val="bottom"/>
          </w:tcPr>
          <w:p>
            <w:pPr>
              <w:jc w:val="center"/>
              <w:ind w:right="2011"/>
              <w:spacing w:after="0"/>
              <w:rPr>
                <w:sz w:val="20"/>
                <w:szCs w:val="20"/>
                <w:color w:val="auto"/>
              </w:rPr>
            </w:pPr>
            <w:r>
              <w:rPr>
                <w:rFonts w:ascii="Arial" w:cs="Arial" w:eastAsia="Arial" w:hAnsi="Arial"/>
                <w:sz w:val="12"/>
                <w:szCs w:val="12"/>
                <w:color w:val="auto"/>
                <w:w w:val="96"/>
              </w:rPr>
              <w:t>of incorporation)</w:t>
            </w:r>
          </w:p>
        </w:tc>
        <w:tc>
          <w:tcPr>
            <w:tcW w:w="2580" w:type="dxa"/>
            <w:vAlign w:val="bottom"/>
          </w:tcPr>
          <w:p>
            <w:pPr>
              <w:jc w:val="center"/>
              <w:ind w:right="273"/>
              <w:spacing w:after="0"/>
              <w:rPr>
                <w:sz w:val="20"/>
                <w:szCs w:val="20"/>
                <w:color w:val="auto"/>
              </w:rPr>
            </w:pPr>
            <w:r>
              <w:rPr>
                <w:rFonts w:ascii="Arial" w:cs="Arial" w:eastAsia="Arial" w:hAnsi="Arial"/>
                <w:sz w:val="12"/>
                <w:szCs w:val="12"/>
                <w:color w:val="auto"/>
                <w:w w:val="98"/>
              </w:rPr>
              <w:t>File Number)</w:t>
            </w:r>
          </w:p>
        </w:tc>
        <w:tc>
          <w:tcPr>
            <w:tcW w:w="2820" w:type="dxa"/>
            <w:vAlign w:val="bottom"/>
          </w:tcPr>
          <w:p>
            <w:pPr>
              <w:jc w:val="center"/>
              <w:ind w:left="1852"/>
              <w:spacing w:after="0"/>
              <w:rPr>
                <w:sz w:val="20"/>
                <w:szCs w:val="20"/>
                <w:color w:val="auto"/>
              </w:rPr>
            </w:pPr>
            <w:r>
              <w:rPr>
                <w:rFonts w:ascii="Arial" w:cs="Arial" w:eastAsia="Arial" w:hAnsi="Arial"/>
                <w:sz w:val="12"/>
                <w:szCs w:val="12"/>
                <w:color w:val="auto"/>
                <w:w w:val="96"/>
              </w:rPr>
              <w:t>Identification No.)</w:t>
            </w:r>
          </w:p>
        </w:tc>
      </w:tr>
      <w:tr>
        <w:trPr>
          <w:trHeight w:val="345"/>
        </w:trPr>
        <w:tc>
          <w:tcPr>
            <w:tcW w:w="3360" w:type="dxa"/>
            <w:vAlign w:val="bottom"/>
          </w:tcPr>
          <w:p>
            <w:pPr>
              <w:jc w:val="center"/>
              <w:ind w:right="71"/>
              <w:spacing w:after="0"/>
              <w:rPr>
                <w:sz w:val="20"/>
                <w:szCs w:val="20"/>
                <w:color w:val="auto"/>
              </w:rPr>
            </w:pPr>
            <w:r>
              <w:rPr>
                <w:rFonts w:ascii="Arial" w:cs="Arial" w:eastAsia="Arial" w:hAnsi="Arial"/>
                <w:sz w:val="15"/>
                <w:szCs w:val="15"/>
                <w:b w:val="1"/>
                <w:bCs w:val="1"/>
                <w:color w:val="auto"/>
                <w:w w:val="92"/>
              </w:rPr>
              <w:t>One Liberty Plaza, 7</w:t>
            </w:r>
            <w:r>
              <w:rPr>
                <w:rFonts w:ascii="Arial" w:cs="Arial" w:eastAsia="Arial" w:hAnsi="Arial"/>
                <w:sz w:val="25"/>
                <w:szCs w:val="25"/>
                <w:b w:val="1"/>
                <w:bCs w:val="1"/>
                <w:color w:val="auto"/>
                <w:w w:val="92"/>
                <w:vertAlign w:val="superscript"/>
              </w:rPr>
              <w:t>th</w:t>
            </w:r>
            <w:r>
              <w:rPr>
                <w:rFonts w:ascii="Arial" w:cs="Arial" w:eastAsia="Arial" w:hAnsi="Arial"/>
                <w:sz w:val="15"/>
                <w:szCs w:val="15"/>
                <w:b w:val="1"/>
                <w:bCs w:val="1"/>
                <w:color w:val="auto"/>
                <w:w w:val="92"/>
              </w:rPr>
              <w:t xml:space="preserve"> Floor</w:t>
            </w:r>
          </w:p>
        </w:tc>
        <w:tc>
          <w:tcPr>
            <w:tcW w:w="2580" w:type="dxa"/>
            <w:vAlign w:val="bottom"/>
          </w:tcPr>
          <w:p>
            <w:pPr>
              <w:spacing w:after="0"/>
              <w:rPr>
                <w:sz w:val="24"/>
                <w:szCs w:val="24"/>
                <w:color w:val="auto"/>
              </w:rPr>
            </w:pPr>
          </w:p>
        </w:tc>
        <w:tc>
          <w:tcPr>
            <w:tcW w:w="2820" w:type="dxa"/>
            <w:vAlign w:val="bottom"/>
          </w:tcPr>
          <w:p>
            <w:pPr>
              <w:jc w:val="right"/>
              <w:ind w:right="1192"/>
              <w:spacing w:after="0"/>
              <w:rPr>
                <w:sz w:val="20"/>
                <w:szCs w:val="20"/>
                <w:color w:val="auto"/>
              </w:rPr>
            </w:pPr>
            <w:r>
              <w:rPr>
                <w:rFonts w:ascii="Arial" w:cs="Arial" w:eastAsia="Arial" w:hAnsi="Arial"/>
                <w:sz w:val="15"/>
                <w:szCs w:val="15"/>
                <w:b w:val="1"/>
                <w:bCs w:val="1"/>
                <w:color w:val="auto"/>
              </w:rPr>
              <w:t>10006</w:t>
            </w:r>
          </w:p>
        </w:tc>
      </w:tr>
      <w:tr>
        <w:trPr>
          <w:trHeight w:val="215"/>
        </w:trPr>
        <w:tc>
          <w:tcPr>
            <w:tcW w:w="3360" w:type="dxa"/>
            <w:vAlign w:val="bottom"/>
          </w:tcPr>
          <w:p>
            <w:pPr>
              <w:jc w:val="center"/>
              <w:ind w:right="71"/>
              <w:spacing w:after="0"/>
              <w:rPr>
                <w:sz w:val="20"/>
                <w:szCs w:val="20"/>
                <w:color w:val="auto"/>
              </w:rPr>
            </w:pPr>
            <w:r>
              <w:rPr>
                <w:rFonts w:ascii="Arial" w:cs="Arial" w:eastAsia="Arial" w:hAnsi="Arial"/>
                <w:sz w:val="15"/>
                <w:szCs w:val="15"/>
                <w:b w:val="1"/>
                <w:bCs w:val="1"/>
                <w:color w:val="auto"/>
                <w:w w:val="95"/>
              </w:rPr>
              <w:t>New York, New York</w:t>
            </w:r>
          </w:p>
        </w:tc>
        <w:tc>
          <w:tcPr>
            <w:tcW w:w="25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5"/>
              </w:rPr>
              <w:t>(Zip Code)</w:t>
            </w:r>
          </w:p>
        </w:tc>
      </w:tr>
      <w:tr>
        <w:trPr>
          <w:trHeight w:val="156"/>
        </w:trPr>
        <w:tc>
          <w:tcPr>
            <w:tcW w:w="3360" w:type="dxa"/>
            <w:vAlign w:val="bottom"/>
          </w:tcPr>
          <w:p>
            <w:pPr>
              <w:jc w:val="center"/>
              <w:ind w:right="71"/>
              <w:spacing w:after="0"/>
              <w:rPr>
                <w:sz w:val="20"/>
                <w:szCs w:val="20"/>
                <w:color w:val="auto"/>
              </w:rPr>
            </w:pPr>
            <w:r>
              <w:rPr>
                <w:rFonts w:ascii="Arial" w:cs="Arial" w:eastAsia="Arial" w:hAnsi="Arial"/>
                <w:sz w:val="12"/>
                <w:szCs w:val="12"/>
                <w:color w:val="auto"/>
                <w:w w:val="94"/>
              </w:rPr>
              <w:t>(Address of principal executive offices)</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r>
    </w:tbl>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297-0200</w:t>
      </w:r>
    </w:p>
    <w:p>
      <w:pPr>
        <w:spacing w:after="0" w:line="197" w:lineRule="exact"/>
        <w:rPr>
          <w:sz w:val="24"/>
          <w:szCs w:val="24"/>
          <w:color w:val="auto"/>
        </w:rPr>
      </w:pPr>
    </w:p>
    <w:p>
      <w:pPr>
        <w:ind w:left="4820"/>
        <w:spacing w:after="0"/>
        <w:rPr>
          <w:sz w:val="20"/>
          <w:szCs w:val="20"/>
          <w:color w:val="auto"/>
        </w:rPr>
      </w:pPr>
      <w:r>
        <w:rPr>
          <w:rFonts w:ascii="Arial" w:cs="Arial" w:eastAsia="Arial" w:hAnsi="Arial"/>
          <w:sz w:val="15"/>
          <w:szCs w:val="15"/>
          <w:b w:val="1"/>
          <w:bCs w:val="1"/>
          <w:color w:val="auto"/>
        </w:rPr>
        <w:t>551 Fifth Avenue, Suite 300</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5"/>
          <w:szCs w:val="15"/>
          <w:b w:val="1"/>
          <w:bCs w:val="1"/>
          <w:color w:val="auto"/>
        </w:rPr>
        <w:t>New York, New York 10176</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142875</wp:posOffset>
            </wp:positionV>
            <wp:extent cx="18167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firstLine="277"/>
        <w:spacing w:after="0" w:line="28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xml:space="preserve"> General Instruction A.2. below):</w:t>
      </w:r>
    </w:p>
    <w:p>
      <w:pPr>
        <w:spacing w:after="0" w:line="140" w:lineRule="exact"/>
        <w:rPr>
          <w:sz w:val="24"/>
          <w:szCs w:val="24"/>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663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7266305" cy="2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431800</wp:posOffset>
            </wp:positionV>
            <wp:extent cx="72663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01"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On September 7, 2016, ABM Industries Incorporated (the “Company”) issued a press release announcing financial results related to the third quarter of fiscal year 2016. A copy of the press release is attached as Exhibit 99.1, which is incorporated into this item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7.01. Regulation FD</w:t>
      </w:r>
    </w:p>
    <w:p>
      <w:pPr>
        <w:spacing w:after="0" w:line="201"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As disclosed in the press release attached as Exhibit 99.1, the Company will hold a live web cast on September 8, 2016 relating to the Company’s financial results for the third quarter of fiscal year 2016. A copy of the slides to be presented at the Company’s web cast and discussed in the conference call relating to such financial results is being furnished as Exhibit 99.2 to this Form 8-K.</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201" w:lineRule="exact"/>
        <w:rPr>
          <w:sz w:val="20"/>
          <w:szCs w:val="20"/>
          <w:color w:val="auto"/>
        </w:rPr>
      </w:pPr>
    </w:p>
    <w:p>
      <w:pPr>
        <w:ind w:right="260"/>
        <w:spacing w:after="0" w:line="272" w:lineRule="auto"/>
        <w:rPr>
          <w:sz w:val="20"/>
          <w:szCs w:val="20"/>
          <w:color w:val="auto"/>
        </w:rPr>
      </w:pPr>
      <w:r>
        <w:rPr>
          <w:rFonts w:ascii="Arial" w:cs="Arial" w:eastAsia="Arial" w:hAnsi="Arial"/>
          <w:sz w:val="15"/>
          <w:szCs w:val="15"/>
          <w:color w:val="auto"/>
        </w:rPr>
        <w:t>On September 7, 2016, the Company announced that the Board of Directors of the Company declared a quarterly dividend of $0.165 per share, payable on November 7, 2016 to stockholders of record on October 6, 2016. A copy of the press release announcing the declaration of the dividend is attached as Exhibit 99.1, which is incorporated into this item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 Exhibits.</w:t>
      </w:r>
    </w:p>
    <w:p>
      <w:pPr>
        <w:spacing w:after="0" w:line="197" w:lineRule="exact"/>
        <w:rPr>
          <w:sz w:val="20"/>
          <w:szCs w:val="20"/>
          <w:color w:val="auto"/>
        </w:rPr>
      </w:pPr>
    </w:p>
    <w:p>
      <w:pPr>
        <w:ind w:left="540" w:right="60" w:hanging="553"/>
        <w:spacing w:after="0" w:line="288" w:lineRule="auto"/>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5"/>
          <w:szCs w:val="15"/>
          <w:color w:val="auto"/>
        </w:rPr>
        <w:t>Press Release issued by ABM Industries Incorporated, dated September 7, 2016, announcing financial results related to the third quarter of fiscal year 2016 and the declaration of a dividend payable November 7, 2016 to stockholders of record on October 6, 2016.</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4"/>
          <w:szCs w:val="14"/>
          <w:color w:val="auto"/>
        </w:rPr>
        <w:t>Slides of ABM Industries Incorporated dated September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365760</wp:posOffset>
            </wp:positionV>
            <wp:extent cx="7266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380"/>
          </w:cols>
          <w:pgMar w:left="240" w:top="79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780" w:type="dxa"/>
            <w:vAlign w:val="bottom"/>
            <w:gridSpan w:val="2"/>
          </w:tcPr>
          <w:p>
            <w:pPr>
              <w:ind w:left="2060"/>
              <w:spacing w:after="0"/>
              <w:rPr>
                <w:sz w:val="20"/>
                <w:szCs w:val="20"/>
                <w:color w:val="auto"/>
              </w:rPr>
            </w:pPr>
            <w:r>
              <w:rPr>
                <w:rFonts w:ascii="Arial" w:cs="Arial" w:eastAsia="Arial" w:hAnsi="Arial"/>
                <w:sz w:val="15"/>
                <w:szCs w:val="15"/>
                <w:color w:val="auto"/>
              </w:rPr>
              <w:t>ABM INDUSTRIES INCORPORATED</w:t>
            </w:r>
          </w:p>
        </w:tc>
      </w:tr>
      <w:tr>
        <w:trPr>
          <w:trHeight w:val="335"/>
        </w:trPr>
        <w:tc>
          <w:tcPr>
            <w:tcW w:w="3660" w:type="dxa"/>
            <w:vAlign w:val="bottom"/>
            <w:gridSpan w:val="3"/>
          </w:tcPr>
          <w:p>
            <w:pPr>
              <w:spacing w:after="0"/>
              <w:rPr>
                <w:sz w:val="20"/>
                <w:szCs w:val="20"/>
                <w:color w:val="auto"/>
              </w:rPr>
            </w:pPr>
            <w:r>
              <w:rPr>
                <w:rFonts w:ascii="Arial" w:cs="Arial" w:eastAsia="Arial" w:hAnsi="Arial"/>
                <w:sz w:val="15"/>
                <w:szCs w:val="15"/>
                <w:color w:val="auto"/>
              </w:rPr>
              <w:t>Dated: September 7, 2016</w:t>
            </w:r>
          </w:p>
        </w:tc>
        <w:tc>
          <w:tcPr>
            <w:tcW w:w="2460" w:type="dxa"/>
            <w:vAlign w:val="bottom"/>
          </w:tcPr>
          <w:p>
            <w:pPr>
              <w:ind w:left="2060"/>
              <w:spacing w:after="0"/>
              <w:rPr>
                <w:sz w:val="20"/>
                <w:szCs w:val="20"/>
                <w:color w:val="auto"/>
              </w:rPr>
            </w:pPr>
            <w:r>
              <w:rPr>
                <w:rFonts w:ascii="Arial" w:cs="Arial" w:eastAsia="Arial" w:hAnsi="Arial"/>
                <w:sz w:val="15"/>
                <w:szCs w:val="15"/>
                <w:color w:val="auto"/>
              </w:rPr>
              <w:t>By:</w:t>
            </w:r>
          </w:p>
        </w:tc>
        <w:tc>
          <w:tcPr>
            <w:tcW w:w="5320" w:type="dxa"/>
            <w:vAlign w:val="bottom"/>
          </w:tcPr>
          <w:p>
            <w:pPr>
              <w:ind w:left="180"/>
              <w:spacing w:after="0"/>
              <w:rPr>
                <w:sz w:val="20"/>
                <w:szCs w:val="20"/>
                <w:color w:val="auto"/>
              </w:rPr>
            </w:pPr>
            <w:r>
              <w:rPr>
                <w:rFonts w:ascii="Arial" w:cs="Arial" w:eastAsia="Arial" w:hAnsi="Arial"/>
                <w:sz w:val="15"/>
                <w:szCs w:val="15"/>
                <w:color w:val="auto"/>
              </w:rPr>
              <w:t>/s/ Sarah H. McConnell</w:t>
            </w:r>
          </w:p>
        </w:tc>
      </w:tr>
      <w:tr>
        <w:trPr>
          <w:trHeight w:val="189"/>
        </w:trPr>
        <w:tc>
          <w:tcPr>
            <w:tcW w:w="4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20" w:type="dxa"/>
            <w:vAlign w:val="bottom"/>
          </w:tcPr>
          <w:p>
            <w:pPr>
              <w:ind w:left="180"/>
              <w:spacing w:after="0"/>
              <w:rPr>
                <w:sz w:val="20"/>
                <w:szCs w:val="20"/>
                <w:color w:val="auto"/>
              </w:rPr>
            </w:pPr>
            <w:r>
              <w:rPr>
                <w:rFonts w:ascii="Arial" w:cs="Arial" w:eastAsia="Arial" w:hAnsi="Arial"/>
                <w:sz w:val="15"/>
                <w:szCs w:val="15"/>
                <w:color w:val="auto"/>
              </w:rPr>
              <w:t>Sarah H. McConnell</w:t>
            </w:r>
          </w:p>
        </w:tc>
      </w:tr>
      <w:tr>
        <w:trPr>
          <w:trHeight w:val="185"/>
        </w:trPr>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20" w:type="dxa"/>
            <w:vAlign w:val="bottom"/>
          </w:tcPr>
          <w:p>
            <w:pPr>
              <w:ind w:left="180"/>
              <w:spacing w:after="0"/>
              <w:rPr>
                <w:sz w:val="20"/>
                <w:szCs w:val="20"/>
                <w:color w:val="auto"/>
              </w:rPr>
            </w:pPr>
            <w:r>
              <w:rPr>
                <w:rFonts w:ascii="Arial" w:cs="Arial" w:eastAsia="Arial" w:hAnsi="Arial"/>
                <w:sz w:val="15"/>
                <w:szCs w:val="15"/>
                <w:color w:val="auto"/>
              </w:rPr>
              <w:t>Executive Vice President and</w:t>
            </w:r>
          </w:p>
        </w:tc>
      </w:tr>
      <w:tr>
        <w:trPr>
          <w:trHeight w:val="195"/>
        </w:trPr>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20" w:type="dxa"/>
            <w:vAlign w:val="bottom"/>
          </w:tcPr>
          <w:p>
            <w:pPr>
              <w:ind w:left="180"/>
              <w:spacing w:after="0"/>
              <w:rPr>
                <w:sz w:val="20"/>
                <w:szCs w:val="20"/>
                <w:color w:val="auto"/>
              </w:rPr>
            </w:pPr>
            <w:r>
              <w:rPr>
                <w:rFonts w:ascii="Arial" w:cs="Arial" w:eastAsia="Arial" w:hAnsi="Arial"/>
                <w:sz w:val="15"/>
                <w:szCs w:val="15"/>
                <w:color w:val="auto"/>
              </w:rPr>
              <w:t>General Counsel</w:t>
            </w:r>
          </w:p>
        </w:tc>
      </w:tr>
      <w:tr>
        <w:trPr>
          <w:trHeight w:val="554"/>
        </w:trPr>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4" w:right="21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5"/>
          <w:szCs w:val="15"/>
          <w:b w:val="1"/>
          <w:bCs w:val="1"/>
          <w:color w:val="auto"/>
        </w:rPr>
        <w:t>EXHIBIT INDEX</w:t>
      </w:r>
    </w:p>
    <w:p>
      <w:pPr>
        <w:spacing w:after="0" w:line="201" w:lineRule="exact"/>
        <w:rPr>
          <w:sz w:val="20"/>
          <w:szCs w:val="20"/>
          <w:color w:val="auto"/>
        </w:rPr>
      </w:pPr>
    </w:p>
    <w:p>
      <w:pPr>
        <w:ind w:left="540" w:hanging="553"/>
        <w:spacing w:after="0" w:line="288" w:lineRule="auto"/>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5"/>
          <w:szCs w:val="15"/>
          <w:color w:val="auto"/>
        </w:rPr>
        <w:t>Press Release issued by ABM Industries Incorporated, dated September 7, 2016, announcing financial results related to the third quarter of fiscal year 2016 and the declaration of a dividend payable November 7, 2016 to stockholders of record on October 6, 2016.</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4"/>
          <w:szCs w:val="14"/>
          <w:color w:val="auto"/>
        </w:rPr>
        <w:t>Slides of ABM Industries Incorporated dated September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365760</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320"/>
          </w:cols>
          <w:pgMar w:left="240" w:top="79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1069340" cy="644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9340" cy="64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ABM INDUSTRIES ANNOUNCES RESULTS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THIRD QUARTER FISCAL 2016</w:t>
      </w:r>
    </w:p>
    <w:p>
      <w:pPr>
        <w:spacing w:after="0" w:line="201" w:lineRule="exact"/>
        <w:rPr>
          <w:sz w:val="20"/>
          <w:szCs w:val="20"/>
          <w:color w:val="auto"/>
        </w:rPr>
      </w:pPr>
    </w:p>
    <w:p>
      <w:pPr>
        <w:ind w:left="3660"/>
        <w:spacing w:after="0"/>
        <w:rPr>
          <w:sz w:val="20"/>
          <w:szCs w:val="20"/>
          <w:color w:val="auto"/>
        </w:rPr>
      </w:pPr>
      <w:r>
        <w:rPr>
          <w:rFonts w:ascii="Arial" w:cs="Arial" w:eastAsia="Arial" w:hAnsi="Arial"/>
          <w:sz w:val="15"/>
          <w:szCs w:val="15"/>
          <w:i w:val="1"/>
          <w:iCs w:val="1"/>
          <w:color w:val="auto"/>
        </w:rPr>
        <w:t xml:space="preserve">Revenue Increase of 3.8% to $1.3 billion; Organic Growth of </w:t>
      </w:r>
      <w:r>
        <w:rPr>
          <w:rFonts w:ascii="Arial" w:cs="Arial" w:eastAsia="Arial" w:hAnsi="Arial"/>
          <w:sz w:val="15"/>
          <w:szCs w:val="15"/>
          <w:color w:val="auto"/>
        </w:rPr>
        <w:t>2.2%</w:t>
      </w:r>
    </w:p>
    <w:p>
      <w:pPr>
        <w:spacing w:after="0" w:line="197" w:lineRule="exact"/>
        <w:rPr>
          <w:sz w:val="20"/>
          <w:szCs w:val="20"/>
          <w:color w:val="auto"/>
        </w:rPr>
      </w:pPr>
    </w:p>
    <w:p>
      <w:pPr>
        <w:jc w:val="center"/>
        <w:ind w:left="280"/>
        <w:spacing w:after="0"/>
        <w:rPr>
          <w:sz w:val="20"/>
          <w:szCs w:val="20"/>
          <w:color w:val="auto"/>
        </w:rPr>
      </w:pPr>
      <w:r>
        <w:rPr>
          <w:rFonts w:ascii="Arial" w:cs="Arial" w:eastAsia="Arial" w:hAnsi="Arial"/>
          <w:sz w:val="15"/>
          <w:szCs w:val="15"/>
          <w:i w:val="1"/>
          <w:iCs w:val="1"/>
          <w:color w:val="auto"/>
        </w:rPr>
        <w:t>GAAP Continuing EPS of $0.58, Reflecting Recognition of Tax Benefit</w:t>
      </w:r>
    </w:p>
    <w:p>
      <w:pPr>
        <w:spacing w:after="0" w:line="197" w:lineRule="exact"/>
        <w:rPr>
          <w:sz w:val="20"/>
          <w:szCs w:val="20"/>
          <w:color w:val="auto"/>
        </w:rPr>
      </w:pPr>
    </w:p>
    <w:p>
      <w:pPr>
        <w:jc w:val="center"/>
        <w:ind w:left="280"/>
        <w:spacing w:after="0"/>
        <w:rPr>
          <w:sz w:val="20"/>
          <w:szCs w:val="20"/>
          <w:color w:val="auto"/>
        </w:rPr>
      </w:pPr>
      <w:r>
        <w:rPr>
          <w:rFonts w:ascii="Arial" w:cs="Arial" w:eastAsia="Arial" w:hAnsi="Arial"/>
          <w:sz w:val="15"/>
          <w:szCs w:val="15"/>
          <w:i w:val="1"/>
          <w:iCs w:val="1"/>
          <w:color w:val="auto"/>
        </w:rPr>
        <w:t>Adjusted Continuing EPS of $0.54; 2020 Vision Progress Continues</w:t>
      </w:r>
    </w:p>
    <w:p>
      <w:pPr>
        <w:spacing w:after="0" w:line="197" w:lineRule="exact"/>
        <w:rPr>
          <w:sz w:val="20"/>
          <w:szCs w:val="20"/>
          <w:color w:val="auto"/>
        </w:rPr>
      </w:pPr>
    </w:p>
    <w:p>
      <w:pPr>
        <w:jc w:val="center"/>
        <w:ind w:left="280"/>
        <w:spacing w:after="0"/>
        <w:rPr>
          <w:sz w:val="20"/>
          <w:szCs w:val="20"/>
          <w:color w:val="auto"/>
        </w:rPr>
      </w:pPr>
      <w:r>
        <w:rPr>
          <w:rFonts w:ascii="Arial" w:cs="Arial" w:eastAsia="Arial" w:hAnsi="Arial"/>
          <w:sz w:val="15"/>
          <w:szCs w:val="15"/>
          <w:i w:val="1"/>
          <w:iCs w:val="1"/>
          <w:color w:val="auto"/>
        </w:rPr>
        <w:t>Full Year Guidance Outlook Increased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Declaration of 202</w:t>
      </w:r>
      <w:r>
        <w:rPr>
          <w:rFonts w:ascii="Arial" w:cs="Arial" w:eastAsia="Arial" w:hAnsi="Arial"/>
          <w:sz w:val="25"/>
          <w:szCs w:val="25"/>
          <w:i w:val="1"/>
          <w:iCs w:val="1"/>
          <w:color w:val="auto"/>
          <w:vertAlign w:val="superscript"/>
        </w:rPr>
        <w:t>nd</w:t>
      </w:r>
      <w:r>
        <w:rPr>
          <w:rFonts w:ascii="Arial" w:cs="Arial" w:eastAsia="Arial" w:hAnsi="Arial"/>
          <w:sz w:val="15"/>
          <w:szCs w:val="15"/>
          <w:i w:val="1"/>
          <w:iCs w:val="1"/>
          <w:color w:val="auto"/>
        </w:rPr>
        <w:t xml:space="preserve"> Consecutive Quarterly Dividend</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New York, NY - September 7, 2016 - ABM (NYSE:ABM), a leading provider of facility solutions, today announced financial results for the third quarter of fiscal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6"/>
          </w:tcPr>
          <w:p>
            <w:pPr>
              <w:jc w:val="right"/>
              <w:ind w:right="700"/>
              <w:spacing w:after="0"/>
              <w:rPr>
                <w:sz w:val="20"/>
                <w:szCs w:val="20"/>
                <w:color w:val="auto"/>
              </w:rPr>
            </w:pPr>
            <w:r>
              <w:rPr>
                <w:rFonts w:ascii="Arial" w:cs="Arial" w:eastAsia="Arial" w:hAnsi="Arial"/>
                <w:sz w:val="12"/>
                <w:szCs w:val="12"/>
                <w:b w:val="1"/>
                <w:bCs w:val="1"/>
                <w:color w:val="auto"/>
              </w:rPr>
              <w:t>Three Months Ended</w:t>
            </w: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Increase/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2"/>
                <w:szCs w:val="12"/>
                <w:b w:val="1"/>
                <w:bCs w:val="1"/>
                <w:color w:val="auto"/>
              </w:rPr>
              <w:t>Nine Months Ended</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47"/>
        </w:trPr>
        <w:tc>
          <w:tcPr>
            <w:tcW w:w="44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in millions, except per share amounts)</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July 31,</w:t>
            </w: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2"/>
                <w:szCs w:val="12"/>
                <w:b w:val="1"/>
                <w:bCs w:val="1"/>
                <w:color w:val="auto"/>
              </w:rPr>
              <w:t>July 31,</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20" w:type="dxa"/>
            <w:vAlign w:val="bottom"/>
            <w:gridSpan w:val="2"/>
          </w:tcPr>
          <w:p>
            <w:pPr>
              <w:spacing w:after="0" w:line="130" w:lineRule="exact"/>
              <w:rPr>
                <w:sz w:val="20"/>
                <w:szCs w:val="20"/>
                <w:color w:val="auto"/>
              </w:rPr>
            </w:pPr>
            <w:r>
              <w:rPr>
                <w:rFonts w:ascii="Arial" w:cs="Arial" w:eastAsia="Arial" w:hAnsi="Arial"/>
                <w:sz w:val="12"/>
                <w:szCs w:val="12"/>
                <w:b w:val="1"/>
                <w:bCs w:val="1"/>
                <w:i w:val="1"/>
                <w:iCs w:val="1"/>
                <w:color w:val="auto"/>
              </w:rPr>
              <w:t>(unaudited)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46"/>
              <w:spacing w:after="0" w:line="130" w:lineRule="exact"/>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44"/>
              <w:spacing w:after="0" w:line="130" w:lineRule="exact"/>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1"/>
                <w:szCs w:val="11"/>
                <w:color w:val="auto"/>
              </w:rPr>
            </w:pPr>
          </w:p>
        </w:tc>
        <w:tc>
          <w:tcPr>
            <w:tcW w:w="1180" w:type="dxa"/>
            <w:vAlign w:val="bottom"/>
            <w:gridSpan w:val="2"/>
          </w:tcPr>
          <w:p>
            <w:pPr>
              <w:jc w:val="right"/>
              <w:ind w:right="440"/>
              <w:spacing w:after="0" w:line="130" w:lineRule="exact"/>
              <w:rPr>
                <w:sz w:val="20"/>
                <w:szCs w:val="20"/>
                <w:color w:val="auto"/>
              </w:rPr>
            </w:pPr>
            <w:r>
              <w:rPr>
                <w:rFonts w:ascii="Arial" w:cs="Arial" w:eastAsia="Arial" w:hAnsi="Arial"/>
                <w:sz w:val="12"/>
                <w:szCs w:val="12"/>
                <w:b w:val="1"/>
                <w:bCs w:val="1"/>
                <w:color w:val="auto"/>
              </w:rPr>
              <w:t>(Decrease)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66"/>
              <w:spacing w:after="0" w:line="130" w:lineRule="exact"/>
              <w:rPr>
                <w:sz w:val="20"/>
                <w:szCs w:val="20"/>
                <w:color w:val="auto"/>
              </w:rPr>
            </w:pPr>
            <w:r>
              <w:rPr>
                <w:rFonts w:ascii="Arial" w:cs="Arial" w:eastAsia="Arial" w:hAnsi="Arial"/>
                <w:sz w:val="12"/>
                <w:szCs w:val="12"/>
                <w:b w:val="1"/>
                <w:bCs w:val="1"/>
                <w:color w:val="auto"/>
              </w:rPr>
              <w:t>2016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64"/>
              <w:spacing w:after="0" w:line="130" w:lineRule="exact"/>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0" w:lineRule="exact"/>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1,296.9</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1,249.9</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3,822.4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3,620.8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Operating profit (loss)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18.5</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(7.6)</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NM*</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44.0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36.4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Income from continuing operations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32.9</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NM*</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53.3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31.5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Income from continuing operations per diluted share</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0.58</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0.02</w:t>
            </w: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NM*</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0.94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0.55</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70.9%</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Adjusted income from continuing operations</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30.6</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24.2</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26.4%</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69.9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61.4</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Adjusted income from continuing operations per diluted share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0.54</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0.42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28.6%</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31.1</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NM*</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49.4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37.5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Net income per diluted share</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0.55</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0.03</w:t>
            </w: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NM*</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0.87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0.65</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Net cash provided by operating activities of continuing operations</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20.0</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65.0</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(69.2)%</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98.5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104.9</w:t>
            </w: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Adjusted EBITDA</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61.1</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49.1</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24.3%</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150.8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136.6</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Adjusted EBITDA margin</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shd w:val="clear" w:color="auto" w:fill="CCEEFF"/>
              </w:rPr>
              <w:t>78bps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shd w:val="clear" w:color="auto" w:fill="CCEEFF"/>
              </w:rPr>
              <w:t>17bps</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 meaningful</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5"/>
          <w:szCs w:val="15"/>
          <w:color w:val="auto"/>
        </w:rPr>
        <w:t>This release refers to certain non-GAAP financial measures described as “Adjusted EBITDA”, “Adjusted income from continuing operations,” and “Adjusted income from continuing operations per diluted share”. These adjustments have been made with the intent of providing financial measures that give management and investors a better understanding of underlying operational results and trends as well as the Company’s operational performance. Management also uses Adjusted EBITDA as a basis for planning and forecasting future periods. Please refer to the accompanying financial schedules for supplemental financial data and corresponding reconciliation of these non-GAAP financial measures to certain GAAP financial measures. We round amounts in these schedules to millions and calculate all percentages and per-share data from the underlying whole-dollar amounts. As a result, certain amounts may not foot, crossfoot, or recalculate based on reported numbers due to rounding.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66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Third Quarter Performance</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For the third quarter of fiscal 2016, revenues of approximately $1.3 billion increased 3.8% and organic revenue increased 2.2%, compared to the third quarter of fiscal 2015. This was due primarily to organic growth within the Company's Janitorial segment driven by an increase in scope of work with existing accounts, including continued Work Order (tag) sales growth and new business. Revenues also benefited from growth within the ABES (Technical Services) business.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On a GAAP basis, income from continuing operations was $32.9 million, or $0.58 per diluted share, compared to income from continuing operations of $1.2 million, or $0.02 per diluted share last year. The increase in income from continuing operations versus last year primarily reflects a benefit from taxes, and a lower self-insurance adjustment. Also benefiting the quarter were higher margin revenue within the Janitorial segment and higher revenue contribution from the ABES business, the Company's 2020 Vision savings initiatives, and one less working day during the quarter.</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Adjusted income from continuing operations for the third quarter of 2016 was $30.6 million, or $0.54 per diluted share, compared to $24.2 million, or $0.42 per diluted share for the third quarter of fiscal 2015. The increase versus last year is attributable to the aforementioned factors, but excludes certain items impacting comparability. A full description of items impacting comparability can be found in the "Reconciliation of Non-GAAP Financial Measures" table.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Total net income for the third quarter of 2016 was $31.1 million, or $0.55 per diluted share, compared to net income of $1.5 million, or $0.03 per diluted share last year.</w:t>
      </w:r>
    </w:p>
    <w:p>
      <w:pPr>
        <w:spacing w:after="0" w:line="197"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Adjusted EBITDA for the quarter was $61.1 million compared to $49.1 million in the third quarter of fiscal 2015 due to the aforementioned factors that impacted adjusted income from continuing operations. Adjusted EBITDA margin for the quarter was 4.7% versus 3.9% last year.</w:t>
      </w:r>
    </w:p>
    <w:p>
      <w:pPr>
        <w:spacing w:after="0" w:line="140"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Scott Salmirs, President and Chief Executive Officer of ABM Industries, commented, "The results from the third quarter demonstrate how we continue to build upon the strong momentum we established during the first half of fiscal 2016. Our ability to deliver results consistently while executing our 2020 Vision transformation, underscores the quality of our organization."</w:t>
      </w:r>
    </w:p>
    <w:p>
      <w:pPr>
        <w:spacing w:after="0" w:line="152" w:lineRule="exact"/>
        <w:rPr>
          <w:sz w:val="20"/>
          <w:szCs w:val="20"/>
          <w:color w:val="auto"/>
        </w:rPr>
      </w:pPr>
    </w:p>
    <w:p>
      <w:pPr>
        <w:jc w:val="both"/>
        <w:ind w:right="20"/>
        <w:spacing w:after="0" w:line="325" w:lineRule="auto"/>
        <w:rPr>
          <w:sz w:val="20"/>
          <w:szCs w:val="20"/>
          <w:color w:val="auto"/>
        </w:rPr>
      </w:pPr>
      <w:r>
        <w:rPr>
          <w:rFonts w:ascii="Arial" w:cs="Arial" w:eastAsia="Arial" w:hAnsi="Arial"/>
          <w:sz w:val="14"/>
          <w:szCs w:val="14"/>
          <w:color w:val="auto"/>
        </w:rPr>
        <w:t>Mr. Salmirs continued, "As we begin to structure ourselves by industry group, we look forward to increasing our visibility by end market, and account, which will ultimately enable us to drive the margin improvement we outlined as part of our 2020 Vision. We remain excited about our trajectory and the progress we are making thus far during Phase II."</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Results</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For the third quarter of fiscal 2016, revenues increased by $47.0 million, or 3.8%, compared to the third quarter of fiscal 2015. This increase in revenues was attributable to organic growth stemming from tag sales and expansion of new and existing accounts within the Janitorial and Facility Services segments, increased scope of work within Other (Air Serv) operations, and higher revenues from the ABES business. In addition, acquisitions provided $19.3 million of incremental revenues during the quarter related to Westway in the United Kingdom, which is reflected in the Building &amp; Energy Solutions segment. The Parking segment also contributed to the Company's growth for the quarter.</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Operating profit for the quarter was $18.5 million compared to operating loss of $7.6 million in the third quarter of fiscal 2015. The increase versus last year is primarily attributable to a lower self-insurance adjustment, in addition to higher margin revenue within the Janitorial segment, and higher revenue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663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t>contribution from the ABES business. Operating profit also benefited from savings from the Company's 2020 Vision initiatives, and one less working day.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&amp; Capital Structure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The Company ended the quarter with total debt, including standby letters of credit, of $357.0 million. Total debt to proforma adjusted EBITDA was approximately 1.8x.</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During the quarter, the Company repurchased approximately 0.3 million shares of common stock for $9.7 million. As of July 31, 2016, the Company had $157.3 million of remaining buyback availability under the $200.0 million share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In addition, the Company paid a quarterly cash dividend of $0.165 per common share for a total distribution of $9.2 million.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Declaration of Quarterly Cash Dividend</w:t>
      </w:r>
    </w:p>
    <w:p>
      <w:pPr>
        <w:spacing w:after="0" w:line="201"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The Company also announced that the Board of Directors has declared a cash dividend of $0.165 per common share for the fourth quarter of fiscal 2016 payable on November 7, 2016 to shareholders of record on October 6, 2016. This will be the Company's 202nd consecutive quarterly cash dividend.</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2016 Guidance</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Company now expects GAAP income from continuing operations of $1.30 to $1.35 per diluted share for fiscal year 2016, or adjusted income from continuing operations of $1.70 to $1.75 per diluted share. This increased guidance is due to an increased benefit of timing associated with investments in people, processes and systems that have not yet occurred, the recognition of certain discrete tax items, and higher-than-expected 2020 Vision savings.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Conference Call Information</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ABM will host its quarterly conference call for all interested parties on Thursday, September 8, 2016 at 8:30 AM (ET). The live conference call can be accessed via audio webcast at the "Investors" section of the Company's website, located at www.abm.com, or by dialing (877) 664-7395 approximately 15 minutes prior to the scheduled time.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 supplemental presentation will accompany the webcast on the Company's website.</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 replay will be available approximately two hours after the recording through September 15, 2016 and can be accessed by dialing (855) 859-2056 and then entering ID #13170692. An archive will also be available on the ABM website for 90 days.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ABOUT ABM</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ABM (</w:t>
      </w:r>
      <w:r>
        <w:rPr>
          <w:rFonts w:ascii="Arial" w:cs="Arial" w:eastAsia="Arial" w:hAnsi="Arial"/>
          <w:sz w:val="15"/>
          <w:szCs w:val="15"/>
          <w:u w:val="single" w:color="auto"/>
          <w:color w:val="auto"/>
        </w:rPr>
        <w:t>NYSE: ABM</w:t>
      </w:r>
      <w:r>
        <w:rPr>
          <w:rFonts w:ascii="Arial" w:cs="Arial" w:eastAsia="Arial" w:hAnsi="Arial"/>
          <w:sz w:val="15"/>
          <w:szCs w:val="15"/>
          <w:color w:val="auto"/>
        </w:rPr>
        <w:t>) is a leading provider of facility solutions with revenues of approximately $4.9 billion and over 100,000 employees in 300+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663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7" w:name="page8"/>
    <w:bookmarkEnd w:id="7"/>
    <w:p>
      <w:pPr>
        <w:ind w:left="8"/>
        <w:spacing w:after="0"/>
        <w:rPr>
          <w:sz w:val="20"/>
          <w:szCs w:val="20"/>
          <w:color w:val="auto"/>
        </w:rPr>
      </w:pPr>
      <w:r>
        <w:rPr>
          <w:rFonts w:ascii="Arial" w:cs="Arial" w:eastAsia="Arial" w:hAnsi="Arial"/>
          <w:sz w:val="15"/>
          <w:szCs w:val="15"/>
          <w:color w:val="auto"/>
        </w:rPr>
        <w:t xml:space="preserve">manufacturing plants and airports. ABM Industries Incorporated, which operates through its subsidiaries, was founded in 1909. For more information, visit </w:t>
      </w:r>
      <w:r>
        <w:rPr>
          <w:rFonts w:ascii="Arial" w:cs="Arial" w:eastAsia="Arial" w:hAnsi="Arial"/>
          <w:sz w:val="15"/>
          <w:szCs w:val="15"/>
          <w:u w:val="single" w:color="auto"/>
          <w:color w:val="auto"/>
        </w:rPr>
        <w:t>www.abm.com</w:t>
      </w:r>
      <w:r>
        <w:rPr>
          <w:rFonts w:ascii="Arial" w:cs="Arial" w:eastAsia="Arial" w:hAnsi="Arial"/>
          <w:sz w:val="15"/>
          <w:szCs w:val="15"/>
          <w:color w:val="auto"/>
        </w:rPr>
        <w:t>.</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Cautionary Statement under the Private Securities Litigation Reform Act of 1995</w:t>
      </w:r>
    </w:p>
    <w:p>
      <w:pPr>
        <w:spacing w:after="0" w:line="197" w:lineRule="exact"/>
        <w:rPr>
          <w:sz w:val="20"/>
          <w:szCs w:val="20"/>
          <w:color w:val="auto"/>
        </w:rPr>
      </w:pPr>
    </w:p>
    <w:p>
      <w:pPr>
        <w:jc w:val="both"/>
        <w:ind w:left="8"/>
        <w:spacing w:after="0" w:line="276" w:lineRule="auto"/>
        <w:rPr>
          <w:sz w:val="20"/>
          <w:szCs w:val="20"/>
          <w:color w:val="auto"/>
        </w:rPr>
      </w:pPr>
      <w:r>
        <w:rPr>
          <w:rFonts w:ascii="Arial" w:cs="Arial" w:eastAsia="Arial" w:hAnsi="Arial"/>
          <w:sz w:val="14"/>
          <w:szCs w:val="14"/>
          <w:i w:val="1"/>
          <w:iCs w:val="1"/>
          <w:color w:val="auto"/>
        </w:rPr>
        <w:t>This press release contains both historical and forward-looking statements.In this context,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(1) the extent to which changes to our business, operating structure, capital structure, or personnel relating to the implementation of our 2020 Vision strategic transformation initiative are successful; (2) the effectiveness of our risk management and safety programs; (3) the extent to which changes in estimates of ultimate insurance losses could result in a material charge against our earnings; (4) our ability to preserve long-term client relationships; (5) our ability to attract and retain qualified personnel and senior management; (6) our success in identifying, acquiring, and integrating synergistic businesses; (7) our ability to continue to gain business despite competitive pressures; (8) the impact of costs that we cannot pass through to clients; (9) the effect of negative or unexpected tax consequences; (10) the achievement of expected benefits from our captive insurance company; (11) the impact of losses from accidents or other incidents at facilities in which we operate; (12) changes in energy prices and government regulations; (13) significant delays or reductions in appropriations for our government contracts; (14) potential failure of our joint venture partners to perform their obligations; (15) the effect of changes to federal health care reform legislation; (16) potential cyber-security breaches, information technology interruptions, data loss, or business continuity risks; (17) the effectiveness of managing operations in areas of military conflict; (18) the impact of a reduction in commercial office building occupancy; (19) the impact of deterioration in general economic conditions; (20) client-specific developments, such as financial difficulties or bankruptcy;</w:t>
      </w:r>
    </w:p>
    <w:p>
      <w:pPr>
        <w:spacing w:after="0" w:line="2"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future increases in the level of our debt or in interest rates; (22) our ability to fund our operations and pay our debt obligations; (23) impairment of goodwill and long-lived assets;</w:t>
      </w:r>
    </w:p>
    <w:p>
      <w:pPr>
        <w:spacing w:after="0" w:line="23" w:lineRule="exact"/>
        <w:rPr>
          <w:rFonts w:ascii="Arial" w:cs="Arial" w:eastAsia="Arial" w:hAnsi="Arial"/>
          <w:sz w:val="14"/>
          <w:szCs w:val="14"/>
          <w:i w:val="1"/>
          <w:iCs w:val="1"/>
          <w:color w:val="auto"/>
        </w:rPr>
      </w:pPr>
    </w:p>
    <w:p>
      <w:pPr>
        <w:jc w:val="both"/>
        <w:ind w:left="8" w:hanging="8"/>
        <w:spacing w:after="0" w:line="281" w:lineRule="auto"/>
        <w:tabs>
          <w:tab w:leader="none" w:pos="332"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unfavorable developments in our class and representative actions and other lawsuits alleging various claims; (25) changes in immigration laws or enforcement actions or investigations under such laws; (26) the impact of liabilities associated with participation in multiemployer pension plans; (27) disruptions to our business through the actions of activist investors; and (28) weather conditions, catastrophic events and disasters, and terrorist attacks. 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 looking statements, which speak only as of the date made. We undertake no obligation to publicly update any forward-looking statements, whether as a result of new information, future events, or otherwise, except as required by law.</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Use of Non-GAAP Financial Information</w:t>
      </w:r>
    </w:p>
    <w:p>
      <w:pPr>
        <w:spacing w:after="0" w:line="201" w:lineRule="exact"/>
        <w:rPr>
          <w:sz w:val="20"/>
          <w:szCs w:val="20"/>
          <w:color w:val="auto"/>
        </w:rPr>
      </w:pPr>
    </w:p>
    <w:p>
      <w:pPr>
        <w:jc w:val="both"/>
        <w:ind w:left="8"/>
        <w:spacing w:after="0" w:line="283" w:lineRule="auto"/>
        <w:rPr>
          <w:sz w:val="20"/>
          <w:szCs w:val="20"/>
          <w:color w:val="auto"/>
        </w:rPr>
      </w:pPr>
      <w:r>
        <w:rPr>
          <w:rFonts w:ascii="Arial" w:cs="Arial" w:eastAsia="Arial" w:hAnsi="Arial"/>
          <w:sz w:val="14"/>
          <w:szCs w:val="14"/>
          <w:i w:val="1"/>
          <w:iCs w:val="1"/>
          <w:color w:val="auto"/>
        </w:rPr>
        <w:t>To supplement ABM’s consolidated financial information, the Company has presented income from continuing operations as adjusted for items impacting comparability, for the third quarter of fiscal years 2016 and 2015. These adjustments have been made with the intent of providing financial measures that give management and investors a better understanding of the underlying operational results and trends as well as ABM’s marketplace performance. In addition, the Company has presented earnings before income from discontinued operations, net of income tax benefit, interest, taxes, depreciation and amortization and excluding items impacting comparability (adjusted EBITDA) for the third quarter of fiscal years 2016 and 2015.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420" w:type="dxa"/>
            <w:vAlign w:val="bottom"/>
            <w:gridSpan w:val="2"/>
          </w:tcPr>
          <w:p>
            <w:pPr>
              <w:spacing w:after="0"/>
              <w:rPr>
                <w:sz w:val="20"/>
                <w:szCs w:val="20"/>
                <w:color w:val="auto"/>
              </w:rPr>
            </w:pPr>
            <w:r>
              <w:rPr>
                <w:rFonts w:ascii="Arial" w:cs="Arial" w:eastAsia="Arial" w:hAnsi="Arial"/>
                <w:sz w:val="15"/>
                <w:szCs w:val="15"/>
                <w:b w:val="1"/>
                <w:bCs w:val="1"/>
                <w:color w:val="auto"/>
              </w:rPr>
              <w:t>Contact:</w:t>
            </w:r>
          </w:p>
        </w:tc>
        <w:tc>
          <w:tcPr>
            <w:tcW w:w="1340" w:type="dxa"/>
            <w:vAlign w:val="bottom"/>
          </w:tcPr>
          <w:p>
            <w:pPr>
              <w:spacing w:after="0"/>
              <w:rPr>
                <w:sz w:val="15"/>
                <w:szCs w:val="15"/>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9"/>
        </w:trPr>
        <w:tc>
          <w:tcPr>
            <w:tcW w:w="3420" w:type="dxa"/>
            <w:vAlign w:val="bottom"/>
            <w:gridSpan w:val="2"/>
          </w:tcPr>
          <w:p>
            <w:pPr>
              <w:spacing w:after="0"/>
              <w:rPr>
                <w:sz w:val="20"/>
                <w:szCs w:val="20"/>
                <w:color w:val="auto"/>
              </w:rPr>
            </w:pPr>
            <w:r>
              <w:rPr>
                <w:rFonts w:ascii="Arial" w:cs="Arial" w:eastAsia="Arial" w:hAnsi="Arial"/>
                <w:sz w:val="15"/>
                <w:szCs w:val="15"/>
                <w:color w:val="auto"/>
              </w:rPr>
              <w:t>Investor &amp; Media Relations:</w:t>
            </w:r>
          </w:p>
        </w:tc>
        <w:tc>
          <w:tcPr>
            <w:tcW w:w="1340" w:type="dxa"/>
            <w:vAlign w:val="bottom"/>
          </w:tcPr>
          <w:p>
            <w:pPr>
              <w:ind w:left="20"/>
              <w:spacing w:after="0"/>
              <w:rPr>
                <w:sz w:val="20"/>
                <w:szCs w:val="20"/>
                <w:color w:val="auto"/>
              </w:rPr>
            </w:pPr>
            <w:r>
              <w:rPr>
                <w:rFonts w:ascii="Arial" w:cs="Arial" w:eastAsia="Arial" w:hAnsi="Arial"/>
                <w:sz w:val="15"/>
                <w:szCs w:val="15"/>
                <w:color w:val="auto"/>
              </w:rPr>
              <w:t>Susie Choi</w:t>
            </w:r>
          </w:p>
        </w:tc>
      </w:tr>
      <w:tr>
        <w:trPr>
          <w:trHeight w:val="185"/>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(212) 297-9721</w:t>
            </w:r>
          </w:p>
        </w:tc>
      </w:tr>
      <w:tr>
        <w:trPr>
          <w:trHeight w:val="161"/>
        </w:trPr>
        <w:tc>
          <w:tcPr>
            <w:tcW w:w="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40" w:type="dxa"/>
            <w:vAlign w:val="bottom"/>
            <w:tcBorders>
              <w:bottom w:val="single" w:sz="8" w:color="auto"/>
            </w:tcBorders>
          </w:tcPr>
          <w:p>
            <w:pPr>
              <w:ind w:left="20"/>
              <w:spacing w:after="0" w:line="161" w:lineRule="exact"/>
              <w:rPr>
                <w:sz w:val="20"/>
                <w:szCs w:val="20"/>
                <w:color w:val="auto"/>
              </w:rPr>
            </w:pPr>
            <w:r>
              <w:rPr>
                <w:rFonts w:ascii="Arial" w:cs="Arial" w:eastAsia="Arial" w:hAnsi="Arial"/>
                <w:sz w:val="15"/>
                <w:szCs w:val="15"/>
                <w:color w:val="auto"/>
                <w:w w:val="90"/>
              </w:rPr>
              <w:t>susie.choi@abm.com</w:t>
            </w:r>
          </w:p>
        </w:tc>
      </w:tr>
    </w:tbl>
    <w:p>
      <w:pPr>
        <w:spacing w:after="0" w:line="3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98"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Financial Schedules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INCOME STATEMENT INFORMATION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2"/>
                <w:szCs w:val="12"/>
                <w:b w:val="1"/>
                <w:bCs w:val="1"/>
                <w:color w:val="auto"/>
              </w:rPr>
              <w:t>Three Months Ended July 31,</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Increase /</w:t>
            </w:r>
          </w:p>
        </w:tc>
        <w:tc>
          <w:tcPr>
            <w:tcW w:w="0" w:type="dxa"/>
            <w:vAlign w:val="bottom"/>
          </w:tcPr>
          <w:p>
            <w:pPr>
              <w:spacing w:after="0"/>
              <w:rPr>
                <w:sz w:val="1"/>
                <w:szCs w:val="1"/>
                <w:color w:val="auto"/>
              </w:rPr>
            </w:pPr>
          </w:p>
        </w:tc>
      </w:tr>
      <w:tr>
        <w:trPr>
          <w:trHeight w:val="130"/>
        </w:trPr>
        <w:tc>
          <w:tcPr>
            <w:tcW w:w="6980" w:type="dxa"/>
            <w:vAlign w:val="bottom"/>
            <w:tcBorders>
              <w:bottom w:val="single" w:sz="8" w:color="auto"/>
            </w:tcBorders>
          </w:tcPr>
          <w:p>
            <w:pPr>
              <w:spacing w:after="0" w:line="130" w:lineRule="exact"/>
              <w:rPr>
                <w:sz w:val="20"/>
                <w:szCs w:val="20"/>
                <w:color w:val="auto"/>
              </w:rPr>
            </w:pPr>
            <w:r>
              <w:rPr>
                <w:rFonts w:ascii="Arial" w:cs="Arial" w:eastAsia="Arial" w:hAnsi="Arial"/>
                <w:sz w:val="12"/>
                <w:szCs w:val="12"/>
                <w:b w:val="1"/>
                <w:bCs w:val="1"/>
                <w:i w:val="1"/>
                <w:iCs w:val="1"/>
                <w:color w:val="auto"/>
              </w:rPr>
              <w:t>($ in millions, except per share amounts)</w:t>
            </w: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2015</w:t>
            </w: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285"/>
              <w:spacing w:after="0" w:line="130" w:lineRule="exact"/>
              <w:rPr>
                <w:sz w:val="20"/>
                <w:szCs w:val="20"/>
                <w:color w:val="auto"/>
              </w:rPr>
            </w:pPr>
            <w:r>
              <w:rPr>
                <w:rFonts w:ascii="Arial" w:cs="Arial" w:eastAsia="Arial" w:hAnsi="Arial"/>
                <w:sz w:val="12"/>
                <w:szCs w:val="12"/>
                <w:b w:val="1"/>
                <w:bCs w:val="1"/>
                <w:color w:val="auto"/>
              </w:rPr>
              <w:t>(Decrease)</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1,296.9</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1,249.9</w:t>
            </w: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1"/>
              </w:rPr>
              <w:t>1,166.5</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1,156.3</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85"/>
        </w:trPr>
        <w:tc>
          <w:tcPr>
            <w:tcW w:w="6980" w:type="dxa"/>
            <w:vAlign w:val="bottom"/>
          </w:tcPr>
          <w:p>
            <w:pPr>
              <w:ind w:left="320"/>
              <w:spacing w:after="0"/>
              <w:rPr>
                <w:sz w:val="20"/>
                <w:szCs w:val="20"/>
                <w:color w:val="auto"/>
              </w:rPr>
            </w:pPr>
            <w:r>
              <w:rPr>
                <w:rFonts w:ascii="Arial" w:cs="Arial" w:eastAsia="Arial" w:hAnsi="Arial"/>
                <w:sz w:val="15"/>
                <w:szCs w:val="15"/>
                <w:color w:val="auto"/>
              </w:rPr>
              <w:t>Selling, general and administrative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102.8</w:t>
            </w:r>
          </w:p>
        </w:tc>
        <w:tc>
          <w:tcPr>
            <w:tcW w:w="7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92.8</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Restructuring and related</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196"/>
        </w:trPr>
        <w:tc>
          <w:tcPr>
            <w:tcW w:w="6980" w:type="dxa"/>
            <w:vAlign w:val="bottom"/>
          </w:tcPr>
          <w:p>
            <w:pPr>
              <w:ind w:left="320"/>
              <w:spacing w:after="0"/>
              <w:rPr>
                <w:sz w:val="20"/>
                <w:szCs w:val="20"/>
                <w:color w:val="auto"/>
              </w:rPr>
            </w:pPr>
            <w:r>
              <w:rPr>
                <w:rFonts w:ascii="Arial" w:cs="Arial" w:eastAsia="Arial" w:hAnsi="Arial"/>
                <w:sz w:val="15"/>
                <w:szCs w:val="15"/>
                <w:color w:val="auto"/>
              </w:rPr>
              <w:t>Amortization of intangible assets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5.8</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6.2</w:t>
            </w:r>
          </w:p>
        </w:tc>
        <w:tc>
          <w:tcPr>
            <w:tcW w:w="2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Total expenses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1,278.4</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1,257.5</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Operating profit (loss)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18.5</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(7.6)</w:t>
            </w: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Income from unconsolidated affiliates, net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(2.6)</w:t>
            </w:r>
          </w:p>
        </w:tc>
        <w:tc>
          <w:tcPr>
            <w:tcW w:w="7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(2.4)</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(loss) from continuing operations before income taxes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Income tax benefit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14.9</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w:t>
            </w:r>
          </w:p>
        </w:tc>
        <w:tc>
          <w:tcPr>
            <w:tcW w:w="2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from continuing operations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Net (loss) 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(1.8)</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31.1</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Net income per common share — basic</w:t>
            </w: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0.58</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0.02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6980" w:type="dxa"/>
            <w:vAlign w:val="bottom"/>
          </w:tcPr>
          <w:p>
            <w:pPr>
              <w:ind w:left="320"/>
              <w:spacing w:after="0"/>
              <w:rPr>
                <w:sz w:val="20"/>
                <w:szCs w:val="20"/>
                <w:color w:val="auto"/>
              </w:rPr>
            </w:pPr>
            <w:r>
              <w:rPr>
                <w:rFonts w:ascii="Arial" w:cs="Arial" w:eastAsia="Arial" w:hAnsi="Arial"/>
                <w:sz w:val="15"/>
                <w:szCs w:val="15"/>
                <w:color w:val="auto"/>
              </w:rPr>
              <w:t>(Loss) 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(0.03)</w:t>
            </w:r>
          </w:p>
        </w:tc>
        <w:tc>
          <w:tcPr>
            <w:tcW w:w="7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0.01</w:t>
            </w: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0.55</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Net income per common share — diluted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0.58</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0.02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6980" w:type="dxa"/>
            <w:vAlign w:val="bottom"/>
          </w:tcPr>
          <w:p>
            <w:pPr>
              <w:ind w:left="320"/>
              <w:spacing w:after="0"/>
              <w:rPr>
                <w:sz w:val="20"/>
                <w:szCs w:val="20"/>
                <w:color w:val="auto"/>
              </w:rPr>
            </w:pPr>
            <w:r>
              <w:rPr>
                <w:rFonts w:ascii="Arial" w:cs="Arial" w:eastAsia="Arial" w:hAnsi="Arial"/>
                <w:sz w:val="15"/>
                <w:szCs w:val="15"/>
                <w:color w:val="auto"/>
              </w:rPr>
              <w:t>(Loss) 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(0.03)</w:t>
            </w:r>
          </w:p>
        </w:tc>
        <w:tc>
          <w:tcPr>
            <w:tcW w:w="7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0.01</w:t>
            </w: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0.55</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Weighted-average common and common equivalent shares outstanding</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56.2</w:t>
            </w:r>
          </w:p>
        </w:tc>
        <w:tc>
          <w:tcPr>
            <w:tcW w:w="7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56.8</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320"/>
              <w:spacing w:after="0"/>
              <w:rPr>
                <w:sz w:val="20"/>
                <w:szCs w:val="20"/>
                <w:color w:val="auto"/>
              </w:rPr>
            </w:pPr>
            <w:r>
              <w:rPr>
                <w:rFonts w:ascii="Arial" w:cs="Arial" w:eastAsia="Arial" w:hAnsi="Arial"/>
                <w:sz w:val="15"/>
                <w:szCs w:val="15"/>
                <w:color w:val="auto"/>
              </w:rPr>
              <w:t>Diluted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56.8</w:t>
            </w:r>
          </w:p>
        </w:tc>
        <w:tc>
          <w:tcPr>
            <w:tcW w:w="7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57.5</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Dividends declared per common share</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0.165</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 meaningful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663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INCOME STATEMENT INFORMATION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2"/>
                <w:szCs w:val="12"/>
                <w:b w:val="1"/>
                <w:bCs w:val="1"/>
                <w:color w:val="auto"/>
              </w:rPr>
              <w:t>Nine Months Ended July 31,</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Increase /</w:t>
            </w:r>
          </w:p>
        </w:tc>
        <w:tc>
          <w:tcPr>
            <w:tcW w:w="0" w:type="dxa"/>
            <w:vAlign w:val="bottom"/>
          </w:tcPr>
          <w:p>
            <w:pPr>
              <w:spacing w:after="0"/>
              <w:rPr>
                <w:sz w:val="1"/>
                <w:szCs w:val="1"/>
                <w:color w:val="auto"/>
              </w:rPr>
            </w:pPr>
          </w:p>
        </w:tc>
      </w:tr>
      <w:tr>
        <w:trPr>
          <w:trHeight w:val="130"/>
        </w:trPr>
        <w:tc>
          <w:tcPr>
            <w:tcW w:w="6980" w:type="dxa"/>
            <w:vAlign w:val="bottom"/>
            <w:tcBorders>
              <w:bottom w:val="single" w:sz="8" w:color="auto"/>
            </w:tcBorders>
          </w:tcPr>
          <w:p>
            <w:pPr>
              <w:spacing w:after="0" w:line="130" w:lineRule="exact"/>
              <w:rPr>
                <w:sz w:val="20"/>
                <w:szCs w:val="20"/>
                <w:color w:val="auto"/>
              </w:rPr>
            </w:pPr>
            <w:r>
              <w:rPr>
                <w:rFonts w:ascii="Arial" w:cs="Arial" w:eastAsia="Arial" w:hAnsi="Arial"/>
                <w:sz w:val="12"/>
                <w:szCs w:val="12"/>
                <w:b w:val="1"/>
                <w:bCs w:val="1"/>
                <w:i w:val="1"/>
                <w:iCs w:val="1"/>
                <w:color w:val="auto"/>
              </w:rPr>
              <w:t>($ in millions, except per share amounts)</w:t>
            </w: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2015</w:t>
            </w: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285"/>
              <w:spacing w:after="0" w:line="130" w:lineRule="exact"/>
              <w:rPr>
                <w:sz w:val="20"/>
                <w:szCs w:val="20"/>
                <w:color w:val="auto"/>
              </w:rPr>
            </w:pPr>
            <w:r>
              <w:rPr>
                <w:rFonts w:ascii="Arial" w:cs="Arial" w:eastAsia="Arial" w:hAnsi="Arial"/>
                <w:sz w:val="12"/>
                <w:szCs w:val="12"/>
                <w:b w:val="1"/>
                <w:bCs w:val="1"/>
                <w:color w:val="auto"/>
              </w:rPr>
              <w:t>(Decrease)</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3,822.4</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3,620.8</w:t>
            </w: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1"/>
              </w:rPr>
              <w:t>3,445.2</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3,281.9</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5"/>
        </w:trPr>
        <w:tc>
          <w:tcPr>
            <w:tcW w:w="6980" w:type="dxa"/>
            <w:vAlign w:val="bottom"/>
          </w:tcPr>
          <w:p>
            <w:pPr>
              <w:ind w:left="320"/>
              <w:spacing w:after="0"/>
              <w:rPr>
                <w:sz w:val="20"/>
                <w:szCs w:val="20"/>
                <w:color w:val="auto"/>
              </w:rPr>
            </w:pPr>
            <w:r>
              <w:rPr>
                <w:rFonts w:ascii="Arial" w:cs="Arial" w:eastAsia="Arial" w:hAnsi="Arial"/>
                <w:sz w:val="15"/>
                <w:szCs w:val="15"/>
                <w:color w:val="auto"/>
              </w:rPr>
              <w:t>Selling, general and administrative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295.1</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282.1</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Restructuring and related</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19.3</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6980" w:type="dxa"/>
            <w:vAlign w:val="bottom"/>
          </w:tcPr>
          <w:p>
            <w:pPr>
              <w:ind w:left="320"/>
              <w:spacing w:after="0"/>
              <w:rPr>
                <w:sz w:val="20"/>
                <w:szCs w:val="20"/>
                <w:color w:val="auto"/>
              </w:rPr>
            </w:pPr>
            <w:r>
              <w:rPr>
                <w:rFonts w:ascii="Arial" w:cs="Arial" w:eastAsia="Arial" w:hAnsi="Arial"/>
                <w:sz w:val="15"/>
                <w:szCs w:val="15"/>
                <w:color w:val="auto"/>
              </w:rPr>
              <w:t>Amortization of intangible assets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18.8</w:t>
            </w:r>
          </w:p>
        </w:tc>
        <w:tc>
          <w:tcPr>
            <w:tcW w:w="7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18.2</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Total expenses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3,778.4</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3,584.4</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Operating profit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44.0</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36.4</w:t>
            </w:r>
          </w:p>
        </w:tc>
        <w:tc>
          <w:tcPr>
            <w:tcW w:w="20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Income from unconsolidated affiliates, net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(7.7)</w:t>
            </w:r>
          </w:p>
        </w:tc>
        <w:tc>
          <w:tcPr>
            <w:tcW w:w="7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(7.6)</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from continuing operations before income taxes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Income tax benefit (provision)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11.7</w:t>
            </w:r>
          </w:p>
        </w:tc>
        <w:tc>
          <w:tcPr>
            <w:tcW w:w="7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(3.6)</w:t>
            </w: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from continuing operations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Net (loss) 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(3.9)</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6.0</w:t>
            </w:r>
          </w:p>
        </w:tc>
        <w:tc>
          <w:tcPr>
            <w:tcW w:w="2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31.8%</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49.4</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37.5</w:t>
            </w: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Net income per common share — basic</w:t>
            </w: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0.94</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0.56</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67.9%</w:t>
            </w:r>
          </w:p>
        </w:tc>
        <w:tc>
          <w:tcPr>
            <w:tcW w:w="0" w:type="dxa"/>
            <w:vAlign w:val="bottom"/>
          </w:tcPr>
          <w:p>
            <w:pPr>
              <w:spacing w:after="0"/>
              <w:rPr>
                <w:sz w:val="1"/>
                <w:szCs w:val="1"/>
                <w:color w:val="auto"/>
              </w:rPr>
            </w:pPr>
          </w:p>
        </w:tc>
      </w:tr>
      <w:tr>
        <w:trPr>
          <w:trHeight w:val="196"/>
        </w:trPr>
        <w:tc>
          <w:tcPr>
            <w:tcW w:w="6980" w:type="dxa"/>
            <w:vAlign w:val="bottom"/>
          </w:tcPr>
          <w:p>
            <w:pPr>
              <w:ind w:left="320"/>
              <w:spacing w:after="0"/>
              <w:rPr>
                <w:sz w:val="20"/>
                <w:szCs w:val="20"/>
                <w:color w:val="auto"/>
              </w:rPr>
            </w:pPr>
            <w:r>
              <w:rPr>
                <w:rFonts w:ascii="Arial" w:cs="Arial" w:eastAsia="Arial" w:hAnsi="Arial"/>
                <w:sz w:val="15"/>
                <w:szCs w:val="15"/>
                <w:color w:val="auto"/>
              </w:rPr>
              <w:t>(Loss) 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(0.06)</w:t>
            </w:r>
          </w:p>
        </w:tc>
        <w:tc>
          <w:tcPr>
            <w:tcW w:w="7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0.10</w:t>
            </w: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0.88</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0.66</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Net income per common share — diluted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0.94</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0.55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70.9%</w:t>
            </w:r>
          </w:p>
        </w:tc>
        <w:tc>
          <w:tcPr>
            <w:tcW w:w="0" w:type="dxa"/>
            <w:vAlign w:val="bottom"/>
          </w:tcPr>
          <w:p>
            <w:pPr>
              <w:spacing w:after="0"/>
              <w:rPr>
                <w:sz w:val="1"/>
                <w:szCs w:val="1"/>
                <w:color w:val="auto"/>
              </w:rPr>
            </w:pPr>
          </w:p>
        </w:tc>
      </w:tr>
      <w:tr>
        <w:trPr>
          <w:trHeight w:val="196"/>
        </w:trPr>
        <w:tc>
          <w:tcPr>
            <w:tcW w:w="6980" w:type="dxa"/>
            <w:vAlign w:val="bottom"/>
          </w:tcPr>
          <w:p>
            <w:pPr>
              <w:ind w:left="320"/>
              <w:spacing w:after="0"/>
              <w:rPr>
                <w:sz w:val="20"/>
                <w:szCs w:val="20"/>
                <w:color w:val="auto"/>
              </w:rPr>
            </w:pPr>
            <w:r>
              <w:rPr>
                <w:rFonts w:ascii="Arial" w:cs="Arial" w:eastAsia="Arial" w:hAnsi="Arial"/>
                <w:sz w:val="15"/>
                <w:szCs w:val="15"/>
                <w:color w:val="auto"/>
              </w:rPr>
              <w:t>(Loss) 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(0.07)</w:t>
            </w:r>
          </w:p>
        </w:tc>
        <w:tc>
          <w:tcPr>
            <w:tcW w:w="7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0.10</w:t>
            </w: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0.87</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0.65</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Weighted-average common and common equivalent shares outstanding</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56.4</w:t>
            </w:r>
          </w:p>
        </w:tc>
        <w:tc>
          <w:tcPr>
            <w:tcW w:w="7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56.7</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320"/>
              <w:spacing w:after="0"/>
              <w:rPr>
                <w:sz w:val="20"/>
                <w:szCs w:val="20"/>
                <w:color w:val="auto"/>
              </w:rPr>
            </w:pPr>
            <w:r>
              <w:rPr>
                <w:rFonts w:ascii="Arial" w:cs="Arial" w:eastAsia="Arial" w:hAnsi="Arial"/>
                <w:sz w:val="15"/>
                <w:szCs w:val="15"/>
                <w:color w:val="auto"/>
              </w:rPr>
              <w:t>Diluted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56.9</w:t>
            </w:r>
          </w:p>
        </w:tc>
        <w:tc>
          <w:tcPr>
            <w:tcW w:w="7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57.4</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Dividends declared per common share</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0.495</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0.480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 meaningful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663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CASH FLOW INFORMATION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40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(in millions)</w:t>
            </w: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5"/>
          </w:tcPr>
          <w:p>
            <w:pPr>
              <w:jc w:val="right"/>
              <w:ind w:right="662"/>
              <w:spacing w:after="0"/>
              <w:rPr>
                <w:sz w:val="20"/>
                <w:szCs w:val="20"/>
                <w:color w:val="auto"/>
              </w:rPr>
            </w:pPr>
            <w:r>
              <w:rPr>
                <w:rFonts w:ascii="Arial" w:cs="Arial" w:eastAsia="Arial" w:hAnsi="Arial"/>
                <w:sz w:val="12"/>
                <w:szCs w:val="12"/>
                <w:b w:val="1"/>
                <w:bCs w:val="1"/>
                <w:color w:val="auto"/>
              </w:rPr>
              <w:t>Three Months Ended July 31,</w:t>
            </w:r>
          </w:p>
        </w:tc>
        <w:tc>
          <w:tcPr>
            <w:tcW w:w="0" w:type="dxa"/>
            <w:vAlign w:val="bottom"/>
          </w:tcPr>
          <w:p>
            <w:pPr>
              <w:spacing w:after="0"/>
              <w:rPr>
                <w:sz w:val="1"/>
                <w:szCs w:val="1"/>
                <w:color w:val="auto"/>
              </w:rPr>
            </w:pPr>
          </w:p>
        </w:tc>
      </w:tr>
      <w:tr>
        <w:trPr>
          <w:trHeight w:val="130"/>
        </w:trPr>
        <w:tc>
          <w:tcPr>
            <w:tcW w:w="54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45"/>
              <w:spacing w:after="0" w:line="130" w:lineRule="exact"/>
              <w:rPr>
                <w:sz w:val="20"/>
                <w:szCs w:val="20"/>
                <w:color w:val="auto"/>
              </w:rPr>
            </w:pPr>
            <w:r>
              <w:rPr>
                <w:rFonts w:ascii="Arial" w:cs="Arial" w:eastAsia="Arial" w:hAnsi="Arial"/>
                <w:sz w:val="12"/>
                <w:szCs w:val="12"/>
                <w:b w:val="1"/>
                <w:bCs w:val="1"/>
                <w:color w:val="auto"/>
              </w:rPr>
              <w:t>2016</w:t>
            </w:r>
          </w:p>
        </w:tc>
        <w:tc>
          <w:tcPr>
            <w:tcW w:w="24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 of continuing operations</w:t>
            </w:r>
          </w:p>
        </w:tc>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5"/>
                <w:szCs w:val="15"/>
                <w:color w:val="auto"/>
              </w:rPr>
              <w:t>Net cash used in operating activities of discontinued operations</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(3.1)</w:t>
            </w:r>
          </w:p>
        </w:tc>
        <w:tc>
          <w:tcPr>
            <w:tcW w:w="280" w:type="dxa"/>
            <w:vAlign w:val="bottom"/>
          </w:tcPr>
          <w:p>
            <w:pPr>
              <w:spacing w:after="0"/>
              <w:rPr>
                <w:sz w:val="17"/>
                <w:szCs w:val="17"/>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3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vMerge w:val="continue"/>
            <w:shd w:val="clear" w:color="auto" w:fill="CCEEFF"/>
          </w:tcPr>
          <w:p>
            <w:pPr>
              <w:spacing w:after="0"/>
              <w:rPr>
                <w:sz w:val="16"/>
                <w:szCs w:val="16"/>
                <w:color w:val="auto"/>
              </w:rPr>
            </w:pPr>
          </w:p>
        </w:tc>
        <w:tc>
          <w:tcPr>
            <w:tcW w:w="3180" w:type="dxa"/>
            <w:vAlign w:val="bottom"/>
            <w:gridSpan w:val="2"/>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24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Purchase of businesses, net of cash acquired</w:t>
            </w: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00" w:type="dxa"/>
            <w:vAlign w:val="bottom"/>
            <w:vMerge w:val="continue"/>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43"/>
              <w:spacing w:after="0" w:line="159"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
              <w:spacing w:after="0" w:line="159" w:lineRule="exact"/>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(11.5)</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5"/>
                <w:szCs w:val="15"/>
                <w:color w:val="auto"/>
              </w:rPr>
              <w:t>Net cash used in investing activities of continuing operations</w:t>
            </w: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(11.5)</w:t>
            </w:r>
          </w:p>
        </w:tc>
        <w:tc>
          <w:tcPr>
            <w:tcW w:w="280" w:type="dxa"/>
            <w:vAlign w:val="bottom"/>
          </w:tcPr>
          <w:p>
            <w:pPr>
              <w:spacing w:after="0"/>
              <w:rPr>
                <w:sz w:val="15"/>
                <w:szCs w:val="15"/>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 of discontinued operations</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62"/>
              <w:spacing w:after="0"/>
              <w:rPr>
                <w:sz w:val="20"/>
                <w:szCs w:val="20"/>
                <w:color w:val="auto"/>
              </w:rPr>
            </w:pPr>
            <w:r>
              <w:rPr>
                <w:rFonts w:ascii="Arial" w:cs="Arial" w:eastAsia="Arial" w:hAnsi="Arial"/>
                <w:sz w:val="8"/>
                <w:szCs w:val="8"/>
                <w:color w:val="auto"/>
                <w:w w:val="73"/>
              </w:rPr>
              <w:t>)</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28"/>
        </w:trPr>
        <w:tc>
          <w:tcPr>
            <w:tcW w:w="5400" w:type="dxa"/>
            <w:vAlign w:val="bottom"/>
            <w:vMerge w:val="continue"/>
          </w:tcPr>
          <w:p>
            <w:pPr>
              <w:spacing w:after="0"/>
              <w:rPr>
                <w:sz w:val="19"/>
                <w:szCs w:val="19"/>
                <w:color w:val="auto"/>
              </w:rPr>
            </w:pPr>
          </w:p>
        </w:tc>
        <w:tc>
          <w:tcPr>
            <w:tcW w:w="3180" w:type="dxa"/>
            <w:vAlign w:val="bottom"/>
            <w:gridSpan w:val="2"/>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(11.5</w:t>
            </w:r>
          </w:p>
        </w:tc>
        <w:tc>
          <w:tcPr>
            <w:tcW w:w="240" w:type="dxa"/>
            <w:vAlign w:val="bottom"/>
            <w:vMerge w:val="continue"/>
          </w:tcPr>
          <w:p>
            <w:pPr>
              <w:spacing w:after="0"/>
              <w:rPr>
                <w:sz w:val="19"/>
                <w:szCs w:val="19"/>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540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5"/>
                <w:szCs w:val="15"/>
                <w:color w:val="auto"/>
                <w:w w:val="96"/>
              </w:rPr>
              <w:t>Proceeds from issuance of share-based compensation awards, net of taxes withheld</w:t>
            </w:r>
          </w:p>
        </w:tc>
        <w:tc>
          <w:tcPr>
            <w:tcW w:w="30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43"/>
              <w:spacing w:after="0" w:line="15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3.2</w:t>
            </w: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Incremental tax benefit from share-based compensation awards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(0.5)</w:t>
            </w:r>
          </w:p>
        </w:tc>
        <w:tc>
          <w:tcPr>
            <w:tcW w:w="28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8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Repurchases of common stock</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(9.7)</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Dividends paid</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(9.2)</w:t>
            </w:r>
          </w:p>
        </w:tc>
        <w:tc>
          <w:tcPr>
            <w:tcW w:w="280" w:type="dxa"/>
            <w:vAlign w:val="bottom"/>
          </w:tcPr>
          <w:p>
            <w:pPr>
              <w:spacing w:after="0"/>
              <w:rPr>
                <w:sz w:val="16"/>
                <w:szCs w:val="16"/>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8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Borrowings from line of credit</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Arial" w:cs="Arial" w:eastAsia="Arial" w:hAnsi="Arial"/>
                <w:sz w:val="15"/>
                <w:szCs w:val="15"/>
                <w:color w:val="auto"/>
              </w:rPr>
              <w:t>242.7</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272.0</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Repayment of borrowings from line of credit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(227.3)</w:t>
            </w:r>
          </w:p>
        </w:tc>
        <w:tc>
          <w:tcPr>
            <w:tcW w:w="280" w:type="dxa"/>
            <w:vAlign w:val="bottom"/>
          </w:tcPr>
          <w:p>
            <w:pPr>
              <w:spacing w:after="0"/>
              <w:rPr>
                <w:sz w:val="16"/>
                <w:szCs w:val="16"/>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(273.9)</w:t>
            </w:r>
          </w:p>
        </w:tc>
        <w:tc>
          <w:tcPr>
            <w:tcW w:w="0" w:type="dxa"/>
            <w:vAlign w:val="bottom"/>
          </w:tcPr>
          <w:p>
            <w:pPr>
              <w:spacing w:after="0"/>
              <w:rPr>
                <w:sz w:val="1"/>
                <w:szCs w:val="1"/>
                <w:color w:val="auto"/>
              </w:rPr>
            </w:pPr>
          </w:p>
        </w:tc>
      </w:tr>
      <w:tr>
        <w:trPr>
          <w:trHeight w:val="18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Financing of energy savings performance contracts</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Arial" w:cs="Arial" w:eastAsia="Arial" w:hAnsi="Arial"/>
                <w:sz w:val="15"/>
                <w:szCs w:val="15"/>
                <w:color w:val="auto"/>
              </w:rPr>
              <w:t>4.7</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Changes in book cash overdrafts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(3.1)</w:t>
            </w:r>
          </w:p>
        </w:tc>
        <w:tc>
          <w:tcPr>
            <w:tcW w:w="28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Repayment of capital lease obligations</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(0.3)</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88"/>
        </w:trPr>
        <w:tc>
          <w:tcPr>
            <w:tcW w:w="5400" w:type="dxa"/>
            <w:vAlign w:val="bottom"/>
            <w:vMerge w:val="continue"/>
          </w:tcPr>
          <w:p>
            <w:pPr>
              <w:spacing w:after="0"/>
              <w:rPr>
                <w:sz w:val="16"/>
                <w:szCs w:val="16"/>
                <w:color w:val="auto"/>
              </w:rPr>
            </w:pPr>
          </w:p>
        </w:tc>
        <w:tc>
          <w:tcPr>
            <w:tcW w:w="3180" w:type="dxa"/>
            <w:vAlign w:val="bottom"/>
            <w:gridSpan w:val="2"/>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240" w:type="dxa"/>
            <w:vAlign w:val="bottom"/>
          </w:tcPr>
          <w:p>
            <w:pPr>
              <w:spacing w:after="0"/>
              <w:rPr>
                <w:sz w:val="16"/>
                <w:szCs w:val="16"/>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40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(in millions)</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5"/>
          </w:tcPr>
          <w:p>
            <w:pPr>
              <w:jc w:val="right"/>
              <w:ind w:right="702"/>
              <w:spacing w:after="0"/>
              <w:rPr>
                <w:sz w:val="20"/>
                <w:szCs w:val="20"/>
                <w:color w:val="auto"/>
              </w:rPr>
            </w:pPr>
            <w:r>
              <w:rPr>
                <w:rFonts w:ascii="Arial" w:cs="Arial" w:eastAsia="Arial" w:hAnsi="Arial"/>
                <w:sz w:val="12"/>
                <w:szCs w:val="12"/>
                <w:b w:val="1"/>
                <w:bCs w:val="1"/>
                <w:color w:val="auto"/>
              </w:rPr>
              <w:t>Nine Months Ended July 31,</w:t>
            </w:r>
          </w:p>
        </w:tc>
        <w:tc>
          <w:tcPr>
            <w:tcW w:w="0" w:type="dxa"/>
            <w:vAlign w:val="bottom"/>
          </w:tcPr>
          <w:p>
            <w:pPr>
              <w:spacing w:after="0"/>
              <w:rPr>
                <w:sz w:val="1"/>
                <w:szCs w:val="1"/>
                <w:color w:val="auto"/>
              </w:rPr>
            </w:pPr>
          </w:p>
        </w:tc>
      </w:tr>
      <w:tr>
        <w:trPr>
          <w:trHeight w:val="130"/>
        </w:trPr>
        <w:tc>
          <w:tcPr>
            <w:tcW w:w="54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45"/>
              <w:spacing w:after="0" w:line="130" w:lineRule="exact"/>
              <w:rPr>
                <w:sz w:val="20"/>
                <w:szCs w:val="20"/>
                <w:color w:val="auto"/>
              </w:rPr>
            </w:pPr>
            <w:r>
              <w:rPr>
                <w:rFonts w:ascii="Arial" w:cs="Arial" w:eastAsia="Arial" w:hAnsi="Arial"/>
                <w:sz w:val="12"/>
                <w:szCs w:val="12"/>
                <w:b w:val="1"/>
                <w:bCs w:val="1"/>
                <w:color w:val="auto"/>
              </w:rPr>
              <w:t>2016</w:t>
            </w:r>
          </w:p>
        </w:tc>
        <w:tc>
          <w:tcPr>
            <w:tcW w:w="24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 of continuing operations</w:t>
            </w:r>
          </w:p>
        </w:tc>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w:t>
            </w:r>
          </w:p>
        </w:tc>
        <w:tc>
          <w:tcPr>
            <w:tcW w:w="2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5"/>
                <w:szCs w:val="15"/>
                <w:color w:val="auto"/>
              </w:rPr>
              <w:t>Net cash used in operating activities of discontinued operations</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(25.6)</w:t>
            </w:r>
          </w:p>
        </w:tc>
        <w:tc>
          <w:tcPr>
            <w:tcW w:w="280" w:type="dxa"/>
            <w:vAlign w:val="bottom"/>
          </w:tcPr>
          <w:p>
            <w:pPr>
              <w:spacing w:after="0"/>
              <w:rPr>
                <w:sz w:val="17"/>
                <w:szCs w:val="17"/>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318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vMerge w:val="continue"/>
            <w:shd w:val="clear" w:color="auto" w:fill="CCEEFF"/>
          </w:tcPr>
          <w:p>
            <w:pPr>
              <w:spacing w:after="0"/>
              <w:rPr>
                <w:sz w:val="16"/>
                <w:szCs w:val="16"/>
                <w:color w:val="auto"/>
              </w:rPr>
            </w:pPr>
          </w:p>
        </w:tc>
        <w:tc>
          <w:tcPr>
            <w:tcW w:w="3180" w:type="dxa"/>
            <w:vAlign w:val="bottom"/>
            <w:gridSpan w:val="2"/>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w:t>
            </w:r>
          </w:p>
        </w:tc>
        <w:tc>
          <w:tcPr>
            <w:tcW w:w="24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101.4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Purchase of businesses, net of cash acquired</w:t>
            </w:r>
          </w:p>
        </w:tc>
        <w:tc>
          <w:tcPr>
            <w:tcW w:w="31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00" w:type="dxa"/>
            <w:vAlign w:val="bottom"/>
            <w:vMerge w:val="continue"/>
          </w:tcPr>
          <w:p>
            <w:pPr>
              <w:spacing w:after="0"/>
              <w:rPr>
                <w:sz w:val="13"/>
                <w:szCs w:val="13"/>
                <w:color w:val="auto"/>
              </w:rPr>
            </w:pPr>
          </w:p>
        </w:tc>
        <w:tc>
          <w:tcPr>
            <w:tcW w:w="3180" w:type="dxa"/>
            <w:vAlign w:val="bottom"/>
            <w:gridSpan w:val="2"/>
          </w:tcPr>
          <w:p>
            <w:pPr>
              <w:spacing w:after="0"/>
              <w:rPr>
                <w:sz w:val="13"/>
                <w:szCs w:val="13"/>
                <w:color w:val="auto"/>
              </w:rPr>
            </w:pPr>
          </w:p>
        </w:tc>
        <w:tc>
          <w:tcPr>
            <w:tcW w:w="300" w:type="dxa"/>
            <w:vAlign w:val="bottom"/>
          </w:tcPr>
          <w:p>
            <w:pPr>
              <w:jc w:val="right"/>
              <w:ind w:right="143"/>
              <w:spacing w:after="0" w:line="159" w:lineRule="exact"/>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2"/>
              <w:spacing w:after="0" w:line="159" w:lineRule="exact"/>
              <w:rPr>
                <w:sz w:val="20"/>
                <w:szCs w:val="20"/>
                <w:color w:val="auto"/>
              </w:rPr>
            </w:pPr>
            <w:r>
              <w:rPr>
                <w:rFonts w:ascii="Arial" w:cs="Arial" w:eastAsia="Arial" w:hAnsi="Arial"/>
                <w:sz w:val="15"/>
                <w:szCs w:val="15"/>
                <w:color w:val="auto"/>
              </w:rPr>
              <w:t>(81.0)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
              <w:spacing w:after="0" w:line="159" w:lineRule="exact"/>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(21.8)</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5"/>
                <w:szCs w:val="15"/>
                <w:color w:val="auto"/>
              </w:rPr>
              <w:t>Net cash used in investing activities of continuing operations</w:t>
            </w: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(102.8)</w:t>
            </w:r>
          </w:p>
        </w:tc>
        <w:tc>
          <w:tcPr>
            <w:tcW w:w="280" w:type="dxa"/>
            <w:vAlign w:val="bottom"/>
          </w:tcPr>
          <w:p>
            <w:pPr>
              <w:spacing w:after="0"/>
              <w:rPr>
                <w:sz w:val="15"/>
                <w:szCs w:val="15"/>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(35.7)</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 of discontinued operations</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(3.1)</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31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62"/>
              <w:spacing w:after="0"/>
              <w:rPr>
                <w:sz w:val="20"/>
                <w:szCs w:val="20"/>
                <w:color w:val="auto"/>
              </w:rPr>
            </w:pPr>
            <w:r>
              <w:rPr>
                <w:rFonts w:ascii="Arial" w:cs="Arial" w:eastAsia="Arial" w:hAnsi="Arial"/>
                <w:sz w:val="8"/>
                <w:szCs w:val="8"/>
                <w:color w:val="auto"/>
                <w:w w:val="73"/>
              </w:rPr>
              <w:t>)</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28"/>
        </w:trPr>
        <w:tc>
          <w:tcPr>
            <w:tcW w:w="5400" w:type="dxa"/>
            <w:vAlign w:val="bottom"/>
            <w:vMerge w:val="continue"/>
          </w:tcPr>
          <w:p>
            <w:pPr>
              <w:spacing w:after="0"/>
              <w:rPr>
                <w:sz w:val="19"/>
                <w:szCs w:val="19"/>
                <w:color w:val="auto"/>
              </w:rPr>
            </w:pPr>
          </w:p>
        </w:tc>
        <w:tc>
          <w:tcPr>
            <w:tcW w:w="3180" w:type="dxa"/>
            <w:vAlign w:val="bottom"/>
            <w:gridSpan w:val="2"/>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(105.9</w:t>
            </w:r>
          </w:p>
        </w:tc>
        <w:tc>
          <w:tcPr>
            <w:tcW w:w="240" w:type="dxa"/>
            <w:vAlign w:val="bottom"/>
            <w:vMerge w:val="continue"/>
          </w:tcPr>
          <w:p>
            <w:pPr>
              <w:spacing w:after="0"/>
              <w:rPr>
                <w:sz w:val="19"/>
                <w:szCs w:val="19"/>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(35.9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540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5"/>
                <w:szCs w:val="15"/>
                <w:color w:val="auto"/>
                <w:w w:val="96"/>
              </w:rPr>
              <w:t>Proceeds from issuance of share-based compensation awards, net of taxes withheld</w:t>
            </w:r>
          </w:p>
        </w:tc>
        <w:tc>
          <w:tcPr>
            <w:tcW w:w="3180" w:type="dxa"/>
            <w:vAlign w:val="bottom"/>
            <w:tcBorders>
              <w:top w:val="single" w:sz="8" w:color="CCEEFF"/>
            </w:tcBorders>
            <w:gridSpan w:val="2"/>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43"/>
              <w:spacing w:after="0" w:line="15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5.7</w:t>
            </w: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16.5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Incremental tax benefit from share-based compensation awards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Repurchases of common stock</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(31.2)</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Dividends paid</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(27.7)</w:t>
            </w:r>
          </w:p>
        </w:tc>
        <w:tc>
          <w:tcPr>
            <w:tcW w:w="280" w:type="dxa"/>
            <w:vAlign w:val="bottom"/>
          </w:tcPr>
          <w:p>
            <w:pPr>
              <w:spacing w:after="0"/>
              <w:rPr>
                <w:sz w:val="16"/>
                <w:szCs w:val="16"/>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8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Deferred financing costs paid</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(0.1)</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Borrowings from line of credit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02"/>
              <w:spacing w:after="0"/>
              <w:rPr>
                <w:sz w:val="20"/>
                <w:szCs w:val="20"/>
                <w:color w:val="auto"/>
              </w:rPr>
            </w:pPr>
            <w:r>
              <w:rPr>
                <w:rFonts w:ascii="Arial" w:cs="Arial" w:eastAsia="Arial" w:hAnsi="Arial"/>
                <w:sz w:val="15"/>
                <w:szCs w:val="15"/>
                <w:color w:val="auto"/>
              </w:rPr>
              <w:t>779.3</w:t>
            </w:r>
          </w:p>
        </w:tc>
        <w:tc>
          <w:tcPr>
            <w:tcW w:w="28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729.3</w:t>
            </w:r>
          </w:p>
        </w:tc>
        <w:tc>
          <w:tcPr>
            <w:tcW w:w="0" w:type="dxa"/>
            <w:vAlign w:val="bottom"/>
          </w:tcPr>
          <w:p>
            <w:pPr>
              <w:spacing w:after="0"/>
              <w:rPr>
                <w:sz w:val="1"/>
                <w:szCs w:val="1"/>
                <w:color w:val="auto"/>
              </w:rPr>
            </w:pPr>
          </w:p>
        </w:tc>
      </w:tr>
      <w:tr>
        <w:trPr>
          <w:trHeight w:val="18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Repayment of borrowings from line of credit</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5"/>
                <w:szCs w:val="15"/>
                <w:color w:val="auto"/>
              </w:rPr>
              <w:t>(713.0)</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(744.0)</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20"/>
                <w:szCs w:val="20"/>
                <w:color w:val="auto"/>
              </w:rPr>
            </w:pPr>
            <w:r>
              <w:rPr>
                <w:rFonts w:ascii="Arial" w:cs="Arial" w:eastAsia="Arial" w:hAnsi="Arial"/>
                <w:sz w:val="15"/>
                <w:szCs w:val="15"/>
                <w:color w:val="auto"/>
              </w:rPr>
              <w:t>Financing of energy savings performance contracts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02"/>
              <w:spacing w:after="0"/>
              <w:rPr>
                <w:sz w:val="20"/>
                <w:szCs w:val="20"/>
                <w:color w:val="auto"/>
              </w:rPr>
            </w:pPr>
            <w:r>
              <w:rPr>
                <w:rFonts w:ascii="Arial" w:cs="Arial" w:eastAsia="Arial" w:hAnsi="Arial"/>
                <w:sz w:val="15"/>
                <w:szCs w:val="15"/>
                <w:color w:val="auto"/>
              </w:rPr>
              <w:t>15.3</w:t>
            </w:r>
          </w:p>
        </w:tc>
        <w:tc>
          <w:tcPr>
            <w:tcW w:w="28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Changes in book cash overdrafts</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Arial" w:cs="Arial" w:eastAsia="Arial" w:hAnsi="Arial"/>
                <w:sz w:val="15"/>
                <w:szCs w:val="15"/>
                <w:color w:val="auto"/>
              </w:rPr>
              <w:t>1.8</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5"/>
                <w:szCs w:val="15"/>
                <w:color w:val="auto"/>
              </w:rPr>
              <w:t>Repayment of capital lease obligations</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62"/>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7"/>
                <w:szCs w:val="17"/>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318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88"/>
        </w:trPr>
        <w:tc>
          <w:tcPr>
            <w:tcW w:w="5400" w:type="dxa"/>
            <w:vAlign w:val="bottom"/>
            <w:vMerge w:val="continue"/>
            <w:shd w:val="clear" w:color="auto" w:fill="CCEEFF"/>
          </w:tcPr>
          <w:p>
            <w:pPr>
              <w:spacing w:after="0"/>
              <w:rPr>
                <w:sz w:val="16"/>
                <w:szCs w:val="16"/>
                <w:color w:val="auto"/>
              </w:rPr>
            </w:pPr>
          </w:p>
        </w:tc>
        <w:tc>
          <w:tcPr>
            <w:tcW w:w="3180" w:type="dxa"/>
            <w:vAlign w:val="bottom"/>
            <w:gridSpan w:val="2"/>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24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643"/>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4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4" w:right="21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 INFORMATION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780" w:type="dxa"/>
            <w:vAlign w:val="bottom"/>
          </w:tcPr>
          <w:p>
            <w:pPr>
              <w:spacing w:after="0"/>
              <w:rPr>
                <w:sz w:val="20"/>
                <w:szCs w:val="20"/>
                <w:color w:val="auto"/>
              </w:rPr>
            </w:pPr>
            <w:r>
              <w:rPr>
                <w:rFonts w:ascii="Arial" w:cs="Arial" w:eastAsia="Arial" w:hAnsi="Arial"/>
                <w:sz w:val="12"/>
                <w:szCs w:val="12"/>
                <w:i w:val="1"/>
                <w:iCs w:val="1"/>
                <w:color w:val="auto"/>
              </w:rPr>
              <w:t>(in millions)</w:t>
            </w: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July 31, 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October 31, 2015</w:t>
            </w:r>
          </w:p>
        </w:tc>
        <w:tc>
          <w:tcPr>
            <w:tcW w:w="0" w:type="dxa"/>
            <w:vAlign w:val="bottom"/>
          </w:tcPr>
          <w:p>
            <w:pPr>
              <w:spacing w:after="0"/>
              <w:rPr>
                <w:sz w:val="1"/>
                <w:szCs w:val="1"/>
                <w:color w:val="auto"/>
              </w:rPr>
            </w:pPr>
          </w:p>
        </w:tc>
      </w:tr>
      <w:tr>
        <w:trPr>
          <w:trHeight w:val="176"/>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3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Current assets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and cash equivalents</w:t>
            </w:r>
          </w:p>
        </w:tc>
        <w:tc>
          <w:tcPr>
            <w:tcW w:w="40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185"/>
        </w:trPr>
        <w:tc>
          <w:tcPr>
            <w:tcW w:w="4780" w:type="dxa"/>
            <w:vAlign w:val="bottom"/>
          </w:tcPr>
          <w:p>
            <w:pPr>
              <w:ind w:left="220"/>
              <w:spacing w:after="0"/>
              <w:rPr>
                <w:sz w:val="20"/>
                <w:szCs w:val="20"/>
                <w:color w:val="auto"/>
              </w:rPr>
            </w:pPr>
            <w:r>
              <w:rPr>
                <w:rFonts w:ascii="Arial" w:cs="Arial" w:eastAsia="Arial" w:hAnsi="Arial"/>
                <w:sz w:val="15"/>
                <w:szCs w:val="15"/>
                <w:color w:val="auto"/>
              </w:rPr>
              <w:t>Trade accounts receivable, net of allowances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774.1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742.9</w:t>
            </w: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Prepaid expenses</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68.6</w:t>
            </w:r>
          </w:p>
        </w:tc>
        <w:tc>
          <w:tcPr>
            <w:tcW w:w="0" w:type="dxa"/>
            <w:vAlign w:val="bottom"/>
          </w:tcPr>
          <w:p>
            <w:pPr>
              <w:spacing w:after="0"/>
              <w:rPr>
                <w:sz w:val="1"/>
                <w:szCs w:val="1"/>
                <w:color w:val="auto"/>
              </w:rPr>
            </w:pPr>
          </w:p>
        </w:tc>
      </w:tr>
      <w:tr>
        <w:trPr>
          <w:trHeight w:val="196"/>
        </w:trPr>
        <w:tc>
          <w:tcPr>
            <w:tcW w:w="4780" w:type="dxa"/>
            <w:vAlign w:val="bottom"/>
          </w:tcPr>
          <w:p>
            <w:pPr>
              <w:ind w:left="220"/>
              <w:spacing w:after="0"/>
              <w:rPr>
                <w:sz w:val="20"/>
                <w:szCs w:val="20"/>
                <w:color w:val="auto"/>
              </w:rPr>
            </w:pPr>
            <w:r>
              <w:rPr>
                <w:rFonts w:ascii="Arial" w:cs="Arial" w:eastAsia="Arial" w:hAnsi="Arial"/>
                <w:sz w:val="15"/>
                <w:szCs w:val="15"/>
                <w:color w:val="auto"/>
              </w:rPr>
              <w:t>Other current assets</w:t>
            </w: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76"/>
        </w:trPr>
        <w:tc>
          <w:tcPr>
            <w:tcW w:w="47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current assets</w:t>
            </w:r>
          </w:p>
        </w:tc>
        <w:tc>
          <w:tcPr>
            <w:tcW w:w="3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946.0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20"/>
                <w:szCs w:val="20"/>
                <w:color w:val="auto"/>
              </w:rPr>
            </w:pPr>
            <w:r>
              <w:rPr>
                <w:rFonts w:ascii="Arial" w:cs="Arial" w:eastAsia="Arial" w:hAnsi="Arial"/>
                <w:sz w:val="15"/>
                <w:szCs w:val="15"/>
                <w:color w:val="auto"/>
              </w:rPr>
              <w:t>Other investments</w:t>
            </w: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 of accumulated depreciation</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74.0</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Other intangible assets, net of accumulated amortization</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111.5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111.4</w:t>
            </w: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867.5</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Deferred income tax asset, net</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3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80" w:type="dxa"/>
            <w:vAlign w:val="bottom"/>
          </w:tcPr>
          <w:p>
            <w:pPr>
              <w:spacing w:after="0"/>
              <w:rPr>
                <w:sz w:val="20"/>
                <w:szCs w:val="20"/>
                <w:color w:val="auto"/>
              </w:rPr>
            </w:pPr>
            <w:r>
              <w:rPr>
                <w:rFonts w:ascii="Arial" w:cs="Arial" w:eastAsia="Arial" w:hAnsi="Arial"/>
                <w:sz w:val="15"/>
                <w:szCs w:val="15"/>
                <w:color w:val="auto"/>
              </w:rPr>
              <w:t>Total assets</w:t>
            </w:r>
          </w:p>
        </w:tc>
        <w:tc>
          <w:tcPr>
            <w:tcW w:w="40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2,239.4</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2,130.7</w:t>
            </w:r>
          </w:p>
        </w:tc>
        <w:tc>
          <w:tcPr>
            <w:tcW w:w="0" w:type="dxa"/>
            <w:vAlign w:val="bottom"/>
          </w:tcPr>
          <w:p>
            <w:pPr>
              <w:spacing w:after="0"/>
              <w:rPr>
                <w:sz w:val="1"/>
                <w:szCs w:val="1"/>
                <w:color w:val="auto"/>
              </w:rPr>
            </w:pPr>
          </w:p>
        </w:tc>
      </w:tr>
      <w:tr>
        <w:trPr>
          <w:trHeight w:val="159"/>
        </w:trPr>
        <w:tc>
          <w:tcPr>
            <w:tcW w:w="47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5"/>
                <w:szCs w:val="15"/>
                <w:b w:val="1"/>
                <w:bCs w:val="1"/>
                <w:color w:val="auto"/>
              </w:rPr>
              <w:t>LIABILITIES AND STOCKHOLDERS' EQUITY</w:t>
            </w:r>
          </w:p>
        </w:tc>
        <w:tc>
          <w:tcPr>
            <w:tcW w:w="3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Current Liabilities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Trade accounts payable</w:t>
            </w:r>
          </w:p>
        </w:tc>
        <w:tc>
          <w:tcPr>
            <w:tcW w:w="40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177.5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179.1</w:t>
            </w:r>
          </w:p>
        </w:tc>
        <w:tc>
          <w:tcPr>
            <w:tcW w:w="0" w:type="dxa"/>
            <w:vAlign w:val="bottom"/>
          </w:tcPr>
          <w:p>
            <w:pPr>
              <w:spacing w:after="0"/>
              <w:rPr>
                <w:sz w:val="1"/>
                <w:szCs w:val="1"/>
                <w:color w:val="auto"/>
              </w:rPr>
            </w:pPr>
          </w:p>
        </w:tc>
      </w:tr>
      <w:tr>
        <w:trPr>
          <w:trHeight w:val="185"/>
        </w:trPr>
        <w:tc>
          <w:tcPr>
            <w:tcW w:w="4780" w:type="dxa"/>
            <w:vAlign w:val="bottom"/>
          </w:tcPr>
          <w:p>
            <w:pPr>
              <w:ind w:left="220"/>
              <w:spacing w:after="0"/>
              <w:rPr>
                <w:sz w:val="20"/>
                <w:szCs w:val="20"/>
                <w:color w:val="auto"/>
              </w:rPr>
            </w:pPr>
            <w:r>
              <w:rPr>
                <w:rFonts w:ascii="Arial" w:cs="Arial" w:eastAsia="Arial" w:hAnsi="Arial"/>
                <w:sz w:val="15"/>
                <w:szCs w:val="15"/>
                <w:color w:val="auto"/>
              </w:rPr>
              <w:t>Accrued compensation</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128.9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128.8</w:t>
            </w: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taxes—other than income</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85"/>
        </w:trPr>
        <w:tc>
          <w:tcPr>
            <w:tcW w:w="4780" w:type="dxa"/>
            <w:vAlign w:val="bottom"/>
          </w:tcPr>
          <w:p>
            <w:pPr>
              <w:ind w:left="220"/>
              <w:spacing w:after="0"/>
              <w:rPr>
                <w:sz w:val="20"/>
                <w:szCs w:val="20"/>
                <w:color w:val="auto"/>
              </w:rPr>
            </w:pPr>
            <w:r>
              <w:rPr>
                <w:rFonts w:ascii="Arial" w:cs="Arial" w:eastAsia="Arial" w:hAnsi="Arial"/>
                <w:sz w:val="15"/>
                <w:szCs w:val="15"/>
                <w:color w:val="auto"/>
              </w:rPr>
              <w:t>Insurance claims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92.9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taxes payable</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96"/>
        </w:trPr>
        <w:tc>
          <w:tcPr>
            <w:tcW w:w="4780" w:type="dxa"/>
            <w:vAlign w:val="bottom"/>
          </w:tcPr>
          <w:p>
            <w:pPr>
              <w:ind w:left="220"/>
              <w:spacing w:after="0"/>
              <w:rPr>
                <w:sz w:val="20"/>
                <w:szCs w:val="20"/>
                <w:color w:val="auto"/>
              </w:rPr>
            </w:pPr>
            <w:r>
              <w:rPr>
                <w:rFonts w:ascii="Arial" w:cs="Arial" w:eastAsia="Arial" w:hAnsi="Arial"/>
                <w:sz w:val="15"/>
                <w:szCs w:val="15"/>
                <w:color w:val="auto"/>
              </w:rPr>
              <w:t>Other accrued liabilities</w:t>
            </w: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144.1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129.8</w:t>
            </w:r>
          </w:p>
        </w:tc>
        <w:tc>
          <w:tcPr>
            <w:tcW w:w="0" w:type="dxa"/>
            <w:vAlign w:val="bottom"/>
          </w:tcPr>
          <w:p>
            <w:pPr>
              <w:spacing w:after="0"/>
              <w:rPr>
                <w:sz w:val="1"/>
                <w:szCs w:val="1"/>
                <w:color w:val="auto"/>
              </w:rPr>
            </w:pPr>
          </w:p>
        </w:tc>
      </w:tr>
      <w:tr>
        <w:trPr>
          <w:trHeight w:val="176"/>
        </w:trPr>
        <w:tc>
          <w:tcPr>
            <w:tcW w:w="47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current liabilities</w:t>
            </w:r>
          </w:p>
        </w:tc>
        <w:tc>
          <w:tcPr>
            <w:tcW w:w="3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20"/>
                <w:szCs w:val="20"/>
                <w:color w:val="auto"/>
              </w:rPr>
            </w:pPr>
            <w:r>
              <w:rPr>
                <w:rFonts w:ascii="Arial" w:cs="Arial" w:eastAsia="Arial" w:hAnsi="Arial"/>
                <w:sz w:val="15"/>
                <w:szCs w:val="15"/>
                <w:color w:val="auto"/>
              </w:rPr>
              <w:t>Noncurrent income taxes payable</w:t>
            </w: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Line of credit</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158.0</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Noncurrent insurance claims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329.7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297.4</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liabilities</w:t>
            </w:r>
          </w:p>
        </w:tc>
        <w:tc>
          <w:tcPr>
            <w:tcW w:w="3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5"/>
                <w:szCs w:val="15"/>
                <w:color w:val="auto"/>
              </w:rPr>
              <w:t>Total liabilities</w:t>
            </w: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1,241.5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stockholders' equity</w:t>
            </w:r>
          </w:p>
        </w:tc>
        <w:tc>
          <w:tcPr>
            <w:tcW w:w="3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40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2,239.4</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2,130.7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700" w:type="dxa"/>
            <w:vAlign w:val="bottom"/>
            <w:vMerge w:val="restart"/>
          </w:tcPr>
          <w:p>
            <w:pPr>
              <w:jc w:val="right"/>
              <w:ind w:right="264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4"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 AND OPERATING PROFIT BY SEGMENT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2"/>
                <w:szCs w:val="12"/>
                <w:b w:val="1"/>
                <w:bCs w:val="1"/>
                <w:color w:val="auto"/>
              </w:rPr>
              <w:t>Three Months Ended July 31,</w:t>
            </w:r>
          </w:p>
        </w:tc>
        <w:tc>
          <w:tcPr>
            <w:tcW w:w="14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30"/>
        </w:trPr>
        <w:tc>
          <w:tcPr>
            <w:tcW w:w="6980" w:type="dxa"/>
            <w:vAlign w:val="bottom"/>
          </w:tcPr>
          <w:p>
            <w:pPr>
              <w:spacing w:after="0" w:line="130" w:lineRule="exact"/>
              <w:rPr>
                <w:sz w:val="20"/>
                <w:szCs w:val="20"/>
                <w:color w:val="auto"/>
              </w:rPr>
            </w:pPr>
            <w:r>
              <w:rPr>
                <w:rFonts w:ascii="Arial" w:cs="Arial" w:eastAsia="Arial" w:hAnsi="Arial"/>
                <w:sz w:val="12"/>
                <w:szCs w:val="12"/>
                <w:b w:val="1"/>
                <w:bCs w:val="1"/>
                <w:i w:val="1"/>
                <w:iCs w:val="1"/>
                <w:color w:val="auto"/>
              </w:rPr>
              <w:t>($ in millions)</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2015</w:t>
            </w:r>
          </w:p>
        </w:tc>
        <w:tc>
          <w:tcPr>
            <w:tcW w:w="200" w:type="dxa"/>
            <w:vAlign w:val="bottom"/>
          </w:tcPr>
          <w:p>
            <w:pPr>
              <w:spacing w:after="0"/>
              <w:rPr>
                <w:sz w:val="11"/>
                <w:szCs w:val="11"/>
                <w:color w:val="auto"/>
              </w:rPr>
            </w:pPr>
          </w:p>
        </w:tc>
        <w:tc>
          <w:tcPr>
            <w:tcW w:w="1440" w:type="dxa"/>
            <w:vAlign w:val="bottom"/>
            <w:gridSpan w:val="2"/>
          </w:tcPr>
          <w:p>
            <w:pPr>
              <w:jc w:val="right"/>
              <w:ind w:right="520"/>
              <w:spacing w:after="0" w:line="130" w:lineRule="exact"/>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6"/>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Janitorial</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691.8</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678.5</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Facility Services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146.2</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Parking</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167.7</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162.0</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Building &amp; Energy Solutions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167.8</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149.1</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123.5</w:t>
            </w:r>
          </w:p>
        </w:tc>
        <w:tc>
          <w:tcPr>
            <w:tcW w:w="2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113.0</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revenues</w:t>
            </w: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3.8%</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1,296.9</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1,249.9</w:t>
            </w:r>
          </w:p>
        </w:tc>
        <w:tc>
          <w:tcPr>
            <w:tcW w:w="20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Operating profit (loss):</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Janitorial</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43.8</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32.9</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Facility Services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7.9</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Parking</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Building &amp; Energy Solutions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10.5</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5.8</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Corporate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(55.8)</w:t>
            </w: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(62.5)</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Adjustment for income from unconsolidated affiliates, net included in Building &amp; Energy Solutions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174"/>
        </w:trPr>
        <w:tc>
          <w:tcPr>
            <w:tcW w:w="6980" w:type="dxa"/>
            <w:vAlign w:val="bottom"/>
          </w:tcPr>
          <w:p>
            <w:pPr>
              <w:spacing w:after="0"/>
              <w:rPr>
                <w:sz w:val="20"/>
                <w:szCs w:val="20"/>
                <w:color w:val="auto"/>
              </w:rPr>
            </w:pPr>
            <w:r>
              <w:rPr>
                <w:rFonts w:ascii="Arial" w:cs="Arial" w:eastAsia="Arial" w:hAnsi="Arial"/>
                <w:sz w:val="15"/>
                <w:szCs w:val="15"/>
                <w:color w:val="auto"/>
              </w:rPr>
              <w:t>Adjustment for tax deductions for energy efficient government buildings, included in Building &amp; Energy</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980" w:type="dxa"/>
            <w:vAlign w:val="bottom"/>
          </w:tcPr>
          <w:p>
            <w:pPr>
              <w:ind w:left="140"/>
              <w:spacing w:after="0"/>
              <w:rPr>
                <w:sz w:val="20"/>
                <w:szCs w:val="20"/>
                <w:color w:val="auto"/>
              </w:rPr>
            </w:pPr>
            <w:r>
              <w:rPr>
                <w:rFonts w:ascii="Arial" w:cs="Arial" w:eastAsia="Arial" w:hAnsi="Arial"/>
                <w:sz w:val="15"/>
                <w:szCs w:val="15"/>
                <w:color w:val="auto"/>
              </w:rPr>
              <w:t>Solutions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(0.1)</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(1.8)</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(94.0)%</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operating profit (loss)</w:t>
            </w: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line="20" w:lineRule="exact"/>
              <w:rPr>
                <w:sz w:val="1"/>
                <w:szCs w:val="1"/>
                <w:color w:val="auto"/>
              </w:rPr>
            </w:pPr>
          </w:p>
        </w:tc>
      </w:tr>
      <w:tr>
        <w:trPr>
          <w:trHeight w:val="176"/>
        </w:trPr>
        <w:tc>
          <w:tcPr>
            <w:tcW w:w="6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22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(7.6)</w:t>
            </w:r>
          </w:p>
        </w:tc>
        <w:tc>
          <w:tcPr>
            <w:tcW w:w="14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Income from unconsolidated affiliates, net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2.1</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w:t>
            </w:r>
          </w:p>
        </w:tc>
        <w:tc>
          <w:tcPr>
            <w:tcW w:w="2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(2.4)</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Income (loss) from continuing operations before income taxes</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18.0</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14.9</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32.9</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 from discontinued operations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(1.8)</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Net income</w:t>
            </w: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31.1</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 meaningful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66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 AND OPERATING PROFIT BY SEGMENT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2"/>
                <w:szCs w:val="12"/>
                <w:b w:val="1"/>
                <w:bCs w:val="1"/>
                <w:color w:val="auto"/>
              </w:rPr>
              <w:t>Nine Months Ended July 31,</w:t>
            </w:r>
          </w:p>
        </w:tc>
        <w:tc>
          <w:tcPr>
            <w:tcW w:w="14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30"/>
        </w:trPr>
        <w:tc>
          <w:tcPr>
            <w:tcW w:w="6980" w:type="dxa"/>
            <w:vAlign w:val="bottom"/>
          </w:tcPr>
          <w:p>
            <w:pPr>
              <w:spacing w:after="0" w:line="130" w:lineRule="exact"/>
              <w:rPr>
                <w:sz w:val="20"/>
                <w:szCs w:val="20"/>
                <w:color w:val="auto"/>
              </w:rPr>
            </w:pPr>
            <w:r>
              <w:rPr>
                <w:rFonts w:ascii="Arial" w:cs="Arial" w:eastAsia="Arial" w:hAnsi="Arial"/>
                <w:sz w:val="12"/>
                <w:szCs w:val="12"/>
                <w:b w:val="1"/>
                <w:bCs w:val="1"/>
                <w:i w:val="1"/>
                <w:iCs w:val="1"/>
                <w:color w:val="auto"/>
              </w:rPr>
              <w:t>($ in millions)</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2015</w:t>
            </w:r>
          </w:p>
        </w:tc>
        <w:tc>
          <w:tcPr>
            <w:tcW w:w="200" w:type="dxa"/>
            <w:vAlign w:val="bottom"/>
          </w:tcPr>
          <w:p>
            <w:pPr>
              <w:spacing w:after="0"/>
              <w:rPr>
                <w:sz w:val="11"/>
                <w:szCs w:val="11"/>
                <w:color w:val="auto"/>
              </w:rPr>
            </w:pPr>
          </w:p>
        </w:tc>
        <w:tc>
          <w:tcPr>
            <w:tcW w:w="1440" w:type="dxa"/>
            <w:vAlign w:val="bottom"/>
            <w:gridSpan w:val="2"/>
          </w:tcPr>
          <w:p>
            <w:pPr>
              <w:jc w:val="right"/>
              <w:ind w:right="540"/>
              <w:spacing w:after="0" w:line="130" w:lineRule="exact"/>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6"/>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Janitorial</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2,063.9</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2,004.0</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Facility Services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447.6</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449.3</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Parking</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494.4</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471.2</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Building &amp; Energy Solutions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470.7</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345.8</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306.3</w:t>
            </w:r>
          </w:p>
        </w:tc>
        <w:tc>
          <w:tcPr>
            <w:tcW w:w="2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revenues</w:t>
            </w: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5.6%</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3,822.4</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3,620.8</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Operating profit</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Janitorial</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112.3</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Facility Services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19.9</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18.5</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Parking</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19.0</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Building &amp; Energy Solutions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19.9</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12.5</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59.3%</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11.1</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Corporate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(132.4)</w:t>
            </w: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(124.2)</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Adjustment for income from unconsolidated affiliates, net included in Building &amp; Energy Solutions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(4.6)</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74"/>
        </w:trPr>
        <w:tc>
          <w:tcPr>
            <w:tcW w:w="6980" w:type="dxa"/>
            <w:vAlign w:val="bottom"/>
          </w:tcPr>
          <w:p>
            <w:pPr>
              <w:spacing w:after="0"/>
              <w:rPr>
                <w:sz w:val="20"/>
                <w:szCs w:val="20"/>
                <w:color w:val="auto"/>
              </w:rPr>
            </w:pPr>
            <w:r>
              <w:rPr>
                <w:rFonts w:ascii="Arial" w:cs="Arial" w:eastAsia="Arial" w:hAnsi="Arial"/>
                <w:sz w:val="15"/>
                <w:szCs w:val="15"/>
                <w:color w:val="auto"/>
              </w:rPr>
              <w:t>Adjustment for tax deductions for energy efficient government buildings, included in Building &amp; Energy</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980" w:type="dxa"/>
            <w:vAlign w:val="bottom"/>
          </w:tcPr>
          <w:p>
            <w:pPr>
              <w:ind w:left="140"/>
              <w:spacing w:after="0"/>
              <w:rPr>
                <w:sz w:val="20"/>
                <w:szCs w:val="20"/>
                <w:color w:val="auto"/>
              </w:rPr>
            </w:pPr>
            <w:r>
              <w:rPr>
                <w:rFonts w:ascii="Arial" w:cs="Arial" w:eastAsia="Arial" w:hAnsi="Arial"/>
                <w:sz w:val="15"/>
                <w:szCs w:val="15"/>
                <w:color w:val="auto"/>
              </w:rPr>
              <w:t>Solutions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(1.8)</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operating profit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Income from unconsolidated affiliates, net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5.3</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6.3</w:t>
            </w:r>
          </w:p>
        </w:tc>
        <w:tc>
          <w:tcPr>
            <w:tcW w:w="2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(7.7)</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(7.6)</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Income from continuing operations before income taxes</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41.6</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35.1</w:t>
            </w:r>
          </w:p>
        </w:tc>
        <w:tc>
          <w:tcPr>
            <w:tcW w:w="20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(provision)</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11.7</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53.3</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31.5</w:t>
            </w:r>
          </w:p>
        </w:tc>
        <w:tc>
          <w:tcPr>
            <w:tcW w:w="20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 from discontinued operations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(3.9)</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200" w:type="dxa"/>
            <w:vAlign w:val="bottom"/>
            <w:tcBorders>
              <w:left w:val="single" w:sz="8" w:color="CCEEFF"/>
            </w:tcBorders>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Net income</w:t>
            </w: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31.8%</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49.4</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37.5</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 meaningful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66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14" w:name="page15"/>
    <w:bookmarkEnd w:id="14"/>
    <w:p>
      <w:pPr>
        <w:ind w:left="8"/>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RECONCILIATIONS OF NON-GAAP FINANCIAL MEASURES (UNAUDITED)</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56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in millions, except per share amounts)</w:t>
            </w:r>
          </w:p>
        </w:tc>
        <w:tc>
          <w:tcPr>
            <w:tcW w:w="2340" w:type="dxa"/>
            <w:vAlign w:val="bottom"/>
            <w:gridSpan w:val="5"/>
          </w:tcPr>
          <w:p>
            <w:pPr>
              <w:jc w:val="right"/>
              <w:ind w:right="103"/>
              <w:spacing w:after="0"/>
              <w:rPr>
                <w:sz w:val="20"/>
                <w:szCs w:val="20"/>
                <w:color w:val="auto"/>
              </w:rPr>
            </w:pPr>
            <w:r>
              <w:rPr>
                <w:rFonts w:ascii="Arial" w:cs="Arial" w:eastAsia="Arial" w:hAnsi="Arial"/>
                <w:sz w:val="12"/>
                <w:szCs w:val="12"/>
                <w:b w:val="1"/>
                <w:bCs w:val="1"/>
                <w:color w:val="auto"/>
              </w:rPr>
              <w:t>Three Months Ended July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gridSpan w:val="5"/>
          </w:tcPr>
          <w:p>
            <w:pPr>
              <w:jc w:val="right"/>
              <w:ind w:right="682"/>
              <w:spacing w:after="0"/>
              <w:rPr>
                <w:sz w:val="20"/>
                <w:szCs w:val="20"/>
                <w:color w:val="auto"/>
              </w:rPr>
            </w:pPr>
            <w:r>
              <w:rPr>
                <w:rFonts w:ascii="Arial" w:cs="Arial" w:eastAsia="Arial" w:hAnsi="Arial"/>
                <w:sz w:val="12"/>
                <w:szCs w:val="12"/>
                <w:b w:val="1"/>
                <w:bCs w:val="1"/>
                <w:color w:val="auto"/>
              </w:rPr>
              <w:t>Nine Months Ended July 31,</w:t>
            </w:r>
          </w:p>
        </w:tc>
        <w:tc>
          <w:tcPr>
            <w:tcW w:w="0" w:type="dxa"/>
            <w:vAlign w:val="bottom"/>
          </w:tcPr>
          <w:p>
            <w:pPr>
              <w:spacing w:after="0"/>
              <w:rPr>
                <w:sz w:val="1"/>
                <w:szCs w:val="1"/>
                <w:color w:val="auto"/>
              </w:rPr>
            </w:pPr>
          </w:p>
        </w:tc>
      </w:tr>
      <w:tr>
        <w:trPr>
          <w:trHeight w:val="130"/>
        </w:trPr>
        <w:tc>
          <w:tcPr>
            <w:tcW w:w="5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jc w:val="right"/>
              <w:ind w:right="45"/>
              <w:spacing w:after="0" w:line="130"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23"/>
              <w:spacing w:after="0" w:line="130" w:lineRule="exact"/>
              <w:rPr>
                <w:sz w:val="20"/>
                <w:szCs w:val="20"/>
                <w:color w:val="auto"/>
              </w:rPr>
            </w:pPr>
            <w:r>
              <w:rPr>
                <w:rFonts w:ascii="Arial" w:cs="Arial" w:eastAsia="Arial" w:hAnsi="Arial"/>
                <w:sz w:val="12"/>
                <w:szCs w:val="12"/>
                <w:b w:val="1"/>
                <w:bCs w:val="1"/>
                <w:color w:val="auto"/>
              </w:rPr>
              <w:t>2015</w:t>
            </w: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46"/>
              <w:spacing w:after="0" w:line="130"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5"/>
              <w:spacing w:after="0" w:line="13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20" w:type="dxa"/>
            <w:vAlign w:val="bottom"/>
            <w:tcBorders>
              <w:top w:val="single" w:sz="8" w:color="CCEEFF"/>
            </w:tcBorders>
            <w:gridSpan w:val="2"/>
            <w:shd w:val="clear" w:color="auto" w:fill="CCEEFF"/>
          </w:tcPr>
          <w:p>
            <w:pPr>
              <w:spacing w:after="0" w:line="150" w:lineRule="exact"/>
              <w:rPr>
                <w:sz w:val="20"/>
                <w:szCs w:val="20"/>
                <w:color w:val="auto"/>
              </w:rPr>
            </w:pPr>
            <w:r>
              <w:rPr>
                <w:rFonts w:ascii="Arial" w:cs="Arial" w:eastAsia="Arial" w:hAnsi="Arial"/>
                <w:sz w:val="15"/>
                <w:szCs w:val="15"/>
                <w:b w:val="1"/>
                <w:bCs w:val="1"/>
                <w:color w:val="auto"/>
                <w:w w:val="99"/>
              </w:rPr>
              <w:t>Reconciliation of Adjusted Income from Continuing Operations to Income from</w:t>
            </w:r>
          </w:p>
        </w:tc>
        <w:tc>
          <w:tcPr>
            <w:tcW w:w="8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Continuing Operations</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gridSpan w:val="2"/>
          </w:tcPr>
          <w:p>
            <w:pPr>
              <w:spacing w:after="0"/>
              <w:rPr>
                <w:sz w:val="20"/>
                <w:szCs w:val="20"/>
                <w:color w:val="auto"/>
              </w:rPr>
            </w:pPr>
            <w:r>
              <w:rPr>
                <w:rFonts w:ascii="Arial" w:cs="Arial" w:eastAsia="Arial" w:hAnsi="Arial"/>
                <w:sz w:val="15"/>
                <w:szCs w:val="15"/>
                <w:color w:val="auto"/>
              </w:rPr>
              <w:t>Adjusted income from continuing operations</w:t>
            </w:r>
          </w:p>
        </w:tc>
        <w:tc>
          <w:tcPr>
            <w:tcW w:w="840" w:type="dxa"/>
            <w:vAlign w:val="bottom"/>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30.6</w:t>
            </w:r>
          </w:p>
        </w:tc>
        <w:tc>
          <w:tcPr>
            <w:tcW w:w="940" w:type="dxa"/>
            <w:vAlign w:val="bottom"/>
            <w:gridSpan w:val="2"/>
          </w:tcPr>
          <w:p>
            <w:pPr>
              <w:jc w:val="right"/>
              <w:ind w:right="703"/>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24.2</w:t>
            </w:r>
          </w:p>
        </w:tc>
        <w:tc>
          <w:tcPr>
            <w:tcW w:w="38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2"/>
              <w:spacing w:after="0"/>
              <w:rPr>
                <w:sz w:val="20"/>
                <w:szCs w:val="20"/>
                <w:color w:val="auto"/>
              </w:rPr>
            </w:pPr>
            <w:r>
              <w:rPr>
                <w:rFonts w:ascii="Arial" w:cs="Arial" w:eastAsia="Arial" w:hAnsi="Arial"/>
                <w:sz w:val="15"/>
                <w:szCs w:val="15"/>
                <w:color w:val="auto"/>
              </w:rPr>
              <w:t>69.9</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185"/>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Items impacting comparability:</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20" w:type="dxa"/>
            <w:vAlign w:val="bottom"/>
            <w:gridSpan w:val="2"/>
          </w:tcPr>
          <w:p>
            <w:pPr>
              <w:ind w:left="220"/>
              <w:spacing w:after="0" w:line="218" w:lineRule="exact"/>
              <w:rPr>
                <w:sz w:val="20"/>
                <w:szCs w:val="20"/>
                <w:color w:val="auto"/>
              </w:rPr>
            </w:pPr>
            <w:r>
              <w:rPr>
                <w:rFonts w:ascii="Arial" w:cs="Arial" w:eastAsia="Arial" w:hAnsi="Arial"/>
                <w:sz w:val="15"/>
                <w:szCs w:val="15"/>
                <w:color w:val="auto"/>
              </w:rPr>
              <w:t>Gain from equity investment</w:t>
            </w:r>
            <w:r>
              <w:rPr>
                <w:rFonts w:ascii="Arial" w:cs="Arial" w:eastAsia="Arial" w:hAnsi="Arial"/>
                <w:sz w:val="25"/>
                <w:szCs w:val="25"/>
                <w:color w:val="auto"/>
                <w:vertAlign w:val="superscript"/>
              </w:rPr>
              <w:t>(a)</w:t>
            </w:r>
          </w:p>
        </w:tc>
        <w:tc>
          <w:tcPr>
            <w:tcW w:w="840" w:type="dxa"/>
            <w:vAlign w:val="bottom"/>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0.9</w:t>
            </w:r>
          </w:p>
        </w:tc>
        <w:tc>
          <w:tcPr>
            <w:tcW w:w="940" w:type="dxa"/>
            <w:vAlign w:val="bottom"/>
            <w:gridSpan w:val="2"/>
          </w:tcPr>
          <w:p>
            <w:pPr>
              <w:jc w:val="right"/>
              <w:ind w:right="703"/>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2"/>
              <w:spacing w:after="0"/>
              <w:rPr>
                <w:sz w:val="20"/>
                <w:szCs w:val="20"/>
                <w:color w:val="auto"/>
              </w:rPr>
            </w:pPr>
            <w:r>
              <w:rPr>
                <w:rFonts w:ascii="Arial" w:cs="Arial" w:eastAsia="Arial" w:hAnsi="Arial"/>
                <w:sz w:val="15"/>
                <w:szCs w:val="15"/>
                <w:color w:val="auto"/>
              </w:rPr>
              <w:t>0.9</w:t>
            </w:r>
          </w:p>
        </w:tc>
        <w:tc>
          <w:tcPr>
            <w:tcW w:w="280" w:type="dxa"/>
            <w:vAlign w:val="bottom"/>
          </w:tcPr>
          <w:p>
            <w:pPr>
              <w:spacing w:after="0"/>
              <w:rPr>
                <w:sz w:val="19"/>
                <w:szCs w:val="19"/>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220"/>
              <w:spacing w:after="0" w:line="218" w:lineRule="exact"/>
              <w:rPr>
                <w:sz w:val="20"/>
                <w:szCs w:val="20"/>
                <w:color w:val="auto"/>
              </w:rPr>
            </w:pPr>
            <w:r>
              <w:rPr>
                <w:rFonts w:ascii="Arial" w:cs="Arial" w:eastAsia="Arial" w:hAnsi="Arial"/>
                <w:sz w:val="15"/>
                <w:szCs w:val="15"/>
                <w:color w:val="auto"/>
              </w:rPr>
              <w:t>CEO/CFO Change</w:t>
            </w:r>
            <w:r>
              <w:rPr>
                <w:rFonts w:ascii="Arial" w:cs="Arial" w:eastAsia="Arial" w:hAnsi="Arial"/>
                <w:sz w:val="25"/>
                <w:szCs w:val="25"/>
                <w:color w:val="auto"/>
                <w:vertAlign w:val="superscript"/>
              </w:rPr>
              <w:t>(b)</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5"/>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Self-insurance adjustment</w:t>
            </w:r>
          </w:p>
        </w:tc>
        <w:tc>
          <w:tcPr>
            <w:tcW w:w="84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(19.8)</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5"/>
                <w:szCs w:val="15"/>
                <w:color w:val="auto"/>
              </w:rPr>
              <w:t>(35.8)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42"/>
              <w:spacing w:after="0"/>
              <w:rPr>
                <w:sz w:val="20"/>
                <w:szCs w:val="20"/>
                <w:color w:val="auto"/>
              </w:rPr>
            </w:pPr>
            <w:r>
              <w:rPr>
                <w:rFonts w:ascii="Arial" w:cs="Arial" w:eastAsia="Arial" w:hAnsi="Arial"/>
                <w:sz w:val="15"/>
                <w:szCs w:val="15"/>
                <w:color w:val="auto"/>
              </w:rPr>
              <w:t>(30.5)</w:t>
            </w:r>
          </w:p>
        </w:tc>
        <w:tc>
          <w:tcPr>
            <w:tcW w:w="280" w:type="dxa"/>
            <w:vAlign w:val="bottom"/>
          </w:tcPr>
          <w:p>
            <w:pPr>
              <w:spacing w:after="0"/>
              <w:rPr>
                <w:sz w:val="16"/>
                <w:szCs w:val="16"/>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185"/>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Rebranding</w:t>
            </w:r>
          </w:p>
        </w:tc>
        <w:tc>
          <w:tcPr>
            <w:tcW w:w="8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19"/>
        </w:trPr>
        <w:tc>
          <w:tcPr>
            <w:tcW w:w="5620" w:type="dxa"/>
            <w:vAlign w:val="bottom"/>
            <w:gridSpan w:val="2"/>
          </w:tcPr>
          <w:p>
            <w:pPr>
              <w:ind w:left="220"/>
              <w:spacing w:after="0" w:line="218" w:lineRule="exact"/>
              <w:rPr>
                <w:sz w:val="20"/>
                <w:szCs w:val="20"/>
                <w:color w:val="auto"/>
              </w:rPr>
            </w:pPr>
            <w:r>
              <w:rPr>
                <w:rFonts w:ascii="Arial" w:cs="Arial" w:eastAsia="Arial" w:hAnsi="Arial"/>
                <w:sz w:val="15"/>
                <w:szCs w:val="15"/>
                <w:color w:val="auto"/>
              </w:rPr>
              <w:t>U.S. Foreign Corrupt Practices Act investigation</w:t>
            </w:r>
            <w:r>
              <w:rPr>
                <w:rFonts w:ascii="Arial" w:cs="Arial" w:eastAsia="Arial" w:hAnsi="Arial"/>
                <w:sz w:val="25"/>
                <w:szCs w:val="25"/>
                <w:color w:val="auto"/>
                <w:vertAlign w:val="superscript"/>
              </w:rPr>
              <w:t>(c)</w:t>
            </w:r>
          </w:p>
        </w:tc>
        <w:tc>
          <w:tcPr>
            <w:tcW w:w="8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2"/>
              <w:spacing w:after="0"/>
              <w:rPr>
                <w:sz w:val="20"/>
                <w:szCs w:val="20"/>
                <w:color w:val="auto"/>
              </w:rPr>
            </w:pPr>
            <w:r>
              <w:rPr>
                <w:rFonts w:ascii="Arial" w:cs="Arial" w:eastAsia="Arial" w:hAnsi="Arial"/>
                <w:sz w:val="15"/>
                <w:szCs w:val="15"/>
                <w:color w:val="auto"/>
              </w:rPr>
              <w:t>(0.1)</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5"/>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Onsite realignment</w:t>
            </w:r>
          </w:p>
        </w:tc>
        <w:tc>
          <w:tcPr>
            <w:tcW w:w="8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9"/>
        </w:trPr>
        <w:tc>
          <w:tcPr>
            <w:tcW w:w="5620" w:type="dxa"/>
            <w:vAlign w:val="bottom"/>
            <w:gridSpan w:val="2"/>
          </w:tcPr>
          <w:p>
            <w:pPr>
              <w:ind w:left="220"/>
              <w:spacing w:after="0" w:line="218" w:lineRule="exact"/>
              <w:rPr>
                <w:sz w:val="20"/>
                <w:szCs w:val="20"/>
                <w:color w:val="auto"/>
              </w:rPr>
            </w:pPr>
            <w:r>
              <w:rPr>
                <w:rFonts w:ascii="Arial" w:cs="Arial" w:eastAsia="Arial" w:hAnsi="Arial"/>
                <w:sz w:val="15"/>
                <w:szCs w:val="15"/>
                <w:color w:val="auto"/>
              </w:rPr>
              <w:t>Restructuring and related</w:t>
            </w:r>
            <w:r>
              <w:rPr>
                <w:rFonts w:ascii="Arial" w:cs="Arial" w:eastAsia="Arial" w:hAnsi="Arial"/>
                <w:sz w:val="25"/>
                <w:szCs w:val="25"/>
                <w:color w:val="auto"/>
                <w:vertAlign w:val="superscript"/>
              </w:rPr>
              <w:t>(d)</w:t>
            </w:r>
          </w:p>
        </w:tc>
        <w:tc>
          <w:tcPr>
            <w:tcW w:w="8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2"/>
              <w:spacing w:after="0"/>
              <w:rPr>
                <w:sz w:val="20"/>
                <w:szCs w:val="20"/>
                <w:color w:val="auto"/>
              </w:rPr>
            </w:pPr>
            <w:r>
              <w:rPr>
                <w:rFonts w:ascii="Arial" w:cs="Arial" w:eastAsia="Arial" w:hAnsi="Arial"/>
                <w:sz w:val="15"/>
                <w:szCs w:val="15"/>
                <w:color w:val="auto"/>
              </w:rPr>
              <w:t>(18.9)</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5"/>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Acquisition costs</w:t>
            </w:r>
          </w:p>
        </w:tc>
        <w:tc>
          <w:tcPr>
            <w:tcW w:w="8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(1.1)</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31"/>
        </w:trPr>
        <w:tc>
          <w:tcPr>
            <w:tcW w:w="5620" w:type="dxa"/>
            <w:vAlign w:val="bottom"/>
            <w:gridSpan w:val="2"/>
          </w:tcPr>
          <w:p>
            <w:pPr>
              <w:ind w:left="220"/>
              <w:spacing w:after="0" w:line="230" w:lineRule="exact"/>
              <w:rPr>
                <w:sz w:val="20"/>
                <w:szCs w:val="20"/>
                <w:color w:val="auto"/>
              </w:rPr>
            </w:pPr>
            <w:r>
              <w:rPr>
                <w:rFonts w:ascii="Arial" w:cs="Arial" w:eastAsia="Arial" w:hAnsi="Arial"/>
                <w:sz w:val="15"/>
                <w:szCs w:val="15"/>
                <w:color w:val="auto"/>
              </w:rPr>
              <w:t>Litigation and other settlements</w:t>
            </w:r>
            <w:r>
              <w:rPr>
                <w:rFonts w:ascii="Arial" w:cs="Arial" w:eastAsia="Arial" w:hAnsi="Arial"/>
                <w:sz w:val="25"/>
                <w:szCs w:val="25"/>
                <w:color w:val="auto"/>
                <w:vertAlign w:val="superscript"/>
              </w:rPr>
              <w:t>(e)</w:t>
            </w:r>
          </w:p>
        </w:tc>
        <w:tc>
          <w:tcPr>
            <w:tcW w:w="84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42"/>
              <w:spacing w:after="0"/>
              <w:rPr>
                <w:sz w:val="20"/>
                <w:szCs w:val="20"/>
                <w:color w:val="auto"/>
              </w:rPr>
            </w:pPr>
            <w:r>
              <w:rPr>
                <w:rFonts w:ascii="Arial" w:cs="Arial" w:eastAsia="Arial" w:hAnsi="Arial"/>
                <w:sz w:val="15"/>
                <w:szCs w:val="15"/>
                <w:color w:val="auto"/>
              </w:rPr>
              <w:t>(9.5)</w:t>
            </w:r>
          </w:p>
        </w:tc>
        <w:tc>
          <w:tcPr>
            <w:tcW w:w="28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76"/>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items impacting comparability</w:t>
            </w: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w:t>
            </w: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620" w:type="dxa"/>
            <w:vAlign w:val="bottom"/>
            <w:gridSpan w:val="2"/>
          </w:tcPr>
          <w:p>
            <w:pPr>
              <w:spacing w:after="0" w:line="230" w:lineRule="exact"/>
              <w:rPr>
                <w:sz w:val="20"/>
                <w:szCs w:val="20"/>
                <w:color w:val="auto"/>
              </w:rPr>
            </w:pPr>
            <w:r>
              <w:rPr>
                <w:rFonts w:ascii="Arial" w:cs="Arial" w:eastAsia="Arial" w:hAnsi="Arial"/>
                <w:sz w:val="15"/>
                <w:szCs w:val="15"/>
                <w:color w:val="auto"/>
              </w:rPr>
              <w:t>Income tax benefit</w:t>
            </w:r>
            <w:r>
              <w:rPr>
                <w:rFonts w:ascii="Arial" w:cs="Arial" w:eastAsia="Arial" w:hAnsi="Arial"/>
                <w:sz w:val="25"/>
                <w:szCs w:val="25"/>
                <w:color w:val="auto"/>
                <w:vertAlign w:val="superscript"/>
              </w:rPr>
              <w:t>(f)</w:t>
            </w:r>
          </w:p>
        </w:tc>
        <w:tc>
          <w:tcPr>
            <w:tcW w:w="84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29.2</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16.4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82"/>
              <w:spacing w:after="0"/>
              <w:rPr>
                <w:sz w:val="20"/>
                <w:szCs w:val="20"/>
                <w:color w:val="auto"/>
              </w:rPr>
            </w:pPr>
            <w:r>
              <w:rPr>
                <w:rFonts w:ascii="Arial" w:cs="Arial" w:eastAsia="Arial" w:hAnsi="Arial"/>
                <w:sz w:val="15"/>
                <w:szCs w:val="15"/>
                <w:color w:val="auto"/>
              </w:rPr>
              <w:t>42.6</w:t>
            </w:r>
          </w:p>
        </w:tc>
        <w:tc>
          <w:tcPr>
            <w:tcW w:w="280" w:type="dxa"/>
            <w:vAlign w:val="bottom"/>
          </w:tcPr>
          <w:p>
            <w:pPr>
              <w:spacing w:after="0"/>
              <w:rPr>
                <w:sz w:val="20"/>
                <w:szCs w:val="20"/>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76"/>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Items impacting comparability, net of taxes</w:t>
            </w: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4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220" w:type="dxa"/>
            <w:vAlign w:val="bottom"/>
            <w:tcBorders>
              <w:top w:val="single" w:sz="8" w:color="CCEEFF"/>
              <w:right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8"/>
        </w:trPr>
        <w:tc>
          <w:tcPr>
            <w:tcW w:w="5620" w:type="dxa"/>
            <w:vAlign w:val="bottom"/>
            <w:gridSpan w:val="2"/>
          </w:tcPr>
          <w:p>
            <w:pPr>
              <w:spacing w:after="0"/>
              <w:rPr>
                <w:sz w:val="20"/>
                <w:szCs w:val="20"/>
                <w:color w:val="auto"/>
              </w:rPr>
            </w:pPr>
            <w:r>
              <w:rPr>
                <w:rFonts w:ascii="Arial" w:cs="Arial" w:eastAsia="Arial" w:hAnsi="Arial"/>
                <w:sz w:val="15"/>
                <w:szCs w:val="15"/>
                <w:color w:val="auto"/>
              </w:rPr>
              <w:t>Income from continuing operations</w:t>
            </w:r>
          </w:p>
        </w:tc>
        <w:tc>
          <w:tcPr>
            <w:tcW w:w="840" w:type="dxa"/>
            <w:vAlign w:val="bottom"/>
            <w:tcBorders>
              <w:bottom w:val="single" w:sz="8" w:color="auto"/>
            </w:tcBorders>
          </w:tcPr>
          <w:p>
            <w:pPr>
              <w:jc w:val="right"/>
              <w:ind w:right="725"/>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right"/>
              <w:ind w:right="103"/>
              <w:spacing w:after="0"/>
              <w:rPr>
                <w:sz w:val="20"/>
                <w:szCs w:val="20"/>
                <w:color w:val="auto"/>
              </w:rPr>
            </w:pPr>
            <w:r>
              <w:rPr>
                <w:rFonts w:ascii="Arial" w:cs="Arial" w:eastAsia="Arial" w:hAnsi="Arial"/>
                <w:sz w:val="12"/>
                <w:szCs w:val="12"/>
                <w:b w:val="1"/>
                <w:bCs w:val="1"/>
                <w:color w:val="auto"/>
              </w:rPr>
              <w:t>Three Months Ended July 31,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right"/>
              <w:ind w:right="682"/>
              <w:spacing w:after="0"/>
              <w:rPr>
                <w:sz w:val="20"/>
                <w:szCs w:val="20"/>
                <w:color w:val="auto"/>
              </w:rPr>
            </w:pPr>
            <w:r>
              <w:rPr>
                <w:rFonts w:ascii="Arial" w:cs="Arial" w:eastAsia="Arial" w:hAnsi="Arial"/>
                <w:sz w:val="12"/>
                <w:szCs w:val="12"/>
                <w:b w:val="1"/>
                <w:bCs w:val="1"/>
                <w:color w:val="auto"/>
              </w:rPr>
              <w:t>Nine Months Ended July 31,</w:t>
            </w:r>
          </w:p>
        </w:tc>
        <w:tc>
          <w:tcPr>
            <w:tcW w:w="0" w:type="dxa"/>
            <w:vAlign w:val="bottom"/>
          </w:tcPr>
          <w:p>
            <w:pPr>
              <w:spacing w:after="0"/>
              <w:rPr>
                <w:sz w:val="1"/>
                <w:szCs w:val="1"/>
                <w:color w:val="auto"/>
              </w:rPr>
            </w:pPr>
          </w:p>
        </w:tc>
      </w:tr>
      <w:tr>
        <w:trPr>
          <w:trHeight w:val="130"/>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jc w:val="right"/>
              <w:ind w:right="45"/>
              <w:spacing w:after="0" w:line="130"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23"/>
              <w:spacing w:after="0" w:line="130" w:lineRule="exact"/>
              <w:rPr>
                <w:sz w:val="20"/>
                <w:szCs w:val="20"/>
                <w:color w:val="auto"/>
              </w:rPr>
            </w:pPr>
            <w:r>
              <w:rPr>
                <w:rFonts w:ascii="Arial" w:cs="Arial" w:eastAsia="Arial" w:hAnsi="Arial"/>
                <w:sz w:val="12"/>
                <w:szCs w:val="12"/>
                <w:b w:val="1"/>
                <w:bCs w:val="1"/>
                <w:color w:val="auto"/>
              </w:rPr>
              <w:t>2015</w:t>
            </w: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46"/>
              <w:spacing w:after="0" w:line="130"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5"/>
              <w:spacing w:after="0" w:line="13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Reconciliation of Adjusted EBITDA to Net Income</w:t>
            </w: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20" w:type="dxa"/>
            <w:vAlign w:val="bottom"/>
            <w:gridSpan w:val="2"/>
          </w:tcPr>
          <w:p>
            <w:pPr>
              <w:spacing w:after="0"/>
              <w:rPr>
                <w:sz w:val="20"/>
                <w:szCs w:val="20"/>
                <w:color w:val="auto"/>
              </w:rPr>
            </w:pPr>
            <w:r>
              <w:rPr>
                <w:rFonts w:ascii="Arial" w:cs="Arial" w:eastAsia="Arial" w:hAnsi="Arial"/>
                <w:sz w:val="15"/>
                <w:szCs w:val="15"/>
                <w:color w:val="auto"/>
              </w:rPr>
              <w:t>Adjusted EBITDA</w:t>
            </w:r>
          </w:p>
        </w:tc>
        <w:tc>
          <w:tcPr>
            <w:tcW w:w="840" w:type="dxa"/>
            <w:vAlign w:val="bottom"/>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61.1</w:t>
            </w:r>
          </w:p>
        </w:tc>
        <w:tc>
          <w:tcPr>
            <w:tcW w:w="940" w:type="dxa"/>
            <w:vAlign w:val="bottom"/>
            <w:gridSpan w:val="2"/>
          </w:tcPr>
          <w:p>
            <w:pPr>
              <w:jc w:val="right"/>
              <w:ind w:right="703"/>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49.1</w:t>
            </w:r>
          </w:p>
        </w:tc>
        <w:tc>
          <w:tcPr>
            <w:tcW w:w="38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2"/>
              <w:spacing w:after="0"/>
              <w:rPr>
                <w:sz w:val="20"/>
                <w:szCs w:val="20"/>
                <w:color w:val="auto"/>
              </w:rPr>
            </w:pPr>
            <w:r>
              <w:rPr>
                <w:rFonts w:ascii="Arial" w:cs="Arial" w:eastAsia="Arial" w:hAnsi="Arial"/>
                <w:sz w:val="15"/>
                <w:szCs w:val="15"/>
                <w:color w:val="auto"/>
              </w:rPr>
              <w:t>150.8</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136.6</w:t>
            </w:r>
          </w:p>
        </w:tc>
        <w:tc>
          <w:tcPr>
            <w:tcW w:w="0" w:type="dxa"/>
            <w:vAlign w:val="bottom"/>
          </w:tcPr>
          <w:p>
            <w:pPr>
              <w:spacing w:after="0"/>
              <w:rPr>
                <w:sz w:val="1"/>
                <w:szCs w:val="1"/>
                <w:color w:val="auto"/>
              </w:rPr>
            </w:pPr>
          </w:p>
        </w:tc>
      </w:tr>
      <w:tr>
        <w:trPr>
          <w:trHeight w:val="185"/>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Items impacting comparability</w:t>
            </w:r>
          </w:p>
        </w:tc>
        <w:tc>
          <w:tcPr>
            <w:tcW w:w="8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(26.9)</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(39.4)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(59.2)</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185"/>
        </w:trPr>
        <w:tc>
          <w:tcPr>
            <w:tcW w:w="5620" w:type="dxa"/>
            <w:vAlign w:val="bottom"/>
            <w:gridSpan w:val="2"/>
          </w:tcPr>
          <w:p>
            <w:pPr>
              <w:ind w:left="140"/>
              <w:spacing w:after="0"/>
              <w:rPr>
                <w:sz w:val="20"/>
                <w:szCs w:val="20"/>
                <w:color w:val="auto"/>
              </w:rPr>
            </w:pPr>
            <w:r>
              <w:rPr>
                <w:rFonts w:ascii="Arial" w:cs="Arial" w:eastAsia="Arial" w:hAnsi="Arial"/>
                <w:sz w:val="15"/>
                <w:szCs w:val="15"/>
                <w:color w:val="auto"/>
              </w:rPr>
              <w:t>Net (loss) income from discontinued operations</w:t>
            </w:r>
          </w:p>
        </w:tc>
        <w:tc>
          <w:tcPr>
            <w:tcW w:w="84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42"/>
              <w:spacing w:after="0"/>
              <w:rPr>
                <w:sz w:val="20"/>
                <w:szCs w:val="20"/>
                <w:color w:val="auto"/>
              </w:rPr>
            </w:pPr>
            <w:r>
              <w:rPr>
                <w:rFonts w:ascii="Arial" w:cs="Arial" w:eastAsia="Arial" w:hAnsi="Arial"/>
                <w:sz w:val="15"/>
                <w:szCs w:val="15"/>
                <w:color w:val="auto"/>
              </w:rPr>
              <w:t>(3.9)</w:t>
            </w:r>
          </w:p>
        </w:tc>
        <w:tc>
          <w:tcPr>
            <w:tcW w:w="28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5"/>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Income tax benefit (provision)</w:t>
            </w:r>
          </w:p>
        </w:tc>
        <w:tc>
          <w:tcPr>
            <w:tcW w:w="8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14.9</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8.6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11.7</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19"/>
        </w:trPr>
        <w:tc>
          <w:tcPr>
            <w:tcW w:w="5620" w:type="dxa"/>
            <w:vAlign w:val="bottom"/>
            <w:gridSpan w:val="2"/>
          </w:tcPr>
          <w:p>
            <w:pPr>
              <w:ind w:left="140"/>
              <w:spacing w:after="0" w:line="218" w:lineRule="exact"/>
              <w:rPr>
                <w:sz w:val="20"/>
                <w:szCs w:val="20"/>
                <w:color w:val="auto"/>
              </w:rPr>
            </w:pPr>
            <w:r>
              <w:rPr>
                <w:rFonts w:ascii="Arial" w:cs="Arial" w:eastAsia="Arial" w:hAnsi="Arial"/>
                <w:sz w:val="15"/>
                <w:szCs w:val="15"/>
                <w:color w:val="auto"/>
              </w:rPr>
              <w:t>Interest income from energy efficient government buildings</w:t>
            </w:r>
            <w:r>
              <w:rPr>
                <w:rFonts w:ascii="Arial" w:cs="Arial" w:eastAsia="Arial" w:hAnsi="Arial"/>
                <w:sz w:val="25"/>
                <w:szCs w:val="25"/>
                <w:color w:val="auto"/>
                <w:vertAlign w:val="superscript"/>
              </w:rPr>
              <w:t>(g)</w:t>
            </w:r>
          </w:p>
        </w:tc>
        <w:tc>
          <w:tcPr>
            <w:tcW w:w="8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2"/>
              <w:spacing w:after="0"/>
              <w:rPr>
                <w:sz w:val="20"/>
                <w:szCs w:val="20"/>
                <w:color w:val="auto"/>
              </w:rPr>
            </w:pPr>
            <w:r>
              <w:rPr>
                <w:rFonts w:ascii="Arial" w:cs="Arial" w:eastAsia="Arial" w:hAnsi="Arial"/>
                <w:sz w:val="15"/>
                <w:szCs w:val="15"/>
                <w:color w:val="auto"/>
              </w:rPr>
              <w:t>0.9</w:t>
            </w:r>
          </w:p>
        </w:tc>
        <w:tc>
          <w:tcPr>
            <w:tcW w:w="280" w:type="dxa"/>
            <w:vAlign w:val="bottom"/>
          </w:tcPr>
          <w:p>
            <w:pPr>
              <w:spacing w:after="0"/>
              <w:rPr>
                <w:sz w:val="19"/>
                <w:szCs w:val="19"/>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8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(7.7)</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96"/>
        </w:trPr>
        <w:tc>
          <w:tcPr>
            <w:tcW w:w="5620" w:type="dxa"/>
            <w:vAlign w:val="bottom"/>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8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5"/>
                <w:szCs w:val="15"/>
                <w:color w:val="auto"/>
              </w:rPr>
              <w:t>(14.7)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42"/>
              <w:spacing w:after="0"/>
              <w:rPr>
                <w:sz w:val="20"/>
                <w:szCs w:val="20"/>
                <w:color w:val="auto"/>
              </w:rPr>
            </w:pPr>
            <w:r>
              <w:rPr>
                <w:rFonts w:ascii="Arial" w:cs="Arial" w:eastAsia="Arial" w:hAnsi="Arial"/>
                <w:sz w:val="15"/>
                <w:szCs w:val="15"/>
                <w:color w:val="auto"/>
              </w:rPr>
              <w:t>(43.2)</w:t>
            </w:r>
          </w:p>
        </w:tc>
        <w:tc>
          <w:tcPr>
            <w:tcW w:w="280" w:type="dxa"/>
            <w:vAlign w:val="bottom"/>
          </w:tcPr>
          <w:p>
            <w:pPr>
              <w:spacing w:after="0"/>
              <w:rPr>
                <w:sz w:val="17"/>
                <w:szCs w:val="17"/>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Net income</w:t>
            </w: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gridSpan w:val="2"/>
            <w:vMerge w:val="continue"/>
            <w:shd w:val="clear" w:color="auto" w:fill="CCEEFF"/>
          </w:tcPr>
          <w:p>
            <w:pPr>
              <w:spacing w:after="0"/>
              <w:rPr>
                <w:sz w:val="16"/>
                <w:szCs w:val="16"/>
                <w:color w:val="auto"/>
              </w:rPr>
            </w:pPr>
          </w:p>
        </w:tc>
        <w:tc>
          <w:tcPr>
            <w:tcW w:w="840" w:type="dxa"/>
            <w:vAlign w:val="bottom"/>
            <w:shd w:val="clear" w:color="auto" w:fill="CCEEFF"/>
          </w:tcPr>
          <w:p>
            <w:pPr>
              <w:jc w:val="right"/>
              <w:ind w:right="725"/>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right"/>
              <w:ind w:right="103"/>
              <w:spacing w:after="0"/>
              <w:rPr>
                <w:sz w:val="20"/>
                <w:szCs w:val="20"/>
                <w:color w:val="auto"/>
              </w:rPr>
            </w:pPr>
            <w:r>
              <w:rPr>
                <w:rFonts w:ascii="Arial" w:cs="Arial" w:eastAsia="Arial" w:hAnsi="Arial"/>
                <w:sz w:val="12"/>
                <w:szCs w:val="12"/>
                <w:b w:val="1"/>
                <w:bCs w:val="1"/>
                <w:color w:val="auto"/>
              </w:rPr>
              <w:t>Three Months Ended July 31,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right"/>
              <w:ind w:right="682"/>
              <w:spacing w:after="0"/>
              <w:rPr>
                <w:sz w:val="20"/>
                <w:szCs w:val="20"/>
                <w:color w:val="auto"/>
              </w:rPr>
            </w:pPr>
            <w:r>
              <w:rPr>
                <w:rFonts w:ascii="Arial" w:cs="Arial" w:eastAsia="Arial" w:hAnsi="Arial"/>
                <w:sz w:val="12"/>
                <w:szCs w:val="12"/>
                <w:b w:val="1"/>
                <w:bCs w:val="1"/>
                <w:color w:val="auto"/>
              </w:rPr>
              <w:t>Nine Months Ended July 31,</w:t>
            </w:r>
          </w:p>
        </w:tc>
        <w:tc>
          <w:tcPr>
            <w:tcW w:w="0" w:type="dxa"/>
            <w:vAlign w:val="bottom"/>
          </w:tcPr>
          <w:p>
            <w:pPr>
              <w:spacing w:after="0"/>
              <w:rPr>
                <w:sz w:val="1"/>
                <w:szCs w:val="1"/>
                <w:color w:val="auto"/>
              </w:rPr>
            </w:pPr>
          </w:p>
        </w:tc>
      </w:tr>
      <w:tr>
        <w:trPr>
          <w:trHeight w:val="130"/>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jc w:val="right"/>
              <w:ind w:right="45"/>
              <w:spacing w:after="0" w:line="130"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23"/>
              <w:spacing w:after="0" w:line="130" w:lineRule="exact"/>
              <w:rPr>
                <w:sz w:val="20"/>
                <w:szCs w:val="20"/>
                <w:color w:val="auto"/>
              </w:rPr>
            </w:pPr>
            <w:r>
              <w:rPr>
                <w:rFonts w:ascii="Arial" w:cs="Arial" w:eastAsia="Arial" w:hAnsi="Arial"/>
                <w:sz w:val="12"/>
                <w:szCs w:val="12"/>
                <w:b w:val="1"/>
                <w:bCs w:val="1"/>
                <w:color w:val="auto"/>
              </w:rPr>
              <w:t>2015</w:t>
            </w: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46"/>
              <w:spacing w:after="0" w:line="130"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5"/>
              <w:spacing w:after="0" w:line="13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20" w:type="dxa"/>
            <w:vAlign w:val="bottom"/>
            <w:tcBorders>
              <w:top w:val="single" w:sz="8" w:color="CCEEFF"/>
            </w:tcBorders>
            <w:gridSpan w:val="2"/>
            <w:shd w:val="clear" w:color="auto" w:fill="CCEEFF"/>
          </w:tcPr>
          <w:p>
            <w:pPr>
              <w:spacing w:after="0" w:line="150" w:lineRule="exact"/>
              <w:rPr>
                <w:sz w:val="20"/>
                <w:szCs w:val="20"/>
                <w:color w:val="auto"/>
              </w:rPr>
            </w:pPr>
            <w:r>
              <w:rPr>
                <w:rFonts w:ascii="Arial" w:cs="Arial" w:eastAsia="Arial" w:hAnsi="Arial"/>
                <w:sz w:val="15"/>
                <w:szCs w:val="15"/>
                <w:b w:val="1"/>
                <w:bCs w:val="1"/>
                <w:color w:val="auto"/>
                <w:w w:val="96"/>
              </w:rPr>
              <w:t>Reconciliation of Adjusted Income from Continuing Operations per Diluted Share</w:t>
            </w:r>
          </w:p>
        </w:tc>
        <w:tc>
          <w:tcPr>
            <w:tcW w:w="8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 Income from Continuing Operations per Diluted Share</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gridSpan w:val="2"/>
          </w:tcPr>
          <w:p>
            <w:pPr>
              <w:spacing w:after="0"/>
              <w:rPr>
                <w:sz w:val="20"/>
                <w:szCs w:val="20"/>
                <w:color w:val="auto"/>
              </w:rPr>
            </w:pPr>
            <w:r>
              <w:rPr>
                <w:rFonts w:ascii="Arial" w:cs="Arial" w:eastAsia="Arial" w:hAnsi="Arial"/>
                <w:sz w:val="15"/>
                <w:szCs w:val="15"/>
                <w:color w:val="auto"/>
              </w:rPr>
              <w:t>Adjusted income from continuing operations per diluted share</w:t>
            </w:r>
          </w:p>
        </w:tc>
        <w:tc>
          <w:tcPr>
            <w:tcW w:w="840" w:type="dxa"/>
            <w:vAlign w:val="bottom"/>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0.54</w:t>
            </w:r>
          </w:p>
        </w:tc>
        <w:tc>
          <w:tcPr>
            <w:tcW w:w="940" w:type="dxa"/>
            <w:vAlign w:val="bottom"/>
            <w:gridSpan w:val="2"/>
          </w:tcPr>
          <w:p>
            <w:pPr>
              <w:jc w:val="right"/>
              <w:ind w:right="703"/>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3"/>
              <w:spacing w:after="0"/>
              <w:rPr>
                <w:sz w:val="20"/>
                <w:szCs w:val="20"/>
                <w:color w:val="auto"/>
              </w:rPr>
            </w:pPr>
            <w:r>
              <w:rPr>
                <w:rFonts w:ascii="Arial" w:cs="Arial" w:eastAsia="Arial" w:hAnsi="Arial"/>
                <w:sz w:val="15"/>
                <w:szCs w:val="15"/>
                <w:color w:val="auto"/>
              </w:rPr>
              <w:t>0.42</w:t>
            </w:r>
          </w:p>
        </w:tc>
        <w:tc>
          <w:tcPr>
            <w:tcW w:w="38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2"/>
              <w:spacing w:after="0"/>
              <w:rPr>
                <w:sz w:val="20"/>
                <w:szCs w:val="20"/>
                <w:color w:val="auto"/>
              </w:rPr>
            </w:pPr>
            <w:r>
              <w:rPr>
                <w:rFonts w:ascii="Arial" w:cs="Arial" w:eastAsia="Arial" w:hAnsi="Arial"/>
                <w:sz w:val="15"/>
                <w:szCs w:val="15"/>
                <w:color w:val="auto"/>
              </w:rPr>
              <w:t>1.23</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Items impacting comparability, net of taxes</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(0.40)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(0.29)</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176"/>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Income from continuing operations per diluted share</w:t>
            </w:r>
          </w:p>
        </w:tc>
        <w:tc>
          <w:tcPr>
            <w:tcW w:w="84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0.58</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0.94</w:t>
            </w:r>
          </w:p>
        </w:tc>
        <w:tc>
          <w:tcPr>
            <w:tcW w:w="2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0.55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Diluted shares</w:t>
            </w: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22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68" w:hanging="168"/>
        <w:spacing w:after="0"/>
        <w:tabs>
          <w:tab w:leader="none" w:pos="168"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The Company's share of a gain associated with property sales completed by one of its investments in a low income housing partnership.</w:t>
      </w:r>
    </w:p>
    <w:p>
      <w:pPr>
        <w:spacing w:after="0" w:line="127" w:lineRule="exact"/>
        <w:rPr>
          <w:rFonts w:ascii="Arial" w:cs="Arial" w:eastAsia="Arial" w:hAnsi="Arial"/>
          <w:sz w:val="20"/>
          <w:szCs w:val="20"/>
          <w:color w:val="auto"/>
          <w:vertAlign w:val="superscript"/>
        </w:rPr>
      </w:pPr>
    </w:p>
    <w:p>
      <w:pPr>
        <w:ind w:left="188" w:hanging="188"/>
        <w:spacing w:after="0"/>
        <w:tabs>
          <w:tab w:leader="none" w:pos="18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Represents severance and other costs related to the departure of our former CEO and CFO.</w:t>
      </w:r>
    </w:p>
    <w:p>
      <w:pPr>
        <w:spacing w:after="0" w:line="150" w:lineRule="exact"/>
        <w:rPr>
          <w:rFonts w:ascii="Arial" w:cs="Arial" w:eastAsia="Arial" w:hAnsi="Arial"/>
          <w:sz w:val="23"/>
          <w:szCs w:val="23"/>
          <w:color w:val="auto"/>
          <w:vertAlign w:val="superscript"/>
        </w:rPr>
      </w:pPr>
    </w:p>
    <w:p>
      <w:pPr>
        <w:ind w:left="168" w:hanging="168"/>
        <w:spacing w:after="0"/>
        <w:tabs>
          <w:tab w:leader="none" w:pos="168"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Includes legal and other cost incurred in connection with an internal investigation into a foreign entity affiliated with a former joint venture partner.</w:t>
      </w:r>
    </w:p>
    <w:p>
      <w:pPr>
        <w:spacing w:after="0" w:line="127" w:lineRule="exact"/>
        <w:rPr>
          <w:rFonts w:ascii="Arial" w:cs="Arial" w:eastAsia="Arial" w:hAnsi="Arial"/>
          <w:sz w:val="21"/>
          <w:szCs w:val="21"/>
          <w:color w:val="auto"/>
          <w:vertAlign w:val="superscript"/>
        </w:rPr>
      </w:pPr>
    </w:p>
    <w:p>
      <w:pPr>
        <w:ind w:left="188" w:hanging="188"/>
        <w:spacing w:after="0"/>
        <w:tabs>
          <w:tab w:leader="none" w:pos="18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Includes costs for 2020 Vision Transformation Initiative, net of the reversal of certain share-based compensation costs.</w:t>
      </w:r>
    </w:p>
    <w:p>
      <w:pPr>
        <w:spacing w:after="0" w:line="197" w:lineRule="exact"/>
        <w:rPr>
          <w:rFonts w:ascii="Arial" w:cs="Arial" w:eastAsia="Arial" w:hAnsi="Arial"/>
          <w:sz w:val="23"/>
          <w:szCs w:val="23"/>
          <w:color w:val="auto"/>
          <w:vertAlign w:val="superscript"/>
        </w:rPr>
      </w:pPr>
    </w:p>
    <w:p>
      <w:pPr>
        <w:ind w:left="8" w:right="20" w:hanging="8"/>
        <w:spacing w:after="0" w:line="220" w:lineRule="auto"/>
        <w:tabs>
          <w:tab w:leader="none" w:pos="182"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costs related to a reserve established for an outstanding client receivable that is being litigated, and based on recent unfavorable developments, a significant portion of the outstanding receivable amount is no longer deemed collectible.</w:t>
      </w:r>
    </w:p>
    <w:p>
      <w:pPr>
        <w:spacing w:after="0" w:line="104" w:lineRule="exact"/>
        <w:rPr>
          <w:rFonts w:ascii="Arial" w:cs="Arial" w:eastAsia="Arial" w:hAnsi="Arial"/>
          <w:sz w:val="22"/>
          <w:szCs w:val="22"/>
          <w:color w:val="auto"/>
          <w:vertAlign w:val="superscript"/>
        </w:rPr>
      </w:pPr>
    </w:p>
    <w:p>
      <w:pPr>
        <w:ind w:left="168" w:hanging="168"/>
        <w:spacing w:after="0"/>
        <w:tabs>
          <w:tab w:leader="none" w:pos="168" w:val="left"/>
        </w:tabs>
        <w:numPr>
          <w:ilvl w:val="0"/>
          <w:numId w:val="4"/>
        </w:numPr>
        <w:rPr>
          <w:rFonts w:ascii="Arial" w:cs="Arial" w:eastAsia="Arial" w:hAnsi="Arial"/>
          <w:sz w:val="26"/>
          <w:szCs w:val="26"/>
          <w:color w:val="auto"/>
          <w:vertAlign w:val="superscript"/>
        </w:rPr>
      </w:pPr>
      <w:r>
        <w:rPr>
          <w:rFonts w:ascii="Arial" w:cs="Arial" w:eastAsia="Arial" w:hAnsi="Arial"/>
          <w:sz w:val="15"/>
          <w:szCs w:val="15"/>
          <w:color w:val="auto"/>
        </w:rPr>
        <w:t>Includes a tax benefit of $18.0 million related to expiring statutes of limitations.</w:t>
      </w:r>
    </w:p>
    <w:p>
      <w:pPr>
        <w:spacing w:after="0" w:line="139" w:lineRule="exact"/>
        <w:rPr>
          <w:rFonts w:ascii="Arial" w:cs="Arial" w:eastAsia="Arial" w:hAnsi="Arial"/>
          <w:sz w:val="26"/>
          <w:szCs w:val="26"/>
          <w:color w:val="auto"/>
          <w:vertAlign w:val="superscript"/>
        </w:rPr>
      </w:pPr>
    </w:p>
    <w:p>
      <w:pPr>
        <w:ind w:left="188" w:hanging="188"/>
        <w:spacing w:after="0"/>
        <w:tabs>
          <w:tab w:leader="none" w:pos="18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Adjusted EBITDA does not include interest income for certain long term energy contracts, in which case a gross up of both interest income and interest expense is being recorded.</w:t>
      </w:r>
    </w:p>
    <w:p>
      <w:pPr>
        <w:spacing w:after="0" w:line="35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94" w:right="219" w:bottom="1440" w:gutter="0" w:footer="0" w:header="0"/>
        </w:sectPr>
      </w:pPr>
    </w:p>
    <w:bookmarkStart w:id="15" w:name="page16"/>
    <w:bookmarkEnd w:id="15"/>
    <w:p>
      <w:pPr>
        <w:ind w:left="8"/>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2016 GUIDANCE</w:t>
      </w:r>
    </w:p>
    <w:p>
      <w:pPr>
        <w:spacing w:after="0" w:line="203"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8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7"/>
          </w:tcPr>
          <w:p>
            <w:pPr>
              <w:jc w:val="right"/>
              <w:ind w:right="720"/>
              <w:spacing w:after="0"/>
              <w:rPr>
                <w:sz w:val="20"/>
                <w:szCs w:val="20"/>
                <w:color w:val="auto"/>
              </w:rPr>
            </w:pPr>
            <w:r>
              <w:rPr>
                <w:rFonts w:ascii="Arial" w:cs="Arial" w:eastAsia="Arial" w:hAnsi="Arial"/>
                <w:sz w:val="12"/>
                <w:szCs w:val="12"/>
                <w:b w:val="1"/>
                <w:bCs w:val="1"/>
                <w:color w:val="auto"/>
              </w:rPr>
              <w:t>Year Ended October 31, 2016</w:t>
            </w:r>
          </w:p>
        </w:tc>
        <w:tc>
          <w:tcPr>
            <w:tcW w:w="0" w:type="dxa"/>
            <w:vAlign w:val="bottom"/>
          </w:tcPr>
          <w:p>
            <w:pPr>
              <w:spacing w:after="0"/>
              <w:rPr>
                <w:sz w:val="1"/>
                <w:szCs w:val="1"/>
                <w:color w:val="auto"/>
              </w:rPr>
            </w:pPr>
          </w:p>
        </w:tc>
      </w:tr>
      <w:tr>
        <w:trPr>
          <w:trHeight w:val="130"/>
        </w:trPr>
        <w:tc>
          <w:tcPr>
            <w:tcW w:w="8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500"/>
              <w:spacing w:after="0" w:line="130" w:lineRule="exact"/>
              <w:rPr>
                <w:sz w:val="20"/>
                <w:szCs w:val="20"/>
                <w:color w:val="auto"/>
              </w:rPr>
            </w:pPr>
            <w:r>
              <w:rPr>
                <w:rFonts w:ascii="Arial" w:cs="Arial" w:eastAsia="Arial" w:hAnsi="Arial"/>
                <w:sz w:val="12"/>
                <w:szCs w:val="12"/>
                <w:b w:val="1"/>
                <w:bCs w:val="1"/>
                <w:color w:val="auto"/>
              </w:rPr>
              <w:t>Low Estimate</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86"/>
              <w:spacing w:after="0" w:line="130" w:lineRule="exact"/>
              <w:rPr>
                <w:sz w:val="20"/>
                <w:szCs w:val="20"/>
                <w:color w:val="auto"/>
              </w:rPr>
            </w:pPr>
            <w:r>
              <w:rPr>
                <w:rFonts w:ascii="Arial" w:cs="Arial" w:eastAsia="Arial" w:hAnsi="Arial"/>
                <w:sz w:val="12"/>
                <w:szCs w:val="12"/>
                <w:b w:val="1"/>
                <w:bCs w:val="1"/>
                <w:color w:val="auto"/>
              </w:rPr>
              <w:t>High Estimate</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58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5"/>
                <w:szCs w:val="15"/>
                <w:b w:val="1"/>
                <w:bCs w:val="1"/>
                <w:color w:val="auto"/>
                <w:w w:val="96"/>
              </w:rPr>
              <w:t>Reconciliation of Adjusted Income from Continuing Operations per Diluted Share to Income from Continuing Operations per</w:t>
            </w: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Diluted Share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580" w:type="dxa"/>
            <w:vAlign w:val="bottom"/>
          </w:tcPr>
          <w:p>
            <w:pPr>
              <w:spacing w:after="0"/>
              <w:rPr>
                <w:sz w:val="20"/>
                <w:szCs w:val="20"/>
                <w:color w:val="auto"/>
              </w:rPr>
            </w:pPr>
            <w:r>
              <w:rPr>
                <w:rFonts w:ascii="Arial" w:cs="Arial" w:eastAsia="Arial" w:hAnsi="Arial"/>
                <w:sz w:val="15"/>
                <w:szCs w:val="15"/>
                <w:color w:val="auto"/>
              </w:rPr>
              <w:t>Previously announced adjusted income from continuing operations per diluted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1.55</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color w:val="auto"/>
              </w:rPr>
              <w:t>1.65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580" w:type="dxa"/>
            <w:vAlign w:val="bottom"/>
            <w:shd w:val="clear" w:color="auto" w:fill="CCEEFF"/>
          </w:tcPr>
          <w:p>
            <w:pPr>
              <w:spacing w:after="0" w:line="230" w:lineRule="exact"/>
              <w:rPr>
                <w:sz w:val="20"/>
                <w:szCs w:val="20"/>
                <w:color w:val="auto"/>
              </w:rPr>
            </w:pPr>
            <w:r>
              <w:rPr>
                <w:rFonts w:ascii="Arial" w:cs="Arial" w:eastAsia="Arial" w:hAnsi="Arial"/>
                <w:sz w:val="15"/>
                <w:szCs w:val="15"/>
                <w:color w:val="auto"/>
              </w:rPr>
              <w:t>Increase</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rPr>
                <w:sz w:val="20"/>
                <w:szCs w:val="20"/>
                <w:color w:val="auto"/>
              </w:rPr>
            </w:pPr>
            <w:r>
              <w:rPr>
                <w:rFonts w:ascii="Arial" w:cs="Arial" w:eastAsia="Arial" w:hAnsi="Arial"/>
                <w:sz w:val="15"/>
                <w:szCs w:val="15"/>
                <w:color w:val="auto"/>
              </w:rPr>
              <w:t>Revised adjusted income from continuing operations per diluted share</w:t>
            </w: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580" w:type="dxa"/>
            <w:vAlign w:val="bottom"/>
            <w:shd w:val="clear" w:color="auto" w:fill="CCEEFF"/>
          </w:tcPr>
          <w:p>
            <w:pPr>
              <w:spacing w:after="0" w:line="230" w:lineRule="exact"/>
              <w:rPr>
                <w:sz w:val="20"/>
                <w:szCs w:val="20"/>
                <w:color w:val="auto"/>
              </w:rPr>
            </w:pPr>
            <w:r>
              <w:rPr>
                <w:rFonts w:ascii="Arial" w:cs="Arial" w:eastAsia="Arial" w:hAnsi="Arial"/>
                <w:sz w:val="15"/>
                <w:szCs w:val="15"/>
                <w:color w:val="auto"/>
              </w:rPr>
              <w:t>Adjustments</w:t>
            </w:r>
            <w:r>
              <w:rPr>
                <w:rFonts w:ascii="Arial" w:cs="Arial" w:eastAsia="Arial" w:hAnsi="Arial"/>
                <w:sz w:val="25"/>
                <w:szCs w:val="25"/>
                <w:color w:val="auto"/>
                <w:vertAlign w:val="superscript"/>
              </w:rPr>
              <w:t>(b)</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(0.40)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5"/>
                <w:szCs w:val="15"/>
                <w:color w:val="auto"/>
              </w:rPr>
              <w:t>Income from continuing operations per diluted share</w:t>
            </w: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8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22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68" w:hanging="168"/>
        <w:spacing w:after="0"/>
        <w:tabs>
          <w:tab w:leader="none" w:pos="168" w:val="left"/>
        </w:tabs>
        <w:numPr>
          <w:ilvl w:val="0"/>
          <w:numId w:val="5"/>
        </w:numPr>
        <w:rPr>
          <w:rFonts w:ascii="Arial" w:cs="Arial" w:eastAsia="Arial" w:hAnsi="Arial"/>
          <w:sz w:val="20"/>
          <w:szCs w:val="20"/>
          <w:color w:val="auto"/>
          <w:vertAlign w:val="superscript"/>
        </w:rPr>
      </w:pPr>
      <w:r>
        <w:rPr>
          <w:rFonts w:ascii="Arial" w:cs="Arial" w:eastAsia="Arial" w:hAnsi="Arial"/>
          <w:sz w:val="13"/>
          <w:szCs w:val="13"/>
          <w:color w:val="auto"/>
        </w:rPr>
        <w:t>Represents an increased benefit from timing associated with investments that have not yet occurred, the recognition of certain discrete tax items, and higher 2020 vision savings.</w:t>
      </w:r>
    </w:p>
    <w:p>
      <w:pPr>
        <w:spacing w:after="0" w:line="197" w:lineRule="exact"/>
        <w:rPr>
          <w:rFonts w:ascii="Arial" w:cs="Arial" w:eastAsia="Arial" w:hAnsi="Arial"/>
          <w:sz w:val="20"/>
          <w:szCs w:val="20"/>
          <w:color w:val="auto"/>
          <w:vertAlign w:val="superscript"/>
        </w:rPr>
      </w:pPr>
    </w:p>
    <w:p>
      <w:pPr>
        <w:ind w:left="8" w:right="200" w:hanging="8"/>
        <w:spacing w:after="0" w:line="214" w:lineRule="auto"/>
        <w:tabs>
          <w:tab w:leader="none" w:pos="189"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Adjustments include tax benefit related to expiring statues of limitations, costs associated with the strategic review and realignment, legal settlements, adjustments to self-insurance reserves pertaining to prior year's claims and other unique items impacting comparability.</w:t>
      </w:r>
    </w:p>
    <w:p>
      <w:pPr>
        <w:spacing w:after="0" w:line="35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63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94" w:right="219" w:bottom="1440" w:gutter="0" w:footer="0" w:header="0"/>
        </w:sectPr>
      </w:pPr>
    </w:p>
    <w:bookmarkStart w:id="16" w:name="page17"/>
    <w:bookmarkEnd w:id="16"/>
    <w:p>
      <w:pPr>
        <w:ind w:left="928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154305</wp:posOffset>
            </wp:positionV>
            <wp:extent cx="7320280" cy="5750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0" w:num="1">
            <w:col w:w="10240"/>
          </w:cols>
          <w:pgMar w:left="1440" w:top="324" w:right="21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396875</wp:posOffset>
            </wp:positionV>
            <wp:extent cx="7320280" cy="5750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
    </w:lvl>
  </w:abstractNum>
  <w:abstractNum w:abstractNumId="2">
    <w:nsid w:val="625558EC"/>
    <w:multiLevelType w:val="hybridMultilevel"/>
    <w:lvl w:ilvl="0">
      <w:lvlJc w:val="left"/>
      <w:lvlText w:val="(%1)"/>
      <w:numFmt w:val="decimal"/>
      <w:start w:val="24"/>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2019-12-05T18:14:31Z</dcterms:created>
  <dcterms:modified xsi:type="dcterms:W3CDTF">2019-12-05T18:14:31Z</dcterms:modified>
</cp:coreProperties>
</file>