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color w:val="auto"/>
        </w:rPr>
        <w:t>UNITED STATES</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SCHEDULE 13G</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Under the Securities Exchange Act of 1934</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(Amendment No. 05 )*</w:t>
      </w:r>
    </w:p>
    <w:p>
      <w:pPr>
        <w:spacing w:after="0" w:line="200" w:lineRule="exact"/>
        <w:rPr>
          <w:sz w:val="24"/>
          <w:szCs w:val="24"/>
          <w:color w:val="auto"/>
        </w:rPr>
      </w:pPr>
    </w:p>
    <w:p>
      <w:pPr>
        <w:spacing w:after="0" w:line="38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ABM Industries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18415</wp:posOffset>
            </wp:positionH>
            <wp:positionV relativeFrom="paragraph">
              <wp:posOffset>69215</wp:posOffset>
            </wp:positionV>
            <wp:extent cx="684784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47840" cy="21590"/>
                    </a:xfrm>
                    <a:prstGeom prst="rect">
                      <a:avLst/>
                    </a:prstGeom>
                    <a:noFill/>
                  </pic:spPr>
                </pic:pic>
              </a:graphicData>
            </a:graphic>
          </wp:anchor>
        </w:drawing>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Issuer)</w:t>
      </w:r>
    </w:p>
    <w:p>
      <w:pPr>
        <w:spacing w:after="0" w:line="30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Common Sttock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18415</wp:posOffset>
            </wp:positionH>
            <wp:positionV relativeFrom="paragraph">
              <wp:posOffset>69215</wp:posOffset>
            </wp:positionV>
            <wp:extent cx="684784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47840" cy="21590"/>
                    </a:xfrm>
                    <a:prstGeom prst="rect">
                      <a:avLst/>
                    </a:prstGeom>
                    <a:noFill/>
                  </pic:spPr>
                </pic:pic>
              </a:graphicData>
            </a:graphic>
          </wp:anchor>
        </w:drawing>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Class of Securities)</w:t>
      </w:r>
    </w:p>
    <w:p>
      <w:pPr>
        <w:spacing w:after="0" w:line="30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000957100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18415</wp:posOffset>
            </wp:positionH>
            <wp:positionV relativeFrom="paragraph">
              <wp:posOffset>69215</wp:posOffset>
            </wp:positionV>
            <wp:extent cx="684784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47840" cy="21590"/>
                    </a:xfrm>
                    <a:prstGeom prst="rect">
                      <a:avLst/>
                    </a:prstGeom>
                    <a:noFill/>
                  </pic:spPr>
                </pic:pic>
              </a:graphicData>
            </a:graphic>
          </wp:anchor>
        </w:drawing>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(CUSIP Number)</w:t>
      </w:r>
    </w:p>
    <w:p>
      <w:pPr>
        <w:spacing w:after="0" w:line="200" w:lineRule="exact"/>
        <w:rPr>
          <w:sz w:val="24"/>
          <w:szCs w:val="24"/>
          <w:color w:val="auto"/>
        </w:rPr>
      </w:pPr>
    </w:p>
    <w:p>
      <w:pPr>
        <w:spacing w:after="0" w:line="34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December 31, 2005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18415</wp:posOffset>
            </wp:positionH>
            <wp:positionV relativeFrom="paragraph">
              <wp:posOffset>69215</wp:posOffset>
            </wp:positionV>
            <wp:extent cx="684784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47840" cy="21590"/>
                    </a:xfrm>
                    <a:prstGeom prst="rect">
                      <a:avLst/>
                    </a:prstGeom>
                    <a:noFill/>
                  </pic:spPr>
                </pic:pic>
              </a:graphicData>
            </a:graphic>
          </wp:anchor>
        </w:drawing>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Event which Requires Filing of this Statement)</w:t>
      </w:r>
    </w:p>
    <w:p>
      <w:pPr>
        <w:spacing w:after="0" w:line="279"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52" w:lineRule="exact"/>
        <w:rPr>
          <w:sz w:val="24"/>
          <w:szCs w:val="24"/>
          <w:color w:val="auto"/>
        </w:rPr>
      </w:pPr>
    </w:p>
    <w:p>
      <w:pPr>
        <w:ind w:left="920" w:hanging="102"/>
        <w:spacing w:after="0"/>
        <w:tabs>
          <w:tab w:leader="none" w:pos="920" w:val="left"/>
        </w:tabs>
        <w:numPr>
          <w:ilvl w:val="1"/>
          <w:numId w:val="1"/>
        </w:numPr>
        <w:rPr>
          <w:rFonts w:ascii="Arial" w:cs="Arial" w:eastAsia="Arial" w:hAnsi="Arial"/>
          <w:sz w:val="18"/>
          <w:szCs w:val="18"/>
          <w:color w:val="auto"/>
        </w:rPr>
      </w:pPr>
      <w:r>
        <w:rPr>
          <w:rFonts w:ascii="Arial" w:cs="Arial" w:eastAsia="Arial" w:hAnsi="Arial"/>
          <w:sz w:val="18"/>
          <w:szCs w:val="18"/>
          <w:color w:val="auto"/>
        </w:rPr>
        <w:t>X ] Rule 13d-1(b)</w:t>
      </w:r>
    </w:p>
    <w:p>
      <w:pPr>
        <w:spacing w:after="0" w:line="15" w:lineRule="exact"/>
        <w:rPr>
          <w:rFonts w:ascii="Arial" w:cs="Arial" w:eastAsia="Arial" w:hAnsi="Arial"/>
          <w:sz w:val="18"/>
          <w:szCs w:val="18"/>
          <w:color w:val="auto"/>
        </w:rPr>
      </w:pPr>
    </w:p>
    <w:p>
      <w:pPr>
        <w:ind w:left="1100" w:hanging="282"/>
        <w:spacing w:after="0"/>
        <w:tabs>
          <w:tab w:leader="none" w:pos="1100" w:val="left"/>
        </w:tabs>
        <w:numPr>
          <w:ilvl w:val="1"/>
          <w:numId w:val="1"/>
        </w:numPr>
        <w:rPr>
          <w:rFonts w:ascii="Arial" w:cs="Arial" w:eastAsia="Arial" w:hAnsi="Arial"/>
          <w:sz w:val="18"/>
          <w:szCs w:val="18"/>
          <w:color w:val="auto"/>
        </w:rPr>
      </w:pPr>
      <w:r>
        <w:rPr>
          <w:rFonts w:ascii="Arial" w:cs="Arial" w:eastAsia="Arial" w:hAnsi="Arial"/>
          <w:sz w:val="18"/>
          <w:szCs w:val="18"/>
          <w:color w:val="auto"/>
        </w:rPr>
        <w:t>] Rule 13d-1(c)</w:t>
      </w:r>
    </w:p>
    <w:p>
      <w:pPr>
        <w:spacing w:after="0" w:line="9" w:lineRule="exact"/>
        <w:rPr>
          <w:rFonts w:ascii="Arial" w:cs="Arial" w:eastAsia="Arial" w:hAnsi="Arial"/>
          <w:sz w:val="18"/>
          <w:szCs w:val="18"/>
          <w:color w:val="auto"/>
        </w:rPr>
      </w:pPr>
    </w:p>
    <w:p>
      <w:pPr>
        <w:ind w:left="1100" w:hanging="282"/>
        <w:spacing w:after="0"/>
        <w:tabs>
          <w:tab w:leader="none" w:pos="1100" w:val="left"/>
        </w:tabs>
        <w:numPr>
          <w:ilvl w:val="1"/>
          <w:numId w:val="1"/>
        </w:numPr>
        <w:rPr>
          <w:rFonts w:ascii="Arial" w:cs="Arial" w:eastAsia="Arial" w:hAnsi="Arial"/>
          <w:sz w:val="18"/>
          <w:szCs w:val="18"/>
          <w:color w:val="auto"/>
        </w:rPr>
      </w:pPr>
      <w:r>
        <w:rPr>
          <w:rFonts w:ascii="Arial" w:cs="Arial" w:eastAsia="Arial" w:hAnsi="Arial"/>
          <w:sz w:val="18"/>
          <w:szCs w:val="18"/>
          <w:color w:val="auto"/>
        </w:rPr>
        <w:t>] Rule 13d-1(d)</w:t>
      </w:r>
    </w:p>
    <w:p>
      <w:pPr>
        <w:spacing w:after="0" w:line="245" w:lineRule="exact"/>
        <w:rPr>
          <w:rFonts w:ascii="Arial" w:cs="Arial" w:eastAsia="Arial" w:hAnsi="Arial"/>
          <w:sz w:val="18"/>
          <w:szCs w:val="18"/>
          <w:color w:val="auto"/>
        </w:rPr>
      </w:pPr>
    </w:p>
    <w:p>
      <w:pPr>
        <w:spacing w:after="0" w:line="268" w:lineRule="auto"/>
        <w:rPr>
          <w:rFonts w:ascii="Arial" w:cs="Arial" w:eastAsia="Arial" w:hAnsi="Arial"/>
          <w:sz w:val="18"/>
          <w:szCs w:val="18"/>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13" w:lineRule="exact"/>
        <w:rPr>
          <w:sz w:val="24"/>
          <w:szCs w:val="24"/>
          <w:color w:val="auto"/>
        </w:rPr>
      </w:pPr>
    </w:p>
    <w:p>
      <w:pPr>
        <w:jc w:val="both"/>
        <w:spacing w:after="0" w:line="259"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366395</wp:posOffset>
            </wp:positionV>
            <wp:extent cx="688213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82130"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SCHEDULE 13G</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CUSIP No. 000957100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18415</wp:posOffset>
            </wp:positionH>
            <wp:positionV relativeFrom="paragraph">
              <wp:posOffset>111760</wp:posOffset>
            </wp:positionV>
            <wp:extent cx="684784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47840" cy="21590"/>
                    </a:xfrm>
                    <a:prstGeom prst="rect">
                      <a:avLst/>
                    </a:prstGeom>
                    <a:noFill/>
                  </pic:spPr>
                </pic:pic>
              </a:graphicData>
            </a:graphic>
          </wp:anchor>
        </w:drawing>
      </w:r>
    </w:p>
    <w:p>
      <w:pPr>
        <w:spacing w:after="0" w:line="340" w:lineRule="exact"/>
        <w:rPr>
          <w:sz w:val="24"/>
          <w:szCs w:val="24"/>
          <w:color w:val="auto"/>
        </w:rPr>
      </w:pPr>
    </w:p>
    <w:p>
      <w:pPr>
        <w:ind w:left="1600" w:hanging="683"/>
        <w:spacing w:after="0"/>
        <w:tabs>
          <w:tab w:leader="none" w:pos="160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15" w:lineRule="exact"/>
        <w:rPr>
          <w:rFonts w:ascii="Arial" w:cs="Arial" w:eastAsia="Arial" w:hAnsi="Arial"/>
          <w:sz w:val="18"/>
          <w:szCs w:val="18"/>
          <w:color w:val="auto"/>
        </w:rPr>
      </w:pPr>
    </w:p>
    <w:p>
      <w:pPr>
        <w:jc w:val="both"/>
        <w:ind w:left="1600" w:right="5160"/>
        <w:spacing w:after="0" w:line="281" w:lineRule="auto"/>
        <w:rPr>
          <w:rFonts w:ascii="Arial" w:cs="Arial" w:eastAsia="Arial" w:hAnsi="Arial"/>
          <w:sz w:val="18"/>
          <w:szCs w:val="18"/>
          <w:color w:val="auto"/>
        </w:rPr>
      </w:pPr>
      <w:r>
        <w:rPr>
          <w:rFonts w:ascii="Arial" w:cs="Arial" w:eastAsia="Arial" w:hAnsi="Arial"/>
          <w:sz w:val="16"/>
          <w:szCs w:val="16"/>
          <w:color w:val="auto"/>
        </w:rPr>
        <w:t>Kayne Anderson Rudnick Investment Management, LLC I.R.S. Identification Nos. of above persons (entities only).</w:t>
      </w:r>
    </w:p>
    <w:p>
      <w:pPr>
        <w:spacing w:after="0" w:line="1" w:lineRule="exact"/>
        <w:rPr>
          <w:rFonts w:ascii="Arial" w:cs="Arial" w:eastAsia="Arial" w:hAnsi="Arial"/>
          <w:sz w:val="18"/>
          <w:szCs w:val="18"/>
          <w:color w:val="auto"/>
        </w:rPr>
      </w:pPr>
    </w:p>
    <w:p>
      <w:pPr>
        <w:ind w:left="1600"/>
        <w:spacing w:after="0"/>
        <w:rPr>
          <w:rFonts w:ascii="Arial" w:cs="Arial" w:eastAsia="Arial" w:hAnsi="Arial"/>
          <w:sz w:val="18"/>
          <w:szCs w:val="18"/>
          <w:color w:val="auto"/>
        </w:rPr>
      </w:pPr>
      <w:r>
        <w:rPr>
          <w:rFonts w:ascii="Arial" w:cs="Arial" w:eastAsia="Arial" w:hAnsi="Arial"/>
          <w:sz w:val="18"/>
          <w:szCs w:val="18"/>
          <w:color w:val="auto"/>
        </w:rPr>
        <w:t>95-4575414</w:t>
      </w:r>
    </w:p>
    <w:p>
      <w:pPr>
        <w:spacing w:after="0" w:line="353" w:lineRule="exact"/>
        <w:rPr>
          <w:rFonts w:ascii="Arial" w:cs="Arial" w:eastAsia="Arial" w:hAnsi="Arial"/>
          <w:sz w:val="18"/>
          <w:szCs w:val="18"/>
          <w:color w:val="auto"/>
        </w:rPr>
      </w:pPr>
    </w:p>
    <w:p>
      <w:pPr>
        <w:ind w:left="1600" w:hanging="683"/>
        <w:spacing w:after="0"/>
        <w:tabs>
          <w:tab w:leader="none" w:pos="16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18415</wp:posOffset>
            </wp:positionH>
            <wp:positionV relativeFrom="paragraph">
              <wp:posOffset>-247650</wp:posOffset>
            </wp:positionV>
            <wp:extent cx="684784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47840" cy="21590"/>
                    </a:xfrm>
                    <a:prstGeom prst="rect">
                      <a:avLst/>
                    </a:prstGeom>
                    <a:noFill/>
                  </pic:spPr>
                </pic:pic>
              </a:graphicData>
            </a:graphic>
          </wp:anchor>
        </w:drawing>
      </w:r>
    </w:p>
    <w:tbl>
      <w:tblPr>
        <w:tblLayout w:type="fixed"/>
        <w:tblInd w:w="2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60" w:type="dxa"/>
            <w:vAlign w:val="bottom"/>
            <w:gridSpan w:val="2"/>
          </w:tcPr>
          <w:p>
            <w:pPr>
              <w:ind w:left="240"/>
              <w:spacing w:after="0"/>
              <w:rPr>
                <w:sz w:val="20"/>
                <w:szCs w:val="20"/>
                <w:color w:val="auto"/>
              </w:rPr>
            </w:pPr>
            <w:r>
              <w:rPr>
                <w:rFonts w:ascii="Arial" w:cs="Arial" w:eastAsia="Arial" w:hAnsi="Arial"/>
                <w:sz w:val="18"/>
                <w:szCs w:val="18"/>
                <w:color w:val="auto"/>
              </w:rPr>
              <w:t>(a) [</w:t>
            </w:r>
          </w:p>
        </w:tc>
        <w:tc>
          <w:tcPr>
            <w:tcW w:w="300" w:type="dxa"/>
            <w:vAlign w:val="bottom"/>
          </w:tcPr>
          <w:p>
            <w:pPr>
              <w:ind w:left="80"/>
              <w:spacing w:after="0"/>
              <w:rPr>
                <w:sz w:val="20"/>
                <w:szCs w:val="20"/>
                <w:color w:val="auto"/>
              </w:rPr>
            </w:pPr>
            <w:r>
              <w:rPr>
                <w:rFonts w:ascii="Arial" w:cs="Arial" w:eastAsia="Arial" w:hAnsi="Arial"/>
                <w:sz w:val="18"/>
                <w:szCs w:val="18"/>
                <w:color w:val="auto"/>
              </w:rPr>
              <w:t>]</w:t>
            </w:r>
          </w:p>
        </w:tc>
        <w:tc>
          <w:tcPr>
            <w:tcW w:w="8480" w:type="dxa"/>
            <w:vAlign w:val="bottom"/>
          </w:tcPr>
          <w:p>
            <w:pPr>
              <w:ind w:left="160"/>
              <w:spacing w:after="0"/>
              <w:rPr>
                <w:sz w:val="20"/>
                <w:szCs w:val="20"/>
                <w:color w:val="auto"/>
              </w:rPr>
            </w:pPr>
            <w:r>
              <w:rPr>
                <w:rFonts w:ascii="Arial" w:cs="Arial" w:eastAsia="Arial" w:hAnsi="Arial"/>
                <w:sz w:val="18"/>
                <w:szCs w:val="18"/>
                <w:color w:val="auto"/>
              </w:rPr>
              <w:t>(b) [  ]</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32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9200" w:type="dxa"/>
            <w:vAlign w:val="bottom"/>
            <w:tcBorders>
              <w:bottom w:val="single" w:sz="8" w:color="808080"/>
            </w:tcBorders>
            <w:gridSpan w:val="3"/>
          </w:tcPr>
          <w:p>
            <w:pPr>
              <w:spacing w:after="0"/>
              <w:rPr>
                <w:sz w:val="14"/>
                <w:szCs w:val="14"/>
                <w:color w:val="auto"/>
              </w:rPr>
            </w:pPr>
          </w:p>
        </w:tc>
        <w:tc>
          <w:tcPr>
            <w:tcW w:w="0" w:type="dxa"/>
            <w:vAlign w:val="bottom"/>
          </w:tcPr>
          <w:p>
            <w:pPr>
              <w:spacing w:after="0"/>
              <w:rPr>
                <w:sz w:val="1"/>
                <w:szCs w:val="1"/>
                <w:color w:val="auto"/>
              </w:rPr>
            </w:pPr>
          </w:p>
        </w:tc>
      </w:tr>
      <w:tr>
        <w:trPr>
          <w:trHeight w:val="386"/>
        </w:trPr>
        <w:tc>
          <w:tcPr>
            <w:tcW w:w="1340" w:type="dxa"/>
            <w:vAlign w:val="bottom"/>
            <w:gridSpan w:val="2"/>
          </w:tcPr>
          <w:p>
            <w:pPr>
              <w:ind w:left="900"/>
              <w:spacing w:after="0"/>
              <w:rPr>
                <w:sz w:val="20"/>
                <w:szCs w:val="20"/>
                <w:color w:val="auto"/>
              </w:rPr>
            </w:pPr>
            <w:r>
              <w:rPr>
                <w:rFonts w:ascii="Arial" w:cs="Arial" w:eastAsia="Arial" w:hAnsi="Arial"/>
                <w:sz w:val="18"/>
                <w:szCs w:val="18"/>
                <w:color w:val="auto"/>
              </w:rPr>
              <w:t>3.</w:t>
            </w:r>
          </w:p>
        </w:tc>
        <w:tc>
          <w:tcPr>
            <w:tcW w:w="9440" w:type="dxa"/>
            <w:vAlign w:val="bottom"/>
            <w:gridSpan w:val="4"/>
          </w:tcPr>
          <w:p>
            <w:pPr>
              <w:ind w:left="24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320" w:type="dxa"/>
            <w:vAlign w:val="bottom"/>
            <w:tcBorders>
              <w:bottom w:val="single" w:sz="8" w:color="808080"/>
            </w:tcBorders>
          </w:tcPr>
          <w:p>
            <w:pPr>
              <w:spacing w:after="0"/>
              <w:rPr>
                <w:sz w:val="16"/>
                <w:szCs w:val="16"/>
                <w:color w:val="auto"/>
              </w:rPr>
            </w:pPr>
          </w:p>
        </w:tc>
        <w:tc>
          <w:tcPr>
            <w:tcW w:w="240" w:type="dxa"/>
            <w:vAlign w:val="bottom"/>
            <w:tcBorders>
              <w:bottom w:val="single" w:sz="8" w:color="808080"/>
            </w:tcBorders>
          </w:tcPr>
          <w:p>
            <w:pPr>
              <w:spacing w:after="0"/>
              <w:rPr>
                <w:sz w:val="16"/>
                <w:szCs w:val="16"/>
                <w:color w:val="auto"/>
              </w:rPr>
            </w:pPr>
          </w:p>
        </w:tc>
        <w:tc>
          <w:tcPr>
            <w:tcW w:w="9200" w:type="dxa"/>
            <w:vAlign w:val="bottom"/>
            <w:tcBorders>
              <w:bottom w:val="single" w:sz="8" w:color="808080"/>
            </w:tcBorders>
            <w:gridSpan w:val="3"/>
          </w:tcPr>
          <w:p>
            <w:pPr>
              <w:spacing w:after="0"/>
              <w:rPr>
                <w:sz w:val="16"/>
                <w:szCs w:val="16"/>
                <w:color w:val="auto"/>
              </w:rPr>
            </w:pPr>
          </w:p>
        </w:tc>
        <w:tc>
          <w:tcPr>
            <w:tcW w:w="0" w:type="dxa"/>
            <w:vAlign w:val="bottom"/>
          </w:tcPr>
          <w:p>
            <w:pPr>
              <w:spacing w:after="0"/>
              <w:rPr>
                <w:sz w:val="1"/>
                <w:szCs w:val="1"/>
                <w:color w:val="auto"/>
              </w:rPr>
            </w:pPr>
          </w:p>
        </w:tc>
      </w:tr>
      <w:tr>
        <w:trPr>
          <w:trHeight w:val="367"/>
        </w:trPr>
        <w:tc>
          <w:tcPr>
            <w:tcW w:w="1340" w:type="dxa"/>
            <w:vAlign w:val="bottom"/>
            <w:gridSpan w:val="2"/>
          </w:tcPr>
          <w:p>
            <w:pPr>
              <w:ind w:left="900"/>
              <w:spacing w:after="0"/>
              <w:rPr>
                <w:sz w:val="20"/>
                <w:szCs w:val="20"/>
                <w:color w:val="auto"/>
              </w:rPr>
            </w:pPr>
            <w:r>
              <w:rPr>
                <w:rFonts w:ascii="Arial" w:cs="Arial" w:eastAsia="Arial" w:hAnsi="Arial"/>
                <w:sz w:val="18"/>
                <w:szCs w:val="18"/>
                <w:color w:val="auto"/>
              </w:rPr>
              <w:t>4.</w:t>
            </w:r>
          </w:p>
        </w:tc>
        <w:tc>
          <w:tcPr>
            <w:tcW w:w="9440" w:type="dxa"/>
            <w:vAlign w:val="bottom"/>
            <w:gridSpan w:val="4"/>
          </w:tcPr>
          <w:p>
            <w:pPr>
              <w:ind w:left="24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80" w:type="dxa"/>
            <w:vAlign w:val="bottom"/>
          </w:tcPr>
          <w:p>
            <w:pPr>
              <w:ind w:left="2380"/>
              <w:spacing w:after="0"/>
              <w:rPr>
                <w:sz w:val="20"/>
                <w:szCs w:val="20"/>
                <w:color w:val="auto"/>
              </w:rPr>
            </w:pPr>
            <w:r>
              <w:rPr>
                <w:rFonts w:ascii="Arial" w:cs="Arial" w:eastAsia="Arial" w:hAnsi="Arial"/>
                <w:sz w:val="18"/>
                <w:szCs w:val="18"/>
                <w:color w:val="auto"/>
              </w:rPr>
              <w:t>Is a California Limited Liability Company</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320" w:type="dxa"/>
            <w:vAlign w:val="bottom"/>
            <w:tcBorders>
              <w:bottom w:val="single" w:sz="8" w:color="808080"/>
            </w:tcBorders>
          </w:tcPr>
          <w:p>
            <w:pPr>
              <w:spacing w:after="0"/>
              <w:rPr>
                <w:sz w:val="15"/>
                <w:szCs w:val="15"/>
                <w:color w:val="auto"/>
              </w:rPr>
            </w:pPr>
          </w:p>
        </w:tc>
        <w:tc>
          <w:tcPr>
            <w:tcW w:w="240" w:type="dxa"/>
            <w:vAlign w:val="bottom"/>
            <w:tcBorders>
              <w:bottom w:val="single" w:sz="8" w:color="808080"/>
            </w:tcBorders>
          </w:tcPr>
          <w:p>
            <w:pPr>
              <w:spacing w:after="0"/>
              <w:rPr>
                <w:sz w:val="15"/>
                <w:szCs w:val="15"/>
                <w:color w:val="auto"/>
              </w:rPr>
            </w:pPr>
          </w:p>
        </w:tc>
        <w:tc>
          <w:tcPr>
            <w:tcW w:w="420" w:type="dxa"/>
            <w:vAlign w:val="bottom"/>
            <w:tcBorders>
              <w:bottom w:val="single" w:sz="8" w:color="808080"/>
            </w:tcBorders>
          </w:tcPr>
          <w:p>
            <w:pPr>
              <w:spacing w:after="0"/>
              <w:rPr>
                <w:sz w:val="15"/>
                <w:szCs w:val="15"/>
                <w:color w:val="auto"/>
              </w:rPr>
            </w:pPr>
          </w:p>
        </w:tc>
        <w:tc>
          <w:tcPr>
            <w:tcW w:w="8780" w:type="dxa"/>
            <w:vAlign w:val="bottom"/>
            <w:tcBorders>
              <w:bottom w:val="single" w:sz="8" w:color="808080"/>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367"/>
        </w:trPr>
        <w:tc>
          <w:tcPr>
            <w:tcW w:w="1340" w:type="dxa"/>
            <w:vAlign w:val="bottom"/>
            <w:gridSpan w:val="2"/>
          </w:tcPr>
          <w:p>
            <w:pPr>
              <w:spacing w:after="0"/>
              <w:rPr>
                <w:sz w:val="20"/>
                <w:szCs w:val="20"/>
                <w:color w:val="auto"/>
              </w:rPr>
            </w:pPr>
            <w:r>
              <w:rPr>
                <w:rFonts w:ascii="Arial" w:cs="Arial" w:eastAsia="Arial" w:hAnsi="Arial"/>
                <w:sz w:val="18"/>
                <w:szCs w:val="18"/>
                <w:color w:val="auto"/>
              </w:rPr>
              <w:t>Number of</w:t>
            </w:r>
          </w:p>
        </w:tc>
        <w:tc>
          <w:tcPr>
            <w:tcW w:w="660" w:type="dxa"/>
            <w:vAlign w:val="bottom"/>
            <w:gridSpan w:val="2"/>
          </w:tcPr>
          <w:p>
            <w:pPr>
              <w:ind w:left="240"/>
              <w:spacing w:after="0"/>
              <w:rPr>
                <w:sz w:val="20"/>
                <w:szCs w:val="20"/>
                <w:color w:val="auto"/>
              </w:rPr>
            </w:pPr>
            <w:r>
              <w:rPr>
                <w:rFonts w:ascii="Arial" w:cs="Arial" w:eastAsia="Arial" w:hAnsi="Arial"/>
                <w:sz w:val="18"/>
                <w:szCs w:val="18"/>
                <w:color w:val="auto"/>
              </w:rPr>
              <w:t>5.</w:t>
            </w:r>
          </w:p>
        </w:tc>
        <w:tc>
          <w:tcPr>
            <w:tcW w:w="8780" w:type="dxa"/>
            <w:vAlign w:val="bottom"/>
            <w:gridSpan w:val="2"/>
          </w:tcPr>
          <w:p>
            <w:pPr>
              <w:ind w:left="1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16"/>
        </w:trPr>
        <w:tc>
          <w:tcPr>
            <w:tcW w:w="1340" w:type="dxa"/>
            <w:vAlign w:val="bottom"/>
            <w:gridSpan w:val="2"/>
          </w:tcPr>
          <w:p>
            <w:pPr>
              <w:spacing w:after="0"/>
              <w:rPr>
                <w:sz w:val="20"/>
                <w:szCs w:val="20"/>
                <w:color w:val="auto"/>
              </w:rPr>
            </w:pPr>
            <w:r>
              <w:rPr>
                <w:rFonts w:ascii="Arial" w:cs="Arial" w:eastAsia="Arial" w:hAnsi="Arial"/>
                <w:sz w:val="18"/>
                <w:szCs w:val="18"/>
                <w:color w:val="auto"/>
              </w:rPr>
              <w:t>Shares</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780" w:type="dxa"/>
            <w:vAlign w:val="bottom"/>
            <w:gridSpan w:val="2"/>
          </w:tcPr>
          <w:p>
            <w:pPr>
              <w:ind w:left="120"/>
              <w:spacing w:after="0"/>
              <w:rPr>
                <w:sz w:val="20"/>
                <w:szCs w:val="20"/>
                <w:color w:val="auto"/>
              </w:rPr>
            </w:pPr>
            <w:r>
              <w:rPr>
                <w:rFonts w:ascii="Arial" w:cs="Arial" w:eastAsia="Arial" w:hAnsi="Arial"/>
                <w:sz w:val="18"/>
                <w:szCs w:val="18"/>
                <w:color w:val="auto"/>
              </w:rPr>
              <w:t>3,459,206</w:t>
            </w:r>
          </w:p>
        </w:tc>
        <w:tc>
          <w:tcPr>
            <w:tcW w:w="0" w:type="dxa"/>
            <w:vAlign w:val="bottom"/>
          </w:tcPr>
          <w:p>
            <w:pPr>
              <w:spacing w:after="0"/>
              <w:rPr>
                <w:sz w:val="1"/>
                <w:szCs w:val="1"/>
                <w:color w:val="auto"/>
              </w:rPr>
            </w:pPr>
          </w:p>
        </w:tc>
      </w:tr>
      <w:tr>
        <w:trPr>
          <w:trHeight w:val="181"/>
        </w:trPr>
        <w:tc>
          <w:tcPr>
            <w:tcW w:w="1340" w:type="dxa"/>
            <w:vAlign w:val="bottom"/>
            <w:gridSpan w:val="2"/>
          </w:tcPr>
          <w:p>
            <w:pPr>
              <w:spacing w:after="0" w:line="181" w:lineRule="exact"/>
              <w:rPr>
                <w:sz w:val="20"/>
                <w:szCs w:val="20"/>
                <w:color w:val="auto"/>
              </w:rPr>
            </w:pPr>
            <w:r>
              <w:rPr>
                <w:rFonts w:ascii="Arial" w:cs="Arial" w:eastAsia="Arial" w:hAnsi="Arial"/>
                <w:sz w:val="18"/>
                <w:szCs w:val="18"/>
                <w:color w:val="auto"/>
              </w:rPr>
              <w:t>Beneficially</w:t>
            </w:r>
          </w:p>
        </w:tc>
        <w:tc>
          <w:tcPr>
            <w:tcW w:w="240" w:type="dxa"/>
            <w:vAlign w:val="bottom"/>
          </w:tcPr>
          <w:p>
            <w:pPr>
              <w:spacing w:after="0"/>
              <w:rPr>
                <w:sz w:val="15"/>
                <w:szCs w:val="15"/>
                <w:color w:val="auto"/>
              </w:rPr>
            </w:pPr>
          </w:p>
        </w:tc>
        <w:tc>
          <w:tcPr>
            <w:tcW w:w="420" w:type="dxa"/>
            <w:vAlign w:val="bottom"/>
            <w:tcBorders>
              <w:bottom w:val="single" w:sz="8" w:color="808080"/>
            </w:tcBorders>
          </w:tcPr>
          <w:p>
            <w:pPr>
              <w:spacing w:after="0"/>
              <w:rPr>
                <w:sz w:val="15"/>
                <w:szCs w:val="15"/>
                <w:color w:val="auto"/>
              </w:rPr>
            </w:pPr>
          </w:p>
        </w:tc>
        <w:tc>
          <w:tcPr>
            <w:tcW w:w="300" w:type="dxa"/>
            <w:vAlign w:val="bottom"/>
            <w:tcBorders>
              <w:bottom w:val="single" w:sz="8" w:color="808080"/>
            </w:tcBorders>
          </w:tcPr>
          <w:p>
            <w:pPr>
              <w:spacing w:after="0"/>
              <w:rPr>
                <w:sz w:val="15"/>
                <w:szCs w:val="15"/>
                <w:color w:val="auto"/>
              </w:rPr>
            </w:pPr>
          </w:p>
        </w:tc>
        <w:tc>
          <w:tcPr>
            <w:tcW w:w="8480" w:type="dxa"/>
            <w:vAlign w:val="bottom"/>
            <w:tcBorders>
              <w:bottom w:val="single" w:sz="8" w:color="808080"/>
            </w:tcBorders>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1340" w:type="dxa"/>
            <w:vAlign w:val="bottom"/>
            <w:gridSpan w:val="2"/>
          </w:tcPr>
          <w:p>
            <w:pPr>
              <w:spacing w:after="0"/>
              <w:rPr>
                <w:sz w:val="20"/>
                <w:szCs w:val="20"/>
                <w:color w:val="auto"/>
              </w:rPr>
            </w:pPr>
            <w:r>
              <w:rPr>
                <w:rFonts w:ascii="Arial" w:cs="Arial" w:eastAsia="Arial" w:hAnsi="Arial"/>
                <w:sz w:val="18"/>
                <w:szCs w:val="18"/>
                <w:color w:val="auto"/>
              </w:rPr>
              <w:t>Owned by</w:t>
            </w:r>
          </w:p>
        </w:tc>
        <w:tc>
          <w:tcPr>
            <w:tcW w:w="660" w:type="dxa"/>
            <w:vAlign w:val="bottom"/>
            <w:gridSpan w:val="2"/>
            <w:vMerge w:val="restart"/>
          </w:tcPr>
          <w:p>
            <w:pPr>
              <w:ind w:left="240"/>
              <w:spacing w:after="0"/>
              <w:rPr>
                <w:sz w:val="20"/>
                <w:szCs w:val="20"/>
                <w:color w:val="auto"/>
              </w:rPr>
            </w:pPr>
            <w:r>
              <w:rPr>
                <w:rFonts w:ascii="Arial" w:cs="Arial" w:eastAsia="Arial" w:hAnsi="Arial"/>
                <w:sz w:val="18"/>
                <w:szCs w:val="18"/>
                <w:color w:val="auto"/>
              </w:rPr>
              <w:t>6.</w:t>
            </w:r>
          </w:p>
        </w:tc>
        <w:tc>
          <w:tcPr>
            <w:tcW w:w="8780" w:type="dxa"/>
            <w:vAlign w:val="bottom"/>
            <w:gridSpan w:val="2"/>
            <w:vMerge w:val="restart"/>
          </w:tcPr>
          <w:p>
            <w:pPr>
              <w:ind w:left="1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41"/>
        </w:trPr>
        <w:tc>
          <w:tcPr>
            <w:tcW w:w="1340" w:type="dxa"/>
            <w:vAlign w:val="bottom"/>
            <w:gridSpan w:val="2"/>
            <w:vMerge w:val="restart"/>
          </w:tcPr>
          <w:p>
            <w:pPr>
              <w:spacing w:after="0"/>
              <w:rPr>
                <w:sz w:val="20"/>
                <w:szCs w:val="20"/>
                <w:color w:val="auto"/>
              </w:rPr>
            </w:pPr>
            <w:r>
              <w:rPr>
                <w:rFonts w:ascii="Arial" w:cs="Arial" w:eastAsia="Arial" w:hAnsi="Arial"/>
                <w:sz w:val="18"/>
                <w:szCs w:val="18"/>
                <w:color w:val="auto"/>
              </w:rPr>
              <w:t>Each Reporting</w:t>
            </w:r>
          </w:p>
        </w:tc>
        <w:tc>
          <w:tcPr>
            <w:tcW w:w="660" w:type="dxa"/>
            <w:vAlign w:val="bottom"/>
            <w:gridSpan w:val="2"/>
            <w:vMerge w:val="continue"/>
          </w:tcPr>
          <w:p>
            <w:pPr>
              <w:spacing w:after="0"/>
              <w:rPr>
                <w:sz w:val="12"/>
                <w:szCs w:val="12"/>
                <w:color w:val="auto"/>
              </w:rPr>
            </w:pPr>
          </w:p>
        </w:tc>
        <w:tc>
          <w:tcPr>
            <w:tcW w:w="8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5"/>
        </w:trPr>
        <w:tc>
          <w:tcPr>
            <w:tcW w:w="1340" w:type="dxa"/>
            <w:vAlign w:val="bottom"/>
            <w:gridSpan w:val="2"/>
            <w:vMerge w:val="continue"/>
          </w:tcPr>
          <w:p>
            <w:pPr>
              <w:spacing w:after="0"/>
              <w:rPr>
                <w:sz w:val="6"/>
                <w:szCs w:val="6"/>
                <w:color w:val="auto"/>
              </w:rPr>
            </w:pPr>
          </w:p>
        </w:tc>
        <w:tc>
          <w:tcPr>
            <w:tcW w:w="240" w:type="dxa"/>
            <w:vAlign w:val="bottom"/>
          </w:tcPr>
          <w:p>
            <w:pPr>
              <w:spacing w:after="0"/>
              <w:rPr>
                <w:sz w:val="6"/>
                <w:szCs w:val="6"/>
                <w:color w:val="auto"/>
              </w:rPr>
            </w:pPr>
          </w:p>
        </w:tc>
        <w:tc>
          <w:tcPr>
            <w:tcW w:w="420" w:type="dxa"/>
            <w:vAlign w:val="bottom"/>
          </w:tcPr>
          <w:p>
            <w:pPr>
              <w:spacing w:after="0"/>
              <w:rPr>
                <w:sz w:val="6"/>
                <w:szCs w:val="6"/>
                <w:color w:val="auto"/>
              </w:rPr>
            </w:pPr>
          </w:p>
        </w:tc>
        <w:tc>
          <w:tcPr>
            <w:tcW w:w="300" w:type="dxa"/>
            <w:vAlign w:val="bottom"/>
          </w:tcPr>
          <w:p>
            <w:pPr>
              <w:spacing w:after="0"/>
              <w:rPr>
                <w:sz w:val="6"/>
                <w:szCs w:val="6"/>
                <w:color w:val="auto"/>
              </w:rPr>
            </w:pPr>
          </w:p>
        </w:tc>
        <w:tc>
          <w:tcPr>
            <w:tcW w:w="84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0"/>
        </w:trPr>
        <w:tc>
          <w:tcPr>
            <w:tcW w:w="1340" w:type="dxa"/>
            <w:vAlign w:val="bottom"/>
            <w:gridSpan w:val="2"/>
            <w:vMerge w:val="restart"/>
          </w:tcPr>
          <w:p>
            <w:pPr>
              <w:spacing w:after="0"/>
              <w:rPr>
                <w:sz w:val="20"/>
                <w:szCs w:val="20"/>
                <w:color w:val="auto"/>
              </w:rPr>
            </w:pPr>
            <w:r>
              <w:rPr>
                <w:rFonts w:ascii="Arial" w:cs="Arial" w:eastAsia="Arial" w:hAnsi="Arial"/>
                <w:sz w:val="18"/>
                <w:szCs w:val="18"/>
                <w:color w:val="auto"/>
              </w:rPr>
              <w:t>Person With:</w:t>
            </w:r>
          </w:p>
        </w:tc>
        <w:tc>
          <w:tcPr>
            <w:tcW w:w="24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84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1340" w:type="dxa"/>
            <w:vAlign w:val="bottom"/>
            <w:gridSpan w:val="2"/>
            <w:vMerge w:val="continue"/>
          </w:tcPr>
          <w:p>
            <w:pPr>
              <w:spacing w:after="0"/>
              <w:rPr>
                <w:sz w:val="8"/>
                <w:szCs w:val="8"/>
                <w:color w:val="auto"/>
              </w:rPr>
            </w:pPr>
          </w:p>
        </w:tc>
        <w:tc>
          <w:tcPr>
            <w:tcW w:w="660" w:type="dxa"/>
            <w:vAlign w:val="bottom"/>
            <w:gridSpan w:val="2"/>
            <w:vMerge w:val="restart"/>
          </w:tcPr>
          <w:p>
            <w:pPr>
              <w:ind w:left="240"/>
              <w:spacing w:after="0"/>
              <w:rPr>
                <w:sz w:val="20"/>
                <w:szCs w:val="20"/>
                <w:color w:val="auto"/>
              </w:rPr>
            </w:pPr>
            <w:r>
              <w:rPr>
                <w:rFonts w:ascii="Arial" w:cs="Arial" w:eastAsia="Arial" w:hAnsi="Arial"/>
                <w:sz w:val="18"/>
                <w:szCs w:val="18"/>
                <w:color w:val="auto"/>
              </w:rPr>
              <w:t>7.</w:t>
            </w:r>
          </w:p>
        </w:tc>
        <w:tc>
          <w:tcPr>
            <w:tcW w:w="8780" w:type="dxa"/>
            <w:vAlign w:val="bottom"/>
            <w:gridSpan w:val="2"/>
            <w:vMerge w:val="restart"/>
          </w:tcPr>
          <w:p>
            <w:pPr>
              <w:ind w:left="1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660" w:type="dxa"/>
            <w:vAlign w:val="bottom"/>
            <w:gridSpan w:val="2"/>
            <w:vMerge w:val="continue"/>
          </w:tcPr>
          <w:p>
            <w:pPr>
              <w:spacing w:after="0"/>
              <w:rPr>
                <w:sz w:val="22"/>
                <w:szCs w:val="22"/>
                <w:color w:val="auto"/>
              </w:rPr>
            </w:pPr>
          </w:p>
        </w:tc>
        <w:tc>
          <w:tcPr>
            <w:tcW w:w="878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780" w:type="dxa"/>
            <w:vAlign w:val="bottom"/>
            <w:gridSpan w:val="2"/>
          </w:tcPr>
          <w:p>
            <w:pPr>
              <w:ind w:left="120"/>
              <w:spacing w:after="0"/>
              <w:rPr>
                <w:sz w:val="20"/>
                <w:szCs w:val="20"/>
                <w:color w:val="auto"/>
              </w:rPr>
            </w:pPr>
            <w:r>
              <w:rPr>
                <w:rFonts w:ascii="Arial" w:cs="Arial" w:eastAsia="Arial" w:hAnsi="Arial"/>
                <w:sz w:val="18"/>
                <w:szCs w:val="18"/>
                <w:color w:val="auto"/>
              </w:rPr>
              <w:t>3,459,206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6853555</wp:posOffset>
            </wp:positionH>
            <wp:positionV relativeFrom="paragraph">
              <wp:posOffset>-2120900</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-2120900</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6853555</wp:posOffset>
            </wp:positionH>
            <wp:positionV relativeFrom="paragraph">
              <wp:posOffset>-1743075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-1743075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6853555</wp:posOffset>
            </wp:positionH>
            <wp:positionV relativeFrom="paragraph">
              <wp:posOffset>-1245870</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-1245870</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6853555</wp:posOffset>
            </wp:positionH>
            <wp:positionV relativeFrom="paragraph">
              <wp:posOffset>-748665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1013460</wp:posOffset>
            </wp:positionH>
            <wp:positionV relativeFrom="paragraph">
              <wp:posOffset>-748665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6853555</wp:posOffset>
            </wp:positionH>
            <wp:positionV relativeFrom="paragraph">
              <wp:posOffset>-387985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1013460</wp:posOffset>
            </wp:positionH>
            <wp:positionV relativeFrom="paragraph">
              <wp:posOffset>-387985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1013460</wp:posOffset>
            </wp:positionH>
            <wp:positionV relativeFrom="paragraph">
              <wp:posOffset>102235</wp:posOffset>
            </wp:positionV>
            <wp:extent cx="5852795"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852795" cy="21590"/>
                    </a:xfrm>
                    <a:prstGeom prst="rect">
                      <a:avLst/>
                    </a:prstGeom>
                    <a:noFill/>
                  </pic:spPr>
                </pic:pic>
              </a:graphicData>
            </a:graphic>
          </wp:anchor>
        </w:drawing>
      </w:r>
    </w:p>
    <w:p>
      <w:pPr>
        <w:sectPr>
          <w:pgSz w:w="11900" w:h="16838" w:orient="portrait"/>
          <w:cols w:equalWidth="0" w:num="1">
            <w:col w:w="10820"/>
          </w:cols>
          <w:pgMar w:left="540" w:top="307" w:right="539" w:bottom="0" w:gutter="0" w:footer="0" w:header="0"/>
        </w:sectPr>
      </w:pPr>
    </w:p>
    <w:bookmarkStart w:id="1" w:name="page2"/>
    <w:bookmarkEnd w:id="1"/>
    <w:p>
      <w:pPr>
        <w:ind w:left="1580"/>
        <w:spacing w:after="0"/>
        <w:rPr>
          <w:sz w:val="20"/>
          <w:szCs w:val="20"/>
          <w:color w:val="auto"/>
        </w:rPr>
      </w:pPr>
      <w:r>
        <w:rPr>
          <w:rFonts w:ascii="Arial" w:cs="Arial" w:eastAsia="Arial" w:hAnsi="Arial"/>
          <w:sz w:val="18"/>
          <w:szCs w:val="18"/>
          <w:color w:val="auto"/>
        </w:rPr>
        <w:t>8.</w:t>
      </w:r>
      <w:r>
        <w:rPr>
          <w:rFonts w:ascii="Arial" w:cs="Arial" w:eastAsia="Arial" w:hAnsi="Arial"/>
          <w:sz w:val="15"/>
          <w:szCs w:val="15"/>
          <w:color w:val="auto"/>
        </w:rPr>
        <w:t>Shared Dispositive Power</w:t>
      </w:r>
    </w:p>
    <w:p>
      <w:pPr>
        <w:spacing w:after="0" w:line="360" w:lineRule="exact"/>
        <w:rPr>
          <w:sz w:val="20"/>
          <w:szCs w:val="20"/>
          <w:color w:val="auto"/>
        </w:rPr>
      </w:pPr>
    </w:p>
    <w:p>
      <w:pPr>
        <w:ind w:left="1580" w:right="4520" w:hanging="683"/>
        <w:spacing w:after="0" w:line="268" w:lineRule="auto"/>
        <w:tabs>
          <w:tab w:leader="none" w:pos="1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3,459,206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-409575</wp:posOffset>
            </wp:positionV>
            <wp:extent cx="684784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47840" cy="215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86995</wp:posOffset>
            </wp:positionV>
            <wp:extent cx="684784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47840" cy="21590"/>
                    </a:xfrm>
                    <a:prstGeom prst="rect">
                      <a:avLst/>
                    </a:prstGeom>
                    <a:noFill/>
                  </pic:spPr>
                </pic:pic>
              </a:graphicData>
            </a:graphic>
          </wp:anchor>
        </w:drawing>
      </w:r>
    </w:p>
    <w:p>
      <w:pPr>
        <w:spacing w:after="0" w:line="301" w:lineRule="exact"/>
        <w:rPr>
          <w:sz w:val="20"/>
          <w:szCs w:val="20"/>
          <w:color w:val="auto"/>
        </w:rPr>
      </w:pPr>
    </w:p>
    <w:p>
      <w:pPr>
        <w:ind w:left="900"/>
        <w:spacing w:after="0"/>
        <w:tabs>
          <w:tab w:leader="none" w:pos="1560" w:val="left"/>
          <w:tab w:leader="none" w:pos="7980" w:val="left"/>
        </w:tabs>
        <w:rPr>
          <w:sz w:val="20"/>
          <w:szCs w:val="20"/>
          <w:color w:val="auto"/>
        </w:rPr>
      </w:pPr>
      <w:r>
        <w:rPr>
          <w:rFonts w:ascii="Arial" w:cs="Arial" w:eastAsia="Arial" w:hAnsi="Arial"/>
          <w:sz w:val="16"/>
          <w:szCs w:val="16"/>
          <w:color w:val="auto"/>
        </w:rPr>
        <w:t>10.</w:t>
      </w:r>
      <w:r>
        <w:rPr>
          <w:sz w:val="20"/>
          <w:szCs w:val="20"/>
          <w:color w:val="auto"/>
        </w:rPr>
        <w:tab/>
      </w:r>
      <w:r>
        <w:rPr>
          <w:rFonts w:ascii="Arial" w:cs="Arial" w:eastAsia="Arial" w:hAnsi="Arial"/>
          <w:sz w:val="16"/>
          <w:szCs w:val="16"/>
          <w:color w:val="auto"/>
        </w:rPr>
        <w:t>Check if the Aggregate Amount in Row (9) Excludes Certain Shares (See Instructions) [</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128905</wp:posOffset>
            </wp:positionV>
            <wp:extent cx="684784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47840" cy="21590"/>
                    </a:xfrm>
                    <a:prstGeom prst="rect">
                      <a:avLst/>
                    </a:prstGeom>
                    <a:noFill/>
                  </pic:spPr>
                </pic:pic>
              </a:graphicData>
            </a:graphic>
          </wp:anchor>
        </w:drawing>
      </w:r>
    </w:p>
    <w:p>
      <w:pPr>
        <w:spacing w:after="0" w:line="367" w:lineRule="exact"/>
        <w:rPr>
          <w:sz w:val="20"/>
          <w:szCs w:val="20"/>
          <w:color w:val="auto"/>
        </w:rPr>
      </w:pPr>
    </w:p>
    <w:p>
      <w:pPr>
        <w:ind w:left="1580" w:hanging="683"/>
        <w:spacing w:after="0"/>
        <w:tabs>
          <w:tab w:leader="none" w:pos="1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1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7.09%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107950</wp:posOffset>
            </wp:positionV>
            <wp:extent cx="684784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47840" cy="21590"/>
                    </a:xfrm>
                    <a:prstGeom prst="rect">
                      <a:avLst/>
                    </a:prstGeom>
                    <a:noFill/>
                  </pic:spPr>
                </pic:pic>
              </a:graphicData>
            </a:graphic>
          </wp:anchor>
        </w:drawing>
      </w:r>
    </w:p>
    <w:p>
      <w:pPr>
        <w:spacing w:after="0" w:line="334" w:lineRule="exact"/>
        <w:rPr>
          <w:sz w:val="20"/>
          <w:szCs w:val="20"/>
          <w:color w:val="auto"/>
        </w:rPr>
      </w:pPr>
    </w:p>
    <w:p>
      <w:pPr>
        <w:ind w:left="1580" w:hanging="683"/>
        <w:spacing w:after="0"/>
        <w:tabs>
          <w:tab w:leader="none" w:pos="1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1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146050</wp:posOffset>
            </wp:positionV>
            <wp:extent cx="684784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4784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6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260" w:type="dxa"/>
            <w:vAlign w:val="bottom"/>
          </w:tcPr>
          <w:p>
            <w:pPr>
              <w:spacing w:after="0"/>
              <w:rPr>
                <w:sz w:val="19"/>
                <w:szCs w:val="19"/>
                <w:color w:val="auto"/>
              </w:rPr>
            </w:pPr>
          </w:p>
        </w:tc>
        <w:tc>
          <w:tcPr>
            <w:tcW w:w="8120" w:type="dxa"/>
            <w:vAlign w:val="bottom"/>
          </w:tcPr>
          <w:p>
            <w:pPr>
              <w:spacing w:after="0"/>
              <w:rPr>
                <w:sz w:val="19"/>
                <w:szCs w:val="19"/>
                <w:color w:val="auto"/>
              </w:rPr>
            </w:pPr>
          </w:p>
        </w:tc>
      </w:tr>
      <w:tr>
        <w:trPr>
          <w:trHeight w:val="270"/>
        </w:trPr>
        <w:tc>
          <w:tcPr>
            <w:tcW w:w="760" w:type="dxa"/>
            <w:vAlign w:val="bottom"/>
          </w:tcPr>
          <w:p>
            <w:pPr>
              <w:ind w:left="460"/>
              <w:spacing w:after="0"/>
              <w:rPr>
                <w:sz w:val="20"/>
                <w:szCs w:val="20"/>
                <w:color w:val="auto"/>
              </w:rPr>
            </w:pPr>
            <w:r>
              <w:rPr>
                <w:rFonts w:ascii="Arial" w:cs="Arial" w:eastAsia="Arial" w:hAnsi="Arial"/>
                <w:sz w:val="18"/>
                <w:szCs w:val="18"/>
                <w:color w:val="auto"/>
              </w:rPr>
              <w:t>(a)</w:t>
            </w:r>
          </w:p>
        </w:tc>
        <w:tc>
          <w:tcPr>
            <w:tcW w:w="8380" w:type="dxa"/>
            <w:vAlign w:val="bottom"/>
            <w:gridSpan w:val="2"/>
          </w:tcPr>
          <w:p>
            <w:pPr>
              <w:ind w:left="120"/>
              <w:spacing w:after="0"/>
              <w:rPr>
                <w:sz w:val="20"/>
                <w:szCs w:val="20"/>
                <w:color w:val="auto"/>
              </w:rPr>
            </w:pPr>
            <w:r>
              <w:rPr>
                <w:rFonts w:ascii="Arial" w:cs="Arial" w:eastAsia="Arial" w:hAnsi="Arial"/>
                <w:sz w:val="18"/>
                <w:szCs w:val="18"/>
                <w:color w:val="auto"/>
              </w:rPr>
              <w:t>Name of Issuer</w:t>
            </w:r>
          </w:p>
        </w:tc>
      </w:tr>
      <w:tr>
        <w:trPr>
          <w:trHeight w:val="432"/>
        </w:trPr>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120" w:type="dxa"/>
            <w:vAlign w:val="bottom"/>
          </w:tcPr>
          <w:p>
            <w:pPr>
              <w:ind w:left="240"/>
              <w:spacing w:after="0"/>
              <w:rPr>
                <w:sz w:val="20"/>
                <w:szCs w:val="20"/>
                <w:color w:val="auto"/>
              </w:rPr>
            </w:pPr>
            <w:r>
              <w:rPr>
                <w:rFonts w:ascii="Arial" w:cs="Arial" w:eastAsia="Arial" w:hAnsi="Arial"/>
                <w:sz w:val="18"/>
                <w:szCs w:val="18"/>
                <w:color w:val="auto"/>
              </w:rPr>
              <w:t>ABM Industries Incorporated</w:t>
            </w:r>
          </w:p>
        </w:tc>
      </w:tr>
      <w:tr>
        <w:trPr>
          <w:trHeight w:val="270"/>
        </w:trPr>
        <w:tc>
          <w:tcPr>
            <w:tcW w:w="760" w:type="dxa"/>
            <w:vAlign w:val="bottom"/>
          </w:tcPr>
          <w:p>
            <w:pPr>
              <w:ind w:left="460"/>
              <w:spacing w:after="0"/>
              <w:rPr>
                <w:sz w:val="20"/>
                <w:szCs w:val="20"/>
                <w:color w:val="auto"/>
              </w:rPr>
            </w:pPr>
            <w:r>
              <w:rPr>
                <w:rFonts w:ascii="Arial" w:cs="Arial" w:eastAsia="Arial" w:hAnsi="Arial"/>
                <w:sz w:val="18"/>
                <w:szCs w:val="18"/>
                <w:color w:val="auto"/>
              </w:rPr>
              <w:t>(b)</w:t>
            </w:r>
          </w:p>
        </w:tc>
        <w:tc>
          <w:tcPr>
            <w:tcW w:w="8380" w:type="dxa"/>
            <w:vAlign w:val="bottom"/>
            <w:gridSpan w:val="2"/>
          </w:tcPr>
          <w:p>
            <w:pPr>
              <w:ind w:left="120"/>
              <w:spacing w:after="0"/>
              <w:rPr>
                <w:sz w:val="20"/>
                <w:szCs w:val="20"/>
                <w:color w:val="auto"/>
              </w:rPr>
            </w:pPr>
            <w:r>
              <w:rPr>
                <w:rFonts w:ascii="Arial" w:cs="Arial" w:eastAsia="Arial" w:hAnsi="Arial"/>
                <w:sz w:val="18"/>
                <w:szCs w:val="18"/>
                <w:color w:val="auto"/>
              </w:rPr>
              <w:t>Address of Issuer's Principal Executive Offices</w:t>
            </w:r>
          </w:p>
        </w:tc>
      </w:tr>
      <w:tr>
        <w:trPr>
          <w:trHeight w:val="426"/>
        </w:trPr>
        <w:tc>
          <w:tcPr>
            <w:tcW w:w="760" w:type="dxa"/>
            <w:vAlign w:val="bottom"/>
          </w:tcPr>
          <w:p>
            <w:pPr>
              <w:spacing w:after="0"/>
              <w:rPr>
                <w:sz w:val="24"/>
                <w:szCs w:val="24"/>
                <w:color w:val="auto"/>
              </w:rPr>
            </w:pPr>
          </w:p>
        </w:tc>
        <w:tc>
          <w:tcPr>
            <w:tcW w:w="8380" w:type="dxa"/>
            <w:vAlign w:val="bottom"/>
            <w:gridSpan w:val="2"/>
          </w:tcPr>
          <w:p>
            <w:pPr>
              <w:ind w:left="120"/>
              <w:spacing w:after="0"/>
              <w:rPr>
                <w:sz w:val="20"/>
                <w:szCs w:val="20"/>
                <w:color w:val="auto"/>
              </w:rPr>
            </w:pPr>
            <w:r>
              <w:rPr>
                <w:rFonts w:ascii="Arial" w:cs="Arial" w:eastAsia="Arial" w:hAnsi="Arial"/>
                <w:sz w:val="18"/>
                <w:szCs w:val="18"/>
                <w:color w:val="auto"/>
              </w:rPr>
              <w:t>160 Pacific Avenue, Suite 222</w:t>
            </w:r>
          </w:p>
        </w:tc>
      </w:tr>
      <w:tr>
        <w:trPr>
          <w:trHeight w:val="222"/>
        </w:trPr>
        <w:tc>
          <w:tcPr>
            <w:tcW w:w="760" w:type="dxa"/>
            <w:vAlign w:val="bottom"/>
          </w:tcPr>
          <w:p>
            <w:pPr>
              <w:spacing w:after="0"/>
              <w:rPr>
                <w:sz w:val="19"/>
                <w:szCs w:val="19"/>
                <w:color w:val="auto"/>
              </w:rPr>
            </w:pPr>
          </w:p>
        </w:tc>
        <w:tc>
          <w:tcPr>
            <w:tcW w:w="8380" w:type="dxa"/>
            <w:vAlign w:val="bottom"/>
            <w:gridSpan w:val="2"/>
          </w:tcPr>
          <w:p>
            <w:pPr>
              <w:ind w:left="120"/>
              <w:spacing w:after="0"/>
              <w:rPr>
                <w:sz w:val="20"/>
                <w:szCs w:val="20"/>
                <w:color w:val="auto"/>
              </w:rPr>
            </w:pPr>
            <w:r>
              <w:rPr>
                <w:rFonts w:ascii="Arial" w:cs="Arial" w:eastAsia="Arial" w:hAnsi="Arial"/>
                <w:sz w:val="18"/>
                <w:szCs w:val="18"/>
                <w:color w:val="auto"/>
              </w:rPr>
              <w:t>San Francisco, CA 94111</w:t>
            </w:r>
          </w:p>
        </w:tc>
      </w:tr>
      <w:tr>
        <w:trPr>
          <w:trHeight w:val="567"/>
        </w:trPr>
        <w:tc>
          <w:tcPr>
            <w:tcW w:w="76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260" w:type="dxa"/>
            <w:vAlign w:val="bottom"/>
          </w:tcPr>
          <w:p>
            <w:pPr>
              <w:spacing w:after="0"/>
              <w:rPr>
                <w:sz w:val="24"/>
                <w:szCs w:val="24"/>
                <w:color w:val="auto"/>
              </w:rPr>
            </w:pPr>
          </w:p>
        </w:tc>
        <w:tc>
          <w:tcPr>
            <w:tcW w:w="8120" w:type="dxa"/>
            <w:vAlign w:val="bottom"/>
          </w:tcPr>
          <w:p>
            <w:pPr>
              <w:spacing w:after="0"/>
              <w:rPr>
                <w:sz w:val="24"/>
                <w:szCs w:val="24"/>
                <w:color w:val="auto"/>
              </w:rPr>
            </w:pPr>
          </w:p>
        </w:tc>
      </w:tr>
      <w:tr>
        <w:trPr>
          <w:trHeight w:val="270"/>
        </w:trPr>
        <w:tc>
          <w:tcPr>
            <w:tcW w:w="760" w:type="dxa"/>
            <w:vAlign w:val="bottom"/>
          </w:tcPr>
          <w:p>
            <w:pPr>
              <w:ind w:left="460"/>
              <w:spacing w:after="0"/>
              <w:rPr>
                <w:sz w:val="20"/>
                <w:szCs w:val="20"/>
                <w:color w:val="auto"/>
              </w:rPr>
            </w:pPr>
            <w:r>
              <w:rPr>
                <w:rFonts w:ascii="Arial" w:cs="Arial" w:eastAsia="Arial" w:hAnsi="Arial"/>
                <w:sz w:val="18"/>
                <w:szCs w:val="18"/>
                <w:color w:val="auto"/>
              </w:rPr>
              <w:t>(a)</w:t>
            </w:r>
          </w:p>
        </w:tc>
        <w:tc>
          <w:tcPr>
            <w:tcW w:w="8380" w:type="dxa"/>
            <w:vAlign w:val="bottom"/>
            <w:gridSpan w:val="2"/>
          </w:tcPr>
          <w:p>
            <w:pPr>
              <w:ind w:left="120"/>
              <w:spacing w:after="0"/>
              <w:rPr>
                <w:sz w:val="20"/>
                <w:szCs w:val="20"/>
                <w:color w:val="auto"/>
              </w:rPr>
            </w:pPr>
            <w:r>
              <w:rPr>
                <w:rFonts w:ascii="Arial" w:cs="Arial" w:eastAsia="Arial" w:hAnsi="Arial"/>
                <w:sz w:val="18"/>
                <w:szCs w:val="18"/>
                <w:color w:val="auto"/>
              </w:rPr>
              <w:t>Name of Person Filing</w:t>
            </w:r>
          </w:p>
        </w:tc>
      </w:tr>
      <w:tr>
        <w:trPr>
          <w:trHeight w:val="432"/>
        </w:trPr>
        <w:tc>
          <w:tcPr>
            <w:tcW w:w="760" w:type="dxa"/>
            <w:vAlign w:val="bottom"/>
          </w:tcPr>
          <w:p>
            <w:pPr>
              <w:spacing w:after="0"/>
              <w:rPr>
                <w:sz w:val="24"/>
                <w:szCs w:val="24"/>
                <w:color w:val="auto"/>
              </w:rPr>
            </w:pPr>
          </w:p>
        </w:tc>
        <w:tc>
          <w:tcPr>
            <w:tcW w:w="8380" w:type="dxa"/>
            <w:vAlign w:val="bottom"/>
            <w:gridSpan w:val="2"/>
          </w:tcPr>
          <w:p>
            <w:pPr>
              <w:ind w:left="120"/>
              <w:spacing w:after="0"/>
              <w:rPr>
                <w:sz w:val="20"/>
                <w:szCs w:val="20"/>
                <w:color w:val="auto"/>
              </w:rPr>
            </w:pPr>
            <w:r>
              <w:rPr>
                <w:rFonts w:ascii="Arial" w:cs="Arial" w:eastAsia="Arial" w:hAnsi="Arial"/>
                <w:sz w:val="18"/>
                <w:szCs w:val="18"/>
                <w:color w:val="auto"/>
              </w:rPr>
              <w:t>Kayne Anderson Rudnick Investment Management, LLC</w:t>
            </w:r>
          </w:p>
        </w:tc>
      </w:tr>
      <w:tr>
        <w:trPr>
          <w:trHeight w:val="270"/>
        </w:trPr>
        <w:tc>
          <w:tcPr>
            <w:tcW w:w="760" w:type="dxa"/>
            <w:vAlign w:val="bottom"/>
          </w:tcPr>
          <w:p>
            <w:pPr>
              <w:ind w:left="460"/>
              <w:spacing w:after="0"/>
              <w:rPr>
                <w:sz w:val="20"/>
                <w:szCs w:val="20"/>
                <w:color w:val="auto"/>
              </w:rPr>
            </w:pPr>
            <w:r>
              <w:rPr>
                <w:rFonts w:ascii="Arial" w:cs="Arial" w:eastAsia="Arial" w:hAnsi="Arial"/>
                <w:sz w:val="18"/>
                <w:szCs w:val="18"/>
                <w:color w:val="auto"/>
              </w:rPr>
              <w:t>(b)</w:t>
            </w:r>
          </w:p>
        </w:tc>
        <w:tc>
          <w:tcPr>
            <w:tcW w:w="8380" w:type="dxa"/>
            <w:vAlign w:val="bottom"/>
            <w:gridSpan w:val="2"/>
          </w:tcPr>
          <w:p>
            <w:pPr>
              <w:ind w:left="120"/>
              <w:spacing w:after="0"/>
              <w:rPr>
                <w:sz w:val="20"/>
                <w:szCs w:val="20"/>
                <w:color w:val="auto"/>
              </w:rPr>
            </w:pPr>
            <w:r>
              <w:rPr>
                <w:rFonts w:ascii="Arial" w:cs="Arial" w:eastAsia="Arial" w:hAnsi="Arial"/>
                <w:sz w:val="18"/>
                <w:szCs w:val="18"/>
                <w:color w:val="auto"/>
              </w:rPr>
              <w:t>Address of Principal Business Office or, if none, Residence</w:t>
            </w:r>
          </w:p>
        </w:tc>
      </w:tr>
      <w:tr>
        <w:trPr>
          <w:trHeight w:val="426"/>
        </w:trPr>
        <w:tc>
          <w:tcPr>
            <w:tcW w:w="760" w:type="dxa"/>
            <w:vAlign w:val="bottom"/>
          </w:tcPr>
          <w:p>
            <w:pPr>
              <w:spacing w:after="0"/>
              <w:rPr>
                <w:sz w:val="24"/>
                <w:szCs w:val="24"/>
                <w:color w:val="auto"/>
              </w:rPr>
            </w:pPr>
          </w:p>
        </w:tc>
        <w:tc>
          <w:tcPr>
            <w:tcW w:w="8380" w:type="dxa"/>
            <w:vAlign w:val="bottom"/>
            <w:gridSpan w:val="2"/>
          </w:tcPr>
          <w:p>
            <w:pPr>
              <w:ind w:left="120"/>
              <w:spacing w:after="0"/>
              <w:rPr>
                <w:sz w:val="20"/>
                <w:szCs w:val="20"/>
                <w:color w:val="auto"/>
              </w:rPr>
            </w:pPr>
            <w:r>
              <w:rPr>
                <w:rFonts w:ascii="Arial" w:cs="Arial" w:eastAsia="Arial" w:hAnsi="Arial"/>
                <w:sz w:val="18"/>
                <w:szCs w:val="18"/>
                <w:color w:val="auto"/>
              </w:rPr>
              <w:t>1800 Avenue of the Stars, Second Floor</w:t>
            </w:r>
          </w:p>
        </w:tc>
      </w:tr>
      <w:tr>
        <w:trPr>
          <w:trHeight w:val="222"/>
        </w:trPr>
        <w:tc>
          <w:tcPr>
            <w:tcW w:w="760" w:type="dxa"/>
            <w:vAlign w:val="bottom"/>
          </w:tcPr>
          <w:p>
            <w:pPr>
              <w:spacing w:after="0"/>
              <w:rPr>
                <w:sz w:val="19"/>
                <w:szCs w:val="19"/>
                <w:color w:val="auto"/>
              </w:rPr>
            </w:pPr>
          </w:p>
        </w:tc>
        <w:tc>
          <w:tcPr>
            <w:tcW w:w="8380" w:type="dxa"/>
            <w:vAlign w:val="bottom"/>
            <w:gridSpan w:val="2"/>
          </w:tcPr>
          <w:p>
            <w:pPr>
              <w:ind w:left="120"/>
              <w:spacing w:after="0"/>
              <w:rPr>
                <w:sz w:val="20"/>
                <w:szCs w:val="20"/>
                <w:color w:val="auto"/>
              </w:rPr>
            </w:pPr>
            <w:r>
              <w:rPr>
                <w:rFonts w:ascii="Arial" w:cs="Arial" w:eastAsia="Arial" w:hAnsi="Arial"/>
                <w:sz w:val="18"/>
                <w:szCs w:val="18"/>
                <w:color w:val="auto"/>
              </w:rPr>
              <w:t>Los Angeles, CA 90067</w:t>
            </w:r>
          </w:p>
        </w:tc>
      </w:tr>
      <w:tr>
        <w:trPr>
          <w:trHeight w:val="270"/>
        </w:trPr>
        <w:tc>
          <w:tcPr>
            <w:tcW w:w="760" w:type="dxa"/>
            <w:vAlign w:val="bottom"/>
          </w:tcPr>
          <w:p>
            <w:pPr>
              <w:ind w:left="460"/>
              <w:spacing w:after="0"/>
              <w:rPr>
                <w:sz w:val="20"/>
                <w:szCs w:val="20"/>
                <w:color w:val="auto"/>
              </w:rPr>
            </w:pPr>
            <w:r>
              <w:rPr>
                <w:rFonts w:ascii="Arial" w:cs="Arial" w:eastAsia="Arial" w:hAnsi="Arial"/>
                <w:sz w:val="18"/>
                <w:szCs w:val="18"/>
                <w:color w:val="auto"/>
              </w:rPr>
              <w:t>(c)</w:t>
            </w:r>
          </w:p>
        </w:tc>
        <w:tc>
          <w:tcPr>
            <w:tcW w:w="8380" w:type="dxa"/>
            <w:vAlign w:val="bottom"/>
            <w:gridSpan w:val="2"/>
          </w:tcPr>
          <w:p>
            <w:pPr>
              <w:ind w:left="120"/>
              <w:spacing w:after="0"/>
              <w:rPr>
                <w:sz w:val="20"/>
                <w:szCs w:val="20"/>
                <w:color w:val="auto"/>
              </w:rPr>
            </w:pPr>
            <w:r>
              <w:rPr>
                <w:rFonts w:ascii="Arial" w:cs="Arial" w:eastAsia="Arial" w:hAnsi="Arial"/>
                <w:sz w:val="18"/>
                <w:szCs w:val="18"/>
                <w:color w:val="auto"/>
              </w:rPr>
              <w:t>Citizenship</w:t>
            </w:r>
          </w:p>
        </w:tc>
      </w:tr>
      <w:tr>
        <w:trPr>
          <w:trHeight w:val="432"/>
        </w:trPr>
        <w:tc>
          <w:tcPr>
            <w:tcW w:w="760" w:type="dxa"/>
            <w:vAlign w:val="bottom"/>
          </w:tcPr>
          <w:p>
            <w:pPr>
              <w:spacing w:after="0"/>
              <w:rPr>
                <w:sz w:val="24"/>
                <w:szCs w:val="24"/>
                <w:color w:val="auto"/>
              </w:rPr>
            </w:pPr>
          </w:p>
        </w:tc>
        <w:tc>
          <w:tcPr>
            <w:tcW w:w="8380" w:type="dxa"/>
            <w:vAlign w:val="bottom"/>
            <w:gridSpan w:val="2"/>
          </w:tcPr>
          <w:p>
            <w:pPr>
              <w:ind w:left="120"/>
              <w:spacing w:after="0"/>
              <w:rPr>
                <w:sz w:val="20"/>
                <w:szCs w:val="20"/>
                <w:color w:val="auto"/>
              </w:rPr>
            </w:pPr>
            <w:r>
              <w:rPr>
                <w:rFonts w:ascii="Arial" w:cs="Arial" w:eastAsia="Arial" w:hAnsi="Arial"/>
                <w:sz w:val="18"/>
                <w:szCs w:val="18"/>
                <w:color w:val="auto"/>
              </w:rPr>
              <w:t>Kayne Anderson Rudnick Investment Management, LLC is a California limited liability company</w:t>
            </w:r>
          </w:p>
        </w:tc>
      </w:tr>
      <w:tr>
        <w:trPr>
          <w:trHeight w:val="270"/>
        </w:trPr>
        <w:tc>
          <w:tcPr>
            <w:tcW w:w="760" w:type="dxa"/>
            <w:vAlign w:val="bottom"/>
          </w:tcPr>
          <w:p>
            <w:pPr>
              <w:ind w:left="460"/>
              <w:spacing w:after="0"/>
              <w:rPr>
                <w:sz w:val="20"/>
                <w:szCs w:val="20"/>
                <w:color w:val="auto"/>
              </w:rPr>
            </w:pPr>
            <w:r>
              <w:rPr>
                <w:rFonts w:ascii="Arial" w:cs="Arial" w:eastAsia="Arial" w:hAnsi="Arial"/>
                <w:sz w:val="18"/>
                <w:szCs w:val="18"/>
                <w:color w:val="auto"/>
              </w:rPr>
              <w:t>(d)</w:t>
            </w:r>
          </w:p>
        </w:tc>
        <w:tc>
          <w:tcPr>
            <w:tcW w:w="8380" w:type="dxa"/>
            <w:vAlign w:val="bottom"/>
            <w:gridSpan w:val="2"/>
          </w:tcPr>
          <w:p>
            <w:pPr>
              <w:ind w:left="120"/>
              <w:spacing w:after="0"/>
              <w:rPr>
                <w:sz w:val="20"/>
                <w:szCs w:val="20"/>
                <w:color w:val="auto"/>
              </w:rPr>
            </w:pPr>
            <w:r>
              <w:rPr>
                <w:rFonts w:ascii="Arial" w:cs="Arial" w:eastAsia="Arial" w:hAnsi="Arial"/>
                <w:sz w:val="18"/>
                <w:szCs w:val="18"/>
                <w:color w:val="auto"/>
              </w:rPr>
              <w:t>Title of Class of Securities</w:t>
            </w:r>
          </w:p>
        </w:tc>
      </w:tr>
      <w:tr>
        <w:trPr>
          <w:trHeight w:val="432"/>
        </w:trPr>
        <w:tc>
          <w:tcPr>
            <w:tcW w:w="760" w:type="dxa"/>
            <w:vAlign w:val="bottom"/>
          </w:tcPr>
          <w:p>
            <w:pPr>
              <w:spacing w:after="0"/>
              <w:rPr>
                <w:sz w:val="24"/>
                <w:szCs w:val="24"/>
                <w:color w:val="auto"/>
              </w:rPr>
            </w:pPr>
          </w:p>
        </w:tc>
        <w:tc>
          <w:tcPr>
            <w:tcW w:w="8380" w:type="dxa"/>
            <w:vAlign w:val="bottom"/>
            <w:gridSpan w:val="2"/>
          </w:tcPr>
          <w:p>
            <w:pPr>
              <w:ind w:left="120"/>
              <w:spacing w:after="0"/>
              <w:rPr>
                <w:sz w:val="20"/>
                <w:szCs w:val="20"/>
                <w:color w:val="auto"/>
              </w:rPr>
            </w:pPr>
            <w:r>
              <w:rPr>
                <w:rFonts w:ascii="Arial" w:cs="Arial" w:eastAsia="Arial" w:hAnsi="Arial"/>
                <w:sz w:val="18"/>
                <w:szCs w:val="18"/>
                <w:color w:val="auto"/>
              </w:rPr>
              <w:t>Common Stock</w:t>
            </w:r>
          </w:p>
        </w:tc>
      </w:tr>
      <w:tr>
        <w:trPr>
          <w:trHeight w:val="270"/>
        </w:trPr>
        <w:tc>
          <w:tcPr>
            <w:tcW w:w="760" w:type="dxa"/>
            <w:vAlign w:val="bottom"/>
          </w:tcPr>
          <w:p>
            <w:pPr>
              <w:ind w:left="460"/>
              <w:spacing w:after="0"/>
              <w:rPr>
                <w:sz w:val="20"/>
                <w:szCs w:val="20"/>
                <w:color w:val="auto"/>
              </w:rPr>
            </w:pPr>
            <w:r>
              <w:rPr>
                <w:rFonts w:ascii="Arial" w:cs="Arial" w:eastAsia="Arial" w:hAnsi="Arial"/>
                <w:sz w:val="18"/>
                <w:szCs w:val="18"/>
                <w:color w:val="auto"/>
              </w:rPr>
              <w:t>(e)</w:t>
            </w:r>
          </w:p>
        </w:tc>
        <w:tc>
          <w:tcPr>
            <w:tcW w:w="8380" w:type="dxa"/>
            <w:vAlign w:val="bottom"/>
            <w:gridSpan w:val="2"/>
          </w:tcPr>
          <w:p>
            <w:pPr>
              <w:ind w:left="120"/>
              <w:spacing w:after="0"/>
              <w:rPr>
                <w:sz w:val="20"/>
                <w:szCs w:val="20"/>
                <w:color w:val="auto"/>
              </w:rPr>
            </w:pPr>
            <w:r>
              <w:rPr>
                <w:rFonts w:ascii="Arial" w:cs="Arial" w:eastAsia="Arial" w:hAnsi="Arial"/>
                <w:sz w:val="18"/>
                <w:szCs w:val="18"/>
                <w:color w:val="auto"/>
              </w:rPr>
              <w:t>CUSIP Number</w:t>
            </w:r>
          </w:p>
        </w:tc>
      </w:tr>
      <w:tr>
        <w:trPr>
          <w:trHeight w:val="432"/>
        </w:trPr>
        <w:tc>
          <w:tcPr>
            <w:tcW w:w="760" w:type="dxa"/>
            <w:vAlign w:val="bottom"/>
          </w:tcPr>
          <w:p>
            <w:pPr>
              <w:spacing w:after="0"/>
              <w:rPr>
                <w:sz w:val="24"/>
                <w:szCs w:val="24"/>
                <w:color w:val="auto"/>
              </w:rPr>
            </w:pPr>
          </w:p>
        </w:tc>
        <w:tc>
          <w:tcPr>
            <w:tcW w:w="8380" w:type="dxa"/>
            <w:vAlign w:val="bottom"/>
            <w:gridSpan w:val="2"/>
          </w:tcPr>
          <w:p>
            <w:pPr>
              <w:ind w:left="120"/>
              <w:spacing w:after="0"/>
              <w:rPr>
                <w:sz w:val="20"/>
                <w:szCs w:val="20"/>
                <w:color w:val="auto"/>
              </w:rPr>
            </w:pPr>
            <w:r>
              <w:rPr>
                <w:rFonts w:ascii="Arial" w:cs="Arial" w:eastAsia="Arial" w:hAnsi="Arial"/>
                <w:sz w:val="18"/>
                <w:szCs w:val="18"/>
                <w:color w:val="auto"/>
              </w:rPr>
              <w:t>00957100</w:t>
            </w:r>
          </w:p>
        </w:tc>
      </w:tr>
      <w:tr>
        <w:trPr>
          <w:trHeight w:val="567"/>
        </w:trPr>
        <w:tc>
          <w:tcPr>
            <w:tcW w:w="76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8380" w:type="dxa"/>
            <w:vAlign w:val="bottom"/>
            <w:gridSpan w:val="2"/>
          </w:tcPr>
          <w:p>
            <w:pPr>
              <w:ind w:left="120"/>
              <w:spacing w:after="0"/>
              <w:rPr>
                <w:sz w:val="20"/>
                <w:szCs w:val="20"/>
                <w:color w:val="auto"/>
              </w:rPr>
            </w:pPr>
            <w:r>
              <w:rPr>
                <w:rFonts w:ascii="Arial" w:cs="Arial" w:eastAsia="Arial" w:hAnsi="Arial"/>
                <w:sz w:val="18"/>
                <w:szCs w:val="18"/>
                <w:b w:val="1"/>
                <w:bCs w:val="1"/>
                <w:color w:val="auto"/>
                <w:w w:val="87"/>
              </w:rPr>
              <w:t>If this statement is filed pursuant to §§240.13d-1(b) or 240.13d-2(b) or (c), check whether the person filing is a:</w:t>
            </w:r>
          </w:p>
        </w:tc>
      </w:tr>
      <w:tr>
        <w:trPr>
          <w:trHeight w:val="270"/>
        </w:trPr>
        <w:tc>
          <w:tcPr>
            <w:tcW w:w="760" w:type="dxa"/>
            <w:vAlign w:val="bottom"/>
          </w:tcPr>
          <w:p>
            <w:pPr>
              <w:ind w:left="460"/>
              <w:spacing w:after="0"/>
              <w:rPr>
                <w:sz w:val="20"/>
                <w:szCs w:val="20"/>
                <w:color w:val="auto"/>
              </w:rPr>
            </w:pPr>
            <w:r>
              <w:rPr>
                <w:rFonts w:ascii="Arial" w:cs="Arial" w:eastAsia="Arial" w:hAnsi="Arial"/>
                <w:sz w:val="18"/>
                <w:szCs w:val="18"/>
                <w:color w:val="auto"/>
              </w:rPr>
              <w:t>(a)</w:t>
            </w:r>
          </w:p>
        </w:tc>
        <w:tc>
          <w:tcPr>
            <w:tcW w:w="260" w:type="dxa"/>
            <w:vAlign w:val="bottom"/>
          </w:tcPr>
          <w:p>
            <w:pPr>
              <w:ind w:left="120"/>
              <w:spacing w:after="0"/>
              <w:rPr>
                <w:sz w:val="20"/>
                <w:szCs w:val="20"/>
                <w:color w:val="auto"/>
              </w:rPr>
            </w:pPr>
            <w:r>
              <w:rPr>
                <w:rFonts w:ascii="Arial" w:cs="Arial" w:eastAsia="Arial" w:hAnsi="Arial"/>
                <w:sz w:val="18"/>
                <w:szCs w:val="18"/>
                <w:color w:val="auto"/>
              </w:rPr>
              <w:t>[</w:t>
            </w:r>
          </w:p>
        </w:tc>
        <w:tc>
          <w:tcPr>
            <w:tcW w:w="8120" w:type="dxa"/>
            <w:vAlign w:val="bottom"/>
          </w:tcPr>
          <w:p>
            <w:pPr>
              <w:ind w:left="100"/>
              <w:spacing w:after="0"/>
              <w:rPr>
                <w:sz w:val="20"/>
                <w:szCs w:val="20"/>
                <w:color w:val="auto"/>
              </w:rPr>
            </w:pPr>
            <w:r>
              <w:rPr>
                <w:rFonts w:ascii="Arial" w:cs="Arial" w:eastAsia="Arial" w:hAnsi="Arial"/>
                <w:sz w:val="18"/>
                <w:szCs w:val="18"/>
                <w:color w:val="auto"/>
              </w:rPr>
              <w:t>]  Broker or dealer registered under section 15 of the Act (15 U.S.C. 78o).</w:t>
            </w:r>
          </w:p>
        </w:tc>
      </w:tr>
      <w:tr>
        <w:trPr>
          <w:trHeight w:val="270"/>
        </w:trPr>
        <w:tc>
          <w:tcPr>
            <w:tcW w:w="760" w:type="dxa"/>
            <w:vAlign w:val="bottom"/>
          </w:tcPr>
          <w:p>
            <w:pPr>
              <w:ind w:left="460"/>
              <w:spacing w:after="0"/>
              <w:rPr>
                <w:sz w:val="20"/>
                <w:szCs w:val="20"/>
                <w:color w:val="auto"/>
              </w:rPr>
            </w:pPr>
            <w:r>
              <w:rPr>
                <w:rFonts w:ascii="Arial" w:cs="Arial" w:eastAsia="Arial" w:hAnsi="Arial"/>
                <w:sz w:val="18"/>
                <w:szCs w:val="18"/>
                <w:color w:val="auto"/>
              </w:rPr>
              <w:t>(b)</w:t>
            </w:r>
          </w:p>
        </w:tc>
        <w:tc>
          <w:tcPr>
            <w:tcW w:w="260" w:type="dxa"/>
            <w:vAlign w:val="bottom"/>
          </w:tcPr>
          <w:p>
            <w:pPr>
              <w:ind w:left="120"/>
              <w:spacing w:after="0"/>
              <w:rPr>
                <w:sz w:val="20"/>
                <w:szCs w:val="20"/>
                <w:color w:val="auto"/>
              </w:rPr>
            </w:pPr>
            <w:r>
              <w:rPr>
                <w:rFonts w:ascii="Arial" w:cs="Arial" w:eastAsia="Arial" w:hAnsi="Arial"/>
                <w:sz w:val="18"/>
                <w:szCs w:val="18"/>
                <w:color w:val="auto"/>
              </w:rPr>
              <w:t>[</w:t>
            </w:r>
          </w:p>
        </w:tc>
        <w:tc>
          <w:tcPr>
            <w:tcW w:w="8120" w:type="dxa"/>
            <w:vAlign w:val="bottom"/>
          </w:tcPr>
          <w:p>
            <w:pPr>
              <w:ind w:left="100"/>
              <w:spacing w:after="0"/>
              <w:rPr>
                <w:sz w:val="20"/>
                <w:szCs w:val="20"/>
                <w:color w:val="auto"/>
              </w:rPr>
            </w:pPr>
            <w:r>
              <w:rPr>
                <w:rFonts w:ascii="Arial" w:cs="Arial" w:eastAsia="Arial" w:hAnsi="Arial"/>
                <w:sz w:val="18"/>
                <w:szCs w:val="18"/>
                <w:color w:val="auto"/>
              </w:rPr>
              <w:t>]  Bank as defined in section 3(a)(6) of the Act (15 U.S.C. 78c).</w:t>
            </w:r>
          </w:p>
        </w:tc>
      </w:tr>
      <w:tr>
        <w:trPr>
          <w:trHeight w:val="270"/>
        </w:trPr>
        <w:tc>
          <w:tcPr>
            <w:tcW w:w="760" w:type="dxa"/>
            <w:vAlign w:val="bottom"/>
          </w:tcPr>
          <w:p>
            <w:pPr>
              <w:ind w:left="460"/>
              <w:spacing w:after="0"/>
              <w:rPr>
                <w:sz w:val="20"/>
                <w:szCs w:val="20"/>
                <w:color w:val="auto"/>
              </w:rPr>
            </w:pPr>
            <w:r>
              <w:rPr>
                <w:rFonts w:ascii="Arial" w:cs="Arial" w:eastAsia="Arial" w:hAnsi="Arial"/>
                <w:sz w:val="18"/>
                <w:szCs w:val="18"/>
                <w:color w:val="auto"/>
              </w:rPr>
              <w:t>(c)</w:t>
            </w:r>
          </w:p>
        </w:tc>
        <w:tc>
          <w:tcPr>
            <w:tcW w:w="260" w:type="dxa"/>
            <w:vAlign w:val="bottom"/>
          </w:tcPr>
          <w:p>
            <w:pPr>
              <w:ind w:left="120"/>
              <w:spacing w:after="0"/>
              <w:rPr>
                <w:sz w:val="20"/>
                <w:szCs w:val="20"/>
                <w:color w:val="auto"/>
              </w:rPr>
            </w:pPr>
            <w:r>
              <w:rPr>
                <w:rFonts w:ascii="Arial" w:cs="Arial" w:eastAsia="Arial" w:hAnsi="Arial"/>
                <w:sz w:val="18"/>
                <w:szCs w:val="18"/>
                <w:color w:val="auto"/>
              </w:rPr>
              <w:t>[</w:t>
            </w:r>
          </w:p>
        </w:tc>
        <w:tc>
          <w:tcPr>
            <w:tcW w:w="8120" w:type="dxa"/>
            <w:vAlign w:val="bottom"/>
          </w:tcPr>
          <w:p>
            <w:pPr>
              <w:ind w:left="100"/>
              <w:spacing w:after="0"/>
              <w:rPr>
                <w:sz w:val="20"/>
                <w:szCs w:val="20"/>
                <w:color w:val="auto"/>
              </w:rPr>
            </w:pPr>
            <w:r>
              <w:rPr>
                <w:rFonts w:ascii="Arial" w:cs="Arial" w:eastAsia="Arial" w:hAnsi="Arial"/>
                <w:sz w:val="18"/>
                <w:szCs w:val="18"/>
                <w:color w:val="auto"/>
              </w:rPr>
              <w:t>]  Insurance company as defined in section 3(a)(19) of the Act (15 U.S.C. 78c).</w:t>
            </w:r>
          </w:p>
        </w:tc>
      </w:tr>
      <w:tr>
        <w:trPr>
          <w:trHeight w:val="270"/>
        </w:trPr>
        <w:tc>
          <w:tcPr>
            <w:tcW w:w="760" w:type="dxa"/>
            <w:vAlign w:val="bottom"/>
          </w:tcPr>
          <w:p>
            <w:pPr>
              <w:ind w:left="460"/>
              <w:spacing w:after="0"/>
              <w:rPr>
                <w:sz w:val="20"/>
                <w:szCs w:val="20"/>
                <w:color w:val="auto"/>
              </w:rPr>
            </w:pPr>
            <w:r>
              <w:rPr>
                <w:rFonts w:ascii="Arial" w:cs="Arial" w:eastAsia="Arial" w:hAnsi="Arial"/>
                <w:sz w:val="18"/>
                <w:szCs w:val="18"/>
                <w:color w:val="auto"/>
              </w:rPr>
              <w:t>(d)</w:t>
            </w:r>
          </w:p>
        </w:tc>
        <w:tc>
          <w:tcPr>
            <w:tcW w:w="260" w:type="dxa"/>
            <w:vAlign w:val="bottom"/>
          </w:tcPr>
          <w:p>
            <w:pPr>
              <w:ind w:left="120"/>
              <w:spacing w:after="0"/>
              <w:rPr>
                <w:sz w:val="20"/>
                <w:szCs w:val="20"/>
                <w:color w:val="auto"/>
              </w:rPr>
            </w:pPr>
            <w:r>
              <w:rPr>
                <w:rFonts w:ascii="Arial" w:cs="Arial" w:eastAsia="Arial" w:hAnsi="Arial"/>
                <w:sz w:val="18"/>
                <w:szCs w:val="18"/>
                <w:color w:val="auto"/>
              </w:rPr>
              <w:t>[</w:t>
            </w:r>
          </w:p>
        </w:tc>
        <w:tc>
          <w:tcPr>
            <w:tcW w:w="8120" w:type="dxa"/>
            <w:vAlign w:val="bottom"/>
          </w:tcPr>
          <w:p>
            <w:pPr>
              <w:ind w:left="100"/>
              <w:spacing w:after="0"/>
              <w:rPr>
                <w:sz w:val="20"/>
                <w:szCs w:val="20"/>
                <w:color w:val="auto"/>
              </w:rPr>
            </w:pPr>
            <w:r>
              <w:rPr>
                <w:rFonts w:ascii="Arial" w:cs="Arial" w:eastAsia="Arial" w:hAnsi="Arial"/>
                <w:sz w:val="18"/>
                <w:szCs w:val="18"/>
                <w:color w:val="auto"/>
                <w:w w:val="92"/>
              </w:rPr>
              <w:t>]  Investment company registered under section 8 of the Investment Company Act of 1940 (15 U.S.C 80a-8).</w:t>
            </w:r>
          </w:p>
        </w:tc>
      </w:tr>
    </w:tbl>
    <w:p>
      <w:pPr>
        <w:spacing w:after="0" w:line="48" w:lineRule="exact"/>
        <w:rPr>
          <w:sz w:val="20"/>
          <w:szCs w:val="20"/>
          <w:color w:val="auto"/>
        </w:rPr>
      </w:pPr>
    </w:p>
    <w:p>
      <w:pPr>
        <w:ind w:left="880" w:hanging="429"/>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 ] An investment adviser in accordance with §240.13d-1(b)(1)(ii)(E);</w:t>
      </w:r>
    </w:p>
    <w:p>
      <w:pPr>
        <w:spacing w:after="0" w:line="63"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300" w:type="dxa"/>
            <w:vAlign w:val="bottom"/>
          </w:tcPr>
          <w:p>
            <w:pPr>
              <w:spacing w:after="0"/>
              <w:rPr>
                <w:sz w:val="20"/>
                <w:szCs w:val="20"/>
                <w:color w:val="auto"/>
              </w:rPr>
            </w:pPr>
            <w:r>
              <w:rPr>
                <w:rFonts w:ascii="Arial" w:cs="Arial" w:eastAsia="Arial" w:hAnsi="Arial"/>
                <w:sz w:val="18"/>
                <w:szCs w:val="18"/>
                <w:color w:val="auto"/>
              </w:rPr>
              <w:t>(f)</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760" w:type="dxa"/>
            <w:vAlign w:val="bottom"/>
          </w:tcPr>
          <w:p>
            <w:pPr>
              <w:ind w:left="100"/>
              <w:spacing w:after="0"/>
              <w:rPr>
                <w:sz w:val="20"/>
                <w:szCs w:val="20"/>
                <w:color w:val="auto"/>
              </w:rPr>
            </w:pPr>
            <w:r>
              <w:rPr>
                <w:rFonts w:ascii="Arial" w:cs="Arial" w:eastAsia="Arial" w:hAnsi="Arial"/>
                <w:sz w:val="18"/>
                <w:szCs w:val="18"/>
                <w:color w:val="auto"/>
              </w:rPr>
              <w:t>]  An employee benefit plan or endowment fund in accordance with §240.13d-1(b)(1)(ii)(F);</w:t>
            </w:r>
          </w:p>
        </w:tc>
      </w:tr>
      <w:tr>
        <w:trPr>
          <w:trHeight w:val="270"/>
        </w:trPr>
        <w:tc>
          <w:tcPr>
            <w:tcW w:w="300" w:type="dxa"/>
            <w:vAlign w:val="bottom"/>
          </w:tcPr>
          <w:p>
            <w:pPr>
              <w:spacing w:after="0"/>
              <w:rPr>
                <w:sz w:val="20"/>
                <w:szCs w:val="20"/>
                <w:color w:val="auto"/>
              </w:rPr>
            </w:pPr>
            <w:r>
              <w:rPr>
                <w:rFonts w:ascii="Arial" w:cs="Arial" w:eastAsia="Arial" w:hAnsi="Arial"/>
                <w:sz w:val="18"/>
                <w:szCs w:val="18"/>
                <w:color w:val="auto"/>
              </w:rPr>
              <w:t>(g)</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760" w:type="dxa"/>
            <w:vAlign w:val="bottom"/>
          </w:tcPr>
          <w:p>
            <w:pPr>
              <w:ind w:left="100"/>
              <w:spacing w:after="0"/>
              <w:rPr>
                <w:sz w:val="20"/>
                <w:szCs w:val="20"/>
                <w:color w:val="auto"/>
              </w:rPr>
            </w:pPr>
            <w:r>
              <w:rPr>
                <w:rFonts w:ascii="Arial" w:cs="Arial" w:eastAsia="Arial" w:hAnsi="Arial"/>
                <w:sz w:val="18"/>
                <w:szCs w:val="18"/>
                <w:color w:val="auto"/>
              </w:rPr>
              <w:t>]  A parent holding company or control person in accordance with § 240.13d-1(b)(1)(ii)(G);</w:t>
            </w:r>
          </w:p>
        </w:tc>
      </w:tr>
      <w:tr>
        <w:trPr>
          <w:trHeight w:val="270"/>
        </w:trPr>
        <w:tc>
          <w:tcPr>
            <w:tcW w:w="300" w:type="dxa"/>
            <w:vAlign w:val="bottom"/>
          </w:tcPr>
          <w:p>
            <w:pPr>
              <w:spacing w:after="0"/>
              <w:rPr>
                <w:sz w:val="20"/>
                <w:szCs w:val="20"/>
                <w:color w:val="auto"/>
              </w:rPr>
            </w:pPr>
            <w:r>
              <w:rPr>
                <w:rFonts w:ascii="Arial" w:cs="Arial" w:eastAsia="Arial" w:hAnsi="Arial"/>
                <w:sz w:val="18"/>
                <w:szCs w:val="18"/>
                <w:color w:val="auto"/>
              </w:rPr>
              <w:t>(h)</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760" w:type="dxa"/>
            <w:vAlign w:val="bottom"/>
          </w:tcPr>
          <w:p>
            <w:pPr>
              <w:ind w:left="100"/>
              <w:spacing w:after="0"/>
              <w:rPr>
                <w:sz w:val="20"/>
                <w:szCs w:val="20"/>
                <w:color w:val="auto"/>
              </w:rPr>
            </w:pPr>
            <w:r>
              <w:rPr>
                <w:rFonts w:ascii="Arial" w:cs="Arial" w:eastAsia="Arial" w:hAnsi="Arial"/>
                <w:sz w:val="18"/>
                <w:szCs w:val="18"/>
                <w:color w:val="auto"/>
              </w:rPr>
              <w:t>]  A savings associations as defined in Section 3(b) of the Federal Deposit Insurance Act (12 U.S.C. 1813);</w:t>
            </w:r>
          </w:p>
        </w:tc>
      </w:tr>
      <w:tr>
        <w:trPr>
          <w:trHeight w:val="264"/>
        </w:trPr>
        <w:tc>
          <w:tcPr>
            <w:tcW w:w="300" w:type="dxa"/>
            <w:vAlign w:val="bottom"/>
          </w:tcPr>
          <w:p>
            <w:pPr>
              <w:spacing w:after="0"/>
              <w:rPr>
                <w:sz w:val="20"/>
                <w:szCs w:val="20"/>
                <w:color w:val="auto"/>
              </w:rPr>
            </w:pPr>
            <w:r>
              <w:rPr>
                <w:rFonts w:ascii="Arial" w:cs="Arial" w:eastAsia="Arial" w:hAnsi="Arial"/>
                <w:sz w:val="18"/>
                <w:szCs w:val="18"/>
                <w:color w:val="auto"/>
              </w:rPr>
              <w:t>(i)</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760" w:type="dxa"/>
            <w:vAlign w:val="bottom"/>
          </w:tcPr>
          <w:p>
            <w:pPr>
              <w:ind w:left="100"/>
              <w:spacing w:after="0"/>
              <w:rPr>
                <w:sz w:val="20"/>
                <w:szCs w:val="20"/>
                <w:color w:val="auto"/>
              </w:rPr>
            </w:pPr>
            <w:r>
              <w:rPr>
                <w:rFonts w:ascii="Arial" w:cs="Arial" w:eastAsia="Arial" w:hAnsi="Arial"/>
                <w:sz w:val="18"/>
                <w:szCs w:val="18"/>
                <w:color w:val="auto"/>
                <w:w w:val="91"/>
              </w:rPr>
              <w:t>]  A church plan that is excluded from the definition of an investment company under section 3(c)(14) of the Investment Company Act</w:t>
            </w:r>
          </w:p>
        </w:tc>
      </w:tr>
      <w:tr>
        <w:trPr>
          <w:trHeight w:val="222"/>
        </w:trPr>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760" w:type="dxa"/>
            <w:vAlign w:val="bottom"/>
          </w:tcPr>
          <w:p>
            <w:pPr>
              <w:ind w:left="300"/>
              <w:spacing w:after="0"/>
              <w:rPr>
                <w:sz w:val="20"/>
                <w:szCs w:val="20"/>
                <w:color w:val="auto"/>
              </w:rPr>
            </w:pPr>
            <w:r>
              <w:rPr>
                <w:rFonts w:ascii="Arial" w:cs="Arial" w:eastAsia="Arial" w:hAnsi="Arial"/>
                <w:sz w:val="18"/>
                <w:szCs w:val="18"/>
                <w:color w:val="auto"/>
              </w:rPr>
              <w:t>of 1940 (15 U.S.C. 80a-3);</w:t>
            </w:r>
          </w:p>
        </w:tc>
      </w:tr>
      <w:tr>
        <w:trPr>
          <w:trHeight w:val="270"/>
        </w:trPr>
        <w:tc>
          <w:tcPr>
            <w:tcW w:w="300" w:type="dxa"/>
            <w:vAlign w:val="bottom"/>
          </w:tcPr>
          <w:p>
            <w:pPr>
              <w:spacing w:after="0"/>
              <w:rPr>
                <w:sz w:val="20"/>
                <w:szCs w:val="20"/>
                <w:color w:val="auto"/>
              </w:rPr>
            </w:pPr>
            <w:r>
              <w:rPr>
                <w:rFonts w:ascii="Arial" w:cs="Arial" w:eastAsia="Arial" w:hAnsi="Arial"/>
                <w:sz w:val="18"/>
                <w:szCs w:val="18"/>
                <w:color w:val="auto"/>
              </w:rPr>
              <w:t>(j)</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760" w:type="dxa"/>
            <w:vAlign w:val="bottom"/>
          </w:tcPr>
          <w:p>
            <w:pPr>
              <w:ind w:left="100"/>
              <w:spacing w:after="0"/>
              <w:rPr>
                <w:sz w:val="20"/>
                <w:szCs w:val="20"/>
                <w:color w:val="auto"/>
              </w:rPr>
            </w:pPr>
            <w:r>
              <w:rPr>
                <w:rFonts w:ascii="Arial" w:cs="Arial" w:eastAsia="Arial" w:hAnsi="Arial"/>
                <w:sz w:val="18"/>
                <w:szCs w:val="18"/>
                <w:color w:val="auto"/>
              </w:rPr>
              <w:t>]  Group, in accordance with §240.13d-1(b)(1)(ii)(J).</w:t>
            </w:r>
          </w:p>
        </w:tc>
      </w:tr>
    </w:tbl>
    <w:p>
      <w:pPr>
        <w:spacing w:after="0" w:line="339"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69" w:lineRule="exact"/>
        <w:rPr>
          <w:sz w:val="20"/>
          <w:szCs w:val="20"/>
          <w:color w:val="auto"/>
        </w:rPr>
      </w:pPr>
    </w:p>
    <w:p>
      <w:pPr>
        <w:ind w:left="880" w:hanging="429"/>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Amount beneficially owned:</w:t>
      </w:r>
    </w:p>
    <w:p>
      <w:pPr>
        <w:sectPr>
          <w:pgSz w:w="11900" w:h="16838" w:orient="portrait"/>
          <w:cols w:equalWidth="0" w:num="1">
            <w:col w:w="10780"/>
          </w:cols>
          <w:pgMar w:left="560" w:top="266" w:right="559" w:bottom="0" w:gutter="0" w:footer="0" w:header="0"/>
        </w:sectPr>
      </w:pPr>
    </w:p>
    <w:bookmarkStart w:id="2" w:name="page3"/>
    <w:bookmarkEnd w:id="2"/>
    <w:p>
      <w:pPr>
        <w:ind w:left="1280"/>
        <w:spacing w:after="0"/>
        <w:rPr>
          <w:sz w:val="20"/>
          <w:szCs w:val="20"/>
          <w:color w:val="auto"/>
        </w:rPr>
      </w:pPr>
      <w:r>
        <w:rPr>
          <w:rFonts w:ascii="Arial" w:cs="Arial" w:eastAsia="Arial" w:hAnsi="Arial"/>
          <w:sz w:val="18"/>
          <w:szCs w:val="18"/>
          <w:color w:val="auto"/>
        </w:rPr>
        <w:t>3,459,206</w:t>
      </w:r>
    </w:p>
    <w:p>
      <w:pPr>
        <w:spacing w:after="0" w:line="63" w:lineRule="exact"/>
        <w:rPr>
          <w:sz w:val="20"/>
          <w:szCs w:val="20"/>
          <w:color w:val="auto"/>
        </w:rPr>
      </w:pPr>
    </w:p>
    <w:p>
      <w:pPr>
        <w:ind w:left="880" w:hanging="429"/>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5"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7.09%</w:t>
      </w:r>
    </w:p>
    <w:p>
      <w:pPr>
        <w:spacing w:after="0" w:line="63" w:lineRule="exact"/>
        <w:rPr>
          <w:sz w:val="20"/>
          <w:szCs w:val="20"/>
          <w:color w:val="auto"/>
        </w:rPr>
      </w:pPr>
    </w:p>
    <w:p>
      <w:pPr>
        <w:ind w:left="880" w:hanging="429"/>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63" w:lineRule="exact"/>
        <w:rPr>
          <w:rFonts w:ascii="Arial" w:cs="Arial" w:eastAsia="Arial" w:hAnsi="Arial"/>
          <w:sz w:val="18"/>
          <w:szCs w:val="18"/>
          <w:color w:val="auto"/>
        </w:rPr>
      </w:pPr>
    </w:p>
    <w:p>
      <w:pPr>
        <w:ind w:left="1320" w:hanging="437"/>
        <w:spacing w:after="0"/>
        <w:tabs>
          <w:tab w:leader="none" w:pos="1320" w:val="left"/>
        </w:tabs>
        <w:numPr>
          <w:ilvl w:val="1"/>
          <w:numId w:val="9"/>
        </w:numPr>
        <w:rPr>
          <w:rFonts w:ascii="Arial" w:cs="Arial" w:eastAsia="Arial" w:hAnsi="Arial"/>
          <w:sz w:val="18"/>
          <w:szCs w:val="18"/>
          <w:color w:val="auto"/>
        </w:rPr>
      </w:pPr>
      <w:r>
        <w:rPr>
          <w:rFonts w:ascii="Arial" w:cs="Arial" w:eastAsia="Arial" w:hAnsi="Arial"/>
          <w:sz w:val="18"/>
          <w:szCs w:val="18"/>
          <w:color w:val="auto"/>
        </w:rPr>
        <w:t>Sole power to vote or to direct the vote</w:t>
      </w:r>
    </w:p>
    <w:p>
      <w:pPr>
        <w:spacing w:after="0" w:line="225"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3,459,206</w:t>
      </w:r>
    </w:p>
    <w:p>
      <w:pPr>
        <w:spacing w:after="0" w:line="63" w:lineRule="exact"/>
        <w:rPr>
          <w:sz w:val="20"/>
          <w:szCs w:val="20"/>
          <w:color w:val="auto"/>
        </w:rPr>
      </w:pPr>
    </w:p>
    <w:p>
      <w:pPr>
        <w:ind w:left="1320" w:hanging="437"/>
        <w:spacing w:after="0"/>
        <w:tabs>
          <w:tab w:leader="none" w:pos="1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20" w:hanging="437"/>
        <w:spacing w:after="0"/>
        <w:tabs>
          <w:tab w:leader="none" w:pos="1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w:t>
      </w:r>
    </w:p>
    <w:p>
      <w:pPr>
        <w:spacing w:after="0" w:line="225"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3,459,206</w:t>
      </w:r>
    </w:p>
    <w:p>
      <w:pPr>
        <w:spacing w:after="0" w:line="63" w:lineRule="exact"/>
        <w:rPr>
          <w:sz w:val="20"/>
          <w:szCs w:val="20"/>
          <w:color w:val="auto"/>
        </w:rPr>
      </w:pPr>
    </w:p>
    <w:p>
      <w:pPr>
        <w:ind w:left="1320" w:hanging="437"/>
        <w:spacing w:after="0"/>
        <w:tabs>
          <w:tab w:leader="none" w:pos="1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Ownership of Five Percent or Less of a Class</w:t>
      </w:r>
    </w:p>
    <w:p>
      <w:pPr>
        <w:spacing w:after="0" w:line="69" w:lineRule="exact"/>
        <w:rPr>
          <w:sz w:val="20"/>
          <w:szCs w:val="20"/>
          <w:color w:val="auto"/>
        </w:rPr>
      </w:pPr>
    </w:p>
    <w:p>
      <w:pPr>
        <w:jc w:val="both"/>
        <w:ind w:firstLine="493"/>
        <w:spacing w:after="0" w:line="268"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Instruction: </w:t>
      </w:r>
      <w:r>
        <w:rPr>
          <w:rFonts w:ascii="Arial" w:cs="Arial" w:eastAsia="Arial" w:hAnsi="Arial"/>
          <w:sz w:val="18"/>
          <w:szCs w:val="18"/>
          <w:color w:val="auto"/>
        </w:rPr>
        <w:t>Dissolution of a group requires a response to this item.</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Ownership of More than Five Percent on Behalf of Another Person</w:t>
      </w:r>
    </w:p>
    <w:p>
      <w:pPr>
        <w:spacing w:after="0" w:line="6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 applicable</w:t>
      </w:r>
    </w:p>
    <w:p>
      <w:pPr>
        <w:spacing w:after="0" w:line="354"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color w:val="auto"/>
        </w:rPr>
        <w:t>Identification and Classification of the Subsidiary Which Acquired the Security Being Reported on By the Parent Holding Company</w:t>
      </w:r>
    </w:p>
    <w:p>
      <w:pPr>
        <w:spacing w:after="0" w:line="6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 Applicable</w:t>
      </w:r>
    </w:p>
    <w:p>
      <w:pPr>
        <w:spacing w:after="0" w:line="354"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6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 applicable</w:t>
      </w:r>
    </w:p>
    <w:p>
      <w:pPr>
        <w:spacing w:after="0" w:line="354"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Notice of Dissolution of Group</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69" w:lineRule="exact"/>
        <w:rPr>
          <w:sz w:val="20"/>
          <w:szCs w:val="20"/>
          <w:color w:val="auto"/>
        </w:rPr>
      </w:pPr>
    </w:p>
    <w:p>
      <w:pPr>
        <w:jc w:val="both"/>
        <w:ind w:firstLine="983"/>
        <w:spacing w:after="0" w:line="306"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85" w:lineRule="exact"/>
        <w:rPr>
          <w:sz w:val="20"/>
          <w:szCs w:val="20"/>
          <w:color w:val="auto"/>
        </w:rPr>
      </w:pPr>
    </w:p>
    <w:p>
      <w:pPr>
        <w:jc w:val="both"/>
        <w:ind w:firstLine="392"/>
        <w:spacing w:after="0" w:line="268"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color w:val="auto"/>
        </w:rPr>
        <w:t>Date:  February 07, 2005</w:t>
      </w:r>
    </w:p>
    <w:p>
      <w:pPr>
        <w:spacing w:after="0" w:line="3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Jeannine Vanian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3815080</wp:posOffset>
            </wp:positionH>
            <wp:positionV relativeFrom="paragraph">
              <wp:posOffset>58420</wp:posOffset>
            </wp:positionV>
            <wp:extent cx="3048635" cy="342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048635" cy="34290"/>
                    </a:xfrm>
                    <a:prstGeom prst="rect">
                      <a:avLst/>
                    </a:prstGeom>
                    <a:noFill/>
                  </pic:spPr>
                </pic:pic>
              </a:graphicData>
            </a:graphic>
          </wp:anchor>
        </w:drawing>
      </w:r>
    </w:p>
    <w:p>
      <w:pPr>
        <w:spacing w:after="0" w:line="178"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Jeannine Vanian</w:t>
      </w:r>
    </w:p>
    <w:p>
      <w:pPr>
        <w:spacing w:after="0" w:line="36" w:lineRule="exact"/>
        <w:rPr>
          <w:sz w:val="20"/>
          <w:szCs w:val="20"/>
          <w:color w:val="auto"/>
        </w:rPr>
      </w:pPr>
    </w:p>
    <w:p>
      <w:pPr>
        <w:ind w:left="5720"/>
        <w:spacing w:after="0"/>
        <w:tabs>
          <w:tab w:leader="none" w:pos="62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Management Committee Member, COO</w:t>
      </w:r>
    </w:p>
    <w:p>
      <w:pPr>
        <w:sectPr>
          <w:pgSz w:w="11900" w:h="16838" w:orient="portrait"/>
          <w:cols w:equalWidth="0" w:num="1">
            <w:col w:w="10780"/>
          </w:cols>
          <w:pgMar w:left="560" w:top="131" w:right="5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175260</wp:posOffset>
            </wp:positionV>
            <wp:extent cx="684784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47840" cy="29845"/>
                    </a:xfrm>
                    <a:prstGeom prst="rect">
                      <a:avLst/>
                    </a:prstGeom>
                    <a:noFill/>
                  </pic:spPr>
                </pic:pic>
              </a:graphicData>
            </a:graphic>
          </wp:anchor>
        </w:drawing>
      </w:r>
    </w:p>
    <w:sectPr>
      <w:pgSz w:w="11900" w:h="16838" w:orient="portrait"/>
      <w:cols w:equalWidth="0" w:num="1">
        <w:col w:w="10780"/>
      </w:cols>
      <w:pgMar w:left="560" w:top="131" w:right="5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lvl w:ilvl="1">
      <w:lvlJc w:val="left"/>
      <w:lvlText w:val="["/>
      <w:numFmt w:val="bullet"/>
      <w:start w:val="1"/>
    </w:lvl>
  </w:abstractNum>
  <w:abstractNum w:abstractNumId="1">
    <w:nsid w:val="2EB141F2"/>
    <w:multiLevelType w:val="hybridMultilevel"/>
    <w:lvl w:ilvl="0">
      <w:lvlJc w:val="left"/>
      <w:lvlText w:val="%1."/>
      <w:numFmt w:val="decimal"/>
      <w:start w:val="1"/>
    </w:lvl>
  </w:abstractNum>
  <w:abstractNum w:abstractNumId="2">
    <w:nsid w:val="41B71EFB"/>
    <w:multiLevelType w:val="hybridMultilevel"/>
    <w:lvl w:ilvl="0">
      <w:lvlJc w:val="left"/>
      <w:lvlText w:val="%1."/>
      <w:numFmt w:val="decimal"/>
      <w:start w:val="9"/>
    </w:lvl>
  </w:abstractNum>
  <w:abstractNum w:abstractNumId="3">
    <w:nsid w:val="79E2A9E3"/>
    <w:multiLevelType w:val="hybridMultilevel"/>
    <w:lvl w:ilvl="0">
      <w:lvlJc w:val="left"/>
      <w:lvlText w:val="%1."/>
      <w:numFmt w:val="decimal"/>
      <w:start w:val="11"/>
    </w:lvl>
  </w:abstractNum>
  <w:abstractNum w:abstractNumId="4">
    <w:nsid w:val="7545E146"/>
    <w:multiLevelType w:val="hybridMultilevel"/>
    <w:lvl w:ilvl="0">
      <w:lvlJc w:val="left"/>
      <w:lvlText w:val="%1."/>
      <w:numFmt w:val="decimal"/>
      <w:start w:val="12"/>
    </w:lvl>
  </w:abstractNum>
  <w:abstractNum w:abstractNumId="5">
    <w:nsid w:val="515F007C"/>
    <w:multiLevelType w:val="hybridMultilevel"/>
    <w:lvl w:ilvl="0">
      <w:lvlJc w:val="left"/>
      <w:lvlText w:val="(%1)"/>
      <w:numFmt w:val="lowerLetter"/>
      <w:start w:val="5"/>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2"/>
    </w:lvl>
  </w:abstractNum>
  <w:abstractNum w:abstractNumId="8">
    <w:nsid w:val="4DB127F8"/>
    <w:multiLevelType w:val="hybridMultilevel"/>
    <w:lvl w:ilvl="0">
      <w:lvlJc w:val="left"/>
      <w:lvlText w:val="(%1)"/>
      <w:numFmt w:val="lowerLetter"/>
      <w:start w:val="3"/>
    </w:lvl>
    <w:lvl w:ilvl="1">
      <w:lvlJc w:val="left"/>
      <w:lvlText w:val="(%2)"/>
      <w:numFmt w:val="lowerLetter"/>
      <w:start w:val="9"/>
    </w:lvl>
  </w:abstractNum>
  <w:abstractNum w:abstractNumId="9">
    <w:nsid w:val="216231B"/>
    <w:multiLevelType w:val="hybridMultilevel"/>
    <w:lvl w:ilvl="0">
      <w:lvlJc w:val="left"/>
      <w:lvlText w:val="(%1)"/>
      <w:numFmt w:val="lowerRoman"/>
      <w:start w:val="2"/>
    </w:lvl>
  </w:abstractNum>
  <w:abstractNum w:abstractNumId="10">
    <w:nsid w:val="1F16E9E8"/>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2019-12-13T15:03:54Z</dcterms:created>
  <dcterms:modified xsi:type="dcterms:W3CDTF">2019-12-13T15:03:54Z</dcterms:modified>
</cp:coreProperties>
</file>