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December 13, 2023, ABM Industries Incorporated (the “Company”) issued a press release announcing financial results related to the fourth quarter and fiscal year ended October 31, 2023. A copy of the press release is being furnished as Exhibit 99.1 to this Form 8-K, which is incorporated into this item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December 13, 2023, the Company announced that the Board of Directors of the Company declared a quarterly dividend of $0.225 per share, payable on February 5, 2024 to stockholders of record on January 4,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80" w:hanging="458"/>
        <w:spacing w:after="0" w:line="261" w:lineRule="auto"/>
        <w:tabs>
          <w:tab w:leader="none" w:pos="4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ABM Industries Incorporated, dated December 13, 2023, announcing financial results related to the fourth quarter and fiscal year ended October 31, 2023, and the declaration of a dividend payable February 5, 2024, to stockholders of record on January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-161925</wp:posOffset>
            </wp:positionV>
            <wp:extent cx="6818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863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-24765</wp:posOffset>
            </wp:positionV>
            <wp:extent cx="61995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9505" cy="8255"/>
                    </a:xfrm>
                    <a:prstGeom prst="rect">
                      <a:avLst/>
                    </a:prstGeom>
                    <a:noFill/>
                  </pic:spPr>
                </pic:pic>
              </a:graphicData>
            </a:graphic>
          </wp:anchor>
        </w:drawing>
      </w: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R. Newborn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Andrea R. Newborn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234440" cy="626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0046AD"/>
        </w:rPr>
        <w:t>ABM REPORTS FOURTH QUARTER AND FULL YEAR FISCAL 2023 RESULTS AND PROVIDES FISCAL 2024 OUTLOOK</w:t>
      </w:r>
    </w:p>
    <w:p>
      <w:pPr>
        <w:spacing w:after="0" w:line="135"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Grew fourth quarter revenue 4.1% to $2.1 billion, including 3.8% organic growth</w:t>
      </w:r>
    </w:p>
    <w:p>
      <w:pPr>
        <w:spacing w:after="0" w:line="16" w:lineRule="exact"/>
        <w:rPr>
          <w:rFonts w:ascii="Times New Roman" w:cs="Times New Roman" w:eastAsia="Times New Roman" w:hAnsi="Times New Roman"/>
          <w:sz w:val="20"/>
          <w:szCs w:val="20"/>
          <w:i w:val="1"/>
          <w:iCs w:val="1"/>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242424"/>
        </w:rPr>
      </w:pPr>
      <w:r>
        <w:rPr>
          <w:rFonts w:ascii="Arial" w:cs="Arial" w:eastAsia="Arial" w:hAnsi="Arial"/>
          <w:sz w:val="20"/>
          <w:szCs w:val="20"/>
          <w:i w:val="1"/>
          <w:iCs w:val="1"/>
          <w:color w:val="auto"/>
        </w:rPr>
        <w:t>Fourth quarter net income of $62.8 million and GAAP EPS of $0.96, up 29% and 32%, respectively</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Fourth quarter adjusted EBITDA of $144.2 million, up 10%</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Fourth quarter adjusted EPS of $1.01, up 13%</w:t>
      </w: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Board of Directors approves a $150 million expansion of existing share repurchase authorization</w:t>
      </w:r>
    </w:p>
    <w:p>
      <w:pPr>
        <w:spacing w:after="0" w:line="12" w:lineRule="exact"/>
        <w:rPr>
          <w:rFonts w:ascii="Times New Roman" w:cs="Times New Roman" w:eastAsia="Times New Roman" w:hAnsi="Times New Roman"/>
          <w:sz w:val="20"/>
          <w:szCs w:val="20"/>
          <w:i w:val="1"/>
          <w:iCs w:val="1"/>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 xml:space="preserve">Fiscal 2024 adjusted earnings per share expected to be in range of $3.20 to $3.40 </w:t>
      </w:r>
      <w:r>
        <w:rPr>
          <w:rFonts w:ascii="Arial" w:cs="Arial" w:eastAsia="Arial" w:hAnsi="Arial"/>
          <w:sz w:val="26"/>
          <w:szCs w:val="26"/>
          <w:i w:val="1"/>
          <w:iCs w:val="1"/>
          <w:color w:val="auto"/>
          <w:vertAlign w:val="superscript"/>
        </w:rPr>
        <w:t>(1)</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NEW YORK, NY - December 13, 2023 - ABM (NYSE: ABM), a leading provider of facility solutions, today announced financial results for the fourth quarter and full year ended October 31, 2023.</w:t>
      </w:r>
    </w:p>
    <w:p>
      <w:pPr>
        <w:spacing w:after="0" w:line="15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team executed well in the fourth quarter, delivering 4.1% revenue growth and strong margins, resulting in double-digit growth in net income, adjusted EBITDA and adjusted EPS. Our broad-based organic revenue growth and improved adjusted EBITDA margin was bolstered by strong operating performances in our Aviation and Technical Solutions segments," said Scott Salmirs, ABM's President and Chief Executive Officer. "We also benefited from continued solid performances in our Manufacturing &amp; Distribution ("M&amp;D") and Education segments. Despite ongoing headwinds in the commercial real estate market, Business &amp; Industry ("B&amp;I") posted modest organic revenue growth, which is a testament to our positioning in the Class A market and the overall resilience of the business."</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"For full year fiscal 2023, ABM delivered solid performance in what was an unusually difficult operating environment, marked by labor shortages, wage inflation, rising interest rates and softness in commercial real estate. Our team successfully navigated these challenges, and our results highlight the advantages of our end market diversification and relentless focus on our clients," continued Mr. Salmirs. "We continued to progress on our ELEVATE initiatives, which included the completion of the first deployment phase of our cloud-based enterprise resource planning system, including multiple connected applications. Additionally, we expanded the use of tools for workforce management, productivity and optimization, all of which contributed to our financial results."</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"Looking to fiscal 2024, we expect generally healthy market conditions for our Technical Solutions, Aviation, Education and M&amp;D segments. We also anticipate that the commercial real estate markets served by B&amp;I will remain challenged, and that we will be impacted by the reallocation of some business by a large client in M&amp;D. Combined, we expect that these factors, along with protracted labor inflation, will likely keep our enterprise-wide revenue growth rate modest and adjusted EBITDA margin in the range of 6.2% to 6.5%</w:t>
      </w:r>
      <w:r>
        <w:rPr>
          <w:rFonts w:ascii="Arial" w:cs="Arial" w:eastAsia="Arial" w:hAnsi="Arial"/>
          <w:sz w:val="26"/>
          <w:szCs w:val="26"/>
          <w:color w:val="auto"/>
          <w:vertAlign w:val="superscript"/>
        </w:rPr>
        <w:t>(1)</w:t>
      </w:r>
      <w:r>
        <w:rPr>
          <w:rFonts w:ascii="Arial" w:cs="Arial" w:eastAsia="Arial" w:hAnsi="Arial"/>
          <w:sz w:val="20"/>
          <w:szCs w:val="20"/>
          <w:color w:val="auto"/>
        </w:rPr>
        <w:t>."</w:t>
      </w:r>
    </w:p>
    <w:p>
      <w:pPr>
        <w:spacing w:after="0" w:line="93" w:lineRule="exact"/>
        <w:rPr>
          <w:sz w:val="20"/>
          <w:szCs w:val="20"/>
          <w:color w:val="auto"/>
        </w:rPr>
      </w:pPr>
    </w:p>
    <w:p>
      <w:pPr>
        <w:jc w:val="both"/>
        <w:ind w:right="80" w:firstLine="8"/>
        <w:spacing w:after="0" w:line="246" w:lineRule="auto"/>
        <w:tabs>
          <w:tab w:leader="none" w:pos="216"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When the company provides expectations for adjusted EPS and adjusted EBITDA margin on a forward-looking basis, a reconciliation of the differences between these non-GAAP expectations and the corresponding GAAP measures generally is not available without unreasonable effort. See “Outlook” and “Use of Non-GAAP Financial Information” below for additional information.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 w:name="page5"/>
    <w:bookmarkEnd w:id="4"/>
    <w:p>
      <w:pPr>
        <w:jc w:val="both"/>
        <w:spacing w:after="0" w:line="237" w:lineRule="auto"/>
        <w:rPr>
          <w:sz w:val="20"/>
          <w:szCs w:val="20"/>
          <w:color w:val="auto"/>
        </w:rPr>
      </w:pPr>
      <w:r>
        <w:rPr>
          <w:rFonts w:ascii="Arial" w:cs="Arial" w:eastAsia="Arial" w:hAnsi="Arial"/>
          <w:sz w:val="20"/>
          <w:szCs w:val="20"/>
          <w:color w:val="auto"/>
        </w:rPr>
        <w:t>"Our team is focused on winning new business, continuing to expand our services with existing clients, and driving operational efficiency through our ELEVATE program, while carefully managing costs. Supported by our leading market position and solid free cash flow, we will continue to invest in our growth and strategic initiatives, strengthening ABM for the long-term while also returning capital to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Fourth Quarter Fiscal 2023 Results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For the fourth quarter of fiscal 2023, the Company reported revenue of $2.1 billion, up 4.1% over the prior year period, including organic growth of 3.8% and growth from acquisitions of 0.3%. Organic r</w:t>
      </w:r>
      <w:r>
        <w:rPr>
          <w:rFonts w:ascii="Arial" w:cs="Arial" w:eastAsia="Arial" w:hAnsi="Arial"/>
          <w:sz w:val="20"/>
          <w:szCs w:val="20"/>
          <w:color w:val="242424"/>
        </w:rPr>
        <w:t>evenue growth was led by a 15.8% increase in Aviation</w:t>
      </w:r>
      <w:r>
        <w:rPr>
          <w:rFonts w:ascii="Arial" w:cs="Arial" w:eastAsia="Arial" w:hAnsi="Arial"/>
          <w:sz w:val="20"/>
          <w:szCs w:val="20"/>
          <w:color w:val="auto"/>
        </w:rPr>
        <w:t xml:space="preserve"> </w:t>
      </w:r>
      <w:r>
        <w:rPr>
          <w:rFonts w:ascii="Arial" w:cs="Arial" w:eastAsia="Arial" w:hAnsi="Arial"/>
          <w:sz w:val="20"/>
          <w:szCs w:val="20"/>
          <w:color w:val="242424"/>
        </w:rPr>
        <w:t>on robust consumer and business travel, followed by 5.8% growth in Education and 5.4% growth in M&amp;D. Technical Solutions grew total revenue 6.2%, including organic growth of 2.9%, principally driven by several legacy project closeouts and progress on certain microgrid projects in the quarter. B&amp;I grew revenue by 0.4% largely reflecting strong demand from sports and entertainment markets, partially offset by soft commercial real estate markets.</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GAAP net income was $62.8 million, or $ 0.96 per diluted share, compared to $48.9 million, or $ 0.73 per diluted share last year, representing increases of 29% and 32%, respectively. The increases in net income and diluted EPS were primarily attributable to higher segment earnings on higher volume, the benefits of prior-year insurance adjustments and lower ELEVATE transformation costs. These gains were partially offset by higher interest expense. Net income margin was 3.0% compared to 2.4% last year.</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Adjusted net income was $66.2 million, or $1.01 per diluted share, compared to $ 59.4 million, or $0.89 per diluted share, in the prior year period, representing increases of 11% and 13%, respectively. These increases primarily reflected higher segment earnings, partially offset in part by higher interest expense. Adjusted results exclude items impacting comparability and a description of items impacting comparability can be found in the "Reconciliation of Non-GAAP Financial Measures" table.</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Adjusted EBITDA grew 10% to $144.2 million, compared to $130.7 million in the prior year period. Adjusted EBITDA margin for the quarter was 7.2%, up 40 basis points versus the prior year. This improvement was largely driven by project completions in Technical Solutions and normalized performance in Aviation as compared to the prior year, which was impacted by adverse project timing. Adjusted results exclude items impacting comparability. A description of items impacting comparability can be found in the "Reconciliation of Non-GAAP Financial Measures" table.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Full Year Fiscal 2023 Results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For fiscal 2023, the Company reported revenue of $8.1 billion, an increase of 3.7% over the prior year, comprised of 2.4% organic growth and 1.3% from acquisitions. Organic growth largely reflected strong results in Aviation, M&amp;D and Education; partially offset by soft commercial real estate and bundled energy solutions markets served by B&amp;I and Technical Solutions, respectively.</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On a GAAP basis, net income was $251.3 million, or $3.79 per diluted share, compared to net income of $230.4 million, or $3.41 per diluted share last year. These increases primarily reflected gains from adjustments to the fair value of contingent consideration of $45.6 million related to the RavenVolt acquisition, receipt of an Employee Retention Credit of $24.0 million, and the benefit of cost controls and price increases. These gains were partially offset by higher interest expense and labor costs, and lower prior-year insurance adjustments. Net income margin was 3.1% compared to 3.0% last year.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 w:name="page6"/>
    <w:bookmarkEnd w:id="5"/>
    <w:p>
      <w:pPr>
        <w:jc w:val="both"/>
        <w:spacing w:after="0" w:line="237" w:lineRule="auto"/>
        <w:rPr>
          <w:sz w:val="20"/>
          <w:szCs w:val="20"/>
          <w:color w:val="auto"/>
        </w:rPr>
      </w:pPr>
      <w:r>
        <w:rPr>
          <w:rFonts w:ascii="Arial" w:cs="Arial" w:eastAsia="Arial" w:hAnsi="Arial"/>
          <w:sz w:val="20"/>
          <w:szCs w:val="20"/>
          <w:color w:val="auto"/>
        </w:rPr>
        <w:t>Adjusted net income for fiscal 2023 was $ 231.9 million, or $3.50 per diluted share, compared to $247.1 million, or $3.66 per diluted share, for fiscal 2022. The decline primarily reflected higher interest expense and labor costs, partially offset by the benefit of cost controls and price increases. Adjusted results exclude items impacting comparability. A description of items impacting comparability can be found in the "Reconciliation of Non-GAAP Financial Measures" table.</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Adjusted EBITDA for fiscal 2023 was $529.1 million compared to $498.1 million in fiscal 2022. Adjusted EBITDA margin was 6.8% versus 6.6% last year. Adjusted results exclude items impacting comparability. A description of items impacting comparability can be found in the "Reconciliation of Non-GAAP Financial Measures" table.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ABM also released its 2022 Environmental, Social and Governance ("ESG") Impact Report in the fourth quarter. The report highlights progress on the Company's long-term commitments and solutions that enable clients to address ESG risks and opportunities.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Liquidity, Capital Structure &amp; Share Repurchases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ended the quarter with total indebtedness of $1,385.7 million, including $58.2 million in standby letters of credit, resulting in a total leverage ratio, as defined by the Company's credit facility of 2.3x. The Company had available liquidity of $552.5 million, inclusive of cash and cash equivalents of $69.5 million.</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Net cash provided by operating activities for the fourth quarter and full year of fiscal 2023, was $139.1 million and $243.3 million, respectively. Free cash flow for the fourth quarter and full year of fiscal 2023, was $121.2 million, and $190.7 million, respectively. A reconciliation of net cash provided by operating activities to free cash flow can be found in the "Reconciliation of Non-GAAP Financial Measures" table.</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During the fourth quarter, the Company repurchased 2.7 million shares of common stock at an average share price of $40.82, with a total cost of $110.0 million. For the full fiscal year, the Company repurchased 3.3 million shares at a total cost of $137.1 million, reducing its outstanding share count by approximately 5%.</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Subsequent to the end of the fourth quarter, ABM's Board of Directors approved a $150 million expansion of the Company's existing share repurchase authorization. The total current authorization now stands at approximately $210 million. The Company intends to repurchase its common shares periodically in open market purchases or privately negotiated transactions and may make all or part of the repurchases pursuant to Rule 10b5-1 plans. The timing of repurchases will depend upon several factors, including market and business conditions, share price and availability and other factors at the Company's discretion, and the share repurchase program may be suspended or discontinued at any time without prior notice.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Quarterly Cash Dividend</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Subsequent to the end of the fourth quarter, ABM's Board of Directors approved a quarterly cash dividend of $0.225 per common share, which is a 2.3% increase from the prior quarterly cash dividend, payable on February 5, 2024, to shareholders of record on January 4, 2024. This increase advances ABM’s objective to grow its dividend payout ratio to a range of 30% to 35% of adjusted net income over the long term. This will be the Company’s 231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consecutive quarterly cash dividend.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0046AD"/>
        </w:rPr>
        <w:t>Outlook</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fiscal 2024, ABM expects adjusted EPS of $3.20 to $3.40. Adjusted EBITDA margin is anticipated to be in the range of 6.2% to 6.5%. Interest expense is expected to be in the range of $82 million to $86 million and the tax rate, excluding discrete items and non-taxable items, is anticipated to be 29% to 30%.</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 cannot provide a reconciliation of the differences between the non-GAAP expectations and corresponding GAAP measures for Adjusted EPS and adjusted EBITDA margin in 2024 without unreasonable effort due to the uncertainty of timing of any gains or losses related to, but not limited to, items such as prior-year self-insurance adjustments, acquisition and integration related costs, legal costs and other settlements, as well as transformation initiative costs. Although we have attempted to estimate the amount of gains and losses of such items for the purpose of explaining the probable significance of these components, this calculation involves a number of unknown variables, resulting in a GAAP range that we believe is too large and variable to be meaningful.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Conference Call Information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ABM will host its quarterly conference call for all interested parties on Wednesday, December 13, 2023, at 8:30 AM (ET). The live conference call can be accessed via audio webcast at the “Investors” section of the Company's website, located at </w:t>
      </w:r>
      <w:r>
        <w:rPr>
          <w:rFonts w:ascii="Arial" w:cs="Arial" w:eastAsia="Arial" w:hAnsi="Arial"/>
          <w:sz w:val="20"/>
          <w:szCs w:val="20"/>
          <w:u w:val="single" w:color="auto"/>
          <w:color w:val="0563C1"/>
        </w:rPr>
        <w:t>www.abm.com</w:t>
      </w:r>
      <w:r>
        <w:rPr>
          <w:rFonts w:ascii="Arial" w:cs="Arial" w:eastAsia="Arial" w:hAnsi="Arial"/>
          <w:sz w:val="20"/>
          <w:szCs w:val="20"/>
          <w:color w:val="000000"/>
        </w:rPr>
        <w:t>, or by dialing (877) 451-6152 (domestic) or (201) 389-0879 (international) approximately 15 minutes prior to the</w:t>
      </w:r>
      <w:r>
        <w:rPr>
          <w:rFonts w:ascii="Arial" w:cs="Arial" w:eastAsia="Arial" w:hAnsi="Arial"/>
          <w:sz w:val="20"/>
          <w:szCs w:val="20"/>
          <w:color w:val="0563C1"/>
        </w:rPr>
        <w:t xml:space="preserve"> </w:t>
      </w:r>
      <w:r>
        <w:rPr>
          <w:rFonts w:ascii="Arial" w:cs="Arial" w:eastAsia="Arial" w:hAnsi="Arial"/>
          <w:sz w:val="20"/>
          <w:szCs w:val="20"/>
          <w:color w:val="000000"/>
        </w:rPr>
        <w:t>scheduled time.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 supplemental presentation will accompany the webcast on the Company's website.</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replay will be available approximately two hours after the webcast through December 27, 2023, and can be accessed by dialing (844) 512-2921 and then entering ID #13742043. A replay link of the webcast will also be archived on the ABM website for 90 days.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ABOUT ABM</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ABM (NYSE: ABM) is one of the world’s largest providers of integrated facility services. A driving force for a cleaner, healthier, and more sustainable world, ABM provides essential services and forward-looking solutions that improve the spaces and places that matter most. ABM’s comprehensive services include janitorial, engineering, parking, electrical and lighting, energy and electric vehicle charging infrastructure, HVAC and mechanical, landscape and turf, and mission critical solutions. ABM serves a wide range of industries—from commercial office buildings to universities, airports, hospitals, data centers, manufacturing plants and distribution centers, entertainment venues and more. Founded in 1909, ABM serves over 20,000 clients, with annualized revenue exceeding $ 8 billion and more than 100,000 team members in 350+ offices throughout the United States, United Kingdom, Republic of Ireland, and other international locations. For more information, visit </w:t>
      </w:r>
      <w:r>
        <w:rPr>
          <w:rFonts w:ascii="Arial" w:cs="Arial" w:eastAsia="Arial" w:hAnsi="Arial"/>
          <w:sz w:val="19"/>
          <w:szCs w:val="19"/>
          <w:color w:val="0000FF"/>
        </w:rPr>
        <w:t>www.abm.com</w:t>
      </w:r>
      <w:r>
        <w:rPr>
          <w:rFonts w:ascii="Arial" w:cs="Arial" w:eastAsia="Arial" w:hAnsi="Arial"/>
          <w:sz w:val="19"/>
          <w:szCs w:val="19"/>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Cautionary Statement under the Private Securities Litigation Reform Act of 1995</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7" w:name="page8"/>
    <w:bookmarkEnd w:id="7"/>
    <w:p>
      <w:pPr>
        <w:jc w:val="both"/>
        <w:spacing w:after="0"/>
        <w:rPr>
          <w:sz w:val="20"/>
          <w:szCs w:val="20"/>
          <w:color w:val="auto"/>
        </w:rPr>
      </w:pPr>
      <w:r>
        <w:rPr>
          <w:rFonts w:ascii="Arial" w:cs="Arial" w:eastAsia="Arial" w:hAnsi="Arial"/>
          <w:sz w:val="19"/>
          <w:szCs w:val="19"/>
          <w:i w:val="1"/>
          <w:iCs w:val="1"/>
          <w:color w:val="auto"/>
        </w:rPr>
        <w:t>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 and changes to our businesses, operating structure, or personnel relating to our ELEVATE strategy,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 from those we face in the United States that could have an effect on our results of operations and financial condition; decreases in commercial office space utilization due to hybrid work models could adversely affect our financial condition; negative changes in general economic conditions, such as recessionary pressures, durable and non-durable goods pricing, changes in energy prices, or changes in consumer goods pricing could reduce the demand for facility services and, as a result, reduce our earnings and adversely affect our financial condition; acquisitions, divestitures, and other strategic transactions could fail to achieve financial or strategic objectives, disrupt our ongoing business, and adversely impact our results of operations; we may experience breaches of, or disruptions to, our information technology systems or those of our third-party providers or clients, or other compromises of our data that could adversely affect our business; our ongoing implementation of new enterprise resource planning and related boundary systems could adversely impact our ability to operate our business and report our financial results;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 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 increases in the level of our borrowings or in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8" w:name="page9"/>
    <w:bookmarkEnd w:id="8"/>
    <w:p>
      <w:pPr>
        <w:jc w:val="both"/>
        <w:spacing w:after="0" w:line="241" w:lineRule="auto"/>
        <w:rPr>
          <w:sz w:val="20"/>
          <w:szCs w:val="20"/>
          <w:color w:val="auto"/>
        </w:rPr>
      </w:pPr>
      <w:r>
        <w:rPr>
          <w:rFonts w:ascii="Arial" w:cs="Arial" w:eastAsia="Arial" w:hAnsi="Arial"/>
          <w:sz w:val="20"/>
          <w:szCs w:val="20"/>
          <w:i w:val="1"/>
          <w:iCs w:val="1"/>
          <w:color w:val="auto"/>
        </w:rPr>
        <w:t>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Use of Non-GAAP Financial Information</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i w:val="1"/>
          <w:iCs w:val="1"/>
          <w:color w:val="auto"/>
        </w:rPr>
        <w:t>To supplement ABM’s consolidated financial information, the Company has presented net income and net income per diluted share as adjusted for items impacting comparability for the fourth quarter and full fiscal years 2023 and 2022.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interest, taxes, depreciation and amortization, and excluding items impacting comparability (adjusted EBITDA) for the fourth quarter and full fiscal years 2023 and 2022. Adjusted earnings per share and adjusted EBITDA are among the indicators management uses as a basis for planning and forecasting future periods. Adjusted EBITDA margin is defined as adjusted EBITDA divided by revenue excluding parking management reimbursement revenue. We cannot provide a reconciliation of forward-looking non-GAAP adjusted earnings per share and EBITDA margin measures to GAAP due to the inherent difficulty in forecasting and quantifying certain amounts that are necessary for such reconciliations. The Company has also presented Free Cash Flow which is defined as net cash provided by (used in) operating activities less additions to property, plant and equipment.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27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auto"/>
        </w:rPr>
        <w:t>Contact:</w:t>
      </w:r>
    </w:p>
    <w:p>
      <w:pPr>
        <w:spacing w:after="0" w:line="110" w:lineRule="exact"/>
        <w:rPr>
          <w:sz w:val="20"/>
          <w:szCs w:val="20"/>
          <w:color w:val="auto"/>
        </w:rPr>
      </w:pPr>
    </w:p>
    <w:p>
      <w:pPr>
        <w:ind w:left="60"/>
        <w:spacing w:after="0"/>
        <w:tabs>
          <w:tab w:leader="none" w:pos="4700" w:val="left"/>
        </w:tabs>
        <w:rPr>
          <w:sz w:val="20"/>
          <w:szCs w:val="20"/>
          <w:color w:val="auto"/>
        </w:rPr>
      </w:pPr>
      <w:r>
        <w:rPr>
          <w:rFonts w:ascii="Arial" w:cs="Arial" w:eastAsia="Arial" w:hAnsi="Arial"/>
          <w:sz w:val="20"/>
          <w:szCs w:val="20"/>
          <w:color w:val="auto"/>
        </w:rPr>
        <w:t>Investor Relations:</w:t>
      </w:r>
      <w:r>
        <w:rPr>
          <w:sz w:val="20"/>
          <w:szCs w:val="20"/>
          <w:color w:val="auto"/>
        </w:rPr>
        <w:tab/>
      </w:r>
      <w:r>
        <w:rPr>
          <w:rFonts w:ascii="Arial" w:cs="Arial" w:eastAsia="Arial" w:hAnsi="Arial"/>
          <w:sz w:val="19"/>
          <w:szCs w:val="19"/>
          <w:color w:val="auto"/>
        </w:rPr>
        <w:t>Paul Goldberg</w:t>
      </w:r>
    </w:p>
    <w:p>
      <w:pPr>
        <w:spacing w:after="0" w:line="108" w:lineRule="exact"/>
        <w:rPr>
          <w:sz w:val="20"/>
          <w:szCs w:val="20"/>
          <w:color w:val="auto"/>
        </w:rPr>
      </w:pPr>
    </w:p>
    <w:p>
      <w:pPr>
        <w:ind w:left="5240" w:hanging="527"/>
        <w:spacing w:after="0"/>
        <w:tabs>
          <w:tab w:leader="none" w:pos="5240" w:val="left"/>
        </w:tabs>
        <w:numPr>
          <w:ilvl w:val="0"/>
          <w:numId w:val="4"/>
        </w:numPr>
        <w:rPr>
          <w:rFonts w:ascii="Arial" w:cs="Arial" w:eastAsia="Arial" w:hAnsi="Arial"/>
          <w:sz w:val="20"/>
          <w:szCs w:val="20"/>
          <w:color w:val="auto"/>
        </w:rPr>
      </w:pPr>
      <w:r>
        <w:rPr>
          <w:rFonts w:ascii="Arial" w:cs="Arial" w:eastAsia="Arial" w:hAnsi="Arial"/>
          <w:sz w:val="20"/>
          <w:szCs w:val="20"/>
          <w:color w:val="auto"/>
        </w:rPr>
        <w:t>297-9721</w:t>
      </w:r>
    </w:p>
    <w:p>
      <w:pPr>
        <w:spacing w:after="0" w:line="107" w:lineRule="exact"/>
        <w:rPr>
          <w:rFonts w:ascii="Arial" w:cs="Arial" w:eastAsia="Arial" w:hAnsi="Arial"/>
          <w:sz w:val="20"/>
          <w:szCs w:val="20"/>
          <w:color w:val="auto"/>
        </w:rPr>
      </w:pPr>
    </w:p>
    <w:p>
      <w:pPr>
        <w:ind w:left="4720"/>
        <w:spacing w:after="0"/>
        <w:rPr>
          <w:rFonts w:ascii="Arial" w:cs="Arial" w:eastAsia="Arial" w:hAnsi="Arial"/>
          <w:sz w:val="20"/>
          <w:szCs w:val="20"/>
          <w:color w:val="auto"/>
        </w:rPr>
      </w:pPr>
      <w:r>
        <w:rPr>
          <w:rFonts w:ascii="Arial" w:cs="Arial" w:eastAsia="Arial" w:hAnsi="Arial"/>
          <w:sz w:val="20"/>
          <w:szCs w:val="20"/>
          <w:color w:val="auto"/>
        </w:rPr>
        <w:t>ir@abm.com</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0046AD"/>
        </w:rPr>
        <w:t>Financial Schedules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CONSOLIDATED INCOME STATEMENT INFORMATION (UNAUDITED)</w:t>
      </w:r>
    </w:p>
    <w:p>
      <w:pPr>
        <w:spacing w:after="0" w:line="77" w:lineRule="exact"/>
        <w:rPr>
          <w:sz w:val="20"/>
          <w:szCs w:val="20"/>
          <w:color w:val="auto"/>
        </w:rPr>
      </w:pPr>
    </w:p>
    <w:p>
      <w:pPr>
        <w:jc w:val="right"/>
        <w:ind w:right="1880"/>
        <w:spacing w:after="0"/>
        <w:rPr>
          <w:sz w:val="20"/>
          <w:szCs w:val="20"/>
          <w:color w:val="auto"/>
        </w:rPr>
      </w:pPr>
      <w:r>
        <w:rPr>
          <w:rFonts w:ascii="Arial" w:cs="Arial" w:eastAsia="Arial" w:hAnsi="Arial"/>
          <w:sz w:val="16"/>
          <w:szCs w:val="16"/>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38100</wp:posOffset>
            </wp:positionV>
            <wp:extent cx="2082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ectPr>
          <w:pgSz w:w="11900" w:h="16838" w:orient="portrait"/>
          <w:cols w:equalWidth="0" w:num="1">
            <w:col w:w="11120"/>
          </w:cols>
          <w:pgMar w:left="320" w:top="521" w:right="459" w:bottom="1440" w:gutter="0" w:footer="0" w:header="0"/>
        </w:sect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i w:val="1"/>
          <w:iCs w:val="1"/>
          <w:u w:val="single" w:color="auto"/>
          <w:color w:val="auto"/>
        </w:rPr>
        <w:t>(in millions, except per share amounts)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Revenues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expenses</w:t>
      </w:r>
    </w:p>
    <w:p>
      <w:pPr>
        <w:spacing w:after="0" w:line="127" w:lineRule="exact"/>
        <w:rPr>
          <w:sz w:val="20"/>
          <w:szCs w:val="20"/>
          <w:color w:val="auto"/>
        </w:rPr>
      </w:pPr>
    </w:p>
    <w:p>
      <w:pPr>
        <w:ind w:left="60" w:right="2320"/>
        <w:spacing w:after="0" w:line="413" w:lineRule="auto"/>
        <w:rPr>
          <w:sz w:val="20"/>
          <w:szCs w:val="20"/>
          <w:color w:val="auto"/>
        </w:rPr>
      </w:pPr>
      <w:r>
        <w:rPr>
          <w:rFonts w:ascii="Arial" w:cs="Arial" w:eastAsia="Arial" w:hAnsi="Arial"/>
          <w:sz w:val="16"/>
          <w:szCs w:val="16"/>
          <w:color w:val="auto"/>
        </w:rPr>
        <w:t>Selling, general and administrative expenses Amortization of intangible assets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Operating profit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from unconsolidated affiliates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expense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before income taxes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tax provision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income per common share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ind w:left="260"/>
              <w:spacing w:after="0"/>
              <w:rPr>
                <w:sz w:val="20"/>
                <w:szCs w:val="20"/>
                <w:color w:val="auto"/>
              </w:rPr>
            </w:pPr>
            <w:r>
              <w:rPr>
                <w:rFonts w:ascii="Arial" w:cs="Arial" w:eastAsia="Arial" w:hAnsi="Arial"/>
                <w:sz w:val="16"/>
                <w:szCs w:val="16"/>
                <w:b w:val="1"/>
                <w:bCs w:val="1"/>
                <w:color w:val="auto"/>
              </w:rPr>
              <w:t>Increase /</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5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70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(Decrease)</w:t>
            </w: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580" w:type="dxa"/>
            <w:vAlign w:val="bottom"/>
          </w:tcPr>
          <w:p>
            <w:pPr>
              <w:jc w:val="right"/>
              <w:spacing w:after="0"/>
              <w:rPr>
                <w:sz w:val="20"/>
                <w:szCs w:val="20"/>
                <w:color w:val="auto"/>
              </w:rPr>
            </w:pPr>
            <w:r>
              <w:rPr>
                <w:rFonts w:ascii="Arial" w:cs="Arial" w:eastAsia="Arial" w:hAnsi="Arial"/>
                <w:sz w:val="16"/>
                <w:szCs w:val="16"/>
                <w:color w:val="auto"/>
              </w:rPr>
              <w:t>$   2,092.9</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   2,011.1</w:t>
            </w:r>
          </w:p>
        </w:tc>
        <w:tc>
          <w:tcPr>
            <w:tcW w:w="22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Arial" w:cs="Arial" w:eastAsia="Arial" w:hAnsi="Arial"/>
                <w:sz w:val="16"/>
                <w:szCs w:val="16"/>
                <w:color w:val="auto"/>
              </w:rPr>
              <w:t>4.1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1580" w:type="dxa"/>
            <w:vAlign w:val="bottom"/>
          </w:tcPr>
          <w:p>
            <w:pPr>
              <w:jc w:val="right"/>
              <w:spacing w:after="0"/>
              <w:rPr>
                <w:sz w:val="20"/>
                <w:szCs w:val="20"/>
                <w:color w:val="auto"/>
              </w:rPr>
            </w:pPr>
            <w:r>
              <w:rPr>
                <w:rFonts w:ascii="Arial" w:cs="Arial" w:eastAsia="Arial" w:hAnsi="Arial"/>
                <w:sz w:val="16"/>
                <w:szCs w:val="16"/>
                <w:color w:val="auto"/>
              </w:rPr>
              <w:t>1,806.9</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1,753.1</w:t>
            </w:r>
          </w:p>
        </w:tc>
        <w:tc>
          <w:tcPr>
            <w:tcW w:w="22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6"/>
                <w:szCs w:val="16"/>
                <w:color w:val="auto"/>
              </w:rPr>
              <w:t>3.1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1580" w:type="dxa"/>
            <w:vAlign w:val="bottom"/>
          </w:tcPr>
          <w:p>
            <w:pPr>
              <w:jc w:val="right"/>
              <w:spacing w:after="0"/>
              <w:rPr>
                <w:sz w:val="20"/>
                <w:szCs w:val="20"/>
                <w:color w:val="auto"/>
              </w:rPr>
            </w:pPr>
            <w:r>
              <w:rPr>
                <w:rFonts w:ascii="Arial" w:cs="Arial" w:eastAsia="Arial" w:hAnsi="Arial"/>
                <w:sz w:val="16"/>
                <w:szCs w:val="16"/>
                <w:color w:val="auto"/>
              </w:rPr>
              <w:t>161.3</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159.7</w:t>
            </w:r>
          </w:p>
        </w:tc>
        <w:tc>
          <w:tcPr>
            <w:tcW w:w="22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6"/>
                <w:szCs w:val="16"/>
                <w:color w:val="auto"/>
              </w:rPr>
              <w:t>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1580" w:type="dxa"/>
            <w:vAlign w:val="bottom"/>
          </w:tcPr>
          <w:p>
            <w:pPr>
              <w:jc w:val="right"/>
              <w:spacing w:after="0"/>
              <w:rPr>
                <w:sz w:val="20"/>
                <w:szCs w:val="20"/>
                <w:color w:val="auto"/>
              </w:rPr>
            </w:pPr>
            <w:r>
              <w:rPr>
                <w:rFonts w:ascii="Arial" w:cs="Arial" w:eastAsia="Arial" w:hAnsi="Arial"/>
                <w:sz w:val="16"/>
                <w:szCs w:val="16"/>
                <w:color w:val="auto"/>
              </w:rPr>
              <w:t>18.3</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24"/>
                <w:szCs w:val="24"/>
                <w:color w:val="auto"/>
              </w:rPr>
            </w:pPr>
          </w:p>
        </w:tc>
        <w:tc>
          <w:tcPr>
            <w:tcW w:w="1100" w:type="dxa"/>
            <w:vAlign w:val="bottom"/>
          </w:tcPr>
          <w:p>
            <w:pPr>
              <w:ind w:left="460"/>
              <w:spacing w:after="0"/>
              <w:rPr>
                <w:sz w:val="20"/>
                <w:szCs w:val="20"/>
                <w:color w:val="auto"/>
              </w:rPr>
            </w:pPr>
            <w:r>
              <w:rPr>
                <w:rFonts w:ascii="Arial" w:cs="Arial" w:eastAsia="Arial" w:hAnsi="Arial"/>
                <w:sz w:val="16"/>
                <w:szCs w:val="16"/>
                <w:color w:val="auto"/>
              </w:rPr>
              <w:t>(4.8)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220" w:type="dxa"/>
            <w:vAlign w:val="bottom"/>
          </w:tcPr>
          <w:p>
            <w:pPr>
              <w:spacing w:after="0"/>
              <w:rPr>
                <w:sz w:val="24"/>
                <w:szCs w:val="24"/>
                <w:color w:val="auto"/>
              </w:rPr>
            </w:pPr>
          </w:p>
        </w:tc>
        <w:tc>
          <w:tcPr>
            <w:tcW w:w="1100" w:type="dxa"/>
            <w:vAlign w:val="bottom"/>
          </w:tcPr>
          <w:p>
            <w:pPr>
              <w:ind w:left="460"/>
              <w:spacing w:after="0"/>
              <w:rPr>
                <w:sz w:val="20"/>
                <w:szCs w:val="20"/>
                <w:color w:val="auto"/>
              </w:rPr>
            </w:pPr>
            <w:r>
              <w:rPr>
                <w:rFonts w:ascii="Arial" w:cs="Arial" w:eastAsia="Arial" w:hAnsi="Arial"/>
                <w:sz w:val="16"/>
                <w:szCs w:val="16"/>
                <w:color w:val="auto"/>
              </w:rPr>
              <w:t>34.5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1580" w:type="dxa"/>
            <w:vAlign w:val="bottom"/>
          </w:tcPr>
          <w:p>
            <w:pPr>
              <w:jc w:val="right"/>
              <w:spacing w:after="0"/>
              <w:rPr>
                <w:sz w:val="20"/>
                <w:szCs w:val="20"/>
                <w:color w:val="auto"/>
              </w:rPr>
            </w:pPr>
            <w:r>
              <w:rPr>
                <w:rFonts w:ascii="Arial" w:cs="Arial" w:eastAsia="Arial" w:hAnsi="Arial"/>
                <w:sz w:val="16"/>
                <w:szCs w:val="16"/>
                <w:color w:val="auto"/>
              </w:rPr>
              <w:t>0.9</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23"/>
                <w:szCs w:val="23"/>
                <w:color w:val="auto"/>
              </w:rPr>
            </w:pPr>
          </w:p>
        </w:tc>
        <w:tc>
          <w:tcPr>
            <w:tcW w:w="1100" w:type="dxa"/>
            <w:vAlign w:val="bottom"/>
          </w:tcPr>
          <w:p>
            <w:pPr>
              <w:ind w:left="460"/>
              <w:spacing w:after="0"/>
              <w:rPr>
                <w:sz w:val="20"/>
                <w:szCs w:val="20"/>
                <w:color w:val="auto"/>
              </w:rPr>
            </w:pPr>
            <w:r>
              <w:rPr>
                <w:rFonts w:ascii="Arial" w:cs="Arial" w:eastAsia="Arial" w:hAnsi="Arial"/>
                <w:sz w:val="16"/>
                <w:szCs w:val="16"/>
                <w:color w:val="auto"/>
              </w:rPr>
              <w:t>60.1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3"/>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24"/>
                <w:szCs w:val="24"/>
                <w:color w:val="auto"/>
              </w:rPr>
            </w:pPr>
          </w:p>
        </w:tc>
        <w:tc>
          <w:tcPr>
            <w:tcW w:w="1100" w:type="dxa"/>
            <w:vAlign w:val="bottom"/>
          </w:tcPr>
          <w:p>
            <w:pPr>
              <w:ind w:left="460"/>
              <w:spacing w:after="0"/>
              <w:rPr>
                <w:sz w:val="20"/>
                <w:szCs w:val="20"/>
                <w:color w:val="auto"/>
              </w:rPr>
            </w:pPr>
            <w:r>
              <w:rPr>
                <w:rFonts w:ascii="Arial" w:cs="Arial" w:eastAsia="Arial" w:hAnsi="Arial"/>
                <w:sz w:val="16"/>
                <w:szCs w:val="16"/>
                <w:color w:val="auto"/>
              </w:rPr>
              <w:t>(28.4)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1580" w:type="dxa"/>
            <w:vAlign w:val="bottom"/>
          </w:tcPr>
          <w:p>
            <w:pPr>
              <w:jc w:val="right"/>
              <w:spacing w:after="0"/>
              <w:rPr>
                <w:sz w:val="20"/>
                <w:szCs w:val="20"/>
                <w:color w:val="auto"/>
              </w:rPr>
            </w:pPr>
            <w:r>
              <w:rPr>
                <w:rFonts w:ascii="Arial" w:cs="Arial" w:eastAsia="Arial" w:hAnsi="Arial"/>
                <w:sz w:val="16"/>
                <w:szCs w:val="16"/>
                <w:color w:val="auto"/>
              </w:rPr>
              <w:t>86.8</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63.7</w:t>
            </w:r>
          </w:p>
        </w:tc>
        <w:tc>
          <w:tcPr>
            <w:tcW w:w="220" w:type="dxa"/>
            <w:vAlign w:val="bottom"/>
          </w:tcPr>
          <w:p>
            <w:pPr>
              <w:spacing w:after="0"/>
              <w:rPr>
                <w:sz w:val="23"/>
                <w:szCs w:val="23"/>
                <w:color w:val="auto"/>
              </w:rPr>
            </w:pPr>
          </w:p>
        </w:tc>
        <w:tc>
          <w:tcPr>
            <w:tcW w:w="1100" w:type="dxa"/>
            <w:vAlign w:val="bottom"/>
          </w:tcPr>
          <w:p>
            <w:pPr>
              <w:ind w:left="460"/>
              <w:spacing w:after="0"/>
              <w:rPr>
                <w:sz w:val="20"/>
                <w:szCs w:val="20"/>
                <w:color w:val="auto"/>
              </w:rPr>
            </w:pPr>
            <w:r>
              <w:rPr>
                <w:rFonts w:ascii="Arial" w:cs="Arial" w:eastAsia="Arial" w:hAnsi="Arial"/>
                <w:sz w:val="16"/>
                <w:szCs w:val="16"/>
                <w:color w:val="auto"/>
              </w:rPr>
              <w:t>36.3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1580" w:type="dxa"/>
            <w:vAlign w:val="bottom"/>
          </w:tcPr>
          <w:p>
            <w:pPr>
              <w:jc w:val="right"/>
              <w:spacing w:after="0"/>
              <w:rPr>
                <w:sz w:val="20"/>
                <w:szCs w:val="20"/>
                <w:color w:val="auto"/>
              </w:rPr>
            </w:pPr>
            <w:r>
              <w:rPr>
                <w:rFonts w:ascii="Arial" w:cs="Arial" w:eastAsia="Arial" w:hAnsi="Arial"/>
                <w:sz w:val="16"/>
                <w:szCs w:val="16"/>
                <w:color w:val="auto"/>
              </w:rPr>
              <w:t>(24.0)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Pr>
          <w:p>
            <w:pPr>
              <w:spacing w:after="0"/>
              <w:rPr>
                <w:sz w:val="24"/>
                <w:szCs w:val="24"/>
                <w:color w:val="auto"/>
              </w:rPr>
            </w:pPr>
          </w:p>
        </w:tc>
        <w:tc>
          <w:tcPr>
            <w:tcW w:w="1100" w:type="dxa"/>
            <w:vAlign w:val="bottom"/>
          </w:tcPr>
          <w:p>
            <w:pPr>
              <w:ind w:left="460"/>
              <w:spacing w:after="0"/>
              <w:rPr>
                <w:sz w:val="20"/>
                <w:szCs w:val="20"/>
                <w:color w:val="auto"/>
              </w:rPr>
            </w:pPr>
            <w:r>
              <w:rPr>
                <w:rFonts w:ascii="Arial" w:cs="Arial" w:eastAsia="Arial" w:hAnsi="Arial"/>
                <w:sz w:val="16"/>
                <w:szCs w:val="16"/>
                <w:color w:val="auto"/>
              </w:rPr>
              <w:t>(61.7)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1580" w:type="dxa"/>
            <w:vAlign w:val="bottom"/>
          </w:tcPr>
          <w:p>
            <w:pPr>
              <w:jc w:val="right"/>
              <w:spacing w:after="0"/>
              <w:rPr>
                <w:sz w:val="20"/>
                <w:szCs w:val="20"/>
                <w:color w:val="auto"/>
              </w:rPr>
            </w:pPr>
            <w:r>
              <w:rPr>
                <w:rFonts w:ascii="Arial" w:cs="Arial" w:eastAsia="Arial" w:hAnsi="Arial"/>
                <w:sz w:val="16"/>
                <w:szCs w:val="16"/>
                <w:color w:val="auto"/>
              </w:rPr>
              <w:t>62.8</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48.9</w:t>
            </w:r>
          </w:p>
        </w:tc>
        <w:tc>
          <w:tcPr>
            <w:tcW w:w="220" w:type="dxa"/>
            <w:vAlign w:val="bottom"/>
          </w:tcPr>
          <w:p>
            <w:pPr>
              <w:spacing w:after="0"/>
              <w:rPr>
                <w:sz w:val="22"/>
                <w:szCs w:val="22"/>
                <w:color w:val="auto"/>
              </w:rPr>
            </w:pPr>
          </w:p>
        </w:tc>
        <w:tc>
          <w:tcPr>
            <w:tcW w:w="1100" w:type="dxa"/>
            <w:vAlign w:val="bottom"/>
            <w:vMerge w:val="restart"/>
          </w:tcPr>
          <w:p>
            <w:pPr>
              <w:ind w:left="460"/>
              <w:spacing w:after="0"/>
              <w:rPr>
                <w:sz w:val="20"/>
                <w:szCs w:val="20"/>
                <w:color w:val="auto"/>
              </w:rPr>
            </w:pPr>
            <w:r>
              <w:rPr>
                <w:rFonts w:ascii="Arial" w:cs="Arial" w:eastAsia="Arial" w:hAnsi="Arial"/>
                <w:sz w:val="16"/>
                <w:szCs w:val="16"/>
                <w:color w:val="auto"/>
              </w:rPr>
              <w:t>28.5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-1996440</wp:posOffset>
            </wp:positionV>
            <wp:extent cx="705485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4850" cy="18859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-1610995</wp:posOffset>
            </wp:positionV>
            <wp:extent cx="705485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19748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-427990</wp:posOffset>
            </wp:positionV>
            <wp:extent cx="705485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54850" cy="19748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0</wp:posOffset>
            </wp:positionV>
            <wp:extent cx="70548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-1229360</wp:posOffset>
            </wp:positionV>
            <wp:extent cx="7054850" cy="231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4850" cy="23114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-822325</wp:posOffset>
            </wp:positionV>
            <wp:extent cx="705485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4850" cy="205740"/>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5600" w:space="720"/>
            <w:col w:w="4800"/>
          </w:cols>
          <w:pgMar w:left="320" w:top="521" w:right="45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360" w:type="dxa"/>
            <w:vAlign w:val="bottom"/>
          </w:tcPr>
          <w:p>
            <w:pPr>
              <w:ind w:left="380"/>
              <w:spacing w:after="0"/>
              <w:rPr>
                <w:sz w:val="20"/>
                <w:szCs w:val="20"/>
                <w:color w:val="auto"/>
              </w:rPr>
            </w:pPr>
            <w:r>
              <w:rPr>
                <w:rFonts w:ascii="Arial" w:cs="Arial" w:eastAsia="Arial" w:hAnsi="Arial"/>
                <w:sz w:val="16"/>
                <w:szCs w:val="16"/>
                <w:color w:val="auto"/>
              </w:rPr>
              <w:t>Basic</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0.97</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9"/>
              <w:spacing w:after="0"/>
              <w:rPr>
                <w:sz w:val="20"/>
                <w:szCs w:val="20"/>
                <w:color w:val="auto"/>
              </w:rPr>
            </w:pPr>
            <w:r>
              <w:rPr>
                <w:rFonts w:ascii="Arial" w:cs="Arial" w:eastAsia="Arial" w:hAnsi="Arial"/>
                <w:sz w:val="16"/>
                <w:szCs w:val="16"/>
                <w:color w:val="auto"/>
              </w:rPr>
              <w:t>0.74</w:t>
            </w:r>
          </w:p>
        </w:tc>
        <w:tc>
          <w:tcPr>
            <w:tcW w:w="100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9"/>
        </w:trPr>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44"/>
        </w:trPr>
        <w:tc>
          <w:tcPr>
            <w:tcW w:w="6360" w:type="dxa"/>
            <w:vAlign w:val="bottom"/>
            <w:tcBorders>
              <w:bottom w:val="single" w:sz="8" w:color="DCE2EF"/>
            </w:tcBorders>
            <w:shd w:val="clear" w:color="auto" w:fill="DCE2EF"/>
          </w:tcPr>
          <w:p>
            <w:pPr>
              <w:ind w:left="380"/>
              <w:spacing w:after="0"/>
              <w:rPr>
                <w:sz w:val="20"/>
                <w:szCs w:val="20"/>
                <w:color w:val="auto"/>
              </w:rPr>
            </w:pPr>
            <w:r>
              <w:rPr>
                <w:rFonts w:ascii="Arial" w:cs="Arial" w:eastAsia="Arial" w:hAnsi="Arial"/>
                <w:sz w:val="16"/>
                <w:szCs w:val="16"/>
                <w:color w:val="auto"/>
              </w:rPr>
              <w:t>Diluted</w:t>
            </w:r>
          </w:p>
        </w:tc>
        <w:tc>
          <w:tcPr>
            <w:tcW w:w="10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CE2EF"/>
            </w:tcBorders>
            <w:shd w:val="clear" w:color="auto" w:fill="DCE2EF"/>
          </w:tcPr>
          <w:p>
            <w:pPr>
              <w:jc w:val="right"/>
              <w:ind w:right="399"/>
              <w:spacing w:after="0"/>
              <w:rPr>
                <w:sz w:val="20"/>
                <w:szCs w:val="20"/>
                <w:color w:val="auto"/>
              </w:rPr>
            </w:pPr>
            <w:r>
              <w:rPr>
                <w:rFonts w:ascii="Arial" w:cs="Arial" w:eastAsia="Arial" w:hAnsi="Arial"/>
                <w:sz w:val="16"/>
                <w:szCs w:val="16"/>
                <w:color w:val="auto"/>
              </w:rPr>
              <w:t>0.96</w:t>
            </w:r>
          </w:p>
        </w:tc>
        <w:tc>
          <w:tcPr>
            <w:tcW w:w="74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CE2EF"/>
            </w:tcBorders>
            <w:shd w:val="clear" w:color="auto" w:fill="DCE2EF"/>
          </w:tcPr>
          <w:p>
            <w:pPr>
              <w:jc w:val="right"/>
              <w:ind w:right="439"/>
              <w:spacing w:after="0"/>
              <w:rPr>
                <w:sz w:val="20"/>
                <w:szCs w:val="20"/>
                <w:color w:val="auto"/>
              </w:rPr>
            </w:pPr>
            <w:r>
              <w:rPr>
                <w:rFonts w:ascii="Arial" w:cs="Arial" w:eastAsia="Arial" w:hAnsi="Arial"/>
                <w:sz w:val="16"/>
                <w:szCs w:val="16"/>
                <w:color w:val="auto"/>
              </w:rPr>
              <w:t>0.73</w:t>
            </w:r>
          </w:p>
        </w:tc>
        <w:tc>
          <w:tcPr>
            <w:tcW w:w="10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31.5%</w:t>
            </w:r>
          </w:p>
        </w:tc>
      </w:tr>
      <w:tr>
        <w:trPr>
          <w:trHeight w:val="398"/>
        </w:trPr>
        <w:tc>
          <w:tcPr>
            <w:tcW w:w="6360" w:type="dxa"/>
            <w:vAlign w:val="bottom"/>
          </w:tcPr>
          <w:p>
            <w:pPr>
              <w:ind w:left="60"/>
              <w:spacing w:after="0"/>
              <w:rPr>
                <w:sz w:val="20"/>
                <w:szCs w:val="20"/>
                <w:color w:val="auto"/>
              </w:rPr>
            </w:pPr>
            <w:r>
              <w:rPr>
                <w:rFonts w:ascii="Arial" w:cs="Arial" w:eastAsia="Arial" w:hAnsi="Arial"/>
                <w:sz w:val="16"/>
                <w:szCs w:val="16"/>
                <w:b w:val="1"/>
                <w:bCs w:val="1"/>
                <w:color w:val="auto"/>
              </w:rPr>
              <w:t>Weighted-average common and common equivalent shares outstanding</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
        </w:trPr>
        <w:tc>
          <w:tcPr>
            <w:tcW w:w="6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6360" w:type="dxa"/>
            <w:vAlign w:val="bottom"/>
            <w:tcBorders>
              <w:bottom w:val="single" w:sz="8" w:color="DCE2EF"/>
            </w:tcBorders>
            <w:shd w:val="clear" w:color="auto" w:fill="DCE2EF"/>
          </w:tcPr>
          <w:p>
            <w:pPr>
              <w:ind w:left="380"/>
              <w:spacing w:after="0"/>
              <w:rPr>
                <w:sz w:val="20"/>
                <w:szCs w:val="20"/>
                <w:color w:val="auto"/>
              </w:rPr>
            </w:pPr>
            <w:r>
              <w:rPr>
                <w:rFonts w:ascii="Arial" w:cs="Arial" w:eastAsia="Arial" w:hAnsi="Arial"/>
                <w:sz w:val="16"/>
                <w:szCs w:val="16"/>
                <w:color w:val="auto"/>
              </w:rPr>
              <w:t>Basic</w:t>
            </w:r>
          </w:p>
        </w:tc>
        <w:tc>
          <w:tcPr>
            <w:tcW w:w="1020" w:type="dxa"/>
            <w:vAlign w:val="bottom"/>
            <w:tcBorders>
              <w:bottom w:val="single" w:sz="8" w:color="DCE2EF"/>
            </w:tcBorders>
            <w:shd w:val="clear" w:color="auto" w:fill="DCE2EF"/>
          </w:tcPr>
          <w:p>
            <w:pPr>
              <w:spacing w:after="0"/>
              <w:rPr>
                <w:sz w:val="24"/>
                <w:szCs w:val="24"/>
                <w:color w:val="auto"/>
              </w:rPr>
            </w:pPr>
          </w:p>
        </w:tc>
        <w:tc>
          <w:tcPr>
            <w:tcW w:w="980" w:type="dxa"/>
            <w:vAlign w:val="bottom"/>
            <w:tcBorders>
              <w:bottom w:val="single" w:sz="8" w:color="DCE2EF"/>
            </w:tcBorders>
            <w:shd w:val="clear" w:color="auto" w:fill="DCE2EF"/>
          </w:tcPr>
          <w:p>
            <w:pPr>
              <w:jc w:val="right"/>
              <w:ind w:right="399"/>
              <w:spacing w:after="0"/>
              <w:rPr>
                <w:sz w:val="20"/>
                <w:szCs w:val="20"/>
                <w:color w:val="auto"/>
              </w:rPr>
            </w:pPr>
            <w:r>
              <w:rPr>
                <w:rFonts w:ascii="Arial" w:cs="Arial" w:eastAsia="Arial" w:hAnsi="Arial"/>
                <w:sz w:val="16"/>
                <w:szCs w:val="16"/>
                <w:color w:val="auto"/>
              </w:rPr>
              <w:t>64.8</w:t>
            </w:r>
          </w:p>
        </w:tc>
        <w:tc>
          <w:tcPr>
            <w:tcW w:w="740" w:type="dxa"/>
            <w:vAlign w:val="bottom"/>
            <w:tcBorders>
              <w:bottom w:val="single" w:sz="8" w:color="DCE2EF"/>
            </w:tcBorders>
            <w:shd w:val="clear" w:color="auto" w:fill="DCE2EF"/>
          </w:tcPr>
          <w:p>
            <w:pPr>
              <w:spacing w:after="0"/>
              <w:rPr>
                <w:sz w:val="24"/>
                <w:szCs w:val="24"/>
                <w:color w:val="auto"/>
              </w:rPr>
            </w:pPr>
          </w:p>
        </w:tc>
        <w:tc>
          <w:tcPr>
            <w:tcW w:w="1020" w:type="dxa"/>
            <w:vAlign w:val="bottom"/>
            <w:tcBorders>
              <w:bottom w:val="single" w:sz="8" w:color="DCE2EF"/>
            </w:tcBorders>
            <w:shd w:val="clear" w:color="auto" w:fill="DCE2EF"/>
          </w:tcPr>
          <w:p>
            <w:pPr>
              <w:jc w:val="right"/>
              <w:ind w:right="439"/>
              <w:spacing w:after="0"/>
              <w:rPr>
                <w:sz w:val="20"/>
                <w:szCs w:val="20"/>
                <w:color w:val="auto"/>
              </w:rPr>
            </w:pPr>
            <w:r>
              <w:rPr>
                <w:rFonts w:ascii="Arial" w:cs="Arial" w:eastAsia="Arial" w:hAnsi="Arial"/>
                <w:sz w:val="16"/>
                <w:szCs w:val="16"/>
                <w:color w:val="auto"/>
              </w:rPr>
              <w:t>66.4</w:t>
            </w:r>
          </w:p>
        </w:tc>
        <w:tc>
          <w:tcPr>
            <w:tcW w:w="1000" w:type="dxa"/>
            <w:vAlign w:val="bottom"/>
            <w:tcBorders>
              <w:bottom w:val="single" w:sz="8" w:color="DCE2EF"/>
            </w:tcBorders>
            <w:shd w:val="clear" w:color="auto" w:fill="DCE2EF"/>
          </w:tcPr>
          <w:p>
            <w:pPr>
              <w:spacing w:after="0"/>
              <w:rPr>
                <w:sz w:val="24"/>
                <w:szCs w:val="24"/>
                <w:color w:val="auto"/>
              </w:rPr>
            </w:pPr>
          </w:p>
        </w:tc>
      </w:tr>
      <w:tr>
        <w:trPr>
          <w:trHeight w:val="282"/>
        </w:trPr>
        <w:tc>
          <w:tcPr>
            <w:tcW w:w="6360" w:type="dxa"/>
            <w:vAlign w:val="bottom"/>
          </w:tcPr>
          <w:p>
            <w:pPr>
              <w:ind w:left="380"/>
              <w:spacing w:after="0"/>
              <w:rPr>
                <w:sz w:val="20"/>
                <w:szCs w:val="20"/>
                <w:color w:val="auto"/>
              </w:rPr>
            </w:pPr>
            <w:r>
              <w:rPr>
                <w:rFonts w:ascii="Arial" w:cs="Arial" w:eastAsia="Arial" w:hAnsi="Arial"/>
                <w:sz w:val="16"/>
                <w:szCs w:val="16"/>
                <w:color w:val="auto"/>
              </w:rPr>
              <w:t>Diluted</w:t>
            </w:r>
          </w:p>
        </w:tc>
        <w:tc>
          <w:tcPr>
            <w:tcW w:w="1020" w:type="dxa"/>
            <w:vAlign w:val="bottom"/>
          </w:tcPr>
          <w:p>
            <w:pPr>
              <w:spacing w:after="0"/>
              <w:rPr>
                <w:sz w:val="24"/>
                <w:szCs w:val="24"/>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65.3</w:t>
            </w:r>
          </w:p>
        </w:tc>
        <w:tc>
          <w:tcPr>
            <w:tcW w:w="740" w:type="dxa"/>
            <w:vAlign w:val="bottom"/>
          </w:tcPr>
          <w:p>
            <w:pPr>
              <w:spacing w:after="0"/>
              <w:rPr>
                <w:sz w:val="24"/>
                <w:szCs w:val="24"/>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color w:val="auto"/>
              </w:rPr>
              <w:t>66.9</w:t>
            </w:r>
          </w:p>
        </w:tc>
        <w:tc>
          <w:tcPr>
            <w:tcW w:w="1000" w:type="dxa"/>
            <w:vAlign w:val="bottom"/>
          </w:tcPr>
          <w:p>
            <w:pPr>
              <w:spacing w:after="0"/>
              <w:rPr>
                <w:sz w:val="24"/>
                <w:szCs w:val="24"/>
                <w:color w:val="auto"/>
              </w:rPr>
            </w:pPr>
          </w:p>
        </w:tc>
      </w:tr>
      <w:tr>
        <w:trPr>
          <w:trHeight w:val="29"/>
        </w:trPr>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0"/>
        </w:trPr>
        <w:tc>
          <w:tcPr>
            <w:tcW w:w="6360" w:type="dxa"/>
            <w:vAlign w:val="bottom"/>
            <w:shd w:val="clear" w:color="auto" w:fill="DCE2EF"/>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102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DCE2EF"/>
          </w:tcPr>
          <w:p>
            <w:pPr>
              <w:jc w:val="right"/>
              <w:ind w:right="399"/>
              <w:spacing w:after="0"/>
              <w:rPr>
                <w:sz w:val="20"/>
                <w:szCs w:val="20"/>
                <w:color w:val="auto"/>
              </w:rPr>
            </w:pPr>
            <w:r>
              <w:rPr>
                <w:rFonts w:ascii="Arial" w:cs="Arial" w:eastAsia="Arial" w:hAnsi="Arial"/>
                <w:sz w:val="16"/>
                <w:szCs w:val="16"/>
                <w:color w:val="auto"/>
              </w:rPr>
              <w:t>0.220</w:t>
            </w:r>
          </w:p>
        </w:tc>
        <w:tc>
          <w:tcPr>
            <w:tcW w:w="74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CE2EF"/>
          </w:tcPr>
          <w:p>
            <w:pPr>
              <w:jc w:val="right"/>
              <w:ind w:right="439"/>
              <w:spacing w:after="0"/>
              <w:rPr>
                <w:sz w:val="20"/>
                <w:szCs w:val="20"/>
                <w:color w:val="auto"/>
              </w:rPr>
            </w:pPr>
            <w:r>
              <w:rPr>
                <w:rFonts w:ascii="Arial" w:cs="Arial" w:eastAsia="Arial" w:hAnsi="Arial"/>
                <w:sz w:val="16"/>
                <w:szCs w:val="16"/>
                <w:color w:val="auto"/>
              </w:rPr>
              <w:t>0.195</w:t>
            </w:r>
          </w:p>
        </w:tc>
        <w:tc>
          <w:tcPr>
            <w:tcW w:w="1000" w:type="dxa"/>
            <w:vAlign w:val="bottom"/>
            <w:shd w:val="clear" w:color="auto" w:fill="DCE2EF"/>
          </w:tcPr>
          <w:p>
            <w:pPr>
              <w:spacing w:after="0"/>
              <w:rPr>
                <w:sz w:val="24"/>
                <w:szCs w:val="24"/>
                <w:color w:val="auto"/>
              </w:rPr>
            </w:pPr>
          </w:p>
        </w:tc>
      </w:tr>
      <w:tr>
        <w:trPr>
          <w:trHeight w:val="21"/>
        </w:trPr>
        <w:tc>
          <w:tcPr>
            <w:tcW w:w="6360" w:type="dxa"/>
            <w:vAlign w:val="bottom"/>
            <w:shd w:val="clear" w:color="auto" w:fill="DCE2EF"/>
          </w:tcPr>
          <w:p>
            <w:pPr>
              <w:spacing w:after="0" w:line="20" w:lineRule="exact"/>
              <w:rPr>
                <w:sz w:val="1"/>
                <w:szCs w:val="1"/>
                <w:color w:val="auto"/>
              </w:rPr>
            </w:pPr>
          </w:p>
        </w:tc>
        <w:tc>
          <w:tcPr>
            <w:tcW w:w="1020" w:type="dxa"/>
            <w:vAlign w:val="bottom"/>
            <w:shd w:val="clear" w:color="auto" w:fill="DCE2EF"/>
          </w:tcPr>
          <w:p>
            <w:pPr>
              <w:spacing w:after="0" w:line="20" w:lineRule="exact"/>
              <w:rPr>
                <w:sz w:val="1"/>
                <w:szCs w:val="1"/>
                <w:color w:val="auto"/>
              </w:rPr>
            </w:pPr>
          </w:p>
        </w:tc>
        <w:tc>
          <w:tcPr>
            <w:tcW w:w="980" w:type="dxa"/>
            <w:vAlign w:val="bottom"/>
            <w:shd w:val="clear" w:color="auto" w:fill="DCE2EF"/>
          </w:tcPr>
          <w:p>
            <w:pPr>
              <w:spacing w:after="0" w:line="20" w:lineRule="exact"/>
              <w:rPr>
                <w:sz w:val="1"/>
                <w:szCs w:val="1"/>
                <w:color w:val="auto"/>
              </w:rPr>
            </w:pPr>
          </w:p>
        </w:tc>
        <w:tc>
          <w:tcPr>
            <w:tcW w:w="740" w:type="dxa"/>
            <w:vAlign w:val="bottom"/>
            <w:shd w:val="clear" w:color="auto" w:fill="DCE2EF"/>
          </w:tcPr>
          <w:p>
            <w:pPr>
              <w:spacing w:after="0" w:line="20" w:lineRule="exact"/>
              <w:rPr>
                <w:sz w:val="1"/>
                <w:szCs w:val="1"/>
                <w:color w:val="auto"/>
              </w:rPr>
            </w:pPr>
          </w:p>
        </w:tc>
        <w:tc>
          <w:tcPr>
            <w:tcW w:w="1020" w:type="dxa"/>
            <w:vAlign w:val="bottom"/>
            <w:shd w:val="clear" w:color="auto" w:fill="DCE2EF"/>
          </w:tcPr>
          <w:p>
            <w:pPr>
              <w:spacing w:after="0" w:line="20" w:lineRule="exact"/>
              <w:rPr>
                <w:sz w:val="1"/>
                <w:szCs w:val="1"/>
                <w:color w:val="auto"/>
              </w:rPr>
            </w:pPr>
          </w:p>
        </w:tc>
        <w:tc>
          <w:tcPr>
            <w:tcW w:w="1000" w:type="dxa"/>
            <w:vAlign w:val="bottom"/>
            <w:shd w:val="clear" w:color="auto" w:fill="DCE2E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21" w:right="459" w:bottom="1440" w:gutter="0" w:footer="0" w:header="0"/>
          <w:type w:val="continuous"/>
        </w:sectPr>
      </w:pPr>
    </w:p>
    <w:bookmarkStart w:id="10" w:name="page11"/>
    <w:bookmarkEnd w:id="10"/>
    <w:p>
      <w:pPr>
        <w:ind w:right="4680"/>
        <w:spacing w:after="0" w:line="375"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p>
      <w:pPr>
        <w:spacing w:after="0" w:line="2" w:lineRule="exact"/>
        <w:rPr>
          <w:sz w:val="20"/>
          <w:szCs w:val="20"/>
          <w:color w:val="auto"/>
        </w:rPr>
      </w:pPr>
    </w:p>
    <w:p>
      <w:pPr>
        <w:jc w:val="right"/>
        <w:ind w:right="1980"/>
        <w:spacing w:after="0"/>
        <w:rPr>
          <w:sz w:val="20"/>
          <w:szCs w:val="20"/>
          <w:color w:val="auto"/>
        </w:rPr>
      </w:pPr>
      <w:r>
        <w:rPr>
          <w:rFonts w:ascii="Arial" w:cs="Arial" w:eastAsia="Arial" w:hAnsi="Arial"/>
          <w:sz w:val="16"/>
          <w:szCs w:val="16"/>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38100</wp:posOffset>
            </wp:positionV>
            <wp:extent cx="1800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1">
            <w:col w:w="11120"/>
          </w:cols>
          <w:pgMar w:left="320" w:top="521" w:right="459" w:bottom="1440" w:gutter="0" w:footer="0" w:header="0"/>
        </w:sect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i w:val="1"/>
          <w:iCs w:val="1"/>
          <w:u w:val="single" w:color="auto"/>
          <w:color w:val="auto"/>
        </w:rPr>
        <w:t>(in millions, except per share amounts)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Revenues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expenses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Selling, general and administrative expenses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Amortization of intangible assets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Operating profit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from unconsolidated affiliates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expense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before income taxes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tax provision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income per common share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Increase /</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5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(Decrease)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1300" w:type="dxa"/>
            <w:vAlign w:val="bottom"/>
          </w:tcPr>
          <w:p>
            <w:pPr>
              <w:jc w:val="right"/>
              <w:spacing w:after="0"/>
              <w:rPr>
                <w:sz w:val="20"/>
                <w:szCs w:val="20"/>
                <w:color w:val="auto"/>
              </w:rPr>
            </w:pPr>
            <w:r>
              <w:rPr>
                <w:rFonts w:ascii="Arial" w:cs="Arial" w:eastAsia="Arial" w:hAnsi="Arial"/>
                <w:sz w:val="16"/>
                <w:szCs w:val="16"/>
                <w:color w:val="auto"/>
              </w:rPr>
              <w:t>$   8,096.4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   7,806.6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1300" w:type="dxa"/>
            <w:vAlign w:val="bottom"/>
          </w:tcPr>
          <w:p>
            <w:pPr>
              <w:jc w:val="right"/>
              <w:spacing w:after="0"/>
              <w:rPr>
                <w:sz w:val="20"/>
                <w:szCs w:val="20"/>
                <w:color w:val="auto"/>
              </w:rPr>
            </w:pPr>
            <w:r>
              <w:rPr>
                <w:rFonts w:ascii="Arial" w:cs="Arial" w:eastAsia="Arial" w:hAnsi="Arial"/>
                <w:sz w:val="16"/>
                <w:szCs w:val="16"/>
                <w:color w:val="auto"/>
              </w:rPr>
              <w:t>7,037.6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6,757.5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1300" w:type="dxa"/>
            <w:vAlign w:val="bottom"/>
          </w:tcPr>
          <w:p>
            <w:pPr>
              <w:jc w:val="right"/>
              <w:spacing w:after="0"/>
              <w:rPr>
                <w:sz w:val="20"/>
                <w:szCs w:val="20"/>
                <w:color w:val="auto"/>
              </w:rPr>
            </w:pPr>
            <w:r>
              <w:rPr>
                <w:rFonts w:ascii="Arial" w:cs="Arial" w:eastAsia="Arial" w:hAnsi="Arial"/>
                <w:sz w:val="16"/>
                <w:szCs w:val="16"/>
                <w:color w:val="auto"/>
              </w:rPr>
              <w:t>572.8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628.3</w:t>
            </w:r>
          </w:p>
        </w:tc>
        <w:tc>
          <w:tcPr>
            <w:tcW w:w="1320" w:type="dxa"/>
            <w:vAlign w:val="bottom"/>
            <w:gridSpan w:val="2"/>
          </w:tcPr>
          <w:p>
            <w:pPr>
              <w:ind w:left="680"/>
              <w:spacing w:after="0"/>
              <w:rPr>
                <w:sz w:val="20"/>
                <w:szCs w:val="20"/>
                <w:color w:val="auto"/>
              </w:rPr>
            </w:pPr>
            <w:r>
              <w:rPr>
                <w:rFonts w:ascii="Arial" w:cs="Arial" w:eastAsia="Arial" w:hAnsi="Arial"/>
                <w:sz w:val="16"/>
                <w:szCs w:val="16"/>
                <w:color w:val="auto"/>
              </w:rPr>
              <w:t>(8.8)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1300" w:type="dxa"/>
            <w:vAlign w:val="bottom"/>
          </w:tcPr>
          <w:p>
            <w:pPr>
              <w:jc w:val="right"/>
              <w:spacing w:after="0"/>
              <w:rPr>
                <w:sz w:val="20"/>
                <w:szCs w:val="20"/>
                <w:color w:val="auto"/>
              </w:rPr>
            </w:pPr>
            <w:r>
              <w:rPr>
                <w:rFonts w:ascii="Arial" w:cs="Arial" w:eastAsia="Arial" w:hAnsi="Arial"/>
                <w:sz w:val="16"/>
                <w:szCs w:val="16"/>
                <w:color w:val="auto"/>
              </w:rPr>
              <w:t>76.5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72.1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409.5</w:t>
            </w:r>
          </w:p>
        </w:tc>
        <w:tc>
          <w:tcPr>
            <w:tcW w:w="24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1320" w:type="dxa"/>
            <w:vAlign w:val="bottom"/>
            <w:gridSpan w:val="2"/>
          </w:tcPr>
          <w:p>
            <w:pPr>
              <w:ind w:left="680"/>
              <w:spacing w:after="0"/>
              <w:rPr>
                <w:sz w:val="20"/>
                <w:szCs w:val="20"/>
                <w:color w:val="auto"/>
              </w:rPr>
            </w:pPr>
            <w:r>
              <w:rPr>
                <w:rFonts w:ascii="Arial" w:cs="Arial" w:eastAsia="Arial" w:hAnsi="Arial"/>
                <w:sz w:val="16"/>
                <w:szCs w:val="16"/>
                <w:color w:val="auto"/>
              </w:rPr>
              <w:t>17.4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1300" w:type="dxa"/>
            <w:vAlign w:val="bottom"/>
          </w:tcPr>
          <w:p>
            <w:pPr>
              <w:jc w:val="right"/>
              <w:spacing w:after="0"/>
              <w:rPr>
                <w:sz w:val="20"/>
                <w:szCs w:val="20"/>
                <w:color w:val="auto"/>
              </w:rPr>
            </w:pPr>
            <w:r>
              <w:rPr>
                <w:rFonts w:ascii="Arial" w:cs="Arial" w:eastAsia="Arial" w:hAnsi="Arial"/>
                <w:sz w:val="16"/>
                <w:szCs w:val="16"/>
                <w:color w:val="auto"/>
              </w:rPr>
              <w:t>3.9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320" w:type="dxa"/>
            <w:vAlign w:val="bottom"/>
            <w:gridSpan w:val="2"/>
          </w:tcPr>
          <w:p>
            <w:pPr>
              <w:ind w:left="680"/>
              <w:spacing w:after="0"/>
              <w:rPr>
                <w:sz w:val="20"/>
                <w:szCs w:val="20"/>
                <w:color w:val="auto"/>
              </w:rPr>
            </w:pPr>
            <w:r>
              <w:rPr>
                <w:rFonts w:ascii="Arial" w:cs="Arial" w:eastAsia="Arial" w:hAnsi="Arial"/>
                <w:sz w:val="16"/>
                <w:szCs w:val="16"/>
                <w:color w:val="auto"/>
              </w:rPr>
              <w:t>60.1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3"/>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24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320" w:type="dxa"/>
            <w:vAlign w:val="bottom"/>
            <w:gridSpan w:val="2"/>
          </w:tcPr>
          <w:p>
            <w:pPr>
              <w:ind w:left="680"/>
              <w:spacing w:after="0"/>
              <w:rPr>
                <w:sz w:val="20"/>
                <w:szCs w:val="20"/>
                <w:color w:val="auto"/>
              </w:rPr>
            </w:pPr>
            <w:r>
              <w:rPr>
                <w:rFonts w:ascii="Arial" w:cs="Arial" w:eastAsia="Arial" w:hAnsi="Arial"/>
                <w:sz w:val="16"/>
                <w:szCs w:val="16"/>
                <w:color w:val="auto"/>
              </w:rPr>
              <w:t>(99.9)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1300" w:type="dxa"/>
            <w:vAlign w:val="bottom"/>
          </w:tcPr>
          <w:p>
            <w:pPr>
              <w:jc w:val="right"/>
              <w:spacing w:after="0"/>
              <w:rPr>
                <w:sz w:val="20"/>
                <w:szCs w:val="20"/>
                <w:color w:val="auto"/>
              </w:rPr>
            </w:pPr>
            <w:r>
              <w:rPr>
                <w:rFonts w:ascii="Arial" w:cs="Arial" w:eastAsia="Arial" w:hAnsi="Arial"/>
                <w:sz w:val="16"/>
                <w:szCs w:val="16"/>
                <w:color w:val="auto"/>
              </w:rPr>
              <w:t>331.1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310.0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1300" w:type="dxa"/>
            <w:vAlign w:val="bottom"/>
          </w:tcPr>
          <w:p>
            <w:pPr>
              <w:jc w:val="right"/>
              <w:spacing w:after="0"/>
              <w:rPr>
                <w:sz w:val="20"/>
                <w:szCs w:val="20"/>
                <w:color w:val="auto"/>
              </w:rPr>
            </w:pPr>
            <w:r>
              <w:rPr>
                <w:rFonts w:ascii="Arial" w:cs="Arial" w:eastAsia="Arial" w:hAnsi="Arial"/>
                <w:sz w:val="16"/>
                <w:szCs w:val="16"/>
                <w:color w:val="auto"/>
              </w:rPr>
              <w:t>(79.7)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(79.6)</w:t>
            </w:r>
          </w:p>
        </w:tc>
        <w:tc>
          <w:tcPr>
            <w:tcW w:w="1320" w:type="dxa"/>
            <w:vAlign w:val="bottom"/>
            <w:gridSpan w:val="2"/>
          </w:tcPr>
          <w:p>
            <w:pPr>
              <w:ind w:left="680"/>
              <w:spacing w:after="0"/>
              <w:rPr>
                <w:sz w:val="20"/>
                <w:szCs w:val="20"/>
                <w:color w:val="auto"/>
              </w:rPr>
            </w:pPr>
            <w:r>
              <w:rPr>
                <w:rFonts w:ascii="Arial" w:cs="Arial" w:eastAsia="Arial" w:hAnsi="Arial"/>
                <w:sz w:val="16"/>
                <w:szCs w:val="16"/>
                <w:color w:val="auto"/>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300" w:type="dxa"/>
            <w:vAlign w:val="bottom"/>
          </w:tcPr>
          <w:p>
            <w:pPr>
              <w:jc w:val="right"/>
              <w:spacing w:after="0"/>
              <w:rPr>
                <w:sz w:val="20"/>
                <w:szCs w:val="20"/>
                <w:color w:val="auto"/>
              </w:rPr>
            </w:pPr>
            <w:r>
              <w:rPr>
                <w:rFonts w:ascii="Arial" w:cs="Arial" w:eastAsia="Arial" w:hAnsi="Arial"/>
                <w:sz w:val="16"/>
                <w:szCs w:val="16"/>
                <w:color w:val="auto"/>
              </w:rPr>
              <w:t>251.3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230.4</w:t>
            </w:r>
          </w:p>
        </w:tc>
        <w:tc>
          <w:tcPr>
            <w:tcW w:w="1520" w:type="dxa"/>
            <w:vAlign w:val="bottom"/>
            <w:gridSpan w:val="3"/>
            <w:vMerge w:val="restart"/>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9"/>
        </w:trPr>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-1996440</wp:posOffset>
            </wp:positionV>
            <wp:extent cx="705485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4850" cy="1885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-1610995</wp:posOffset>
            </wp:positionV>
            <wp:extent cx="7054850"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4850" cy="19748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-427990</wp:posOffset>
            </wp:positionV>
            <wp:extent cx="705485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4850" cy="1968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0</wp:posOffset>
            </wp:positionV>
            <wp:extent cx="7054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-1229360</wp:posOffset>
            </wp:positionV>
            <wp:extent cx="7054850" cy="231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4850" cy="23114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-822325</wp:posOffset>
            </wp:positionV>
            <wp:extent cx="705485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4850" cy="205740"/>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6060" w:space="720"/>
            <w:col w:w="4340"/>
          </w:cols>
          <w:pgMar w:left="320" w:top="521" w:right="45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460" w:type="dxa"/>
            <w:vAlign w:val="bottom"/>
          </w:tcPr>
          <w:p>
            <w:pPr>
              <w:ind w:left="380"/>
              <w:spacing w:after="0"/>
              <w:rPr>
                <w:sz w:val="20"/>
                <w:szCs w:val="20"/>
                <w:color w:val="auto"/>
              </w:rPr>
            </w:pPr>
            <w:r>
              <w:rPr>
                <w:rFonts w:ascii="Arial" w:cs="Arial" w:eastAsia="Arial" w:hAnsi="Arial"/>
                <w:sz w:val="16"/>
                <w:szCs w:val="16"/>
                <w:color w:val="auto"/>
              </w:rPr>
              <w:t>Basic</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3.81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9"/>
              <w:spacing w:after="0"/>
              <w:rPr>
                <w:sz w:val="20"/>
                <w:szCs w:val="20"/>
                <w:color w:val="auto"/>
              </w:rPr>
            </w:pPr>
            <w:r>
              <w:rPr>
                <w:rFonts w:ascii="Arial" w:cs="Arial" w:eastAsia="Arial" w:hAnsi="Arial"/>
                <w:sz w:val="16"/>
                <w:szCs w:val="16"/>
                <w:color w:val="auto"/>
              </w:rPr>
              <w:t>3.44</w:t>
            </w: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9"/>
        </w:trPr>
        <w:tc>
          <w:tcPr>
            <w:tcW w:w="6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1"/>
        </w:trPr>
        <w:tc>
          <w:tcPr>
            <w:tcW w:w="6460" w:type="dxa"/>
            <w:vAlign w:val="bottom"/>
            <w:tcBorders>
              <w:bottom w:val="single" w:sz="8" w:color="DCE2EF"/>
            </w:tcBorders>
            <w:shd w:val="clear" w:color="auto" w:fill="DCE2EF"/>
          </w:tcPr>
          <w:p>
            <w:pPr>
              <w:ind w:left="380"/>
              <w:spacing w:after="0"/>
              <w:rPr>
                <w:sz w:val="20"/>
                <w:szCs w:val="20"/>
                <w:color w:val="auto"/>
              </w:rPr>
            </w:pPr>
            <w:r>
              <w:rPr>
                <w:rFonts w:ascii="Arial" w:cs="Arial" w:eastAsia="Arial" w:hAnsi="Arial"/>
                <w:sz w:val="16"/>
                <w:szCs w:val="16"/>
                <w:color w:val="auto"/>
              </w:rPr>
              <w:t>Diluted</w:t>
            </w:r>
          </w:p>
        </w:tc>
        <w:tc>
          <w:tcPr>
            <w:tcW w:w="112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E2EF"/>
            </w:tcBorders>
            <w:shd w:val="clear" w:color="auto" w:fill="DCE2EF"/>
          </w:tcPr>
          <w:p>
            <w:pPr>
              <w:jc w:val="right"/>
              <w:ind w:right="299"/>
              <w:spacing w:after="0"/>
              <w:rPr>
                <w:sz w:val="20"/>
                <w:szCs w:val="20"/>
                <w:color w:val="auto"/>
              </w:rPr>
            </w:pPr>
            <w:r>
              <w:rPr>
                <w:rFonts w:ascii="Arial" w:cs="Arial" w:eastAsia="Arial" w:hAnsi="Arial"/>
                <w:sz w:val="16"/>
                <w:szCs w:val="16"/>
                <w:color w:val="auto"/>
              </w:rPr>
              <w:t>3.79</w:t>
            </w: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CE2EF"/>
            </w:tcBorders>
            <w:shd w:val="clear" w:color="auto" w:fill="DCE2EF"/>
          </w:tcPr>
          <w:p>
            <w:pPr>
              <w:jc w:val="right"/>
              <w:ind w:right="439"/>
              <w:spacing w:after="0"/>
              <w:rPr>
                <w:sz w:val="20"/>
                <w:szCs w:val="20"/>
                <w:color w:val="auto"/>
              </w:rPr>
            </w:pPr>
            <w:r>
              <w:rPr>
                <w:rFonts w:ascii="Arial" w:cs="Arial" w:eastAsia="Arial" w:hAnsi="Arial"/>
                <w:sz w:val="16"/>
                <w:szCs w:val="16"/>
                <w:color w:val="auto"/>
              </w:rPr>
              <w:t>3.41</w:t>
            </w:r>
          </w:p>
        </w:tc>
        <w:tc>
          <w:tcPr>
            <w:tcW w:w="10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11.1%</w:t>
            </w:r>
          </w:p>
        </w:tc>
      </w:tr>
      <w:tr>
        <w:trPr>
          <w:trHeight w:val="398"/>
        </w:trPr>
        <w:tc>
          <w:tcPr>
            <w:tcW w:w="6460" w:type="dxa"/>
            <w:vAlign w:val="bottom"/>
          </w:tcPr>
          <w:p>
            <w:pPr>
              <w:ind w:left="60"/>
              <w:spacing w:after="0"/>
              <w:rPr>
                <w:sz w:val="20"/>
                <w:szCs w:val="20"/>
                <w:color w:val="auto"/>
              </w:rPr>
            </w:pPr>
            <w:r>
              <w:rPr>
                <w:rFonts w:ascii="Arial" w:cs="Arial" w:eastAsia="Arial" w:hAnsi="Arial"/>
                <w:sz w:val="16"/>
                <w:szCs w:val="16"/>
                <w:b w:val="1"/>
                <w:bCs w:val="1"/>
                <w:color w:val="auto"/>
              </w:rPr>
              <w:t>Weighted-average common and common equivalent shares outstanding</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
        </w:trPr>
        <w:tc>
          <w:tcPr>
            <w:tcW w:w="6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6460" w:type="dxa"/>
            <w:vAlign w:val="bottom"/>
            <w:tcBorders>
              <w:bottom w:val="single" w:sz="8" w:color="DCE2EF"/>
            </w:tcBorders>
            <w:shd w:val="clear" w:color="auto" w:fill="DCE2EF"/>
          </w:tcPr>
          <w:p>
            <w:pPr>
              <w:ind w:left="380"/>
              <w:spacing w:after="0"/>
              <w:rPr>
                <w:sz w:val="20"/>
                <w:szCs w:val="20"/>
                <w:color w:val="auto"/>
              </w:rPr>
            </w:pPr>
            <w:r>
              <w:rPr>
                <w:rFonts w:ascii="Arial" w:cs="Arial" w:eastAsia="Arial" w:hAnsi="Arial"/>
                <w:sz w:val="16"/>
                <w:szCs w:val="16"/>
                <w:color w:val="auto"/>
              </w:rPr>
              <w:t>Basic</w:t>
            </w:r>
          </w:p>
        </w:tc>
        <w:tc>
          <w:tcPr>
            <w:tcW w:w="11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jc w:val="right"/>
              <w:ind w:right="299"/>
              <w:spacing w:after="0"/>
              <w:rPr>
                <w:sz w:val="20"/>
                <w:szCs w:val="20"/>
                <w:color w:val="auto"/>
              </w:rPr>
            </w:pPr>
            <w:r>
              <w:rPr>
                <w:rFonts w:ascii="Arial" w:cs="Arial" w:eastAsia="Arial" w:hAnsi="Arial"/>
                <w:sz w:val="16"/>
                <w:szCs w:val="16"/>
                <w:color w:val="auto"/>
              </w:rPr>
              <w:t>66.0</w:t>
            </w:r>
          </w:p>
        </w:tc>
        <w:tc>
          <w:tcPr>
            <w:tcW w:w="660" w:type="dxa"/>
            <w:vAlign w:val="bottom"/>
            <w:tcBorders>
              <w:bottom w:val="single" w:sz="8" w:color="DCE2EF"/>
            </w:tcBorders>
            <w:shd w:val="clear" w:color="auto" w:fill="DCE2EF"/>
          </w:tcPr>
          <w:p>
            <w:pPr>
              <w:spacing w:after="0"/>
              <w:rPr>
                <w:sz w:val="24"/>
                <w:szCs w:val="24"/>
                <w:color w:val="auto"/>
              </w:rPr>
            </w:pPr>
          </w:p>
        </w:tc>
        <w:tc>
          <w:tcPr>
            <w:tcW w:w="1020" w:type="dxa"/>
            <w:vAlign w:val="bottom"/>
            <w:tcBorders>
              <w:bottom w:val="single" w:sz="8" w:color="DCE2EF"/>
            </w:tcBorders>
            <w:shd w:val="clear" w:color="auto" w:fill="DCE2EF"/>
          </w:tcPr>
          <w:p>
            <w:pPr>
              <w:jc w:val="right"/>
              <w:ind w:right="439"/>
              <w:spacing w:after="0"/>
              <w:rPr>
                <w:sz w:val="20"/>
                <w:szCs w:val="20"/>
                <w:color w:val="auto"/>
              </w:rPr>
            </w:pPr>
            <w:r>
              <w:rPr>
                <w:rFonts w:ascii="Arial" w:cs="Arial" w:eastAsia="Arial" w:hAnsi="Arial"/>
                <w:sz w:val="16"/>
                <w:szCs w:val="16"/>
                <w:color w:val="auto"/>
              </w:rPr>
              <w:t>67.1</w:t>
            </w:r>
          </w:p>
        </w:tc>
        <w:tc>
          <w:tcPr>
            <w:tcW w:w="1000" w:type="dxa"/>
            <w:vAlign w:val="bottom"/>
            <w:tcBorders>
              <w:bottom w:val="single" w:sz="8" w:color="DCE2EF"/>
            </w:tcBorders>
            <w:shd w:val="clear" w:color="auto" w:fill="DCE2EF"/>
          </w:tcPr>
          <w:p>
            <w:pPr>
              <w:spacing w:after="0"/>
              <w:rPr>
                <w:sz w:val="24"/>
                <w:szCs w:val="24"/>
                <w:color w:val="auto"/>
              </w:rPr>
            </w:pPr>
          </w:p>
        </w:tc>
      </w:tr>
      <w:tr>
        <w:trPr>
          <w:trHeight w:val="281"/>
        </w:trPr>
        <w:tc>
          <w:tcPr>
            <w:tcW w:w="6460" w:type="dxa"/>
            <w:vAlign w:val="bottom"/>
          </w:tcPr>
          <w:p>
            <w:pPr>
              <w:ind w:left="380"/>
              <w:spacing w:after="0"/>
              <w:rPr>
                <w:sz w:val="20"/>
                <w:szCs w:val="20"/>
                <w:color w:val="auto"/>
              </w:rPr>
            </w:pPr>
            <w:r>
              <w:rPr>
                <w:rFonts w:ascii="Arial" w:cs="Arial" w:eastAsia="Arial" w:hAnsi="Arial"/>
                <w:sz w:val="16"/>
                <w:szCs w:val="16"/>
                <w:color w:val="auto"/>
              </w:rPr>
              <w:t>Diluted</w:t>
            </w:r>
          </w:p>
        </w:tc>
        <w:tc>
          <w:tcPr>
            <w:tcW w:w="1120" w:type="dxa"/>
            <w:vAlign w:val="bottom"/>
          </w:tcPr>
          <w:p>
            <w:pPr>
              <w:spacing w:after="0"/>
              <w:rPr>
                <w:sz w:val="24"/>
                <w:szCs w:val="24"/>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66.3</w:t>
            </w:r>
          </w:p>
        </w:tc>
        <w:tc>
          <w:tcPr>
            <w:tcW w:w="660" w:type="dxa"/>
            <w:vAlign w:val="bottom"/>
          </w:tcPr>
          <w:p>
            <w:pPr>
              <w:spacing w:after="0"/>
              <w:rPr>
                <w:sz w:val="24"/>
                <w:szCs w:val="24"/>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color w:val="auto"/>
              </w:rPr>
              <w:t>67.5</w:t>
            </w:r>
          </w:p>
        </w:tc>
        <w:tc>
          <w:tcPr>
            <w:tcW w:w="1000" w:type="dxa"/>
            <w:vAlign w:val="bottom"/>
          </w:tcPr>
          <w:p>
            <w:pPr>
              <w:spacing w:after="0"/>
              <w:rPr>
                <w:sz w:val="24"/>
                <w:szCs w:val="24"/>
                <w:color w:val="auto"/>
              </w:rPr>
            </w:pPr>
          </w:p>
        </w:tc>
      </w:tr>
      <w:tr>
        <w:trPr>
          <w:trHeight w:val="29"/>
        </w:trPr>
        <w:tc>
          <w:tcPr>
            <w:tcW w:w="6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0"/>
        </w:trPr>
        <w:tc>
          <w:tcPr>
            <w:tcW w:w="6460" w:type="dxa"/>
            <w:vAlign w:val="bottom"/>
            <w:shd w:val="clear" w:color="auto" w:fill="DCE2EF"/>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112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DCE2EF"/>
          </w:tcPr>
          <w:p>
            <w:pPr>
              <w:jc w:val="right"/>
              <w:ind w:right="299"/>
              <w:spacing w:after="0"/>
              <w:rPr>
                <w:sz w:val="20"/>
                <w:szCs w:val="20"/>
                <w:color w:val="auto"/>
              </w:rPr>
            </w:pPr>
            <w:r>
              <w:rPr>
                <w:rFonts w:ascii="Arial" w:cs="Arial" w:eastAsia="Arial" w:hAnsi="Arial"/>
                <w:sz w:val="16"/>
                <w:szCs w:val="16"/>
                <w:color w:val="auto"/>
              </w:rPr>
              <w:t>0.880</w:t>
            </w:r>
          </w:p>
        </w:tc>
        <w:tc>
          <w:tcPr>
            <w:tcW w:w="66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CE2EF"/>
          </w:tcPr>
          <w:p>
            <w:pPr>
              <w:jc w:val="right"/>
              <w:ind w:right="439"/>
              <w:spacing w:after="0"/>
              <w:rPr>
                <w:sz w:val="20"/>
                <w:szCs w:val="20"/>
                <w:color w:val="auto"/>
              </w:rPr>
            </w:pPr>
            <w:r>
              <w:rPr>
                <w:rFonts w:ascii="Arial" w:cs="Arial" w:eastAsia="Arial" w:hAnsi="Arial"/>
                <w:sz w:val="16"/>
                <w:szCs w:val="16"/>
                <w:color w:val="auto"/>
              </w:rPr>
              <w:t>0.780</w:t>
            </w:r>
          </w:p>
        </w:tc>
        <w:tc>
          <w:tcPr>
            <w:tcW w:w="1000" w:type="dxa"/>
            <w:vAlign w:val="bottom"/>
            <w:shd w:val="clear" w:color="auto" w:fill="DCE2EF"/>
          </w:tcPr>
          <w:p>
            <w:pPr>
              <w:spacing w:after="0"/>
              <w:rPr>
                <w:sz w:val="24"/>
                <w:szCs w:val="24"/>
                <w:color w:val="auto"/>
              </w:rPr>
            </w:pPr>
          </w:p>
        </w:tc>
      </w:tr>
      <w:tr>
        <w:trPr>
          <w:trHeight w:val="21"/>
        </w:trPr>
        <w:tc>
          <w:tcPr>
            <w:tcW w:w="6460" w:type="dxa"/>
            <w:vAlign w:val="bottom"/>
            <w:shd w:val="clear" w:color="auto" w:fill="DCE2EF"/>
          </w:tcPr>
          <w:p>
            <w:pPr>
              <w:spacing w:after="0" w:line="20" w:lineRule="exact"/>
              <w:rPr>
                <w:sz w:val="1"/>
                <w:szCs w:val="1"/>
                <w:color w:val="auto"/>
              </w:rPr>
            </w:pPr>
          </w:p>
        </w:tc>
        <w:tc>
          <w:tcPr>
            <w:tcW w:w="1120" w:type="dxa"/>
            <w:vAlign w:val="bottom"/>
            <w:shd w:val="clear" w:color="auto" w:fill="DCE2EF"/>
          </w:tcPr>
          <w:p>
            <w:pPr>
              <w:spacing w:after="0" w:line="20" w:lineRule="exact"/>
              <w:rPr>
                <w:sz w:val="1"/>
                <w:szCs w:val="1"/>
                <w:color w:val="auto"/>
              </w:rPr>
            </w:pPr>
          </w:p>
        </w:tc>
        <w:tc>
          <w:tcPr>
            <w:tcW w:w="860" w:type="dxa"/>
            <w:vAlign w:val="bottom"/>
            <w:shd w:val="clear" w:color="auto" w:fill="DCE2EF"/>
          </w:tcPr>
          <w:p>
            <w:pPr>
              <w:spacing w:after="0" w:line="20" w:lineRule="exact"/>
              <w:rPr>
                <w:sz w:val="1"/>
                <w:szCs w:val="1"/>
                <w:color w:val="auto"/>
              </w:rPr>
            </w:pPr>
          </w:p>
        </w:tc>
        <w:tc>
          <w:tcPr>
            <w:tcW w:w="660" w:type="dxa"/>
            <w:vAlign w:val="bottom"/>
            <w:shd w:val="clear" w:color="auto" w:fill="DCE2EF"/>
          </w:tcPr>
          <w:p>
            <w:pPr>
              <w:spacing w:after="0" w:line="20" w:lineRule="exact"/>
              <w:rPr>
                <w:sz w:val="1"/>
                <w:szCs w:val="1"/>
                <w:color w:val="auto"/>
              </w:rPr>
            </w:pPr>
          </w:p>
        </w:tc>
        <w:tc>
          <w:tcPr>
            <w:tcW w:w="1020" w:type="dxa"/>
            <w:vAlign w:val="bottom"/>
            <w:shd w:val="clear" w:color="auto" w:fill="DCE2EF"/>
          </w:tcPr>
          <w:p>
            <w:pPr>
              <w:spacing w:after="0" w:line="20" w:lineRule="exact"/>
              <w:rPr>
                <w:sz w:val="1"/>
                <w:szCs w:val="1"/>
                <w:color w:val="auto"/>
              </w:rPr>
            </w:pPr>
          </w:p>
        </w:tc>
        <w:tc>
          <w:tcPr>
            <w:tcW w:w="1000" w:type="dxa"/>
            <w:vAlign w:val="bottom"/>
            <w:shd w:val="clear" w:color="auto" w:fill="DCE2E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21" w:right="4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57" w:lineRule="exact"/>
        <w:rPr>
          <w:sz w:val="20"/>
          <w:szCs w:val="20"/>
          <w:color w:val="auto"/>
        </w:rPr>
      </w:pPr>
    </w:p>
    <w:p>
      <w:pPr>
        <w:jc w:val="right"/>
        <w:ind w:right="380"/>
        <w:spacing w:after="0"/>
        <w:rPr>
          <w:sz w:val="20"/>
          <w:szCs w:val="20"/>
          <w:color w:val="auto"/>
        </w:rPr>
      </w:pPr>
      <w:r>
        <w:rPr>
          <w:rFonts w:ascii="Arial" w:cs="Arial" w:eastAsia="Arial" w:hAnsi="Arial"/>
          <w:sz w:val="16"/>
          <w:szCs w:val="16"/>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38100</wp:posOffset>
            </wp:positionV>
            <wp:extent cx="21170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ectPr>
          <w:pgSz w:w="11900" w:h="16838" w:orient="portrait"/>
          <w:cols w:equalWidth="0" w:num="1">
            <w:col w:w="11220"/>
          </w:cols>
          <w:pgMar w:left="320" w:top="737" w:right="359" w:bottom="1440" w:gutter="0" w:footer="0" w:header="0"/>
        </w:sectPr>
      </w:pP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31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 of business, net of cash acquired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issuance of share-based compensations awards,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Repurchases of common stock, including excise taxes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Financing of energy savings performance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27" w:lineRule="exact"/>
        <w:rPr>
          <w:sz w:val="20"/>
          <w:szCs w:val="20"/>
          <w:color w:val="auto"/>
        </w:rPr>
      </w:pPr>
    </w:p>
    <w:p>
      <w:pPr>
        <w:ind w:left="540" w:hanging="360"/>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139.1</w:t>
      </w:r>
    </w:p>
    <w:p>
      <w:pPr>
        <w:spacing w:after="0" w:line="151"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(17.9)</w:t>
      </w:r>
    </w:p>
    <w:p>
      <w:pPr>
        <w:spacing w:after="0" w:line="126"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6"/>
          <w:szCs w:val="16"/>
          <w:color w:val="auto"/>
        </w:rPr>
        <w:t>—</w:t>
      </w:r>
    </w:p>
    <w:p>
      <w:pPr>
        <w:spacing w:after="0" w:line="126"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45085</wp:posOffset>
            </wp:positionV>
            <wp:extent cx="9855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18" w:lineRule="exact"/>
        <w:rPr>
          <w:sz w:val="20"/>
          <w:szCs w:val="20"/>
          <w:color w:val="auto"/>
        </w:rPr>
      </w:pPr>
    </w:p>
    <w:p>
      <w:pPr>
        <w:ind w:left="520" w:hanging="358"/>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(17.1)</w:t>
      </w:r>
    </w:p>
    <w:p>
      <w:pPr>
        <w:spacing w:after="0" w:line="194"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0.8</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(111.0)</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(14.0)</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384.5</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(397.6)</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(9.8)</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(0.7)</w:t>
      </w:r>
    </w:p>
    <w:p>
      <w:pPr>
        <w:spacing w:after="0" w:line="127" w:lineRule="exact"/>
        <w:rPr>
          <w:sz w:val="20"/>
          <w:szCs w:val="20"/>
          <w:color w:val="auto"/>
        </w:rPr>
      </w:pPr>
    </w:p>
    <w:p>
      <w:pPr>
        <w:ind w:left="440" w:hanging="368"/>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(147.9)</w:t>
      </w:r>
    </w:p>
    <w:p>
      <w:pPr>
        <w:spacing w:after="0" w:line="151"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-160020</wp:posOffset>
            </wp:positionV>
            <wp:extent cx="9855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-133985</wp:posOffset>
            </wp:positionV>
            <wp:extent cx="9855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w:t>
      </w:r>
    </w:p>
    <w:p>
      <w:pPr>
        <w:spacing w:after="0" w:line="127" w:lineRule="exact"/>
        <w:rPr>
          <w:sz w:val="20"/>
          <w:szCs w:val="20"/>
          <w:color w:val="auto"/>
        </w:rPr>
      </w:pPr>
    </w:p>
    <w:p>
      <w:pPr>
        <w:ind w:left="560" w:hanging="366"/>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117.1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(13.0)</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(137.9)</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38100</wp:posOffset>
            </wp:positionV>
            <wp:extent cx="9861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07" w:lineRule="exact"/>
        <w:rPr>
          <w:sz w:val="20"/>
          <w:szCs w:val="20"/>
          <w:color w:val="auto"/>
        </w:rPr>
      </w:pPr>
    </w:p>
    <w:p>
      <w:pPr>
        <w:ind w:left="440" w:hanging="366"/>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(148.2)</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(23.0)</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(12.8)</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489.3</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(412.4)</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(0.7)</w:t>
      </w:r>
    </w:p>
    <w:p>
      <w:pPr>
        <w:spacing w:after="0" w:line="127" w:lineRule="exact"/>
        <w:rPr>
          <w:sz w:val="20"/>
          <w:szCs w:val="20"/>
          <w:color w:val="auto"/>
        </w:rPr>
      </w:pPr>
    </w:p>
    <w:p>
      <w:pPr>
        <w:ind w:left="640" w:hanging="368"/>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41.2</w:t>
      </w:r>
    </w:p>
    <w:p>
      <w:pPr>
        <w:spacing w:after="0" w:line="151"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-160020</wp:posOffset>
            </wp:positionV>
            <wp:extent cx="9861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-133985</wp:posOffset>
            </wp:positionV>
            <wp:extent cx="9861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7780" w:space="720"/>
            <w:col w:w="1060" w:space="720"/>
            <w:col w:w="940"/>
          </w:cols>
          <w:pgMar w:left="320" w:top="737" w:right="359" w:bottom="1440" w:gutter="0" w:footer="0" w:header="0"/>
          <w:type w:val="continuous"/>
        </w:sectPr>
      </w:pPr>
    </w:p>
    <w:p>
      <w:pPr>
        <w:spacing w:after="0" w:line="21"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38100</wp:posOffset>
            </wp:positionV>
            <wp:extent cx="21170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11220"/>
          </w:cols>
          <w:pgMar w:left="320" w:top="737" w:right="359" w:bottom="1440" w:gutter="0" w:footer="0" w:header="0"/>
          <w:type w:val="continuous"/>
        </w:sectPr>
      </w:pP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operating activities</w:t>
      </w:r>
      <w:r>
        <w:rPr>
          <w:rFonts w:ascii="Arial" w:cs="Arial" w:eastAsia="Arial" w:hAnsi="Arial"/>
          <w:sz w:val="21"/>
          <w:szCs w:val="21"/>
          <w:b w:val="1"/>
          <w:bCs w:val="1"/>
          <w:color w:val="auto"/>
          <w:vertAlign w:val="superscript"/>
        </w:rPr>
        <w:t>(a)</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 of business, net of cash acquired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2343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34315"/>
                    </a:xfrm>
                    <a:prstGeom prst="rect">
                      <a:avLst/>
                    </a:prstGeom>
                    <a:noFill/>
                  </pic:spPr>
                </pic:pic>
              </a:graphicData>
            </a:graphic>
          </wp:anchor>
        </w:drawing>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Taxes withheld from issuance of share-based compensations awards,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Repurchases of common stock, including excise taxes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Financing of energy savings performance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27" w:lineRule="exact"/>
        <w:rPr>
          <w:sz w:val="20"/>
          <w:szCs w:val="20"/>
          <w:color w:val="auto"/>
        </w:rPr>
      </w:pPr>
    </w:p>
    <w:p>
      <w:pPr>
        <w:ind w:left="540" w:hanging="360"/>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243.3</w:t>
      </w:r>
    </w:p>
    <w:p>
      <w:pPr>
        <w:spacing w:after="0" w:line="151"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(52.6)</w:t>
      </w:r>
    </w:p>
    <w:p>
      <w:pPr>
        <w:spacing w:after="0" w:line="126"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6"/>
          <w:szCs w:val="16"/>
          <w:color w:val="auto"/>
        </w:rPr>
        <w:t>—</w:t>
      </w:r>
    </w:p>
    <w:p>
      <w:pPr>
        <w:spacing w:after="0" w:line="181"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(9.5)</w:t>
      </w:r>
    </w:p>
    <w:p>
      <w:pPr>
        <w:spacing w:after="0" w:line="127" w:lineRule="exact"/>
        <w:rPr>
          <w:sz w:val="20"/>
          <w:szCs w:val="20"/>
          <w:color w:val="auto"/>
        </w:rPr>
      </w:pPr>
    </w:p>
    <w:p>
      <w:pPr>
        <w:ind w:left="520" w:hanging="358"/>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(62.1)</w:t>
      </w:r>
    </w:p>
    <w:p>
      <w:pPr>
        <w:spacing w:after="0" w:line="154"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(10.5)</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(138.1)</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(57.5)</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1,178.5</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(1,136.0)</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(20.3)</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0.5</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(3.0)</w:t>
      </w:r>
    </w:p>
    <w:p>
      <w:pPr>
        <w:spacing w:after="0" w:line="127" w:lineRule="exact"/>
        <w:rPr>
          <w:sz w:val="20"/>
          <w:szCs w:val="20"/>
          <w:color w:val="auto"/>
        </w:rPr>
      </w:pPr>
    </w:p>
    <w:p>
      <w:pPr>
        <w:ind w:left="440" w:hanging="368"/>
        <w:spacing w:after="0"/>
        <w:tabs>
          <w:tab w:leader="none" w:pos="4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(186.3)</w:t>
      </w:r>
    </w:p>
    <w:p>
      <w:pPr>
        <w:spacing w:after="0" w:line="151"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-160020</wp:posOffset>
            </wp:positionV>
            <wp:extent cx="9855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-133985</wp:posOffset>
            </wp:positionV>
            <wp:extent cx="9855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w:t>
      </w:r>
    </w:p>
    <w:p>
      <w:pPr>
        <w:spacing w:after="0" w:line="127" w:lineRule="exact"/>
        <w:rPr>
          <w:sz w:val="20"/>
          <w:szCs w:val="20"/>
          <w:color w:val="auto"/>
        </w:rPr>
      </w:pPr>
    </w:p>
    <w:p>
      <w:pPr>
        <w:ind w:left="640" w:hanging="368"/>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20.4</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(50.8)</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(194.6)</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w:t>
      </w:r>
    </w:p>
    <w:p>
      <w:pPr>
        <w:spacing w:after="0" w:line="127" w:lineRule="exact"/>
        <w:rPr>
          <w:sz w:val="20"/>
          <w:szCs w:val="20"/>
          <w:color w:val="auto"/>
        </w:rPr>
      </w:pPr>
    </w:p>
    <w:p>
      <w:pPr>
        <w:ind w:left="440" w:hanging="366"/>
        <w:spacing w:after="0"/>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(241.5)</w:t>
      </w:r>
    </w:p>
    <w:p>
      <w:pPr>
        <w:spacing w:after="0" w:line="165"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(9.9)</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(97.5)</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(51.9)</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1,479.4</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(1,096.9)</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9.9</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127" w:lineRule="exact"/>
        <w:rPr>
          <w:sz w:val="20"/>
          <w:szCs w:val="20"/>
          <w:color w:val="auto"/>
        </w:rPr>
      </w:pPr>
    </w:p>
    <w:p>
      <w:pPr>
        <w:ind w:left="540" w:hanging="35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235.5</w:t>
      </w:r>
    </w:p>
    <w:p>
      <w:pPr>
        <w:spacing w:after="0" w:line="151"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-160020</wp:posOffset>
            </wp:positionV>
            <wp:extent cx="986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-133985</wp:posOffset>
            </wp:positionV>
            <wp:extent cx="9861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3">
            <w:col w:w="7780" w:space="720"/>
            <w:col w:w="1060" w:space="720"/>
            <w:col w:w="940"/>
          </w:cols>
          <w:pgMar w:left="320" w:top="737" w:right="359" w:bottom="1440" w:gutter="0" w:footer="0" w:header="0"/>
          <w:type w:val="continuous"/>
        </w:sectPr>
      </w:pPr>
    </w:p>
    <w:p>
      <w:pPr>
        <w:ind w:firstLine="8"/>
        <w:spacing w:after="0" w:line="225" w:lineRule="auto"/>
        <w:tabs>
          <w:tab w:leader="none" w:pos="157"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year ended October 31, 2023, includes $24.0 million in Employee Retention Credit (ERC) refunds received from the Internal Revenue Service. The year ended October 31, 2022, includes a $143.8 million payment made for the Bucio settlement. The years ended October 31, 2023 and 2022, include a $66 million payment for deferred payroll taxes under the Coronavirus Aid Relief and Economic Security Act (“CARES Act”)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37"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CONDENSED CONSOLIDATED BALANCE SHEET INFORMATION (UNAUDITED)</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gridSpan w:val="3"/>
          </w:tcPr>
          <w:p>
            <w:pPr>
              <w:ind w:left="260"/>
              <w:spacing w:after="0"/>
              <w:rPr>
                <w:sz w:val="20"/>
                <w:szCs w:val="20"/>
                <w:color w:val="auto"/>
              </w:rPr>
            </w:pPr>
            <w:r>
              <w:rPr>
                <w:rFonts w:ascii="Arial" w:cs="Arial" w:eastAsia="Arial" w:hAnsi="Arial"/>
                <w:sz w:val="16"/>
                <w:szCs w:val="16"/>
                <w:b w:val="1"/>
                <w:bCs w:val="1"/>
                <w:color w:val="auto"/>
              </w:rPr>
              <w:t>October 31,</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ASSETS</w:t>
            </w:r>
          </w:p>
        </w:tc>
        <w:tc>
          <w:tcPr>
            <w:tcW w:w="980" w:type="dxa"/>
            <w:vAlign w:val="bottom"/>
            <w:tcBorders>
              <w:bottom w:val="single" w:sz="8" w:color="DCE2EF"/>
            </w:tcBorders>
            <w:shd w:val="clear" w:color="auto" w:fill="DCE2EF"/>
          </w:tcPr>
          <w:p>
            <w:pPr>
              <w:spacing w:after="0"/>
              <w:rPr>
                <w:sz w:val="23"/>
                <w:szCs w:val="23"/>
                <w:color w:val="auto"/>
              </w:rPr>
            </w:pPr>
          </w:p>
        </w:tc>
        <w:tc>
          <w:tcPr>
            <w:tcW w:w="600" w:type="dxa"/>
            <w:vAlign w:val="bottom"/>
            <w:tcBorders>
              <w:bottom w:val="single" w:sz="8" w:color="DCE2EF"/>
            </w:tcBorders>
            <w:shd w:val="clear" w:color="auto" w:fill="DCE2EF"/>
          </w:tcPr>
          <w:p>
            <w:pPr>
              <w:spacing w:after="0"/>
              <w:rPr>
                <w:sz w:val="23"/>
                <w:szCs w:val="23"/>
                <w:color w:val="auto"/>
              </w:rPr>
            </w:pPr>
          </w:p>
        </w:tc>
        <w:tc>
          <w:tcPr>
            <w:tcW w:w="220" w:type="dxa"/>
            <w:vAlign w:val="bottom"/>
            <w:tcBorders>
              <w:bottom w:val="single" w:sz="8" w:color="DCE2EF"/>
            </w:tcBorders>
            <w:shd w:val="clear" w:color="auto" w:fill="DCE2EF"/>
          </w:tcPr>
          <w:p>
            <w:pPr>
              <w:spacing w:after="0"/>
              <w:rPr>
                <w:sz w:val="23"/>
                <w:szCs w:val="23"/>
                <w:color w:val="auto"/>
              </w:rPr>
            </w:pPr>
          </w:p>
        </w:tc>
        <w:tc>
          <w:tcPr>
            <w:tcW w:w="460" w:type="dxa"/>
            <w:vAlign w:val="bottom"/>
            <w:tcBorders>
              <w:bottom w:val="single" w:sz="8" w:color="DCE2EF"/>
            </w:tcBorders>
            <w:shd w:val="clear" w:color="auto" w:fill="DCE2EF"/>
          </w:tcPr>
          <w:p>
            <w:pPr>
              <w:spacing w:after="0"/>
              <w:rPr>
                <w:sz w:val="23"/>
                <w:szCs w:val="23"/>
                <w:color w:val="auto"/>
              </w:rPr>
            </w:pPr>
          </w:p>
        </w:tc>
        <w:tc>
          <w:tcPr>
            <w:tcW w:w="520" w:type="dxa"/>
            <w:vAlign w:val="bottom"/>
            <w:tcBorders>
              <w:bottom w:val="single" w:sz="8" w:color="DCE2EF"/>
            </w:tcBorders>
            <w:shd w:val="clear" w:color="auto" w:fill="DCE2EF"/>
          </w:tcPr>
          <w:p>
            <w:pPr>
              <w:spacing w:after="0"/>
              <w:rPr>
                <w:sz w:val="23"/>
                <w:szCs w:val="23"/>
                <w:color w:val="auto"/>
              </w:rPr>
            </w:pPr>
          </w:p>
        </w:tc>
        <w:tc>
          <w:tcPr>
            <w:tcW w:w="580" w:type="dxa"/>
            <w:vAlign w:val="bottom"/>
            <w:tcBorders>
              <w:bottom w:val="single" w:sz="8" w:color="DCE2EF"/>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Current assets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Cash and cash equivalents</w:t>
            </w:r>
          </w:p>
        </w:tc>
        <w:tc>
          <w:tcPr>
            <w:tcW w:w="9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69.5</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700" w:type="dxa"/>
            <w:vAlign w:val="bottom"/>
            <w:gridSpan w:val="2"/>
          </w:tcPr>
          <w:p>
            <w:pPr>
              <w:ind w:left="320"/>
              <w:spacing w:after="0"/>
              <w:rPr>
                <w:sz w:val="20"/>
                <w:szCs w:val="20"/>
                <w:color w:val="auto"/>
              </w:rPr>
            </w:pPr>
            <w:r>
              <w:rPr>
                <w:rFonts w:ascii="Arial" w:cs="Arial" w:eastAsia="Arial" w:hAnsi="Arial"/>
                <w:sz w:val="16"/>
                <w:szCs w:val="16"/>
                <w:color w:val="auto"/>
              </w:rPr>
              <w:t>Trade accounts receivable, net of allowances</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1,365.0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1,278.7</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Costs incurred in excess of amounts billed</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139.2</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700" w:type="dxa"/>
            <w:vAlign w:val="bottom"/>
            <w:gridSpan w:val="2"/>
          </w:tcPr>
          <w:p>
            <w:pPr>
              <w:ind w:left="320"/>
              <w:spacing w:after="0"/>
              <w:rPr>
                <w:sz w:val="20"/>
                <w:szCs w:val="20"/>
                <w:color w:val="auto"/>
              </w:rPr>
            </w:pPr>
            <w:r>
              <w:rPr>
                <w:rFonts w:ascii="Arial" w:cs="Arial" w:eastAsia="Arial" w:hAnsi="Arial"/>
                <w:sz w:val="16"/>
                <w:szCs w:val="16"/>
                <w:color w:val="auto"/>
              </w:rPr>
              <w:t>Prepaid expenses</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78.5</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Other current assets</w:t>
            </w:r>
          </w:p>
        </w:tc>
        <w:tc>
          <w:tcPr>
            <w:tcW w:w="9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Borders>
              <w:bottom w:val="single" w:sz="8" w:color="auto"/>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spacing w:after="0"/>
              <w:rPr>
                <w:sz w:val="24"/>
                <w:szCs w:val="24"/>
                <w:color w:val="auto"/>
              </w:rPr>
            </w:pPr>
          </w:p>
        </w:tc>
        <w:tc>
          <w:tcPr>
            <w:tcW w:w="5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7700" w:type="dxa"/>
            <w:vAlign w:val="bottom"/>
            <w:gridSpan w:val="2"/>
          </w:tcPr>
          <w:p>
            <w:pPr>
              <w:ind w:left="640"/>
              <w:spacing w:after="0"/>
              <w:rPr>
                <w:sz w:val="20"/>
                <w:szCs w:val="20"/>
                <w:color w:val="auto"/>
              </w:rPr>
            </w:pPr>
            <w:r>
              <w:rPr>
                <w:rFonts w:ascii="Arial" w:cs="Arial" w:eastAsia="Arial" w:hAnsi="Arial"/>
                <w:sz w:val="16"/>
                <w:szCs w:val="16"/>
                <w:color w:val="auto"/>
              </w:rPr>
              <w:t>Total current assets</w:t>
            </w: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1,710.7</w:t>
            </w: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1,561.2</w:t>
            </w:r>
          </w:p>
        </w:tc>
        <w:tc>
          <w:tcPr>
            <w:tcW w:w="0" w:type="dxa"/>
            <w:vAlign w:val="bottom"/>
          </w:tcPr>
          <w:p>
            <w:pPr>
              <w:spacing w:after="0"/>
              <w:rPr>
                <w:sz w:val="1"/>
                <w:szCs w:val="1"/>
                <w:color w:val="auto"/>
              </w:rPr>
            </w:pPr>
          </w:p>
        </w:tc>
      </w:tr>
      <w:tr>
        <w:trPr>
          <w:trHeight w:val="277"/>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Other investments</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28.8</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82"/>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Property, plant and equipment, net of accumulated depreciation</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131.5</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Right-of-use assets</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113.4</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82"/>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 of accumulated amortization</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302.9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378.5</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Goodwill</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2,491.3</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2,485.6</w:t>
            </w:r>
          </w:p>
        </w:tc>
        <w:tc>
          <w:tcPr>
            <w:tcW w:w="0" w:type="dxa"/>
            <w:vAlign w:val="bottom"/>
          </w:tcPr>
          <w:p>
            <w:pPr>
              <w:spacing w:after="0"/>
              <w:rPr>
                <w:sz w:val="1"/>
                <w:szCs w:val="1"/>
                <w:color w:val="auto"/>
              </w:rPr>
            </w:pPr>
          </w:p>
        </w:tc>
      </w:tr>
      <w:tr>
        <w:trPr>
          <w:trHeight w:val="304"/>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Other noncurrent assets</w:t>
            </w: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343"/>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Total assets</w:t>
            </w:r>
          </w:p>
        </w:tc>
        <w:tc>
          <w:tcPr>
            <w:tcW w:w="98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4,933.7</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4,868.9</w:t>
            </w:r>
          </w:p>
        </w:tc>
        <w:tc>
          <w:tcPr>
            <w:tcW w:w="0" w:type="dxa"/>
            <w:vAlign w:val="bottom"/>
          </w:tcPr>
          <w:p>
            <w:pPr>
              <w:spacing w:after="0"/>
              <w:rPr>
                <w:sz w:val="1"/>
                <w:szCs w:val="1"/>
                <w:color w:val="auto"/>
              </w:rPr>
            </w:pPr>
          </w:p>
        </w:tc>
      </w:tr>
      <w:tr>
        <w:trPr>
          <w:trHeight w:val="243"/>
        </w:trPr>
        <w:tc>
          <w:tcPr>
            <w:tcW w:w="7740" w:type="dxa"/>
            <w:vAlign w:val="bottom"/>
            <w:tcBorders>
              <w:top w:val="single" w:sz="8" w:color="DCE2EF"/>
            </w:tcBorders>
            <w:gridSpan w:val="3"/>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Current liabilities</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7700" w:type="dxa"/>
            <w:vAlign w:val="bottom"/>
            <w:gridSpan w:val="2"/>
          </w:tcPr>
          <w:p>
            <w:pPr>
              <w:ind w:left="320"/>
              <w:spacing w:after="0"/>
              <w:rPr>
                <w:sz w:val="20"/>
                <w:szCs w:val="20"/>
                <w:color w:val="auto"/>
              </w:rPr>
            </w:pPr>
            <w:r>
              <w:rPr>
                <w:rFonts w:ascii="Arial" w:cs="Arial" w:eastAsia="Arial" w:hAnsi="Arial"/>
                <w:sz w:val="16"/>
                <w:szCs w:val="16"/>
                <w:color w:val="auto"/>
              </w:rPr>
              <w:t>Current portion of debt, net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31.5</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181.5</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Trade accounts payable</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299.1</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7700" w:type="dxa"/>
            <w:vAlign w:val="bottom"/>
            <w:gridSpan w:val="2"/>
          </w:tcPr>
          <w:p>
            <w:pPr>
              <w:ind w:left="320"/>
              <w:spacing w:after="0"/>
              <w:rPr>
                <w:sz w:val="20"/>
                <w:szCs w:val="20"/>
                <w:color w:val="auto"/>
              </w:rPr>
            </w:pPr>
            <w:r>
              <w:rPr>
                <w:rFonts w:ascii="Arial" w:cs="Arial" w:eastAsia="Arial" w:hAnsi="Arial"/>
                <w:sz w:val="16"/>
                <w:szCs w:val="16"/>
                <w:color w:val="auto"/>
              </w:rPr>
              <w:t>Accrued compensation</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249.7</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Accrued taxes—other than income</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58.9</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700" w:type="dxa"/>
            <w:vAlign w:val="bottom"/>
            <w:gridSpan w:val="2"/>
          </w:tcPr>
          <w:p>
            <w:pPr>
              <w:ind w:left="32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Insurance claims</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177.0</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7700" w:type="dxa"/>
            <w:vAlign w:val="bottom"/>
            <w:gridSpan w:val="2"/>
          </w:tcPr>
          <w:p>
            <w:pPr>
              <w:ind w:left="320"/>
              <w:spacing w:after="0"/>
              <w:rPr>
                <w:sz w:val="20"/>
                <w:szCs w:val="20"/>
                <w:color w:val="auto"/>
              </w:rPr>
            </w:pPr>
            <w:r>
              <w:rPr>
                <w:rFonts w:ascii="Arial" w:cs="Arial" w:eastAsia="Arial" w:hAnsi="Arial"/>
                <w:sz w:val="16"/>
                <w:szCs w:val="16"/>
                <w:color w:val="auto"/>
              </w:rPr>
              <w:t>Income taxes payable</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Current portion of lease liabilities</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32.5</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7700" w:type="dxa"/>
            <w:vAlign w:val="bottom"/>
            <w:gridSpan w:val="2"/>
          </w:tcPr>
          <w:p>
            <w:pPr>
              <w:ind w:left="320"/>
              <w:spacing w:after="0"/>
              <w:rPr>
                <w:sz w:val="20"/>
                <w:szCs w:val="20"/>
                <w:color w:val="auto"/>
              </w:rPr>
            </w:pPr>
            <w:r>
              <w:rPr>
                <w:rFonts w:ascii="Arial" w:cs="Arial" w:eastAsia="Arial" w:hAnsi="Arial"/>
                <w:sz w:val="16"/>
                <w:szCs w:val="16"/>
                <w:color w:val="auto"/>
              </w:rPr>
              <w:t>Other accrued liabilities</w:t>
            </w: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w:t>
            </w: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90"/>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640"/>
              <w:spacing w:after="0"/>
              <w:rPr>
                <w:sz w:val="20"/>
                <w:szCs w:val="20"/>
                <w:color w:val="auto"/>
              </w:rPr>
            </w:pPr>
            <w:r>
              <w:rPr>
                <w:rFonts w:ascii="Arial" w:cs="Arial" w:eastAsia="Arial" w:hAnsi="Arial"/>
                <w:sz w:val="16"/>
                <w:szCs w:val="16"/>
                <w:color w:val="auto"/>
              </w:rPr>
              <w:t>Total current liabilities</w:t>
            </w:r>
          </w:p>
        </w:tc>
        <w:tc>
          <w:tcPr>
            <w:tcW w:w="9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1,217.9</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spacing w:after="0"/>
              <w:rPr>
                <w:sz w:val="24"/>
                <w:szCs w:val="24"/>
                <w:color w:val="auto"/>
              </w:rPr>
            </w:pPr>
          </w:p>
        </w:tc>
        <w:tc>
          <w:tcPr>
            <w:tcW w:w="5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1,353.2</w:t>
            </w:r>
          </w:p>
        </w:tc>
        <w:tc>
          <w:tcPr>
            <w:tcW w:w="0" w:type="dxa"/>
            <w:vAlign w:val="bottom"/>
          </w:tcPr>
          <w:p>
            <w:pPr>
              <w:spacing w:after="0"/>
              <w:rPr>
                <w:sz w:val="1"/>
                <w:szCs w:val="1"/>
                <w:color w:val="auto"/>
              </w:rPr>
            </w:pPr>
          </w:p>
        </w:tc>
      </w:tr>
      <w:tr>
        <w:trPr>
          <w:trHeight w:val="275"/>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Long-term debt, net</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1,279.8</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1,086.3</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Long-term lease liabilities</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98.8</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289"/>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Deferred income tax liability, net</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Noncurrent insurance claims</w:t>
            </w:r>
          </w:p>
        </w:tc>
        <w:tc>
          <w:tcPr>
            <w:tcW w:w="980" w:type="dxa"/>
            <w:vAlign w:val="bottom"/>
            <w:tcBorders>
              <w:bottom w:val="single" w:sz="8" w:color="DCE2EF"/>
            </w:tcBorders>
            <w:shd w:val="clear" w:color="auto" w:fill="DCE2EF"/>
          </w:tcPr>
          <w:p>
            <w:pPr>
              <w:spacing w:after="0"/>
              <w:rPr>
                <w:sz w:val="24"/>
                <w:szCs w:val="24"/>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387.5</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387.7</w:t>
            </w:r>
          </w:p>
        </w:tc>
        <w:tc>
          <w:tcPr>
            <w:tcW w:w="0" w:type="dxa"/>
            <w:vAlign w:val="bottom"/>
          </w:tcPr>
          <w:p>
            <w:pPr>
              <w:spacing w:after="0"/>
              <w:rPr>
                <w:sz w:val="1"/>
                <w:szCs w:val="1"/>
                <w:color w:val="auto"/>
              </w:rPr>
            </w:pPr>
          </w:p>
        </w:tc>
      </w:tr>
      <w:tr>
        <w:trPr>
          <w:trHeight w:val="289"/>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Other noncurrent liabilities</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Noncurrent income taxes payable</w:t>
            </w:r>
          </w:p>
        </w:tc>
        <w:tc>
          <w:tcPr>
            <w:tcW w:w="9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spacing w:after="0"/>
              <w:rPr>
                <w:sz w:val="24"/>
                <w:szCs w:val="24"/>
                <w:color w:val="auto"/>
              </w:rPr>
            </w:pPr>
          </w:p>
        </w:tc>
        <w:tc>
          <w:tcPr>
            <w:tcW w:w="5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7700" w:type="dxa"/>
            <w:vAlign w:val="bottom"/>
            <w:gridSpan w:val="2"/>
          </w:tcPr>
          <w:p>
            <w:pPr>
              <w:ind w:left="320"/>
              <w:spacing w:after="0"/>
              <w:rPr>
                <w:sz w:val="20"/>
                <w:szCs w:val="20"/>
                <w:color w:val="auto"/>
              </w:rPr>
            </w:pPr>
            <w:r>
              <w:rPr>
                <w:rFonts w:ascii="Arial" w:cs="Arial" w:eastAsia="Arial" w:hAnsi="Arial"/>
                <w:sz w:val="16"/>
                <w:szCs w:val="16"/>
                <w:color w:val="auto"/>
              </w:rPr>
              <w:t>Total liabilities</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3,133.8</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3,151.7</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Total stockholders’ equity</w:t>
            </w:r>
          </w:p>
        </w:tc>
        <w:tc>
          <w:tcPr>
            <w:tcW w:w="9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1,799.9</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spacing w:after="0"/>
              <w:rPr>
                <w:sz w:val="24"/>
                <w:szCs w:val="24"/>
                <w:color w:val="auto"/>
              </w:rPr>
            </w:pPr>
          </w:p>
        </w:tc>
        <w:tc>
          <w:tcPr>
            <w:tcW w:w="5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1,717.2</w:t>
            </w:r>
          </w:p>
        </w:tc>
        <w:tc>
          <w:tcPr>
            <w:tcW w:w="0" w:type="dxa"/>
            <w:vAlign w:val="bottom"/>
          </w:tcPr>
          <w:p>
            <w:pPr>
              <w:spacing w:after="0"/>
              <w:rPr>
                <w:sz w:val="1"/>
                <w:szCs w:val="1"/>
                <w:color w:val="auto"/>
              </w:rPr>
            </w:pPr>
          </w:p>
        </w:tc>
      </w:tr>
      <w:tr>
        <w:trPr>
          <w:trHeight w:val="268"/>
        </w:trPr>
        <w:tc>
          <w:tcPr>
            <w:tcW w:w="7740" w:type="dxa"/>
            <w:vAlign w:val="bottom"/>
            <w:gridSpan w:val="3"/>
            <w:vMerge w:val="restart"/>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4,933.7</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4,868.9</w:t>
            </w:r>
          </w:p>
        </w:tc>
        <w:tc>
          <w:tcPr>
            <w:tcW w:w="0" w:type="dxa"/>
            <w:vAlign w:val="bottom"/>
          </w:tcPr>
          <w:p>
            <w:pPr>
              <w:spacing w:after="0"/>
              <w:rPr>
                <w:sz w:val="1"/>
                <w:szCs w:val="1"/>
                <w:color w:val="auto"/>
              </w:rPr>
            </w:pPr>
          </w:p>
        </w:tc>
      </w:tr>
      <w:tr>
        <w:trPr>
          <w:trHeight w:val="29"/>
        </w:trPr>
        <w:tc>
          <w:tcPr>
            <w:tcW w:w="7740" w:type="dxa"/>
            <w:vAlign w:val="bottom"/>
            <w:gridSpan w:val="3"/>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-7143115</wp:posOffset>
            </wp:positionV>
            <wp:extent cx="14605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-4382770</wp:posOffset>
            </wp:positionV>
            <wp:extent cx="14605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-4182745</wp:posOffset>
            </wp:positionV>
            <wp:extent cx="1460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-4157345</wp:posOffset>
            </wp:positionV>
            <wp:extent cx="146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-1811020</wp:posOffset>
            </wp:positionV>
            <wp:extent cx="14605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-628015</wp:posOffset>
            </wp:positionV>
            <wp:extent cx="14605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-233680</wp:posOffset>
            </wp:positionV>
            <wp:extent cx="14605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1" w:right="399" w:bottom="1440" w:gutter="0" w:footer="0" w:header="0"/>
        </w:sectPr>
      </w:pPr>
    </w:p>
    <w:bookmarkStart w:id="13" w:name="page14"/>
    <w:bookmarkEnd w:id="13"/>
    <w:p>
      <w:pPr>
        <w:ind w:right="4940"/>
        <w:spacing w:after="0" w:line="286"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260" w:type="dxa"/>
            <w:vAlign w:val="bottom"/>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October 31,</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Increase/(Decreas</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260" w:type="dxa"/>
            <w:vAlign w:val="bottom"/>
            <w:gridSpan w:val="3"/>
          </w:tcPr>
          <w:p>
            <w:pPr>
              <w:ind w:left="60"/>
              <w:spacing w:after="0"/>
              <w:rPr>
                <w:sz w:val="20"/>
                <w:szCs w:val="20"/>
                <w:color w:val="auto"/>
              </w:rPr>
            </w:pPr>
            <w:r>
              <w:rPr>
                <w:rFonts w:ascii="Arial" w:cs="Arial" w:eastAsia="Arial" w:hAnsi="Arial"/>
                <w:sz w:val="16"/>
                <w:szCs w:val="16"/>
                <w:i w:val="1"/>
                <w:iCs w:val="1"/>
                <w:u w:val="single" w:color="auto"/>
                <w:color w:val="auto"/>
              </w:rPr>
              <w:t>(</w:t>
            </w:r>
            <w:r>
              <w:rPr>
                <w:rFonts w:ascii="Arial" w:cs="Arial" w:eastAsia="Arial" w:hAnsi="Arial"/>
                <w:sz w:val="16"/>
                <w:szCs w:val="16"/>
                <w:i w:val="1"/>
                <w:iCs w:val="1"/>
                <w:color w:val="auto"/>
              </w:rPr>
              <w:t>$ in millions)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3"/>
                <w:szCs w:val="23"/>
                <w:color w:val="auto"/>
              </w:rPr>
            </w:pPr>
          </w:p>
        </w:tc>
        <w:tc>
          <w:tcPr>
            <w:tcW w:w="560" w:type="dxa"/>
            <w:vAlign w:val="bottom"/>
            <w:tcBorders>
              <w:bottom w:val="single" w:sz="8" w:color="DCE2EF"/>
            </w:tcBorders>
            <w:shd w:val="clear" w:color="auto" w:fill="DCE2EF"/>
          </w:tcPr>
          <w:p>
            <w:pPr>
              <w:spacing w:after="0"/>
              <w:rPr>
                <w:sz w:val="23"/>
                <w:szCs w:val="23"/>
                <w:color w:val="auto"/>
              </w:rPr>
            </w:pPr>
          </w:p>
        </w:tc>
        <w:tc>
          <w:tcPr>
            <w:tcW w:w="220" w:type="dxa"/>
            <w:vAlign w:val="bottom"/>
            <w:tcBorders>
              <w:bottom w:val="single" w:sz="8" w:color="DCE2EF"/>
            </w:tcBorders>
            <w:shd w:val="clear" w:color="auto" w:fill="DCE2EF"/>
          </w:tcPr>
          <w:p>
            <w:pPr>
              <w:spacing w:after="0"/>
              <w:rPr>
                <w:sz w:val="23"/>
                <w:szCs w:val="23"/>
                <w:color w:val="auto"/>
              </w:rPr>
            </w:pPr>
          </w:p>
        </w:tc>
        <w:tc>
          <w:tcPr>
            <w:tcW w:w="940" w:type="dxa"/>
            <w:vAlign w:val="bottom"/>
            <w:tcBorders>
              <w:bottom w:val="single" w:sz="8" w:color="DCE2EF"/>
            </w:tcBorders>
            <w:shd w:val="clear" w:color="auto" w:fill="DCE2EF"/>
          </w:tcPr>
          <w:p>
            <w:pPr>
              <w:spacing w:after="0"/>
              <w:rPr>
                <w:sz w:val="23"/>
                <w:szCs w:val="23"/>
                <w:color w:val="auto"/>
              </w:rPr>
            </w:pPr>
          </w:p>
        </w:tc>
        <w:tc>
          <w:tcPr>
            <w:tcW w:w="580" w:type="dxa"/>
            <w:vAlign w:val="bottom"/>
            <w:tcBorders>
              <w:bottom w:val="single" w:sz="8" w:color="DCE2EF"/>
            </w:tcBorders>
            <w:shd w:val="clear" w:color="auto" w:fill="DCE2EF"/>
          </w:tcPr>
          <w:p>
            <w:pPr>
              <w:spacing w:after="0"/>
              <w:rPr>
                <w:sz w:val="23"/>
                <w:szCs w:val="23"/>
                <w:color w:val="auto"/>
              </w:rPr>
            </w:pPr>
          </w:p>
        </w:tc>
        <w:tc>
          <w:tcPr>
            <w:tcW w:w="200" w:type="dxa"/>
            <w:vAlign w:val="bottom"/>
            <w:tcBorders>
              <w:bottom w:val="single" w:sz="8" w:color="DCE2EF"/>
            </w:tcBorders>
            <w:shd w:val="clear" w:color="auto" w:fill="DCE2EF"/>
          </w:tcPr>
          <w:p>
            <w:pPr>
              <w:spacing w:after="0"/>
              <w:rPr>
                <w:sz w:val="23"/>
                <w:szCs w:val="23"/>
                <w:color w:val="auto"/>
              </w:rPr>
            </w:pPr>
          </w:p>
        </w:tc>
        <w:tc>
          <w:tcPr>
            <w:tcW w:w="1320" w:type="dxa"/>
            <w:vAlign w:val="bottom"/>
            <w:tcBorders>
              <w:bottom w:val="single" w:sz="8" w:color="DCE2EF"/>
            </w:tcBorders>
            <w:shd w:val="clear" w:color="auto" w:fill="DCE2EF"/>
          </w:tcPr>
          <w:p>
            <w:pPr>
              <w:spacing w:after="0"/>
              <w:rPr>
                <w:sz w:val="23"/>
                <w:szCs w:val="23"/>
                <w:color w:val="auto"/>
              </w:rPr>
            </w:pPr>
          </w:p>
        </w:tc>
        <w:tc>
          <w:tcPr>
            <w:tcW w:w="200" w:type="dxa"/>
            <w:vAlign w:val="bottom"/>
            <w:tcBorders>
              <w:bottom w:val="single" w:sz="8" w:color="DCE2EF"/>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1,033.0</w:t>
            </w: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1,028.9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391.2</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371.2</w:t>
            </w:r>
          </w:p>
        </w:tc>
        <w:tc>
          <w:tcPr>
            <w:tcW w:w="15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5.4</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229.8</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217.1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248.2</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214.4</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15.8</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1"/>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190.8</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0" w:type="dxa"/>
            <w:vAlign w:val="bottom"/>
            <w:tcBorders>
              <w:bottom w:val="single" w:sz="8" w:color="DCE2EF"/>
            </w:tcBorders>
          </w:tcPr>
          <w:p>
            <w:pPr>
              <w:spacing w:after="0"/>
              <w:rPr>
                <w:sz w:val="2"/>
                <w:szCs w:val="2"/>
                <w:color w:val="auto"/>
              </w:rPr>
            </w:pPr>
          </w:p>
        </w:tc>
        <w:tc>
          <w:tcPr>
            <w:tcW w:w="940" w:type="dxa"/>
            <w:vAlign w:val="bottom"/>
            <w:tcBorders>
              <w:bottom w:val="single" w:sz="8" w:color="DCE2EF"/>
            </w:tcBorders>
          </w:tcPr>
          <w:p>
            <w:pPr>
              <w:spacing w:after="0"/>
              <w:rPr>
                <w:sz w:val="2"/>
                <w:szCs w:val="2"/>
                <w:color w:val="auto"/>
              </w:rPr>
            </w:pPr>
          </w:p>
        </w:tc>
        <w:tc>
          <w:tcPr>
            <w:tcW w:w="526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320" w:type="dxa"/>
            <w:vAlign w:val="bottom"/>
            <w:tcBorders>
              <w:bottom w:val="single" w:sz="8" w:color="DCE2EF"/>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0" w:type="dxa"/>
            <w:vAlign w:val="bottom"/>
          </w:tcPr>
          <w:p>
            <w:pPr>
              <w:spacing w:after="0"/>
              <w:rPr>
                <w:sz w:val="1"/>
                <w:szCs w:val="1"/>
                <w:color w:val="auto"/>
              </w:rPr>
            </w:pPr>
          </w:p>
        </w:tc>
      </w:tr>
      <w:tr>
        <w:trPr>
          <w:trHeight w:val="336"/>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2,092.9</w:t>
            </w:r>
          </w:p>
        </w:tc>
        <w:tc>
          <w:tcPr>
            <w:tcW w:w="1160" w:type="dxa"/>
            <w:vAlign w:val="bottom"/>
            <w:tcBorders>
              <w:bottom w:val="single" w:sz="8" w:color="DCE2EF"/>
            </w:tcBorders>
            <w:gridSpan w:val="2"/>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2,011.1</w:t>
            </w:r>
          </w:p>
        </w:tc>
        <w:tc>
          <w:tcPr>
            <w:tcW w:w="1720" w:type="dxa"/>
            <w:vAlign w:val="bottom"/>
            <w:tcBorders>
              <w:bottom w:val="single" w:sz="8" w:color="DCE2EF"/>
            </w:tcBorders>
            <w:gridSpan w:val="3"/>
            <w:shd w:val="clear" w:color="auto" w:fill="DCE2E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43"/>
        </w:trPr>
        <w:tc>
          <w:tcPr>
            <w:tcW w:w="62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1320" w:type="dxa"/>
            <w:vAlign w:val="bottom"/>
            <w:tcBorders>
              <w:top w:val="single" w:sz="8" w:color="DCE2EF"/>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84.6</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92.4</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(8.5)</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1"/>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42.0</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10.2</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8.3</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23.0</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24.4</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20.9</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16.6</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Corporate</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(70.0)</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(83.8)</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16.5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60" w:type="dxa"/>
            <w:vAlign w:val="bottom"/>
            <w:shd w:val="clear" w:color="auto" w:fill="DCE2EF"/>
          </w:tcPr>
          <w:p>
            <w:pPr>
              <w:spacing w:after="0"/>
              <w:rPr>
                <w:sz w:val="22"/>
                <w:szCs w:val="22"/>
                <w:color w:val="auto"/>
              </w:rPr>
            </w:pPr>
          </w:p>
        </w:tc>
        <w:tc>
          <w:tcPr>
            <w:tcW w:w="56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58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132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DCE2EF"/>
            </w:tcBorders>
            <w:shd w:val="clear" w:color="auto" w:fill="DCE2EF"/>
          </w:tcPr>
          <w:p>
            <w:pPr>
              <w:spacing w:after="0"/>
              <w:rPr>
                <w:sz w:val="19"/>
                <w:szCs w:val="19"/>
                <w:color w:val="auto"/>
              </w:rPr>
            </w:pPr>
          </w:p>
        </w:tc>
        <w:tc>
          <w:tcPr>
            <w:tcW w:w="6200" w:type="dxa"/>
            <w:vAlign w:val="bottom"/>
            <w:tcBorders>
              <w:bottom w:val="single" w:sz="8" w:color="DCE2EF"/>
            </w:tcBorders>
            <w:gridSpan w:val="2"/>
            <w:shd w:val="clear" w:color="auto" w:fill="DCE2EF"/>
          </w:tcPr>
          <w:p>
            <w:pPr>
              <w:ind w:left="1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DCE2EF"/>
            </w:tcBorders>
            <w:shd w:val="clear" w:color="auto" w:fill="DCE2EF"/>
          </w:tcPr>
          <w:p>
            <w:pPr>
              <w:spacing w:after="0"/>
              <w:rPr>
                <w:sz w:val="19"/>
                <w:szCs w:val="19"/>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220" w:type="dxa"/>
            <w:vAlign w:val="bottom"/>
            <w:tcBorders>
              <w:bottom w:val="single" w:sz="8" w:color="DCE2EF"/>
            </w:tcBorders>
            <w:shd w:val="clear" w:color="auto" w:fill="DCE2EF"/>
          </w:tcPr>
          <w:p>
            <w:pPr>
              <w:spacing w:after="0"/>
              <w:rPr>
                <w:sz w:val="19"/>
                <w:szCs w:val="19"/>
                <w:color w:val="auto"/>
              </w:rPr>
            </w:pPr>
          </w:p>
        </w:tc>
        <w:tc>
          <w:tcPr>
            <w:tcW w:w="940" w:type="dxa"/>
            <w:vAlign w:val="bottom"/>
            <w:tcBorders>
              <w:bottom w:val="single" w:sz="8" w:color="DCE2EF"/>
            </w:tcBorders>
            <w:shd w:val="clear" w:color="auto" w:fill="DCE2EF"/>
          </w:tcPr>
          <w:p>
            <w:pPr>
              <w:spacing w:after="0"/>
              <w:rPr>
                <w:sz w:val="19"/>
                <w:szCs w:val="19"/>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(60.1)</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Adjustment for tax deductions for energy efficient government</w:t>
            </w:r>
          </w:p>
        </w:tc>
        <w:tc>
          <w:tcPr>
            <w:tcW w:w="96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200" w:type="dxa"/>
            <w:vAlign w:val="bottom"/>
            <w:gridSpan w:val="2"/>
          </w:tcPr>
          <w:p>
            <w:pPr>
              <w:ind w:left="140"/>
              <w:spacing w:after="0"/>
              <w:rPr>
                <w:sz w:val="20"/>
                <w:szCs w:val="20"/>
                <w:color w:val="auto"/>
              </w:rPr>
            </w:pPr>
            <w:r>
              <w:rPr>
                <w:rFonts w:ascii="Arial" w:cs="Arial" w:eastAsia="Arial" w:hAnsi="Arial"/>
                <w:sz w:val="16"/>
                <w:szCs w:val="16"/>
                <w:color w:val="auto"/>
              </w:rPr>
              <w:t>buildings, included in Technical Solutions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73.9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106.4</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79.1</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34.5</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60.1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(16.0)</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(28.4)</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86.8</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63.7</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36.3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(24.0)</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(14.9)</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(61.7)</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6260" w:type="dxa"/>
            <w:vAlign w:val="bottom"/>
            <w:gridSpan w:val="3"/>
            <w:vMerge w:val="restart"/>
          </w:tcPr>
          <w:p>
            <w:pPr>
              <w:ind w:left="60"/>
              <w:spacing w:after="0"/>
              <w:rPr>
                <w:sz w:val="20"/>
                <w:szCs w:val="20"/>
                <w:color w:val="auto"/>
              </w:rPr>
            </w:pPr>
            <w:r>
              <w:rPr>
                <w:rFonts w:ascii="Arial" w:cs="Arial" w:eastAsia="Arial" w:hAnsi="Arial"/>
                <w:sz w:val="16"/>
                <w:szCs w:val="16"/>
                <w:color w:val="auto"/>
              </w:rPr>
              <w:t>Net income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220" w:type="dxa"/>
            <w:vAlign w:val="bottom"/>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520" w:type="dxa"/>
            <w:vAlign w:val="bottom"/>
            <w:gridSpan w:val="2"/>
            <w:vMerge w:val="restart"/>
          </w:tcPr>
          <w:p>
            <w:pPr>
              <w:ind w:left="880"/>
              <w:spacing w:after="0"/>
              <w:rPr>
                <w:sz w:val="20"/>
                <w:szCs w:val="20"/>
                <w:color w:val="auto"/>
              </w:rPr>
            </w:pPr>
            <w:r>
              <w:rPr>
                <w:rFonts w:ascii="Arial" w:cs="Arial" w:eastAsia="Arial" w:hAnsi="Arial"/>
                <w:sz w:val="16"/>
                <w:szCs w:val="16"/>
                <w:color w:val="auto"/>
              </w:rPr>
              <w:t>28.5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260" w:type="dxa"/>
            <w:vAlign w:val="bottom"/>
            <w:gridSpan w:val="3"/>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-3230880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-3205480</wp:posOffset>
            </wp:positionV>
            <wp:extent cx="137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-3230880</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-3205480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-3428365</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-1219200</wp:posOffset>
            </wp:positionV>
            <wp:extent cx="13716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-1219200</wp:posOffset>
            </wp:positionV>
            <wp:extent cx="13716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-628015</wp:posOffset>
            </wp:positionV>
            <wp:extent cx="13716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-628015</wp:posOffset>
            </wp:positionV>
            <wp:extent cx="13716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4"/>
          <w:szCs w:val="14"/>
          <w:color w:val="auto"/>
        </w:rPr>
        <w:t>* Not meaningful (due to variance greater than or equal to +/-100%)</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14" w:name="page15"/>
    <w:bookmarkEnd w:id="14"/>
    <w:p>
      <w:pPr>
        <w:ind w:right="4940"/>
        <w:spacing w:after="0" w:line="284"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2240" w:type="dxa"/>
            <w:vAlign w:val="bottom"/>
            <w:gridSpan w:val="4"/>
          </w:tcPr>
          <w:p>
            <w:pPr>
              <w:ind w:left="40"/>
              <w:spacing w:after="0"/>
              <w:rPr>
                <w:sz w:val="20"/>
                <w:szCs w:val="20"/>
                <w:color w:val="auto"/>
              </w:rPr>
            </w:pPr>
            <w:r>
              <w:rPr>
                <w:rFonts w:ascii="Arial" w:cs="Arial" w:eastAsia="Arial" w:hAnsi="Arial"/>
                <w:sz w:val="18"/>
                <w:szCs w:val="18"/>
                <w:b w:val="1"/>
                <w:bCs w:val="1"/>
                <w:color w:val="auto"/>
              </w:rPr>
              <w:t>Years Ended October 31,</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Increase/(Decreas</w:t>
            </w:r>
          </w:p>
        </w:tc>
        <w:tc>
          <w:tcPr>
            <w:tcW w:w="0" w:type="dxa"/>
            <w:vAlign w:val="bottom"/>
          </w:tcPr>
          <w:p>
            <w:pPr>
              <w:spacing w:after="0"/>
              <w:rPr>
                <w:sz w:val="1"/>
                <w:szCs w:val="1"/>
                <w:color w:val="auto"/>
              </w:rPr>
            </w:pPr>
          </w:p>
        </w:tc>
      </w:tr>
      <w:tr>
        <w:trPr>
          <w:trHeight w:val="203"/>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ind w:right="599"/>
              <w:spacing w:after="0"/>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3"/>
                <w:szCs w:val="23"/>
                <w:color w:val="auto"/>
              </w:rPr>
            </w:pPr>
          </w:p>
        </w:tc>
        <w:tc>
          <w:tcPr>
            <w:tcW w:w="560" w:type="dxa"/>
            <w:vAlign w:val="bottom"/>
            <w:tcBorders>
              <w:bottom w:val="single" w:sz="8" w:color="DCE2EF"/>
            </w:tcBorders>
            <w:shd w:val="clear" w:color="auto" w:fill="DCE2EF"/>
          </w:tcPr>
          <w:p>
            <w:pPr>
              <w:spacing w:after="0"/>
              <w:rPr>
                <w:sz w:val="23"/>
                <w:szCs w:val="23"/>
                <w:color w:val="auto"/>
              </w:rPr>
            </w:pPr>
          </w:p>
        </w:tc>
        <w:tc>
          <w:tcPr>
            <w:tcW w:w="220" w:type="dxa"/>
            <w:vAlign w:val="bottom"/>
            <w:tcBorders>
              <w:bottom w:val="single" w:sz="8" w:color="DCE2EF"/>
            </w:tcBorders>
            <w:shd w:val="clear" w:color="auto" w:fill="DCE2EF"/>
          </w:tcPr>
          <w:p>
            <w:pPr>
              <w:spacing w:after="0"/>
              <w:rPr>
                <w:sz w:val="23"/>
                <w:szCs w:val="23"/>
                <w:color w:val="auto"/>
              </w:rPr>
            </w:pPr>
          </w:p>
        </w:tc>
        <w:tc>
          <w:tcPr>
            <w:tcW w:w="500" w:type="dxa"/>
            <w:vAlign w:val="bottom"/>
            <w:tcBorders>
              <w:bottom w:val="single" w:sz="8" w:color="DCE2EF"/>
            </w:tcBorders>
            <w:shd w:val="clear" w:color="auto" w:fill="DCE2EF"/>
          </w:tcPr>
          <w:p>
            <w:pPr>
              <w:spacing w:after="0"/>
              <w:rPr>
                <w:sz w:val="23"/>
                <w:szCs w:val="23"/>
                <w:color w:val="auto"/>
              </w:rPr>
            </w:pPr>
          </w:p>
        </w:tc>
        <w:tc>
          <w:tcPr>
            <w:tcW w:w="440" w:type="dxa"/>
            <w:vAlign w:val="bottom"/>
            <w:tcBorders>
              <w:bottom w:val="single" w:sz="8" w:color="DCE2EF"/>
            </w:tcBorders>
            <w:shd w:val="clear" w:color="auto" w:fill="DCE2EF"/>
          </w:tcPr>
          <w:p>
            <w:pPr>
              <w:spacing w:after="0"/>
              <w:rPr>
                <w:sz w:val="23"/>
                <w:szCs w:val="23"/>
                <w:color w:val="auto"/>
              </w:rPr>
            </w:pPr>
          </w:p>
        </w:tc>
        <w:tc>
          <w:tcPr>
            <w:tcW w:w="580" w:type="dxa"/>
            <w:vAlign w:val="bottom"/>
            <w:tcBorders>
              <w:bottom w:val="single" w:sz="8" w:color="DCE2EF"/>
            </w:tcBorders>
            <w:shd w:val="clear" w:color="auto" w:fill="DCE2EF"/>
          </w:tcPr>
          <w:p>
            <w:pPr>
              <w:spacing w:after="0"/>
              <w:rPr>
                <w:sz w:val="23"/>
                <w:szCs w:val="23"/>
                <w:color w:val="auto"/>
              </w:rPr>
            </w:pPr>
          </w:p>
        </w:tc>
        <w:tc>
          <w:tcPr>
            <w:tcW w:w="200" w:type="dxa"/>
            <w:vAlign w:val="bottom"/>
            <w:tcBorders>
              <w:bottom w:val="single" w:sz="8" w:color="DCE2EF"/>
            </w:tcBorders>
            <w:shd w:val="clear" w:color="auto" w:fill="DCE2EF"/>
          </w:tcPr>
          <w:p>
            <w:pPr>
              <w:spacing w:after="0"/>
              <w:rPr>
                <w:sz w:val="23"/>
                <w:szCs w:val="23"/>
                <w:color w:val="auto"/>
              </w:rPr>
            </w:pPr>
          </w:p>
        </w:tc>
        <w:tc>
          <w:tcPr>
            <w:tcW w:w="1520" w:type="dxa"/>
            <w:vAlign w:val="bottom"/>
            <w:tcBorders>
              <w:bottom w:val="single" w:sz="8" w:color="DCE2EF"/>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4,089.4</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4,095.9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1,526.7</w:t>
            </w:r>
          </w:p>
        </w:tc>
        <w:tc>
          <w:tcPr>
            <w:tcW w:w="220" w:type="dxa"/>
            <w:vAlign w:val="bottom"/>
            <w:tcBorders>
              <w:bottom w:val="single" w:sz="8" w:color="DCE2EF"/>
            </w:tcBorders>
            <w:shd w:val="clear" w:color="auto" w:fill="DCE2EF"/>
          </w:tcPr>
          <w:p>
            <w:pPr>
              <w:spacing w:after="0"/>
              <w:rPr>
                <w:sz w:val="24"/>
                <w:szCs w:val="24"/>
                <w:color w:val="auto"/>
              </w:rPr>
            </w:pPr>
          </w:p>
        </w:tc>
        <w:tc>
          <w:tcPr>
            <w:tcW w:w="500" w:type="dxa"/>
            <w:vAlign w:val="bottom"/>
            <w:tcBorders>
              <w:bottom w:val="single" w:sz="8" w:color="DCE2EF"/>
            </w:tcBorders>
            <w:shd w:val="clear" w:color="auto" w:fill="DCE2EF"/>
          </w:tcPr>
          <w:p>
            <w:pPr>
              <w:spacing w:after="0"/>
              <w:rPr>
                <w:sz w:val="24"/>
                <w:szCs w:val="24"/>
                <w:color w:val="auto"/>
              </w:rPr>
            </w:pPr>
          </w:p>
        </w:tc>
        <w:tc>
          <w:tcPr>
            <w:tcW w:w="4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1,445.2</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81"/>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880.4</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834.7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925.7</w:t>
            </w:r>
          </w:p>
        </w:tc>
        <w:tc>
          <w:tcPr>
            <w:tcW w:w="220" w:type="dxa"/>
            <w:vAlign w:val="bottom"/>
            <w:tcBorders>
              <w:bottom w:val="single" w:sz="8" w:color="DCE2EF"/>
            </w:tcBorders>
            <w:shd w:val="clear" w:color="auto" w:fill="DCE2EF"/>
          </w:tcPr>
          <w:p>
            <w:pPr>
              <w:spacing w:after="0"/>
              <w:rPr>
                <w:sz w:val="24"/>
                <w:szCs w:val="24"/>
                <w:color w:val="auto"/>
              </w:rPr>
            </w:pPr>
          </w:p>
        </w:tc>
        <w:tc>
          <w:tcPr>
            <w:tcW w:w="500" w:type="dxa"/>
            <w:vAlign w:val="bottom"/>
            <w:tcBorders>
              <w:bottom w:val="single" w:sz="8" w:color="DCE2EF"/>
            </w:tcBorders>
            <w:shd w:val="clear" w:color="auto" w:fill="DCE2EF"/>
          </w:tcPr>
          <w:p>
            <w:pPr>
              <w:spacing w:after="0"/>
              <w:rPr>
                <w:sz w:val="24"/>
                <w:szCs w:val="24"/>
                <w:color w:val="auto"/>
              </w:rPr>
            </w:pPr>
          </w:p>
        </w:tc>
        <w:tc>
          <w:tcPr>
            <w:tcW w:w="4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804.0</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81"/>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674.2</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626.8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9"/>
        </w:trPr>
        <w:tc>
          <w:tcPr>
            <w:tcW w:w="60" w:type="dxa"/>
            <w:vAlign w:val="bottom"/>
            <w:tcBorders>
              <w:bottom w:val="single" w:sz="8" w:color="DCE2EF"/>
            </w:tcBorders>
          </w:tcPr>
          <w:p>
            <w:pPr>
              <w:spacing w:after="0"/>
              <w:rPr>
                <w:sz w:val="2"/>
                <w:szCs w:val="2"/>
                <w:color w:val="auto"/>
              </w:rPr>
            </w:pPr>
          </w:p>
        </w:tc>
        <w:tc>
          <w:tcPr>
            <w:tcW w:w="820" w:type="dxa"/>
            <w:vAlign w:val="bottom"/>
            <w:tcBorders>
              <w:bottom w:val="single" w:sz="8" w:color="DCE2EF"/>
            </w:tcBorders>
          </w:tcPr>
          <w:p>
            <w:pPr>
              <w:spacing w:after="0"/>
              <w:rPr>
                <w:sz w:val="2"/>
                <w:szCs w:val="2"/>
                <w:color w:val="auto"/>
              </w:rPr>
            </w:pPr>
          </w:p>
        </w:tc>
        <w:tc>
          <w:tcPr>
            <w:tcW w:w="53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520" w:type="dxa"/>
            <w:vAlign w:val="bottom"/>
            <w:tcBorders>
              <w:bottom w:val="single" w:sz="8" w:color="DCE2EF"/>
            </w:tcBorders>
          </w:tcPr>
          <w:p>
            <w:pPr>
              <w:spacing w:after="0"/>
              <w:rPr>
                <w:sz w:val="2"/>
                <w:szCs w:val="2"/>
                <w:color w:val="auto"/>
              </w:rPr>
            </w:pPr>
          </w:p>
        </w:tc>
        <w:tc>
          <w:tcPr>
            <w:tcW w:w="0" w:type="dxa"/>
            <w:vAlign w:val="bottom"/>
          </w:tcPr>
          <w:p>
            <w:pPr>
              <w:spacing w:after="0"/>
              <w:rPr>
                <w:sz w:val="1"/>
                <w:szCs w:val="1"/>
                <w:color w:val="auto"/>
              </w:rPr>
            </w:pPr>
          </w:p>
        </w:tc>
      </w:tr>
      <w:tr>
        <w:trPr>
          <w:trHeight w:val="336"/>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tcBorders>
              <w:bottom w:val="single" w:sz="8" w:color="DCE2EF"/>
            </w:tcBorders>
            <w:shd w:val="clear" w:color="auto" w:fill="DCE2EF"/>
          </w:tcPr>
          <w:p>
            <w:pPr>
              <w:jc w:val="right"/>
              <w:ind w:right="178"/>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8,096.4</w:t>
            </w:r>
          </w:p>
        </w:tc>
        <w:tc>
          <w:tcPr>
            <w:tcW w:w="220" w:type="dxa"/>
            <w:vAlign w:val="bottom"/>
            <w:tcBorders>
              <w:bottom w:val="single" w:sz="8" w:color="DCE2EF"/>
            </w:tcBorders>
            <w:shd w:val="clear" w:color="auto" w:fill="DCE2EF"/>
          </w:tcPr>
          <w:p>
            <w:pPr>
              <w:spacing w:after="0"/>
              <w:rPr>
                <w:sz w:val="24"/>
                <w:szCs w:val="24"/>
                <w:color w:val="auto"/>
              </w:rPr>
            </w:pPr>
          </w:p>
        </w:tc>
        <w:tc>
          <w:tcPr>
            <w:tcW w:w="500" w:type="dxa"/>
            <w:vAlign w:val="bottom"/>
            <w:tcBorders>
              <w:bottom w:val="single" w:sz="8" w:color="DCE2EF"/>
            </w:tcBorders>
            <w:shd w:val="clear" w:color="auto" w:fill="DCE2EF"/>
          </w:tcPr>
          <w:p>
            <w:pPr>
              <w:spacing w:after="0"/>
              <w:rPr>
                <w:sz w:val="24"/>
                <w:szCs w:val="24"/>
                <w:color w:val="auto"/>
              </w:rPr>
            </w:pPr>
          </w:p>
        </w:tc>
        <w:tc>
          <w:tcPr>
            <w:tcW w:w="44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7,806.6</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3"/>
        </w:trPr>
        <w:tc>
          <w:tcPr>
            <w:tcW w:w="62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1520" w:type="dxa"/>
            <w:vAlign w:val="bottom"/>
            <w:tcBorders>
              <w:top w:val="single" w:sz="8" w:color="DCE2E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Borders>
              <w:bottom w:val="single" w:sz="8" w:color="DCE2EF"/>
            </w:tcBorders>
            <w:shd w:val="clear" w:color="auto" w:fill="DCE2EF"/>
          </w:tcPr>
          <w:p>
            <w:pPr>
              <w:jc w:val="right"/>
              <w:ind w:right="38"/>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315.6</w:t>
            </w:r>
          </w:p>
        </w:tc>
        <w:tc>
          <w:tcPr>
            <w:tcW w:w="220" w:type="dxa"/>
            <w:vAlign w:val="bottom"/>
            <w:tcBorders>
              <w:bottom w:val="single" w:sz="8" w:color="DCE2EF"/>
            </w:tcBorders>
            <w:shd w:val="clear" w:color="auto" w:fill="DCE2EF"/>
          </w:tcPr>
          <w:p>
            <w:pPr>
              <w:spacing w:after="0"/>
              <w:rPr>
                <w:sz w:val="24"/>
                <w:szCs w:val="24"/>
                <w:color w:val="auto"/>
              </w:rPr>
            </w:pPr>
          </w:p>
        </w:tc>
        <w:tc>
          <w:tcPr>
            <w:tcW w:w="500" w:type="dxa"/>
            <w:vAlign w:val="bottom"/>
            <w:tcBorders>
              <w:bottom w:val="single" w:sz="8" w:color="DCE2EF"/>
            </w:tcBorders>
            <w:shd w:val="clear" w:color="auto" w:fill="DCE2EF"/>
          </w:tcPr>
          <w:p>
            <w:pPr>
              <w:spacing w:after="0"/>
              <w:rPr>
                <w:sz w:val="24"/>
                <w:szCs w:val="24"/>
                <w:color w:val="auto"/>
              </w:rPr>
            </w:pPr>
          </w:p>
        </w:tc>
        <w:tc>
          <w:tcPr>
            <w:tcW w:w="44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334.9</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8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161.7</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161.8</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49.7</w:t>
            </w:r>
          </w:p>
        </w:tc>
        <w:tc>
          <w:tcPr>
            <w:tcW w:w="220" w:type="dxa"/>
            <w:vAlign w:val="bottom"/>
            <w:tcBorders>
              <w:bottom w:val="single" w:sz="8" w:color="DCE2EF"/>
            </w:tcBorders>
            <w:shd w:val="clear" w:color="auto" w:fill="DCE2EF"/>
          </w:tcPr>
          <w:p>
            <w:pPr>
              <w:spacing w:after="0"/>
              <w:rPr>
                <w:sz w:val="24"/>
                <w:szCs w:val="24"/>
                <w:color w:val="auto"/>
              </w:rPr>
            </w:pPr>
          </w:p>
        </w:tc>
        <w:tc>
          <w:tcPr>
            <w:tcW w:w="500" w:type="dxa"/>
            <w:vAlign w:val="bottom"/>
            <w:tcBorders>
              <w:bottom w:val="single" w:sz="8" w:color="DCE2EF"/>
            </w:tcBorders>
            <w:shd w:val="clear" w:color="auto" w:fill="DCE2EF"/>
          </w:tcPr>
          <w:p>
            <w:pPr>
              <w:spacing w:after="0"/>
              <w:rPr>
                <w:sz w:val="24"/>
                <w:szCs w:val="24"/>
                <w:color w:val="auto"/>
              </w:rPr>
            </w:pPr>
          </w:p>
        </w:tc>
        <w:tc>
          <w:tcPr>
            <w:tcW w:w="4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47.1</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8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60.0</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29.3</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r>
              <w:rPr>
                <w:rFonts w:ascii="Arial" w:cs="Arial" w:eastAsia="Arial" w:hAnsi="Arial"/>
                <w:sz w:val="21"/>
                <w:szCs w:val="21"/>
                <w:color w:val="auto"/>
                <w:vertAlign w:val="superscript"/>
              </w:rPr>
              <w:t>(1)</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53.2</w:t>
            </w:r>
          </w:p>
        </w:tc>
        <w:tc>
          <w:tcPr>
            <w:tcW w:w="2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63.8</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81"/>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Government Services</w:t>
            </w:r>
          </w:p>
        </w:tc>
        <w:tc>
          <w:tcPr>
            <w:tcW w:w="960" w:type="dxa"/>
            <w:vAlign w:val="bottom"/>
          </w:tcPr>
          <w:p>
            <w:pPr>
              <w:spacing w:after="0"/>
              <w:rPr>
                <w:sz w:val="24"/>
                <w:szCs w:val="24"/>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Corporate</w:t>
            </w:r>
            <w:r>
              <w:rPr>
                <w:rFonts w:ascii="Arial" w:cs="Arial" w:eastAsia="Arial" w:hAnsi="Arial"/>
                <w:sz w:val="21"/>
                <w:szCs w:val="21"/>
                <w:color w:val="auto"/>
                <w:vertAlign w:val="superscript"/>
              </w:rPr>
              <w:t>(2)</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(226.6)</w:t>
            </w:r>
          </w:p>
        </w:tc>
        <w:tc>
          <w:tcPr>
            <w:tcW w:w="2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(284.5)</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5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6"/>
                <w:szCs w:val="16"/>
                <w:color w:val="auto"/>
              </w:rPr>
              <w:t>Technical Solutions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tax deductions for energy efficient government</w:t>
            </w:r>
          </w:p>
        </w:tc>
        <w:tc>
          <w:tcPr>
            <w:tcW w:w="960" w:type="dxa"/>
            <w:vAlign w:val="bottom"/>
            <w:shd w:val="clear" w:color="auto" w:fill="DCE2EF"/>
          </w:tcPr>
          <w:p>
            <w:pPr>
              <w:spacing w:after="0"/>
              <w:rPr>
                <w:sz w:val="22"/>
                <w:szCs w:val="22"/>
                <w:color w:val="auto"/>
              </w:rPr>
            </w:pPr>
          </w:p>
        </w:tc>
        <w:tc>
          <w:tcPr>
            <w:tcW w:w="5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DCE2EF"/>
          </w:tcPr>
          <w:p>
            <w:pPr>
              <w:spacing w:after="0"/>
              <w:rPr>
                <w:sz w:val="22"/>
                <w:szCs w:val="22"/>
                <w:color w:val="auto"/>
              </w:rPr>
            </w:pPr>
          </w:p>
        </w:tc>
        <w:tc>
          <w:tcPr>
            <w:tcW w:w="50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c>
          <w:tcPr>
            <w:tcW w:w="58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200" w:type="dxa"/>
            <w:vAlign w:val="bottom"/>
            <w:vMerge w:val="restart"/>
            <w:shd w:val="clear" w:color="auto" w:fill="DCE2EF"/>
          </w:tcPr>
          <w:p>
            <w:pPr>
              <w:spacing w:after="0"/>
              <w:rPr>
                <w:sz w:val="22"/>
                <w:szCs w:val="22"/>
                <w:color w:val="auto"/>
              </w:rPr>
            </w:pPr>
          </w:p>
        </w:tc>
        <w:tc>
          <w:tcPr>
            <w:tcW w:w="15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24"/>
        </w:trPr>
        <w:tc>
          <w:tcPr>
            <w:tcW w:w="60" w:type="dxa"/>
            <w:vAlign w:val="bottom"/>
            <w:tcBorders>
              <w:bottom w:val="single" w:sz="8" w:color="DCE2EF"/>
            </w:tcBorders>
            <w:shd w:val="clear" w:color="auto" w:fill="DCE2EF"/>
          </w:tcPr>
          <w:p>
            <w:pPr>
              <w:spacing w:after="0"/>
              <w:rPr>
                <w:sz w:val="19"/>
                <w:szCs w:val="19"/>
                <w:color w:val="auto"/>
              </w:rPr>
            </w:pPr>
          </w:p>
        </w:tc>
        <w:tc>
          <w:tcPr>
            <w:tcW w:w="620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6"/>
                <w:szCs w:val="16"/>
                <w:color w:val="auto"/>
              </w:rPr>
              <w:t>buildings, included in Technical Solutions</w:t>
            </w:r>
          </w:p>
        </w:tc>
        <w:tc>
          <w:tcPr>
            <w:tcW w:w="960" w:type="dxa"/>
            <w:vAlign w:val="bottom"/>
            <w:tcBorders>
              <w:bottom w:val="single" w:sz="8" w:color="auto"/>
            </w:tcBorders>
            <w:shd w:val="clear" w:color="auto" w:fill="DCE2EF"/>
          </w:tcPr>
          <w:p>
            <w:pPr>
              <w:spacing w:after="0"/>
              <w:rPr>
                <w:sz w:val="19"/>
                <w:szCs w:val="19"/>
                <w:color w:val="auto"/>
              </w:rPr>
            </w:pPr>
          </w:p>
        </w:tc>
        <w:tc>
          <w:tcPr>
            <w:tcW w:w="560" w:type="dxa"/>
            <w:vAlign w:val="bottom"/>
            <w:tcBorders>
              <w:bottom w:val="single" w:sz="8" w:color="auto"/>
            </w:tcBorders>
            <w:vMerge w:val="continue"/>
            <w:shd w:val="clear" w:color="auto" w:fill="DCE2EF"/>
          </w:tcPr>
          <w:p>
            <w:pPr>
              <w:spacing w:after="0"/>
              <w:rPr>
                <w:sz w:val="19"/>
                <w:szCs w:val="19"/>
                <w:color w:val="auto"/>
              </w:rPr>
            </w:pPr>
          </w:p>
        </w:tc>
        <w:tc>
          <w:tcPr>
            <w:tcW w:w="220" w:type="dxa"/>
            <w:vAlign w:val="bottom"/>
            <w:tcBorders>
              <w:bottom w:val="single" w:sz="8" w:color="DCE2EF"/>
            </w:tcBorders>
            <w:shd w:val="clear" w:color="auto" w:fill="DCE2EF"/>
          </w:tcPr>
          <w:p>
            <w:pPr>
              <w:spacing w:after="0"/>
              <w:rPr>
                <w:sz w:val="19"/>
                <w:szCs w:val="19"/>
                <w:color w:val="auto"/>
              </w:rPr>
            </w:pPr>
          </w:p>
        </w:tc>
        <w:tc>
          <w:tcPr>
            <w:tcW w:w="500" w:type="dxa"/>
            <w:vAlign w:val="bottom"/>
            <w:tcBorders>
              <w:bottom w:val="single" w:sz="8" w:color="auto"/>
            </w:tcBorders>
            <w:shd w:val="clear" w:color="auto" w:fill="DCE2EF"/>
          </w:tcPr>
          <w:p>
            <w:pPr>
              <w:spacing w:after="0"/>
              <w:rPr>
                <w:sz w:val="19"/>
                <w:szCs w:val="19"/>
                <w:color w:val="auto"/>
              </w:rPr>
            </w:pPr>
          </w:p>
        </w:tc>
        <w:tc>
          <w:tcPr>
            <w:tcW w:w="440" w:type="dxa"/>
            <w:vAlign w:val="bottom"/>
            <w:tcBorders>
              <w:bottom w:val="single" w:sz="8" w:color="auto"/>
            </w:tcBorders>
            <w:shd w:val="clear" w:color="auto" w:fill="DCE2EF"/>
          </w:tcPr>
          <w:p>
            <w:pPr>
              <w:spacing w:after="0"/>
              <w:rPr>
                <w:sz w:val="19"/>
                <w:szCs w:val="19"/>
                <w:color w:val="auto"/>
              </w:rPr>
            </w:pPr>
          </w:p>
        </w:tc>
        <w:tc>
          <w:tcPr>
            <w:tcW w:w="580" w:type="dxa"/>
            <w:vAlign w:val="bottom"/>
            <w:tcBorders>
              <w:bottom w:val="single" w:sz="8" w:color="auto"/>
            </w:tcBorders>
            <w:vMerge w:val="continue"/>
            <w:shd w:val="clear" w:color="auto" w:fill="DCE2EF"/>
          </w:tcPr>
          <w:p>
            <w:pPr>
              <w:spacing w:after="0"/>
              <w:rPr>
                <w:sz w:val="19"/>
                <w:szCs w:val="19"/>
                <w:color w:val="auto"/>
              </w:rPr>
            </w:pPr>
          </w:p>
        </w:tc>
        <w:tc>
          <w:tcPr>
            <w:tcW w:w="200" w:type="dxa"/>
            <w:vAlign w:val="bottom"/>
            <w:tcBorders>
              <w:bottom w:val="single" w:sz="8" w:color="auto"/>
            </w:tcBorders>
            <w:vMerge w:val="continue"/>
            <w:shd w:val="clear" w:color="auto" w:fill="DCE2EF"/>
          </w:tcPr>
          <w:p>
            <w:pPr>
              <w:spacing w:after="0"/>
              <w:rPr>
                <w:sz w:val="19"/>
                <w:szCs w:val="19"/>
                <w:color w:val="auto"/>
              </w:rPr>
            </w:pPr>
          </w:p>
        </w:tc>
        <w:tc>
          <w:tcPr>
            <w:tcW w:w="1520" w:type="dxa"/>
            <w:vAlign w:val="bottom"/>
            <w:tcBorders>
              <w:bottom w:val="single" w:sz="8" w:color="DCE2EF"/>
            </w:tcBorders>
            <w:vMerge w:val="continue"/>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409.5</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348.8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DCE2EF"/>
            </w:tcBorders>
            <w:shd w:val="clear" w:color="auto" w:fill="DCE2EF"/>
          </w:tcPr>
          <w:p>
            <w:pPr>
              <w:spacing w:after="0"/>
              <w:rPr>
                <w:sz w:val="24"/>
                <w:szCs w:val="24"/>
                <w:color w:val="auto"/>
              </w:rPr>
            </w:pPr>
          </w:p>
        </w:tc>
        <w:tc>
          <w:tcPr>
            <w:tcW w:w="500" w:type="dxa"/>
            <w:vAlign w:val="bottom"/>
            <w:tcBorders>
              <w:bottom w:val="single" w:sz="8" w:color="DCE2EF"/>
            </w:tcBorders>
            <w:shd w:val="clear" w:color="auto" w:fill="DCE2EF"/>
          </w:tcPr>
          <w:p>
            <w:pPr>
              <w:spacing w:after="0"/>
              <w:rPr>
                <w:sz w:val="24"/>
                <w:szCs w:val="24"/>
                <w:color w:val="auto"/>
              </w:rPr>
            </w:pPr>
          </w:p>
        </w:tc>
        <w:tc>
          <w:tcPr>
            <w:tcW w:w="4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304"/>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2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77"/>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bottom w:val="single" w:sz="8" w:color="DCE2EF"/>
            </w:tcBorders>
            <w:shd w:val="clear" w:color="auto" w:fill="DCE2EF"/>
          </w:tcPr>
          <w:p>
            <w:pPr>
              <w:spacing w:after="0"/>
              <w:rPr>
                <w:sz w:val="24"/>
                <w:szCs w:val="24"/>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331.1</w:t>
            </w:r>
          </w:p>
        </w:tc>
        <w:tc>
          <w:tcPr>
            <w:tcW w:w="220" w:type="dxa"/>
            <w:vAlign w:val="bottom"/>
            <w:tcBorders>
              <w:bottom w:val="single" w:sz="8" w:color="DCE2EF"/>
            </w:tcBorders>
            <w:shd w:val="clear" w:color="auto" w:fill="DCE2EF"/>
          </w:tcPr>
          <w:p>
            <w:pPr>
              <w:spacing w:after="0"/>
              <w:rPr>
                <w:sz w:val="24"/>
                <w:szCs w:val="24"/>
                <w:color w:val="auto"/>
              </w:rPr>
            </w:pPr>
          </w:p>
        </w:tc>
        <w:tc>
          <w:tcPr>
            <w:tcW w:w="500" w:type="dxa"/>
            <w:vAlign w:val="bottom"/>
            <w:tcBorders>
              <w:bottom w:val="single" w:sz="8" w:color="DCE2EF"/>
            </w:tcBorders>
            <w:shd w:val="clear" w:color="auto" w:fill="DCE2EF"/>
          </w:tcPr>
          <w:p>
            <w:pPr>
              <w:spacing w:after="0"/>
              <w:rPr>
                <w:sz w:val="24"/>
                <w:szCs w:val="24"/>
                <w:color w:val="auto"/>
              </w:rPr>
            </w:pPr>
          </w:p>
        </w:tc>
        <w:tc>
          <w:tcPr>
            <w:tcW w:w="4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310.0</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82"/>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(79.7)</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9"/>
        </w:trPr>
        <w:tc>
          <w:tcPr>
            <w:tcW w:w="60" w:type="dxa"/>
            <w:vAlign w:val="bottom"/>
            <w:tcBorders>
              <w:bottom w:val="single" w:sz="8" w:color="DCE2EF"/>
            </w:tcBorders>
          </w:tcPr>
          <w:p>
            <w:pPr>
              <w:spacing w:after="0"/>
              <w:rPr>
                <w:sz w:val="2"/>
                <w:szCs w:val="2"/>
                <w:color w:val="auto"/>
              </w:rPr>
            </w:pPr>
          </w:p>
        </w:tc>
        <w:tc>
          <w:tcPr>
            <w:tcW w:w="820" w:type="dxa"/>
            <w:vAlign w:val="bottom"/>
            <w:tcBorders>
              <w:bottom w:val="single" w:sz="8" w:color="DCE2EF"/>
            </w:tcBorders>
          </w:tcPr>
          <w:p>
            <w:pPr>
              <w:spacing w:after="0"/>
              <w:rPr>
                <w:sz w:val="2"/>
                <w:szCs w:val="2"/>
                <w:color w:val="auto"/>
              </w:rPr>
            </w:pPr>
          </w:p>
        </w:tc>
        <w:tc>
          <w:tcPr>
            <w:tcW w:w="53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520" w:type="dxa"/>
            <w:vAlign w:val="bottom"/>
            <w:tcBorders>
              <w:bottom w:val="single" w:sz="8" w:color="DCE2EF"/>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income</w:t>
            </w:r>
          </w:p>
        </w:tc>
        <w:tc>
          <w:tcPr>
            <w:tcW w:w="960" w:type="dxa"/>
            <w:vAlign w:val="bottom"/>
            <w:tcBorders>
              <w:bottom w:val="single" w:sz="8" w:color="DCE2EF"/>
            </w:tcBorders>
            <w:shd w:val="clear" w:color="auto" w:fill="DCE2EF"/>
          </w:tcPr>
          <w:p>
            <w:pPr>
              <w:jc w:val="right"/>
              <w:ind w:right="38"/>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251.3</w:t>
            </w:r>
          </w:p>
        </w:tc>
        <w:tc>
          <w:tcPr>
            <w:tcW w:w="220" w:type="dxa"/>
            <w:vAlign w:val="bottom"/>
            <w:tcBorders>
              <w:bottom w:val="single" w:sz="8" w:color="DCE2EF"/>
            </w:tcBorders>
            <w:shd w:val="clear" w:color="auto" w:fill="DCE2EF"/>
          </w:tcPr>
          <w:p>
            <w:pPr>
              <w:spacing w:after="0"/>
              <w:rPr>
                <w:sz w:val="24"/>
                <w:szCs w:val="24"/>
                <w:color w:val="auto"/>
              </w:rPr>
            </w:pPr>
          </w:p>
        </w:tc>
        <w:tc>
          <w:tcPr>
            <w:tcW w:w="500" w:type="dxa"/>
            <w:vAlign w:val="bottom"/>
            <w:tcBorders>
              <w:bottom w:val="single" w:sz="8" w:color="DCE2EF"/>
            </w:tcBorders>
            <w:shd w:val="clear" w:color="auto" w:fill="DCE2EF"/>
          </w:tcPr>
          <w:p>
            <w:pPr>
              <w:spacing w:after="0"/>
              <w:rPr>
                <w:sz w:val="24"/>
                <w:szCs w:val="24"/>
                <w:color w:val="auto"/>
              </w:rPr>
            </w:pPr>
          </w:p>
        </w:tc>
        <w:tc>
          <w:tcPr>
            <w:tcW w:w="44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230.4</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60" w:type="dxa"/>
            <w:vAlign w:val="bottom"/>
            <w:tcBorders>
              <w:top w:val="single" w:sz="8" w:color="DCE2EF"/>
            </w:tcBorders>
            <w:shd w:val="clear" w:color="auto" w:fill="DCE2EF"/>
          </w:tcPr>
          <w:p>
            <w:pPr>
              <w:spacing w:after="0" w:line="20" w:lineRule="exact"/>
              <w:rPr>
                <w:sz w:val="1"/>
                <w:szCs w:val="1"/>
                <w:color w:val="auto"/>
              </w:rPr>
            </w:pPr>
          </w:p>
        </w:tc>
        <w:tc>
          <w:tcPr>
            <w:tcW w:w="820" w:type="dxa"/>
            <w:vAlign w:val="bottom"/>
            <w:tcBorders>
              <w:top w:val="single" w:sz="8" w:color="DCE2EF"/>
            </w:tcBorders>
            <w:shd w:val="clear" w:color="auto" w:fill="DCE2EF"/>
          </w:tcPr>
          <w:p>
            <w:pPr>
              <w:spacing w:after="0" w:line="20" w:lineRule="exact"/>
              <w:rPr>
                <w:sz w:val="1"/>
                <w:szCs w:val="1"/>
                <w:color w:val="auto"/>
              </w:rPr>
            </w:pPr>
          </w:p>
        </w:tc>
        <w:tc>
          <w:tcPr>
            <w:tcW w:w="5380" w:type="dxa"/>
            <w:vAlign w:val="bottom"/>
            <w:tcBorders>
              <w:top w:val="single" w:sz="8" w:color="DCE2EF"/>
            </w:tcBorders>
            <w:shd w:val="clear" w:color="auto" w:fill="DCE2E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CE2EF"/>
            </w:tcBorders>
            <w:shd w:val="clear" w:color="auto" w:fill="DCE2E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1520" w:type="dxa"/>
            <w:vAlign w:val="bottom"/>
            <w:tcBorders>
              <w:top w:val="single" w:sz="8" w:color="DCE2EF"/>
            </w:tcBorders>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-4811395</wp:posOffset>
            </wp:positionV>
            <wp:extent cx="13716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-4811395</wp:posOffset>
            </wp:positionV>
            <wp:extent cx="13716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-3428365</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-3402330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-3625215</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-3428365</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-3402330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-3625215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-1219200</wp:posOffset>
            </wp:positionV>
            <wp:extent cx="13716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-1219200</wp:posOffset>
            </wp:positionV>
            <wp:extent cx="96012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6012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-628015</wp:posOffset>
            </wp:positionV>
            <wp:extent cx="13716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-628015</wp:posOffset>
            </wp:positionV>
            <wp:extent cx="13716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-33655</wp:posOffset>
            </wp:positionV>
            <wp:extent cx="137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-231140</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-33655</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-231140</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Not meaningful (due to variance greater than or equal to +/-100%)</w:t>
      </w:r>
    </w:p>
    <w:p>
      <w:pPr>
        <w:spacing w:after="0" w:line="94" w:lineRule="exact"/>
        <w:rPr>
          <w:sz w:val="20"/>
          <w:szCs w:val="20"/>
          <w:color w:val="auto"/>
        </w:rPr>
      </w:pPr>
    </w:p>
    <w:p>
      <w:pPr>
        <w:ind w:left="280" w:hanging="163"/>
        <w:spacing w:after="0"/>
        <w:tabs>
          <w:tab w:leader="none" w:pos="2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2022 includes a $7.6 million gain on the sale of certain healthcare customer contracts.</w:t>
      </w:r>
    </w:p>
    <w:p>
      <w:pPr>
        <w:spacing w:after="0" w:line="93" w:lineRule="exact"/>
        <w:rPr>
          <w:rFonts w:ascii="Arial" w:cs="Arial" w:eastAsia="Arial" w:hAnsi="Arial"/>
          <w:sz w:val="19"/>
          <w:szCs w:val="19"/>
          <w:color w:val="auto"/>
          <w:vertAlign w:val="superscript"/>
        </w:rPr>
      </w:pPr>
    </w:p>
    <w:p>
      <w:pPr>
        <w:ind w:left="120" w:right="100" w:hanging="3"/>
        <w:spacing w:after="0" w:line="229" w:lineRule="auto"/>
        <w:tabs>
          <w:tab w:leader="none" w:pos="264"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2023 includes $24.0 million in Employee Retention Credit (ERC) refunds received from the Internal Revenue Service and $45.6 million adjustment to the estimate of the fair value of the contingent consideration associated with the RavenVolt acquisition.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15" w:name="page16"/>
    <w:bookmarkEnd w:id="15"/>
    <w:p>
      <w:pPr>
        <w:ind w:right="4300"/>
        <w:spacing w:after="0" w:line="286" w:lineRule="auto"/>
        <w:rPr>
          <w:sz w:val="20"/>
          <w:szCs w:val="20"/>
          <w:color w:val="auto"/>
        </w:rPr>
      </w:pPr>
      <w:r>
        <w:rPr>
          <w:rFonts w:ascii="Arial" w:cs="Arial" w:eastAsia="Arial" w:hAnsi="Arial"/>
          <w:sz w:val="19"/>
          <w:szCs w:val="19"/>
          <w:b w:val="1"/>
          <w:bCs w:val="1"/>
          <w:color w:val="0046AD"/>
        </w:rPr>
        <w:t>ABM INDUSTRIES INCORPORATED AND SUBSIDIARIES RECONCILIATIONS OF NON-GAAP FINANCIAL MEASURES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0" w:type="dxa"/>
            <w:vAlign w:val="bottom"/>
          </w:tcPr>
          <w:p>
            <w:pPr>
              <w:spacing w:after="0"/>
              <w:rPr>
                <w:sz w:val="14"/>
                <w:szCs w:val="1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 in millions, except per share amounts)</w:t>
            </w:r>
          </w:p>
        </w:tc>
        <w:tc>
          <w:tcPr>
            <w:tcW w:w="3080" w:type="dxa"/>
            <w:vAlign w:val="bottom"/>
            <w:gridSpan w:val="6"/>
          </w:tcPr>
          <w:p>
            <w:pPr>
              <w:ind w:left="340"/>
              <w:spacing w:after="0"/>
              <w:rPr>
                <w:sz w:val="20"/>
                <w:szCs w:val="20"/>
                <w:color w:val="auto"/>
              </w:rPr>
            </w:pPr>
            <w:r>
              <w:rPr>
                <w:rFonts w:ascii="Arial" w:cs="Arial" w:eastAsia="Arial" w:hAnsi="Arial"/>
                <w:sz w:val="13"/>
                <w:szCs w:val="13"/>
                <w:b w:val="1"/>
                <w:bCs w:val="1"/>
                <w:color w:val="auto"/>
              </w:rPr>
              <w:t>Three Months Ended October 31,</w:t>
            </w:r>
          </w:p>
        </w:tc>
        <w:tc>
          <w:tcPr>
            <w:tcW w:w="2360" w:type="dxa"/>
            <w:vAlign w:val="bottom"/>
            <w:gridSpan w:val="4"/>
          </w:tcPr>
          <w:p>
            <w:pPr>
              <w:ind w:left="580"/>
              <w:spacing w:after="0"/>
              <w:rPr>
                <w:sz w:val="20"/>
                <w:szCs w:val="20"/>
                <w:color w:val="auto"/>
              </w:rPr>
            </w:pPr>
            <w:r>
              <w:rPr>
                <w:rFonts w:ascii="Arial" w:cs="Arial" w:eastAsia="Arial" w:hAnsi="Arial"/>
                <w:sz w:val="13"/>
                <w:szCs w:val="13"/>
                <w:b w:val="1"/>
                <w:bCs w:val="1"/>
                <w:color w:val="auto"/>
              </w:rPr>
              <w:t>Years Ended October 31,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880" w:type="dxa"/>
            <w:vAlign w:val="bottom"/>
          </w:tcPr>
          <w:p>
            <w:pPr>
              <w:jc w:val="center"/>
              <w:ind w:left="329"/>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center"/>
              <w:ind w:left="32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60" w:type="dxa"/>
            <w:vAlign w:val="bottom"/>
            <w:tcBorders>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b w:val="1"/>
                <w:bCs w:val="1"/>
                <w:color w:val="auto"/>
              </w:rPr>
              <w:t>Reconciliation of Net Income to Adjusted Net Income</w:t>
            </w:r>
          </w:p>
        </w:tc>
        <w:tc>
          <w:tcPr>
            <w:tcW w:w="880" w:type="dxa"/>
            <w:vAlign w:val="bottom"/>
            <w:tcBorders>
              <w:top w:val="single" w:sz="8" w:color="auto"/>
            </w:tcBorders>
            <w:shd w:val="clear" w:color="auto" w:fill="DCE2EF"/>
          </w:tcPr>
          <w:p>
            <w:pPr>
              <w:spacing w:after="0"/>
              <w:rPr>
                <w:sz w:val="23"/>
                <w:szCs w:val="23"/>
                <w:color w:val="auto"/>
              </w:rPr>
            </w:pPr>
          </w:p>
        </w:tc>
        <w:tc>
          <w:tcPr>
            <w:tcW w:w="420" w:type="dxa"/>
            <w:vAlign w:val="bottom"/>
            <w:tcBorders>
              <w:top w:val="single" w:sz="8" w:color="auto"/>
            </w:tcBorders>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860" w:type="dxa"/>
            <w:vAlign w:val="bottom"/>
            <w:tcBorders>
              <w:top w:val="single" w:sz="8" w:color="auto"/>
            </w:tcBorders>
            <w:shd w:val="clear" w:color="auto" w:fill="DCE2EF"/>
          </w:tcPr>
          <w:p>
            <w:pPr>
              <w:spacing w:after="0"/>
              <w:rPr>
                <w:sz w:val="23"/>
                <w:szCs w:val="23"/>
                <w:color w:val="auto"/>
              </w:rPr>
            </w:pPr>
          </w:p>
        </w:tc>
        <w:tc>
          <w:tcPr>
            <w:tcW w:w="460" w:type="dxa"/>
            <w:vAlign w:val="bottom"/>
            <w:tcBorders>
              <w:top w:val="single" w:sz="8" w:color="auto"/>
              <w:right w:val="single" w:sz="8" w:color="DCE2EF"/>
            </w:tcBorders>
            <w:shd w:val="clear" w:color="auto" w:fill="DCE2EF"/>
          </w:tcPr>
          <w:p>
            <w:pPr>
              <w:spacing w:after="0"/>
              <w:rPr>
                <w:sz w:val="23"/>
                <w:szCs w:val="23"/>
                <w:color w:val="auto"/>
              </w:rPr>
            </w:pPr>
          </w:p>
        </w:tc>
        <w:tc>
          <w:tcPr>
            <w:tcW w:w="220" w:type="dxa"/>
            <w:vAlign w:val="bottom"/>
            <w:tcBorders>
              <w:right w:val="single" w:sz="8" w:color="DCE2EF"/>
            </w:tcBorders>
            <w:shd w:val="clear" w:color="auto" w:fill="DCE2EF"/>
          </w:tcPr>
          <w:p>
            <w:pPr>
              <w:spacing w:after="0"/>
              <w:rPr>
                <w:sz w:val="23"/>
                <w:szCs w:val="23"/>
                <w:color w:val="auto"/>
              </w:rPr>
            </w:pPr>
          </w:p>
        </w:tc>
        <w:tc>
          <w:tcPr>
            <w:tcW w:w="840" w:type="dxa"/>
            <w:vAlign w:val="bottom"/>
            <w:tcBorders>
              <w:top w:val="single" w:sz="8" w:color="auto"/>
            </w:tcBorders>
            <w:shd w:val="clear" w:color="auto" w:fill="DCE2EF"/>
          </w:tcPr>
          <w:p>
            <w:pPr>
              <w:spacing w:after="0"/>
              <w:rPr>
                <w:sz w:val="23"/>
                <w:szCs w:val="23"/>
                <w:color w:val="auto"/>
              </w:rPr>
            </w:pPr>
          </w:p>
        </w:tc>
        <w:tc>
          <w:tcPr>
            <w:tcW w:w="460" w:type="dxa"/>
            <w:vAlign w:val="bottom"/>
            <w:tcBorders>
              <w:top w:val="single" w:sz="8" w:color="auto"/>
              <w:right w:val="single" w:sz="8" w:color="DCE2EF"/>
            </w:tcBorders>
            <w:shd w:val="clear" w:color="auto" w:fill="DCE2EF"/>
          </w:tcPr>
          <w:p>
            <w:pPr>
              <w:spacing w:after="0"/>
              <w:rPr>
                <w:sz w:val="23"/>
                <w:szCs w:val="23"/>
                <w:color w:val="auto"/>
              </w:rPr>
            </w:pPr>
          </w:p>
        </w:tc>
        <w:tc>
          <w:tcPr>
            <w:tcW w:w="220" w:type="dxa"/>
            <w:vAlign w:val="bottom"/>
            <w:tcBorders>
              <w:right w:val="single" w:sz="8" w:color="DCE2EF"/>
            </w:tcBorders>
            <w:shd w:val="clear" w:color="auto" w:fill="DCE2EF"/>
          </w:tcPr>
          <w:p>
            <w:pPr>
              <w:spacing w:after="0"/>
              <w:rPr>
                <w:sz w:val="23"/>
                <w:szCs w:val="23"/>
                <w:color w:val="auto"/>
              </w:rPr>
            </w:pPr>
          </w:p>
        </w:tc>
        <w:tc>
          <w:tcPr>
            <w:tcW w:w="840" w:type="dxa"/>
            <w:vAlign w:val="bottom"/>
            <w:tcBorders>
              <w:top w:val="single" w:sz="8" w:color="auto"/>
            </w:tcBorders>
            <w:shd w:val="clear" w:color="auto" w:fill="DCE2EF"/>
          </w:tcPr>
          <w:p>
            <w:pPr>
              <w:spacing w:after="0"/>
              <w:rPr>
                <w:sz w:val="23"/>
                <w:szCs w:val="23"/>
                <w:color w:val="auto"/>
              </w:rPr>
            </w:pPr>
          </w:p>
        </w:tc>
        <w:tc>
          <w:tcPr>
            <w:tcW w:w="440" w:type="dxa"/>
            <w:vAlign w:val="bottom"/>
            <w:tcBorders>
              <w:top w:val="single" w:sz="8" w:color="auto"/>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360" w:type="dxa"/>
            <w:vAlign w:val="bottom"/>
            <w:gridSpan w:val="3"/>
          </w:tcPr>
          <w:p>
            <w:pPr>
              <w:ind w:left="6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62.8</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48.9</w:t>
            </w:r>
          </w:p>
        </w:tc>
        <w:tc>
          <w:tcPr>
            <w:tcW w:w="220" w:type="dxa"/>
            <w:vAlign w:val="bottom"/>
          </w:tcPr>
          <w:p>
            <w:pPr>
              <w:spacing w:after="0"/>
              <w:rPr>
                <w:sz w:val="22"/>
                <w:szCs w:val="22"/>
                <w:color w:val="auto"/>
              </w:rPr>
            </w:pPr>
          </w:p>
        </w:tc>
        <w:tc>
          <w:tcPr>
            <w:tcW w:w="840" w:type="dxa"/>
            <w:vAlign w:val="bottom"/>
          </w:tcPr>
          <w:p>
            <w:pPr>
              <w:jc w:val="center"/>
              <w:ind w:left="32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251.3</w:t>
            </w:r>
          </w:p>
        </w:tc>
        <w:tc>
          <w:tcPr>
            <w:tcW w:w="220" w:type="dxa"/>
            <w:vAlign w:val="bottom"/>
          </w:tcPr>
          <w:p>
            <w:pPr>
              <w:spacing w:after="0"/>
              <w:rPr>
                <w:sz w:val="22"/>
                <w:szCs w:val="22"/>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230.4</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60" w:type="dxa"/>
            <w:vAlign w:val="bottom"/>
            <w:tcBorders>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color w:val="auto"/>
              </w:rPr>
              <w:t>Items impacting comparability</w:t>
            </w:r>
            <w:r>
              <w:rPr>
                <w:rFonts w:ascii="Arial" w:cs="Arial" w:eastAsia="Arial" w:hAnsi="Arial"/>
                <w:sz w:val="19"/>
                <w:szCs w:val="19"/>
                <w:color w:val="auto"/>
                <w:vertAlign w:val="superscript"/>
              </w:rPr>
              <w:t>(a)</w:t>
            </w:r>
          </w:p>
        </w:tc>
        <w:tc>
          <w:tcPr>
            <w:tcW w:w="88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460" w:type="dxa"/>
            <w:vAlign w:val="bottom"/>
            <w:tcBorders>
              <w:right w:val="single" w:sz="8" w:color="DCE2EF"/>
            </w:tcBorders>
            <w:shd w:val="clear" w:color="auto" w:fill="DCE2EF"/>
          </w:tcPr>
          <w:p>
            <w:pPr>
              <w:spacing w:after="0"/>
              <w:rPr>
                <w:sz w:val="24"/>
                <w:szCs w:val="24"/>
                <w:color w:val="auto"/>
              </w:rPr>
            </w:pPr>
          </w:p>
        </w:tc>
        <w:tc>
          <w:tcPr>
            <w:tcW w:w="220" w:type="dxa"/>
            <w:vAlign w:val="bottom"/>
            <w:tcBorders>
              <w:right w:val="single" w:sz="8" w:color="DCE2EF"/>
            </w:tcBorders>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460" w:type="dxa"/>
            <w:vAlign w:val="bottom"/>
            <w:tcBorders>
              <w:right w:val="single" w:sz="8" w:color="DCE2EF"/>
            </w:tcBorders>
            <w:shd w:val="clear" w:color="auto" w:fill="DCE2EF"/>
          </w:tcPr>
          <w:p>
            <w:pPr>
              <w:spacing w:after="0"/>
              <w:rPr>
                <w:sz w:val="24"/>
                <w:szCs w:val="24"/>
                <w:color w:val="auto"/>
              </w:rPr>
            </w:pPr>
          </w:p>
        </w:tc>
        <w:tc>
          <w:tcPr>
            <w:tcW w:w="220" w:type="dxa"/>
            <w:vAlign w:val="bottom"/>
            <w:tcBorders>
              <w:right w:val="single" w:sz="8" w:color="DCE2EF"/>
            </w:tcBorders>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color w:val="auto"/>
              </w:rPr>
              <w:t>Prior year self-insurance adjustment</w:t>
            </w:r>
            <w:r>
              <w:rPr>
                <w:rFonts w:ascii="Arial" w:cs="Arial" w:eastAsia="Arial" w:hAnsi="Arial"/>
                <w:sz w:val="19"/>
                <w:szCs w:val="19"/>
                <w:color w:val="auto"/>
                <w:vertAlign w:val="superscript"/>
              </w:rPr>
              <w:t>(b)</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(9.5)</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(11.3)</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63"/>
        </w:trPr>
        <w:tc>
          <w:tcPr>
            <w:tcW w:w="60" w:type="dxa"/>
            <w:vAlign w:val="bottom"/>
            <w:tcBorders>
              <w:bottom w:val="single" w:sz="8" w:color="DCE2EF"/>
            </w:tcBorders>
            <w:shd w:val="clear" w:color="auto" w:fill="DCE2EF"/>
          </w:tcPr>
          <w:p>
            <w:pPr>
              <w:spacing w:after="0"/>
              <w:rPr>
                <w:sz w:val="22"/>
                <w:szCs w:val="22"/>
                <w:color w:val="auto"/>
              </w:rPr>
            </w:pPr>
          </w:p>
        </w:tc>
        <w:tc>
          <w:tcPr>
            <w:tcW w:w="5300" w:type="dxa"/>
            <w:vAlign w:val="bottom"/>
            <w:tcBorders>
              <w:bottom w:val="single" w:sz="8" w:color="DCE2EF"/>
              <w:right w:val="single" w:sz="8" w:color="DCE2EF"/>
            </w:tcBorders>
            <w:gridSpan w:val="2"/>
            <w:shd w:val="clear" w:color="auto" w:fill="DCE2EF"/>
          </w:tcPr>
          <w:p>
            <w:pPr>
              <w:ind w:left="120"/>
              <w:spacing w:after="0"/>
              <w:rPr>
                <w:sz w:val="20"/>
                <w:szCs w:val="20"/>
                <w:color w:val="auto"/>
              </w:rPr>
            </w:pPr>
            <w:r>
              <w:rPr>
                <w:rFonts w:ascii="Arial" w:cs="Arial" w:eastAsia="Arial" w:hAnsi="Arial"/>
                <w:sz w:val="14"/>
                <w:szCs w:val="14"/>
                <w:color w:val="auto"/>
              </w:rPr>
              <w:t>Legal costs and other settlements</w:t>
            </w:r>
          </w:p>
        </w:tc>
        <w:tc>
          <w:tcPr>
            <w:tcW w:w="880" w:type="dxa"/>
            <w:vAlign w:val="bottom"/>
            <w:tcBorders>
              <w:bottom w:val="single" w:sz="8" w:color="DCE2EF"/>
            </w:tcBorders>
            <w:shd w:val="clear" w:color="auto" w:fill="DCE2EF"/>
          </w:tcPr>
          <w:p>
            <w:pPr>
              <w:spacing w:after="0"/>
              <w:rPr>
                <w:sz w:val="22"/>
                <w:szCs w:val="22"/>
                <w:color w:val="auto"/>
              </w:rPr>
            </w:pPr>
          </w:p>
        </w:tc>
        <w:tc>
          <w:tcPr>
            <w:tcW w:w="4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DCE2EF"/>
            </w:tcBorders>
            <w:shd w:val="clear" w:color="auto" w:fill="DCE2EF"/>
          </w:tcPr>
          <w:p>
            <w:pPr>
              <w:spacing w:after="0"/>
              <w:rPr>
                <w:sz w:val="22"/>
                <w:szCs w:val="22"/>
                <w:color w:val="auto"/>
              </w:rPr>
            </w:pPr>
          </w:p>
        </w:tc>
        <w:tc>
          <w:tcPr>
            <w:tcW w:w="860" w:type="dxa"/>
            <w:vAlign w:val="bottom"/>
            <w:tcBorders>
              <w:bottom w:val="single" w:sz="8" w:color="DCE2EF"/>
            </w:tcBorders>
            <w:shd w:val="clear" w:color="auto" w:fill="DCE2EF"/>
          </w:tcPr>
          <w:p>
            <w:pPr>
              <w:spacing w:after="0"/>
              <w:rPr>
                <w:sz w:val="22"/>
                <w:szCs w:val="22"/>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spacing w:after="0"/>
              <w:rPr>
                <w:sz w:val="22"/>
                <w:szCs w:val="22"/>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spacing w:after="0"/>
              <w:rPr>
                <w:sz w:val="22"/>
                <w:szCs w:val="22"/>
                <w:color w:val="auto"/>
              </w:rPr>
            </w:pP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color w:val="auto"/>
              </w:rPr>
              <w:t>Acquisition and integration related costs</w:t>
            </w:r>
            <w:r>
              <w:rPr>
                <w:rFonts w:ascii="Arial" w:cs="Arial" w:eastAsia="Arial" w:hAnsi="Arial"/>
                <w:sz w:val="19"/>
                <w:szCs w:val="19"/>
                <w:color w:val="auto"/>
                <w:vertAlign w:val="superscript"/>
              </w:rPr>
              <w:t>(c)</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14.3</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83"/>
        </w:trPr>
        <w:tc>
          <w:tcPr>
            <w:tcW w:w="60" w:type="dxa"/>
            <w:vAlign w:val="bottom"/>
            <w:shd w:val="clear" w:color="auto" w:fill="DCE2EF"/>
          </w:tcPr>
          <w:p>
            <w:pPr>
              <w:spacing w:after="0"/>
              <w:rPr>
                <w:sz w:val="24"/>
                <w:szCs w:val="24"/>
                <w:color w:val="auto"/>
              </w:rPr>
            </w:pPr>
          </w:p>
        </w:tc>
        <w:tc>
          <w:tcPr>
            <w:tcW w:w="5300" w:type="dxa"/>
            <w:vAlign w:val="bottom"/>
            <w:tcBorders>
              <w:right w:val="single" w:sz="8" w:color="DCE2EF"/>
            </w:tcBorders>
            <w:gridSpan w:val="2"/>
            <w:shd w:val="clear" w:color="auto" w:fill="DCE2EF"/>
          </w:tcPr>
          <w:p>
            <w:pPr>
              <w:ind w:left="120"/>
              <w:spacing w:after="0"/>
              <w:rPr>
                <w:sz w:val="20"/>
                <w:szCs w:val="20"/>
                <w:color w:val="auto"/>
              </w:rPr>
            </w:pPr>
            <w:r>
              <w:rPr>
                <w:rFonts w:ascii="Arial" w:cs="Arial" w:eastAsia="Arial" w:hAnsi="Arial"/>
                <w:sz w:val="14"/>
                <w:szCs w:val="14"/>
                <w:color w:val="auto"/>
              </w:rPr>
              <w:t>Transformation initiative costs</w:t>
            </w:r>
            <w:r>
              <w:rPr>
                <w:rFonts w:ascii="Arial" w:cs="Arial" w:eastAsia="Arial" w:hAnsi="Arial"/>
                <w:sz w:val="19"/>
                <w:szCs w:val="19"/>
                <w:color w:val="auto"/>
                <w:vertAlign w:val="superscript"/>
              </w:rPr>
              <w:t>(d)</w:t>
            </w:r>
          </w:p>
        </w:tc>
        <w:tc>
          <w:tcPr>
            <w:tcW w:w="880" w:type="dxa"/>
            <w:vAlign w:val="bottom"/>
            <w:shd w:val="clear" w:color="auto" w:fill="DCE2EF"/>
          </w:tcPr>
          <w:p>
            <w:pPr>
              <w:spacing w:after="0"/>
              <w:rPr>
                <w:sz w:val="24"/>
                <w:szCs w:val="24"/>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10.6</w:t>
            </w:r>
          </w:p>
        </w:tc>
        <w:tc>
          <w:tcPr>
            <w:tcW w:w="24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18.3</w:t>
            </w:r>
          </w:p>
        </w:tc>
        <w:tc>
          <w:tcPr>
            <w:tcW w:w="220" w:type="dxa"/>
            <w:vAlign w:val="bottom"/>
            <w:tcBorders>
              <w:right w:val="single" w:sz="8" w:color="DCE2EF"/>
            </w:tcBorders>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56.5</w:t>
            </w:r>
          </w:p>
        </w:tc>
        <w:tc>
          <w:tcPr>
            <w:tcW w:w="220" w:type="dxa"/>
            <w:vAlign w:val="bottom"/>
            <w:tcBorders>
              <w:right w:val="single" w:sz="8" w:color="DCE2EF"/>
            </w:tcBorders>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color w:val="auto"/>
              </w:rPr>
              <w:t>Sale of healthcare customer contracts</w:t>
            </w:r>
            <w:r>
              <w:rPr>
                <w:rFonts w:ascii="Arial" w:cs="Arial" w:eastAsia="Arial" w:hAnsi="Arial"/>
                <w:sz w:val="19"/>
                <w:szCs w:val="19"/>
                <w:color w:val="auto"/>
                <w:vertAlign w:val="superscript"/>
              </w:rPr>
              <w:t>(e)</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84"/>
        </w:trPr>
        <w:tc>
          <w:tcPr>
            <w:tcW w:w="60" w:type="dxa"/>
            <w:vAlign w:val="bottom"/>
            <w:shd w:val="clear" w:color="auto" w:fill="DCE2EF"/>
          </w:tcPr>
          <w:p>
            <w:pPr>
              <w:spacing w:after="0"/>
              <w:rPr>
                <w:sz w:val="24"/>
                <w:szCs w:val="24"/>
                <w:color w:val="auto"/>
              </w:rPr>
            </w:pPr>
          </w:p>
        </w:tc>
        <w:tc>
          <w:tcPr>
            <w:tcW w:w="5300" w:type="dxa"/>
            <w:vAlign w:val="bottom"/>
            <w:tcBorders>
              <w:right w:val="single" w:sz="8" w:color="DCE2EF"/>
            </w:tcBorders>
            <w:gridSpan w:val="2"/>
            <w:shd w:val="clear" w:color="auto" w:fill="DCE2EF"/>
          </w:tcPr>
          <w:p>
            <w:pPr>
              <w:ind w:left="120"/>
              <w:spacing w:after="0"/>
              <w:rPr>
                <w:sz w:val="20"/>
                <w:szCs w:val="20"/>
                <w:color w:val="auto"/>
              </w:rPr>
            </w:pPr>
            <w:r>
              <w:rPr>
                <w:rFonts w:ascii="Arial" w:cs="Arial" w:eastAsia="Arial" w:hAnsi="Arial"/>
                <w:sz w:val="14"/>
                <w:szCs w:val="14"/>
                <w:color w:val="auto"/>
              </w:rPr>
              <w:t>Change in fair value of contingent consideration</w:t>
            </w:r>
            <w:r>
              <w:rPr>
                <w:rFonts w:ascii="Arial" w:cs="Arial" w:eastAsia="Arial" w:hAnsi="Arial"/>
                <w:sz w:val="19"/>
                <w:szCs w:val="19"/>
                <w:color w:val="auto"/>
                <w:vertAlign w:val="superscript"/>
              </w:rPr>
              <w:t>(f)</w:t>
            </w:r>
          </w:p>
        </w:tc>
        <w:tc>
          <w:tcPr>
            <w:tcW w:w="880" w:type="dxa"/>
            <w:vAlign w:val="bottom"/>
            <w:shd w:val="clear" w:color="auto" w:fill="DCE2EF"/>
          </w:tcPr>
          <w:p>
            <w:pPr>
              <w:spacing w:after="0"/>
              <w:rPr>
                <w:sz w:val="24"/>
                <w:szCs w:val="24"/>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680" w:type="dxa"/>
            <w:vAlign w:val="bottom"/>
            <w:tcBorders>
              <w:right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DCE2EF"/>
          </w:tcPr>
          <w:p>
            <w:pPr>
              <w:spacing w:after="0"/>
              <w:rPr>
                <w:sz w:val="24"/>
                <w:szCs w:val="24"/>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(45.6)</w:t>
            </w:r>
          </w:p>
        </w:tc>
        <w:tc>
          <w:tcPr>
            <w:tcW w:w="220" w:type="dxa"/>
            <w:vAlign w:val="bottom"/>
            <w:tcBorders>
              <w:right w:val="single" w:sz="8" w:color="DCE2EF"/>
            </w:tcBorders>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color w:val="auto"/>
              </w:rPr>
              <w:t>Employee Retention Credit</w:t>
            </w:r>
            <w:r>
              <w:rPr>
                <w:rFonts w:ascii="Arial" w:cs="Arial" w:eastAsia="Arial" w:hAnsi="Arial"/>
                <w:sz w:val="19"/>
                <w:szCs w:val="19"/>
                <w:color w:val="auto"/>
                <w:vertAlign w:val="superscript"/>
              </w:rPr>
              <w:t>(g)</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(24.0)</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60" w:type="dxa"/>
            <w:vAlign w:val="bottom"/>
            <w:shd w:val="clear" w:color="auto" w:fill="DCE2EF"/>
          </w:tcPr>
          <w:p>
            <w:pPr>
              <w:spacing w:after="0"/>
              <w:rPr>
                <w:sz w:val="24"/>
                <w:szCs w:val="24"/>
                <w:color w:val="auto"/>
              </w:rPr>
            </w:pPr>
          </w:p>
        </w:tc>
        <w:tc>
          <w:tcPr>
            <w:tcW w:w="5300" w:type="dxa"/>
            <w:vAlign w:val="bottom"/>
            <w:tcBorders>
              <w:right w:val="single" w:sz="8" w:color="DCE2EF"/>
            </w:tcBorders>
            <w:gridSpan w:val="2"/>
            <w:shd w:val="clear" w:color="auto" w:fill="DCE2EF"/>
          </w:tcPr>
          <w:p>
            <w:pPr>
              <w:ind w:left="120"/>
              <w:spacing w:after="0"/>
              <w:rPr>
                <w:sz w:val="20"/>
                <w:szCs w:val="20"/>
                <w:color w:val="auto"/>
              </w:rPr>
            </w:pPr>
            <w:r>
              <w:rPr>
                <w:rFonts w:ascii="Arial" w:cs="Arial" w:eastAsia="Arial" w:hAnsi="Arial"/>
                <w:sz w:val="14"/>
                <w:szCs w:val="14"/>
                <w:color w:val="auto"/>
              </w:rPr>
              <w:t>Union Benefits</w:t>
            </w:r>
            <w:r>
              <w:rPr>
                <w:rFonts w:ascii="Arial" w:cs="Arial" w:eastAsia="Arial" w:hAnsi="Arial"/>
                <w:sz w:val="19"/>
                <w:szCs w:val="19"/>
                <w:color w:val="auto"/>
                <w:vertAlign w:val="superscript"/>
              </w:rPr>
              <w:t>(h)</w:t>
            </w:r>
          </w:p>
        </w:tc>
        <w:tc>
          <w:tcPr>
            <w:tcW w:w="880" w:type="dxa"/>
            <w:vAlign w:val="bottom"/>
            <w:shd w:val="clear" w:color="auto" w:fill="DCE2EF"/>
          </w:tcPr>
          <w:p>
            <w:pPr>
              <w:spacing w:after="0"/>
              <w:rPr>
                <w:sz w:val="24"/>
                <w:szCs w:val="24"/>
                <w:color w:val="auto"/>
              </w:rPr>
            </w:pP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0.5</w:t>
            </w:r>
          </w:p>
        </w:tc>
        <w:tc>
          <w:tcPr>
            <w:tcW w:w="24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680" w:type="dxa"/>
            <w:vAlign w:val="bottom"/>
            <w:tcBorders>
              <w:right w:val="single" w:sz="8" w:color="DCE2EF"/>
            </w:tcBorders>
            <w:gridSpan w:val="2"/>
            <w:vMerge w:val="restart"/>
            <w:shd w:val="clear" w:color="auto" w:fill="DCE2E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DCE2EF"/>
          </w:tcPr>
          <w:p>
            <w:pPr>
              <w:spacing w:after="0"/>
              <w:rPr>
                <w:sz w:val="24"/>
                <w:szCs w:val="24"/>
                <w:color w:val="auto"/>
              </w:rPr>
            </w:pPr>
          </w:p>
        </w:tc>
        <w:tc>
          <w:tcPr>
            <w:tcW w:w="460" w:type="dxa"/>
            <w:vAlign w:val="bottom"/>
            <w:tcBorders>
              <w:right w:val="single" w:sz="8" w:color="DCE2EF"/>
            </w:tcBorders>
            <w:vMerge w:val="restart"/>
            <w:shd w:val="clear" w:color="auto" w:fill="DCE2EF"/>
          </w:tcPr>
          <w:p>
            <w:pPr>
              <w:jc w:val="right"/>
              <w:spacing w:after="0"/>
              <w:rPr>
                <w:sz w:val="20"/>
                <w:szCs w:val="20"/>
                <w:color w:val="auto"/>
              </w:rPr>
            </w:pPr>
            <w:r>
              <w:rPr>
                <w:rFonts w:ascii="Arial" w:cs="Arial" w:eastAsia="Arial" w:hAnsi="Arial"/>
                <w:sz w:val="14"/>
                <w:szCs w:val="14"/>
                <w:color w:val="auto"/>
              </w:rPr>
              <w:t>0.5</w:t>
            </w:r>
          </w:p>
        </w:tc>
        <w:tc>
          <w:tcPr>
            <w:tcW w:w="220" w:type="dxa"/>
            <w:vAlign w:val="bottom"/>
            <w:tcBorders>
              <w:right w:val="single" w:sz="8" w:color="DCE2EF"/>
            </w:tcBorders>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44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60" w:type="dxa"/>
            <w:vAlign w:val="bottom"/>
            <w:tcBorders>
              <w:bottom w:val="single" w:sz="8" w:color="DCE2EF"/>
            </w:tcBorders>
            <w:shd w:val="clear" w:color="auto" w:fill="DCE2EF"/>
          </w:tcPr>
          <w:p>
            <w:pPr>
              <w:spacing w:after="0"/>
              <w:rPr>
                <w:sz w:val="4"/>
                <w:szCs w:val="4"/>
                <w:color w:val="auto"/>
              </w:rPr>
            </w:pPr>
          </w:p>
        </w:tc>
        <w:tc>
          <w:tcPr>
            <w:tcW w:w="2240" w:type="dxa"/>
            <w:vAlign w:val="bottom"/>
            <w:tcBorders>
              <w:bottom w:val="single" w:sz="8" w:color="DCE2EF"/>
            </w:tcBorders>
            <w:shd w:val="clear" w:color="auto" w:fill="DCE2EF"/>
          </w:tcPr>
          <w:p>
            <w:pPr>
              <w:spacing w:after="0"/>
              <w:rPr>
                <w:sz w:val="4"/>
                <w:szCs w:val="4"/>
                <w:color w:val="auto"/>
              </w:rPr>
            </w:pPr>
          </w:p>
        </w:tc>
        <w:tc>
          <w:tcPr>
            <w:tcW w:w="3060" w:type="dxa"/>
            <w:vAlign w:val="bottom"/>
            <w:tcBorders>
              <w:bottom w:val="single" w:sz="8" w:color="DCE2EF"/>
              <w:right w:val="single" w:sz="8" w:color="DCE2EF"/>
            </w:tcBorders>
            <w:shd w:val="clear" w:color="auto" w:fill="DCE2EF"/>
          </w:tcPr>
          <w:p>
            <w:pPr>
              <w:spacing w:after="0"/>
              <w:rPr>
                <w:sz w:val="4"/>
                <w:szCs w:val="4"/>
                <w:color w:val="auto"/>
              </w:rPr>
            </w:pPr>
          </w:p>
        </w:tc>
        <w:tc>
          <w:tcPr>
            <w:tcW w:w="880" w:type="dxa"/>
            <w:vAlign w:val="bottom"/>
            <w:tcBorders>
              <w:bottom w:val="single" w:sz="8" w:color="DCE2EF"/>
            </w:tcBorders>
            <w:shd w:val="clear" w:color="auto" w:fill="DCE2EF"/>
          </w:tcPr>
          <w:p>
            <w:pPr>
              <w:spacing w:after="0"/>
              <w:rPr>
                <w:sz w:val="4"/>
                <w:szCs w:val="4"/>
                <w:color w:val="auto"/>
              </w:rPr>
            </w:pPr>
          </w:p>
        </w:tc>
        <w:tc>
          <w:tcPr>
            <w:tcW w:w="420" w:type="dxa"/>
            <w:vAlign w:val="bottom"/>
            <w:tcBorders>
              <w:bottom w:val="single" w:sz="8" w:color="DCE2EF"/>
            </w:tcBorders>
            <w:vMerge w:val="continue"/>
            <w:shd w:val="clear" w:color="auto" w:fill="DCE2EF"/>
          </w:tcPr>
          <w:p>
            <w:pPr>
              <w:spacing w:after="0"/>
              <w:rPr>
                <w:sz w:val="4"/>
                <w:szCs w:val="4"/>
                <w:color w:val="auto"/>
              </w:rPr>
            </w:pPr>
          </w:p>
        </w:tc>
        <w:tc>
          <w:tcPr>
            <w:tcW w:w="240" w:type="dxa"/>
            <w:vAlign w:val="bottom"/>
            <w:tcBorders>
              <w:bottom w:val="single" w:sz="8" w:color="DCE2EF"/>
            </w:tcBorders>
            <w:shd w:val="clear" w:color="auto" w:fill="DCE2EF"/>
          </w:tcPr>
          <w:p>
            <w:pPr>
              <w:spacing w:after="0"/>
              <w:rPr>
                <w:sz w:val="4"/>
                <w:szCs w:val="4"/>
                <w:color w:val="auto"/>
              </w:rPr>
            </w:pPr>
          </w:p>
        </w:tc>
        <w:tc>
          <w:tcPr>
            <w:tcW w:w="860" w:type="dxa"/>
            <w:vAlign w:val="bottom"/>
            <w:tcBorders>
              <w:bottom w:val="single" w:sz="8" w:color="DCE2EF"/>
            </w:tcBorders>
            <w:shd w:val="clear" w:color="auto" w:fill="DCE2EF"/>
          </w:tcPr>
          <w:p>
            <w:pPr>
              <w:spacing w:after="0"/>
              <w:rPr>
                <w:sz w:val="4"/>
                <w:szCs w:val="4"/>
                <w:color w:val="auto"/>
              </w:rPr>
            </w:pPr>
          </w:p>
        </w:tc>
        <w:tc>
          <w:tcPr>
            <w:tcW w:w="680" w:type="dxa"/>
            <w:vAlign w:val="bottom"/>
            <w:tcBorders>
              <w:bottom w:val="single" w:sz="8" w:color="DCE2EF"/>
              <w:right w:val="single" w:sz="8" w:color="DCE2EF"/>
            </w:tcBorders>
            <w:gridSpan w:val="2"/>
            <w:vMerge w:val="continue"/>
            <w:shd w:val="clear" w:color="auto" w:fill="DCE2EF"/>
          </w:tcPr>
          <w:p>
            <w:pPr>
              <w:spacing w:after="0"/>
              <w:rPr>
                <w:sz w:val="4"/>
                <w:szCs w:val="4"/>
                <w:color w:val="auto"/>
              </w:rPr>
            </w:pPr>
          </w:p>
        </w:tc>
        <w:tc>
          <w:tcPr>
            <w:tcW w:w="840" w:type="dxa"/>
            <w:vAlign w:val="bottom"/>
            <w:tcBorders>
              <w:bottom w:val="single" w:sz="8" w:color="DCE2EF"/>
            </w:tcBorders>
            <w:shd w:val="clear" w:color="auto" w:fill="DCE2EF"/>
          </w:tcPr>
          <w:p>
            <w:pPr>
              <w:spacing w:after="0"/>
              <w:rPr>
                <w:sz w:val="4"/>
                <w:szCs w:val="4"/>
                <w:color w:val="auto"/>
              </w:rPr>
            </w:pPr>
          </w:p>
        </w:tc>
        <w:tc>
          <w:tcPr>
            <w:tcW w:w="460" w:type="dxa"/>
            <w:vAlign w:val="bottom"/>
            <w:tcBorders>
              <w:bottom w:val="single" w:sz="8" w:color="DCE2EF"/>
              <w:right w:val="single" w:sz="8" w:color="DCE2EF"/>
            </w:tcBorders>
            <w:vMerge w:val="continue"/>
            <w:shd w:val="clear" w:color="auto" w:fill="DCE2EF"/>
          </w:tcPr>
          <w:p>
            <w:pPr>
              <w:spacing w:after="0"/>
              <w:rPr>
                <w:sz w:val="4"/>
                <w:szCs w:val="4"/>
                <w:color w:val="auto"/>
              </w:rPr>
            </w:pPr>
          </w:p>
        </w:tc>
        <w:tc>
          <w:tcPr>
            <w:tcW w:w="220" w:type="dxa"/>
            <w:vAlign w:val="bottom"/>
            <w:tcBorders>
              <w:bottom w:val="single" w:sz="8" w:color="DCE2EF"/>
              <w:right w:val="single" w:sz="8" w:color="DCE2EF"/>
            </w:tcBorders>
            <w:shd w:val="clear" w:color="auto" w:fill="DCE2EF"/>
          </w:tcPr>
          <w:p>
            <w:pPr>
              <w:spacing w:after="0"/>
              <w:rPr>
                <w:sz w:val="4"/>
                <w:szCs w:val="4"/>
                <w:color w:val="auto"/>
              </w:rPr>
            </w:pPr>
          </w:p>
        </w:tc>
        <w:tc>
          <w:tcPr>
            <w:tcW w:w="840" w:type="dxa"/>
            <w:vAlign w:val="bottom"/>
            <w:tcBorders>
              <w:bottom w:val="single" w:sz="8" w:color="DCE2EF"/>
            </w:tcBorders>
            <w:shd w:val="clear" w:color="auto" w:fill="DCE2EF"/>
          </w:tcPr>
          <w:p>
            <w:pPr>
              <w:spacing w:after="0"/>
              <w:rPr>
                <w:sz w:val="4"/>
                <w:szCs w:val="4"/>
                <w:color w:val="auto"/>
              </w:rPr>
            </w:pPr>
          </w:p>
        </w:tc>
        <w:tc>
          <w:tcPr>
            <w:tcW w:w="440" w:type="dxa"/>
            <w:vAlign w:val="bottom"/>
            <w:tcBorders>
              <w:bottom w:val="single" w:sz="8" w:color="DCE2EF"/>
            </w:tcBorders>
            <w:vMerge w:val="continue"/>
            <w:shd w:val="clear" w:color="auto" w:fill="DCE2E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color w:val="auto"/>
              </w:rPr>
              <w:t>Other</w:t>
            </w:r>
            <w:r>
              <w:rPr>
                <w:rFonts w:ascii="Arial" w:cs="Arial" w:eastAsia="Arial" w:hAnsi="Arial"/>
                <w:sz w:val="19"/>
                <w:szCs w:val="19"/>
                <w:color w:val="auto"/>
                <w:vertAlign w:val="superscript"/>
              </w:rPr>
              <w:t>(i)</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DCE2EF"/>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color w:val="auto"/>
              </w:rPr>
              <w:t>Total items impacting comparability</w:t>
            </w:r>
          </w:p>
        </w:tc>
        <w:tc>
          <w:tcPr>
            <w:tcW w:w="880" w:type="dxa"/>
            <w:vAlign w:val="bottom"/>
            <w:tcBorders>
              <w:top w:val="single" w:sz="8" w:color="auto"/>
              <w:bottom w:val="single" w:sz="8" w:color="DCE2EF"/>
            </w:tcBorders>
            <w:shd w:val="clear" w:color="auto" w:fill="DCE2EF"/>
          </w:tcPr>
          <w:p>
            <w:pPr>
              <w:spacing w:after="0"/>
              <w:rPr>
                <w:sz w:val="21"/>
                <w:szCs w:val="21"/>
                <w:color w:val="auto"/>
              </w:rPr>
            </w:pPr>
          </w:p>
        </w:tc>
        <w:tc>
          <w:tcPr>
            <w:tcW w:w="420" w:type="dxa"/>
            <w:vAlign w:val="bottom"/>
            <w:tcBorders>
              <w:top w:val="single" w:sz="8" w:color="auto"/>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7.5</w:t>
            </w:r>
          </w:p>
        </w:tc>
        <w:tc>
          <w:tcPr>
            <w:tcW w:w="240" w:type="dxa"/>
            <w:vAlign w:val="bottom"/>
            <w:tcBorders>
              <w:bottom w:val="single" w:sz="8" w:color="DCE2EF"/>
            </w:tcBorders>
            <w:shd w:val="clear" w:color="auto" w:fill="DCE2EF"/>
          </w:tcPr>
          <w:p>
            <w:pPr>
              <w:spacing w:after="0"/>
              <w:rPr>
                <w:sz w:val="21"/>
                <w:szCs w:val="21"/>
                <w:color w:val="auto"/>
              </w:rPr>
            </w:pPr>
          </w:p>
        </w:tc>
        <w:tc>
          <w:tcPr>
            <w:tcW w:w="860" w:type="dxa"/>
            <w:vAlign w:val="bottom"/>
            <w:tcBorders>
              <w:top w:val="single" w:sz="8" w:color="auto"/>
              <w:bottom w:val="single" w:sz="8" w:color="DCE2EF"/>
            </w:tcBorders>
            <w:shd w:val="clear" w:color="auto" w:fill="DCE2EF"/>
          </w:tcPr>
          <w:p>
            <w:pPr>
              <w:spacing w:after="0"/>
              <w:rPr>
                <w:sz w:val="21"/>
                <w:szCs w:val="21"/>
                <w:color w:val="auto"/>
              </w:rPr>
            </w:pPr>
          </w:p>
        </w:tc>
        <w:tc>
          <w:tcPr>
            <w:tcW w:w="460" w:type="dxa"/>
            <w:vAlign w:val="bottom"/>
            <w:tcBorders>
              <w:top w:val="single" w:sz="8" w:color="auto"/>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21.0</w:t>
            </w:r>
          </w:p>
        </w:tc>
        <w:tc>
          <w:tcPr>
            <w:tcW w:w="220" w:type="dxa"/>
            <w:vAlign w:val="bottom"/>
            <w:tcBorders>
              <w:bottom w:val="single" w:sz="8" w:color="DCE2EF"/>
              <w:right w:val="single" w:sz="8" w:color="DCE2EF"/>
            </w:tcBorders>
            <w:shd w:val="clear" w:color="auto" w:fill="DCE2EF"/>
          </w:tcPr>
          <w:p>
            <w:pPr>
              <w:spacing w:after="0"/>
              <w:rPr>
                <w:sz w:val="21"/>
                <w:szCs w:val="21"/>
                <w:color w:val="auto"/>
              </w:rPr>
            </w:pPr>
          </w:p>
        </w:tc>
        <w:tc>
          <w:tcPr>
            <w:tcW w:w="840" w:type="dxa"/>
            <w:vAlign w:val="bottom"/>
            <w:tcBorders>
              <w:top w:val="single" w:sz="8" w:color="auto"/>
              <w:bottom w:val="single" w:sz="8" w:color="DCE2EF"/>
            </w:tcBorders>
            <w:shd w:val="clear" w:color="auto" w:fill="DCE2EF"/>
          </w:tcPr>
          <w:p>
            <w:pPr>
              <w:spacing w:after="0"/>
              <w:rPr>
                <w:sz w:val="21"/>
                <w:szCs w:val="21"/>
                <w:color w:val="auto"/>
              </w:rPr>
            </w:pPr>
          </w:p>
        </w:tc>
        <w:tc>
          <w:tcPr>
            <w:tcW w:w="460" w:type="dxa"/>
            <w:vAlign w:val="bottom"/>
            <w:tcBorders>
              <w:top w:val="single" w:sz="8" w:color="auto"/>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(4.9)</w:t>
            </w:r>
          </w:p>
        </w:tc>
        <w:tc>
          <w:tcPr>
            <w:tcW w:w="220" w:type="dxa"/>
            <w:vAlign w:val="bottom"/>
            <w:tcBorders>
              <w:bottom w:val="single" w:sz="8" w:color="DCE2EF"/>
              <w:right w:val="single" w:sz="8" w:color="DCE2EF"/>
            </w:tcBorders>
            <w:shd w:val="clear" w:color="auto" w:fill="DCE2EF"/>
          </w:tcPr>
          <w:p>
            <w:pPr>
              <w:spacing w:after="0"/>
              <w:rPr>
                <w:sz w:val="21"/>
                <w:szCs w:val="21"/>
                <w:color w:val="auto"/>
              </w:rPr>
            </w:pPr>
          </w:p>
        </w:tc>
        <w:tc>
          <w:tcPr>
            <w:tcW w:w="840" w:type="dxa"/>
            <w:vAlign w:val="bottom"/>
            <w:tcBorders>
              <w:top w:val="single" w:sz="8" w:color="auto"/>
              <w:bottom w:val="single" w:sz="8" w:color="DCE2EF"/>
            </w:tcBorders>
            <w:shd w:val="clear" w:color="auto" w:fill="DCE2EF"/>
          </w:tcPr>
          <w:p>
            <w:pPr>
              <w:spacing w:after="0"/>
              <w:rPr>
                <w:sz w:val="21"/>
                <w:szCs w:val="21"/>
                <w:color w:val="auto"/>
              </w:rPr>
            </w:pPr>
          </w:p>
        </w:tc>
        <w:tc>
          <w:tcPr>
            <w:tcW w:w="440" w:type="dxa"/>
            <w:vAlign w:val="bottom"/>
            <w:tcBorders>
              <w:top w:val="single" w:sz="8" w:color="auto"/>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84"/>
        </w:trPr>
        <w:tc>
          <w:tcPr>
            <w:tcW w:w="5360" w:type="dxa"/>
            <w:vAlign w:val="bottom"/>
            <w:gridSpan w:val="3"/>
          </w:tcPr>
          <w:p>
            <w:pPr>
              <w:ind w:left="60"/>
              <w:spacing w:after="0"/>
              <w:rPr>
                <w:sz w:val="20"/>
                <w:szCs w:val="20"/>
                <w:color w:val="auto"/>
              </w:rPr>
            </w:pPr>
            <w:r>
              <w:rPr>
                <w:rFonts w:ascii="Arial" w:cs="Arial" w:eastAsia="Arial" w:hAnsi="Arial"/>
                <w:sz w:val="14"/>
                <w:szCs w:val="14"/>
                <w:color w:val="auto"/>
              </w:rPr>
              <w:t>Income tax benefit</w:t>
            </w:r>
            <w:r>
              <w:rPr>
                <w:rFonts w:ascii="Arial" w:cs="Arial" w:eastAsia="Arial" w:hAnsi="Arial"/>
                <w:sz w:val="19"/>
                <w:szCs w:val="19"/>
                <w:color w:val="auto"/>
                <w:vertAlign w:val="superscript"/>
              </w:rPr>
              <w:t>(j) (k)</w:t>
            </w: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2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8"/>
        </w:trPr>
        <w:tc>
          <w:tcPr>
            <w:tcW w:w="5360" w:type="dxa"/>
            <w:vAlign w:val="bottom"/>
            <w:tcBorders>
              <w:bottom w:val="single" w:sz="8" w:color="DCE2EF"/>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color w:val="auto"/>
              </w:rPr>
              <w:t>Items impacting comparability, net of taxes</w:t>
            </w:r>
          </w:p>
        </w:tc>
        <w:tc>
          <w:tcPr>
            <w:tcW w:w="880" w:type="dxa"/>
            <w:vAlign w:val="bottom"/>
            <w:tcBorders>
              <w:bottom w:val="single" w:sz="8" w:color="DCE2EF"/>
            </w:tcBorders>
            <w:shd w:val="clear" w:color="auto" w:fill="DCE2EF"/>
          </w:tcPr>
          <w:p>
            <w:pPr>
              <w:spacing w:after="0"/>
              <w:rPr>
                <w:sz w:val="22"/>
                <w:szCs w:val="22"/>
                <w:color w:val="auto"/>
              </w:rPr>
            </w:pPr>
          </w:p>
        </w:tc>
        <w:tc>
          <w:tcPr>
            <w:tcW w:w="4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DCE2EF"/>
            </w:tcBorders>
            <w:shd w:val="clear" w:color="auto" w:fill="DCE2EF"/>
          </w:tcPr>
          <w:p>
            <w:pPr>
              <w:spacing w:after="0"/>
              <w:rPr>
                <w:sz w:val="22"/>
                <w:szCs w:val="22"/>
                <w:color w:val="auto"/>
              </w:rPr>
            </w:pPr>
          </w:p>
        </w:tc>
        <w:tc>
          <w:tcPr>
            <w:tcW w:w="860" w:type="dxa"/>
            <w:vAlign w:val="bottom"/>
            <w:tcBorders>
              <w:bottom w:val="single" w:sz="8" w:color="DCE2EF"/>
            </w:tcBorders>
            <w:shd w:val="clear" w:color="auto" w:fill="DCE2EF"/>
          </w:tcPr>
          <w:p>
            <w:pPr>
              <w:spacing w:after="0"/>
              <w:rPr>
                <w:sz w:val="22"/>
                <w:szCs w:val="22"/>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spacing w:after="0"/>
              <w:rPr>
                <w:sz w:val="22"/>
                <w:szCs w:val="22"/>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(19.5)</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spacing w:after="0"/>
              <w:rPr>
                <w:sz w:val="22"/>
                <w:szCs w:val="22"/>
                <w:color w:val="auto"/>
              </w:rPr>
            </w:pP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42"/>
        </w:trPr>
        <w:tc>
          <w:tcPr>
            <w:tcW w:w="5360" w:type="dxa"/>
            <w:vAlign w:val="bottom"/>
            <w:tcBorders>
              <w:top w:val="single" w:sz="8" w:color="DCE2EF"/>
            </w:tcBorders>
            <w:gridSpan w:val="3"/>
          </w:tcPr>
          <w:p>
            <w:pPr>
              <w:ind w:left="60"/>
              <w:spacing w:after="0"/>
              <w:rPr>
                <w:sz w:val="20"/>
                <w:szCs w:val="20"/>
                <w:color w:val="auto"/>
              </w:rPr>
            </w:pPr>
            <w:r>
              <w:rPr>
                <w:rFonts w:ascii="Arial" w:cs="Arial" w:eastAsia="Arial" w:hAnsi="Arial"/>
                <w:sz w:val="14"/>
                <w:szCs w:val="14"/>
                <w:color w:val="auto"/>
              </w:rPr>
              <w:t>Adjusted net income</w:t>
            </w: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240" w:type="dxa"/>
            <w:vAlign w:val="bottom"/>
            <w:tcBorders>
              <w:top w:val="single" w:sz="8" w:color="DCE2EF"/>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220" w:type="dxa"/>
            <w:vAlign w:val="bottom"/>
            <w:tcBorders>
              <w:top w:val="single" w:sz="8" w:color="DCE2EF"/>
            </w:tcBorders>
          </w:tcPr>
          <w:p>
            <w:pPr>
              <w:spacing w:after="0"/>
              <w:rPr>
                <w:sz w:val="21"/>
                <w:szCs w:val="21"/>
                <w:color w:val="auto"/>
              </w:rPr>
            </w:pPr>
          </w:p>
        </w:tc>
        <w:tc>
          <w:tcPr>
            <w:tcW w:w="840" w:type="dxa"/>
            <w:vAlign w:val="bottom"/>
            <w:tcBorders>
              <w:top w:val="single" w:sz="8" w:color="auto"/>
            </w:tcBorders>
          </w:tcPr>
          <w:p>
            <w:pPr>
              <w:jc w:val="center"/>
              <w:ind w:left="329"/>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231.9</w:t>
            </w:r>
          </w:p>
        </w:tc>
        <w:tc>
          <w:tcPr>
            <w:tcW w:w="220" w:type="dxa"/>
            <w:vAlign w:val="bottom"/>
            <w:tcBorders>
              <w:top w:val="single" w:sz="8" w:color="DCE2EF"/>
            </w:tcBorders>
          </w:tcPr>
          <w:p>
            <w:pPr>
              <w:spacing w:after="0"/>
              <w:rPr>
                <w:sz w:val="21"/>
                <w:szCs w:val="21"/>
                <w:color w:val="auto"/>
              </w:rPr>
            </w:pPr>
          </w:p>
        </w:tc>
        <w:tc>
          <w:tcPr>
            <w:tcW w:w="840" w:type="dxa"/>
            <w:vAlign w:val="bottom"/>
            <w:tcBorders>
              <w:top w:val="single" w:sz="8" w:color="auto"/>
            </w:tcBorders>
          </w:tcPr>
          <w:p>
            <w:pPr>
              <w:jc w:val="center"/>
              <w:ind w:left="3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247.1</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6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3"/>
                <w:szCs w:val="13"/>
                <w:b w:val="1"/>
                <w:bCs w:val="1"/>
                <w:color w:val="auto"/>
              </w:rPr>
              <w:t>Three Months Ended October 31,</w:t>
            </w:r>
          </w:p>
        </w:tc>
        <w:tc>
          <w:tcPr>
            <w:tcW w:w="220" w:type="dxa"/>
            <w:vAlign w:val="bottom"/>
          </w:tcPr>
          <w:p>
            <w:pPr>
              <w:spacing w:after="0"/>
              <w:rPr>
                <w:sz w:val="24"/>
                <w:szCs w:val="24"/>
                <w:color w:val="auto"/>
              </w:rPr>
            </w:pPr>
          </w:p>
        </w:tc>
        <w:tc>
          <w:tcPr>
            <w:tcW w:w="236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Years Ended October 31,</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880" w:type="dxa"/>
            <w:vAlign w:val="bottom"/>
          </w:tcPr>
          <w:p>
            <w:pPr>
              <w:jc w:val="center"/>
              <w:ind w:left="369"/>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center"/>
              <w:ind w:left="36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60" w:type="dxa"/>
            <w:vAlign w:val="bottom"/>
            <w:tcBorders>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b w:val="1"/>
                <w:bCs w:val="1"/>
                <w:color w:val="auto"/>
              </w:rPr>
              <w:t>Reconciliation of Net Income to Adjusted EBITDA</w:t>
            </w:r>
          </w:p>
        </w:tc>
        <w:tc>
          <w:tcPr>
            <w:tcW w:w="880" w:type="dxa"/>
            <w:vAlign w:val="bottom"/>
            <w:tcBorders>
              <w:top w:val="single" w:sz="8" w:color="auto"/>
            </w:tcBorders>
            <w:shd w:val="clear" w:color="auto" w:fill="DCE2EF"/>
          </w:tcPr>
          <w:p>
            <w:pPr>
              <w:spacing w:after="0"/>
              <w:rPr>
                <w:sz w:val="23"/>
                <w:szCs w:val="23"/>
                <w:color w:val="auto"/>
              </w:rPr>
            </w:pPr>
          </w:p>
        </w:tc>
        <w:tc>
          <w:tcPr>
            <w:tcW w:w="420" w:type="dxa"/>
            <w:vAlign w:val="bottom"/>
            <w:tcBorders>
              <w:top w:val="single" w:sz="8" w:color="auto"/>
            </w:tcBorders>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860" w:type="dxa"/>
            <w:vAlign w:val="bottom"/>
            <w:tcBorders>
              <w:top w:val="single" w:sz="8" w:color="auto"/>
            </w:tcBorders>
            <w:shd w:val="clear" w:color="auto" w:fill="DCE2EF"/>
          </w:tcPr>
          <w:p>
            <w:pPr>
              <w:spacing w:after="0"/>
              <w:rPr>
                <w:sz w:val="23"/>
                <w:szCs w:val="23"/>
                <w:color w:val="auto"/>
              </w:rPr>
            </w:pPr>
          </w:p>
        </w:tc>
        <w:tc>
          <w:tcPr>
            <w:tcW w:w="460" w:type="dxa"/>
            <w:vAlign w:val="bottom"/>
            <w:tcBorders>
              <w:top w:val="single" w:sz="8" w:color="auto"/>
              <w:right w:val="single" w:sz="8" w:color="DCE2EF"/>
            </w:tcBorders>
            <w:shd w:val="clear" w:color="auto" w:fill="DCE2EF"/>
          </w:tcPr>
          <w:p>
            <w:pPr>
              <w:spacing w:after="0"/>
              <w:rPr>
                <w:sz w:val="23"/>
                <w:szCs w:val="23"/>
                <w:color w:val="auto"/>
              </w:rPr>
            </w:pPr>
          </w:p>
        </w:tc>
        <w:tc>
          <w:tcPr>
            <w:tcW w:w="220" w:type="dxa"/>
            <w:vAlign w:val="bottom"/>
            <w:tcBorders>
              <w:right w:val="single" w:sz="8" w:color="DCE2EF"/>
            </w:tcBorders>
            <w:shd w:val="clear" w:color="auto" w:fill="DCE2EF"/>
          </w:tcPr>
          <w:p>
            <w:pPr>
              <w:spacing w:after="0"/>
              <w:rPr>
                <w:sz w:val="23"/>
                <w:szCs w:val="23"/>
                <w:color w:val="auto"/>
              </w:rPr>
            </w:pPr>
          </w:p>
        </w:tc>
        <w:tc>
          <w:tcPr>
            <w:tcW w:w="840" w:type="dxa"/>
            <w:vAlign w:val="bottom"/>
            <w:tcBorders>
              <w:top w:val="single" w:sz="8" w:color="auto"/>
            </w:tcBorders>
            <w:shd w:val="clear" w:color="auto" w:fill="DCE2EF"/>
          </w:tcPr>
          <w:p>
            <w:pPr>
              <w:spacing w:after="0"/>
              <w:rPr>
                <w:sz w:val="23"/>
                <w:szCs w:val="23"/>
                <w:color w:val="auto"/>
              </w:rPr>
            </w:pPr>
          </w:p>
        </w:tc>
        <w:tc>
          <w:tcPr>
            <w:tcW w:w="460" w:type="dxa"/>
            <w:vAlign w:val="bottom"/>
            <w:tcBorders>
              <w:top w:val="single" w:sz="8" w:color="auto"/>
              <w:right w:val="single" w:sz="8" w:color="DCE2EF"/>
            </w:tcBorders>
            <w:shd w:val="clear" w:color="auto" w:fill="DCE2EF"/>
          </w:tcPr>
          <w:p>
            <w:pPr>
              <w:spacing w:after="0"/>
              <w:rPr>
                <w:sz w:val="23"/>
                <w:szCs w:val="23"/>
                <w:color w:val="auto"/>
              </w:rPr>
            </w:pPr>
          </w:p>
        </w:tc>
        <w:tc>
          <w:tcPr>
            <w:tcW w:w="220" w:type="dxa"/>
            <w:vAlign w:val="bottom"/>
            <w:tcBorders>
              <w:right w:val="single" w:sz="8" w:color="DCE2EF"/>
            </w:tcBorders>
            <w:shd w:val="clear" w:color="auto" w:fill="DCE2EF"/>
          </w:tcPr>
          <w:p>
            <w:pPr>
              <w:spacing w:after="0"/>
              <w:rPr>
                <w:sz w:val="23"/>
                <w:szCs w:val="23"/>
                <w:color w:val="auto"/>
              </w:rPr>
            </w:pPr>
          </w:p>
        </w:tc>
        <w:tc>
          <w:tcPr>
            <w:tcW w:w="840" w:type="dxa"/>
            <w:vAlign w:val="bottom"/>
            <w:tcBorders>
              <w:top w:val="single" w:sz="8" w:color="auto"/>
            </w:tcBorders>
            <w:shd w:val="clear" w:color="auto" w:fill="DCE2EF"/>
          </w:tcPr>
          <w:p>
            <w:pPr>
              <w:spacing w:after="0"/>
              <w:rPr>
                <w:sz w:val="23"/>
                <w:szCs w:val="23"/>
                <w:color w:val="auto"/>
              </w:rPr>
            </w:pPr>
          </w:p>
        </w:tc>
        <w:tc>
          <w:tcPr>
            <w:tcW w:w="440" w:type="dxa"/>
            <w:vAlign w:val="bottom"/>
            <w:tcBorders>
              <w:top w:val="single" w:sz="8" w:color="auto"/>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360" w:type="dxa"/>
            <w:vAlign w:val="bottom"/>
            <w:gridSpan w:val="3"/>
          </w:tcPr>
          <w:p>
            <w:pPr>
              <w:ind w:left="60"/>
              <w:spacing w:after="0"/>
              <w:rPr>
                <w:sz w:val="20"/>
                <w:szCs w:val="20"/>
                <w:color w:val="auto"/>
              </w:rPr>
            </w:pPr>
            <w:r>
              <w:rPr>
                <w:rFonts w:ascii="Arial" w:cs="Arial" w:eastAsia="Arial" w:hAnsi="Arial"/>
                <w:sz w:val="14"/>
                <w:szCs w:val="14"/>
                <w:b w:val="1"/>
                <w:bCs w:val="1"/>
                <w:color w:val="auto"/>
              </w:rPr>
              <w:t>Net income</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62.8</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48.9</w:t>
            </w:r>
          </w:p>
        </w:tc>
        <w:tc>
          <w:tcPr>
            <w:tcW w:w="220" w:type="dxa"/>
            <w:vAlign w:val="bottom"/>
          </w:tcPr>
          <w:p>
            <w:pPr>
              <w:spacing w:after="0"/>
              <w:rPr>
                <w:sz w:val="23"/>
                <w:szCs w:val="23"/>
                <w:color w:val="auto"/>
              </w:rPr>
            </w:pPr>
          </w:p>
        </w:tc>
        <w:tc>
          <w:tcPr>
            <w:tcW w:w="840" w:type="dxa"/>
            <w:vAlign w:val="bottom"/>
          </w:tcPr>
          <w:p>
            <w:pPr>
              <w:jc w:val="center"/>
              <w:ind w:left="36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251.3</w:t>
            </w:r>
          </w:p>
        </w:tc>
        <w:tc>
          <w:tcPr>
            <w:tcW w:w="220" w:type="dxa"/>
            <w:vAlign w:val="bottom"/>
          </w:tcPr>
          <w:p>
            <w:pPr>
              <w:spacing w:after="0"/>
              <w:rPr>
                <w:sz w:val="23"/>
                <w:szCs w:val="23"/>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230.4</w:t>
            </w:r>
          </w:p>
        </w:tc>
        <w:tc>
          <w:tcPr>
            <w:tcW w:w="0" w:type="dxa"/>
            <w:vAlign w:val="bottom"/>
          </w:tcPr>
          <w:p>
            <w:pPr>
              <w:spacing w:after="0"/>
              <w:rPr>
                <w:sz w:val="1"/>
                <w:szCs w:val="1"/>
                <w:color w:val="auto"/>
              </w:rPr>
            </w:pPr>
          </w:p>
        </w:tc>
      </w:tr>
      <w:tr>
        <w:trPr>
          <w:trHeight w:val="271"/>
        </w:trPr>
        <w:tc>
          <w:tcPr>
            <w:tcW w:w="60" w:type="dxa"/>
            <w:vAlign w:val="bottom"/>
            <w:tcBorders>
              <w:bottom w:val="single" w:sz="8" w:color="DCE2EF"/>
            </w:tcBorders>
            <w:shd w:val="clear" w:color="auto" w:fill="DCE2EF"/>
          </w:tcPr>
          <w:p>
            <w:pPr>
              <w:spacing w:after="0"/>
              <w:rPr>
                <w:sz w:val="23"/>
                <w:szCs w:val="23"/>
                <w:color w:val="auto"/>
              </w:rPr>
            </w:pPr>
          </w:p>
        </w:tc>
        <w:tc>
          <w:tcPr>
            <w:tcW w:w="5300" w:type="dxa"/>
            <w:vAlign w:val="bottom"/>
            <w:tcBorders>
              <w:bottom w:val="single" w:sz="8" w:color="DCE2EF"/>
              <w:right w:val="single" w:sz="8" w:color="DCE2EF"/>
            </w:tcBorders>
            <w:gridSpan w:val="2"/>
            <w:shd w:val="clear" w:color="auto" w:fill="DCE2EF"/>
          </w:tcPr>
          <w:p>
            <w:pPr>
              <w:ind w:left="120"/>
              <w:spacing w:after="0"/>
              <w:rPr>
                <w:sz w:val="20"/>
                <w:szCs w:val="20"/>
                <w:color w:val="auto"/>
              </w:rPr>
            </w:pPr>
            <w:r>
              <w:rPr>
                <w:rFonts w:ascii="Arial" w:cs="Arial" w:eastAsia="Arial" w:hAnsi="Arial"/>
                <w:sz w:val="14"/>
                <w:szCs w:val="14"/>
                <w:color w:val="auto"/>
              </w:rPr>
              <w:t>Items impacting comparability</w:t>
            </w:r>
          </w:p>
        </w:tc>
        <w:tc>
          <w:tcPr>
            <w:tcW w:w="880" w:type="dxa"/>
            <w:vAlign w:val="bottom"/>
            <w:tcBorders>
              <w:bottom w:val="single" w:sz="8" w:color="DCE2EF"/>
            </w:tcBorders>
            <w:shd w:val="clear" w:color="auto" w:fill="DCE2EF"/>
          </w:tcPr>
          <w:p>
            <w:pPr>
              <w:spacing w:after="0"/>
              <w:rPr>
                <w:sz w:val="23"/>
                <w:szCs w:val="23"/>
                <w:color w:val="auto"/>
              </w:rPr>
            </w:pPr>
          </w:p>
        </w:tc>
        <w:tc>
          <w:tcPr>
            <w:tcW w:w="4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7.5</w:t>
            </w:r>
          </w:p>
        </w:tc>
        <w:tc>
          <w:tcPr>
            <w:tcW w:w="240" w:type="dxa"/>
            <w:vAlign w:val="bottom"/>
            <w:tcBorders>
              <w:bottom w:val="single" w:sz="8" w:color="DCE2EF"/>
            </w:tcBorders>
            <w:shd w:val="clear" w:color="auto" w:fill="DCE2EF"/>
          </w:tcPr>
          <w:p>
            <w:pPr>
              <w:spacing w:after="0"/>
              <w:rPr>
                <w:sz w:val="23"/>
                <w:szCs w:val="23"/>
                <w:color w:val="auto"/>
              </w:rPr>
            </w:pPr>
          </w:p>
        </w:tc>
        <w:tc>
          <w:tcPr>
            <w:tcW w:w="860" w:type="dxa"/>
            <w:vAlign w:val="bottom"/>
            <w:tcBorders>
              <w:bottom w:val="single" w:sz="8" w:color="DCE2EF"/>
            </w:tcBorders>
            <w:shd w:val="clear" w:color="auto" w:fill="DCE2EF"/>
          </w:tcPr>
          <w:p>
            <w:pPr>
              <w:spacing w:after="0"/>
              <w:rPr>
                <w:sz w:val="23"/>
                <w:szCs w:val="23"/>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21.0</w:t>
            </w:r>
          </w:p>
        </w:tc>
        <w:tc>
          <w:tcPr>
            <w:tcW w:w="220" w:type="dxa"/>
            <w:vAlign w:val="bottom"/>
            <w:tcBorders>
              <w:bottom w:val="single" w:sz="8" w:color="DCE2EF"/>
              <w:right w:val="single" w:sz="8" w:color="DCE2EF"/>
            </w:tcBorders>
            <w:shd w:val="clear" w:color="auto" w:fill="DCE2EF"/>
          </w:tcPr>
          <w:p>
            <w:pPr>
              <w:spacing w:after="0"/>
              <w:rPr>
                <w:sz w:val="23"/>
                <w:szCs w:val="23"/>
                <w:color w:val="auto"/>
              </w:rPr>
            </w:pPr>
          </w:p>
        </w:tc>
        <w:tc>
          <w:tcPr>
            <w:tcW w:w="840" w:type="dxa"/>
            <w:vAlign w:val="bottom"/>
            <w:tcBorders>
              <w:bottom w:val="single" w:sz="8" w:color="DCE2EF"/>
            </w:tcBorders>
            <w:shd w:val="clear" w:color="auto" w:fill="DCE2EF"/>
          </w:tcPr>
          <w:p>
            <w:pPr>
              <w:spacing w:after="0"/>
              <w:rPr>
                <w:sz w:val="23"/>
                <w:szCs w:val="23"/>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(4.9)</w:t>
            </w:r>
          </w:p>
        </w:tc>
        <w:tc>
          <w:tcPr>
            <w:tcW w:w="220" w:type="dxa"/>
            <w:vAlign w:val="bottom"/>
            <w:tcBorders>
              <w:bottom w:val="single" w:sz="8" w:color="DCE2EF"/>
              <w:right w:val="single" w:sz="8" w:color="DCE2EF"/>
            </w:tcBorders>
            <w:shd w:val="clear" w:color="auto" w:fill="DCE2EF"/>
          </w:tcPr>
          <w:p>
            <w:pPr>
              <w:spacing w:after="0"/>
              <w:rPr>
                <w:sz w:val="23"/>
                <w:szCs w:val="23"/>
                <w:color w:val="auto"/>
              </w:rPr>
            </w:pPr>
          </w:p>
        </w:tc>
        <w:tc>
          <w:tcPr>
            <w:tcW w:w="840" w:type="dxa"/>
            <w:vAlign w:val="bottom"/>
            <w:tcBorders>
              <w:bottom w:val="single" w:sz="8" w:color="DCE2EF"/>
            </w:tcBorders>
            <w:shd w:val="clear" w:color="auto" w:fill="DCE2EF"/>
          </w:tcPr>
          <w:p>
            <w:pPr>
              <w:spacing w:after="0"/>
              <w:rPr>
                <w:sz w:val="23"/>
                <w:szCs w:val="23"/>
                <w:color w:val="auto"/>
              </w:rPr>
            </w:pP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color w:val="auto"/>
              </w:rPr>
              <w:t>Income tax provision</w:t>
            </w:r>
          </w:p>
        </w:tc>
        <w:tc>
          <w:tcPr>
            <w:tcW w:w="8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24.0</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79.7</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 w:type="dxa"/>
            <w:vAlign w:val="bottom"/>
            <w:tcBorders>
              <w:bottom w:val="single" w:sz="8" w:color="DCE2EF"/>
            </w:tcBorders>
            <w:shd w:val="clear" w:color="auto" w:fill="DCE2EF"/>
          </w:tcPr>
          <w:p>
            <w:pPr>
              <w:spacing w:after="0"/>
              <w:rPr>
                <w:sz w:val="22"/>
                <w:szCs w:val="22"/>
                <w:color w:val="auto"/>
              </w:rPr>
            </w:pPr>
          </w:p>
        </w:tc>
        <w:tc>
          <w:tcPr>
            <w:tcW w:w="5300" w:type="dxa"/>
            <w:vAlign w:val="bottom"/>
            <w:tcBorders>
              <w:bottom w:val="single" w:sz="8" w:color="DCE2EF"/>
              <w:right w:val="single" w:sz="8" w:color="DCE2EF"/>
            </w:tcBorders>
            <w:gridSpan w:val="2"/>
            <w:shd w:val="clear" w:color="auto" w:fill="DCE2EF"/>
          </w:tcPr>
          <w:p>
            <w:pPr>
              <w:ind w:left="120"/>
              <w:spacing w:after="0"/>
              <w:rPr>
                <w:sz w:val="20"/>
                <w:szCs w:val="20"/>
                <w:color w:val="auto"/>
              </w:rPr>
            </w:pPr>
            <w:r>
              <w:rPr>
                <w:rFonts w:ascii="Arial" w:cs="Arial" w:eastAsia="Arial" w:hAnsi="Arial"/>
                <w:sz w:val="14"/>
                <w:szCs w:val="14"/>
                <w:color w:val="auto"/>
              </w:rPr>
              <w:t>Interest expense</w:t>
            </w:r>
          </w:p>
        </w:tc>
        <w:tc>
          <w:tcPr>
            <w:tcW w:w="880" w:type="dxa"/>
            <w:vAlign w:val="bottom"/>
            <w:tcBorders>
              <w:bottom w:val="single" w:sz="8" w:color="DCE2EF"/>
            </w:tcBorders>
            <w:shd w:val="clear" w:color="auto" w:fill="DCE2EF"/>
          </w:tcPr>
          <w:p>
            <w:pPr>
              <w:spacing w:after="0"/>
              <w:rPr>
                <w:sz w:val="22"/>
                <w:szCs w:val="22"/>
                <w:color w:val="auto"/>
              </w:rPr>
            </w:pPr>
          </w:p>
        </w:tc>
        <w:tc>
          <w:tcPr>
            <w:tcW w:w="4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20.5</w:t>
            </w:r>
          </w:p>
        </w:tc>
        <w:tc>
          <w:tcPr>
            <w:tcW w:w="240" w:type="dxa"/>
            <w:vAlign w:val="bottom"/>
            <w:tcBorders>
              <w:bottom w:val="single" w:sz="8" w:color="DCE2EF"/>
            </w:tcBorders>
            <w:shd w:val="clear" w:color="auto" w:fill="DCE2EF"/>
          </w:tcPr>
          <w:p>
            <w:pPr>
              <w:spacing w:after="0"/>
              <w:rPr>
                <w:sz w:val="22"/>
                <w:szCs w:val="22"/>
                <w:color w:val="auto"/>
              </w:rPr>
            </w:pPr>
          </w:p>
        </w:tc>
        <w:tc>
          <w:tcPr>
            <w:tcW w:w="860" w:type="dxa"/>
            <w:vAlign w:val="bottom"/>
            <w:tcBorders>
              <w:bottom w:val="single" w:sz="8" w:color="DCE2EF"/>
            </w:tcBorders>
            <w:shd w:val="clear" w:color="auto" w:fill="DCE2EF"/>
          </w:tcPr>
          <w:p>
            <w:pPr>
              <w:spacing w:after="0"/>
              <w:rPr>
                <w:sz w:val="22"/>
                <w:szCs w:val="22"/>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16.0</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spacing w:after="0"/>
              <w:rPr>
                <w:sz w:val="22"/>
                <w:szCs w:val="22"/>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82.3</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spacing w:after="0"/>
              <w:rPr>
                <w:sz w:val="22"/>
                <w:szCs w:val="22"/>
                <w:color w:val="auto"/>
              </w:rPr>
            </w:pP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29.3</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30.0</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120.7</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60" w:type="dxa"/>
            <w:vAlign w:val="bottom"/>
            <w:tcBorders>
              <w:bottom w:val="single" w:sz="8" w:color="DCE2EF"/>
            </w:tcBorders>
            <w:shd w:val="clear" w:color="auto" w:fill="DCE2EF"/>
          </w:tcPr>
          <w:p>
            <w:pPr>
              <w:spacing w:after="0"/>
              <w:rPr>
                <w:sz w:val="24"/>
                <w:szCs w:val="24"/>
                <w:color w:val="auto"/>
              </w:rPr>
            </w:pPr>
          </w:p>
        </w:tc>
        <w:tc>
          <w:tcPr>
            <w:tcW w:w="5300" w:type="dxa"/>
            <w:vAlign w:val="bottom"/>
            <w:tcBorders>
              <w:bottom w:val="single" w:sz="8" w:color="DCE2EF"/>
              <w:right w:val="single" w:sz="8" w:color="DCE2EF"/>
            </w:tcBorders>
            <w:gridSpan w:val="2"/>
            <w:shd w:val="clear" w:color="auto" w:fill="DCE2EF"/>
          </w:tcPr>
          <w:p>
            <w:pPr>
              <w:ind w:left="120"/>
              <w:spacing w:after="0"/>
              <w:rPr>
                <w:sz w:val="20"/>
                <w:szCs w:val="20"/>
                <w:color w:val="auto"/>
              </w:rPr>
            </w:pPr>
            <w:r>
              <w:rPr>
                <w:rFonts w:ascii="Arial" w:cs="Arial" w:eastAsia="Arial" w:hAnsi="Arial"/>
                <w:sz w:val="14"/>
                <w:szCs w:val="14"/>
                <w:color w:val="auto"/>
              </w:rPr>
              <w:t>Adjusted EBITDA</w:t>
            </w:r>
          </w:p>
        </w:tc>
        <w:tc>
          <w:tcPr>
            <w:tcW w:w="880" w:type="dxa"/>
            <w:vAlign w:val="bottom"/>
            <w:tcBorders>
              <w:bottom w:val="single" w:sz="8" w:color="DCE2EF"/>
            </w:tcBorders>
            <w:shd w:val="clear" w:color="auto" w:fill="DCE2EF"/>
          </w:tcPr>
          <w:p>
            <w:pPr>
              <w:jc w:val="center"/>
              <w:ind w:left="36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144.2</w:t>
            </w:r>
          </w:p>
        </w:tc>
        <w:tc>
          <w:tcPr>
            <w:tcW w:w="1100" w:type="dxa"/>
            <w:vAlign w:val="bottom"/>
            <w:tcBorders>
              <w:bottom w:val="single" w:sz="8" w:color="DCE2EF"/>
            </w:tcBorders>
            <w:gridSpan w:val="2"/>
            <w:shd w:val="clear" w:color="auto" w:fill="DCE2E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130.7</w:t>
            </w:r>
          </w:p>
        </w:tc>
        <w:tc>
          <w:tcPr>
            <w:tcW w:w="220" w:type="dxa"/>
            <w:vAlign w:val="bottom"/>
            <w:tcBorders>
              <w:bottom w:val="single" w:sz="8" w:color="DCE2EF"/>
              <w:right w:val="single" w:sz="8" w:color="DCE2EF"/>
            </w:tcBorders>
            <w:shd w:val="clear" w:color="auto" w:fill="DCE2EF"/>
          </w:tcPr>
          <w:p>
            <w:pPr>
              <w:spacing w:after="0"/>
              <w:rPr>
                <w:sz w:val="24"/>
                <w:szCs w:val="24"/>
                <w:color w:val="auto"/>
              </w:rPr>
            </w:pPr>
          </w:p>
        </w:tc>
        <w:tc>
          <w:tcPr>
            <w:tcW w:w="840" w:type="dxa"/>
            <w:vAlign w:val="bottom"/>
            <w:tcBorders>
              <w:bottom w:val="single" w:sz="8" w:color="DCE2EF"/>
            </w:tcBorders>
            <w:shd w:val="clear" w:color="auto" w:fill="DCE2EF"/>
          </w:tcPr>
          <w:p>
            <w:pPr>
              <w:jc w:val="center"/>
              <w:ind w:left="36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529.1</w:t>
            </w:r>
          </w:p>
        </w:tc>
        <w:tc>
          <w:tcPr>
            <w:tcW w:w="220" w:type="dxa"/>
            <w:vAlign w:val="bottom"/>
            <w:tcBorders>
              <w:bottom w:val="single" w:sz="8" w:color="DCE2EF"/>
              <w:right w:val="single" w:sz="8" w:color="DCE2EF"/>
            </w:tcBorders>
            <w:shd w:val="clear" w:color="auto" w:fill="DCE2EF"/>
          </w:tcPr>
          <w:p>
            <w:pPr>
              <w:spacing w:after="0"/>
              <w:rPr>
                <w:sz w:val="24"/>
                <w:szCs w:val="24"/>
                <w:color w:val="auto"/>
              </w:rPr>
            </w:pPr>
          </w:p>
        </w:tc>
        <w:tc>
          <w:tcPr>
            <w:tcW w:w="840" w:type="dxa"/>
            <w:vAlign w:val="bottom"/>
            <w:tcBorders>
              <w:bottom w:val="single" w:sz="8" w:color="DCE2EF"/>
            </w:tcBorders>
            <w:shd w:val="clear" w:color="auto" w:fill="DCE2EF"/>
          </w:tcPr>
          <w:p>
            <w:pPr>
              <w:jc w:val="center"/>
              <w:ind w:left="3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498.1</w:t>
            </w:r>
          </w:p>
        </w:tc>
        <w:tc>
          <w:tcPr>
            <w:tcW w:w="0" w:type="dxa"/>
            <w:vAlign w:val="bottom"/>
          </w:tcPr>
          <w:p>
            <w:pPr>
              <w:spacing w:after="0"/>
              <w:rPr>
                <w:sz w:val="1"/>
                <w:szCs w:val="1"/>
                <w:color w:val="auto"/>
              </w:rPr>
            </w:pPr>
          </w:p>
        </w:tc>
      </w:tr>
      <w:tr>
        <w:trPr>
          <w:trHeight w:val="20"/>
        </w:trPr>
        <w:tc>
          <w:tcPr>
            <w:tcW w:w="60" w:type="dxa"/>
            <w:vAlign w:val="bottom"/>
            <w:tcBorders>
              <w:top w:val="single" w:sz="8" w:color="DCE2EF"/>
            </w:tcBorders>
            <w:shd w:val="clear" w:color="auto" w:fill="DCE2EF"/>
          </w:tcPr>
          <w:p>
            <w:pPr>
              <w:spacing w:after="0" w:line="20" w:lineRule="exact"/>
              <w:rPr>
                <w:sz w:val="1"/>
                <w:szCs w:val="1"/>
                <w:color w:val="auto"/>
              </w:rPr>
            </w:pPr>
          </w:p>
        </w:tc>
        <w:tc>
          <w:tcPr>
            <w:tcW w:w="2240" w:type="dxa"/>
            <w:vAlign w:val="bottom"/>
            <w:tcBorders>
              <w:top w:val="single" w:sz="8" w:color="DCE2EF"/>
            </w:tcBorders>
            <w:shd w:val="clear" w:color="auto" w:fill="DCE2EF"/>
          </w:tcPr>
          <w:p>
            <w:pPr>
              <w:spacing w:after="0" w:line="20" w:lineRule="exact"/>
              <w:rPr>
                <w:sz w:val="1"/>
                <w:szCs w:val="1"/>
                <w:color w:val="auto"/>
              </w:rPr>
            </w:pPr>
          </w:p>
        </w:tc>
        <w:tc>
          <w:tcPr>
            <w:tcW w:w="306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CE2EF"/>
            </w:tcBorders>
            <w:shd w:val="clear" w:color="auto" w:fill="DCE2E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-4674235</wp:posOffset>
            </wp:positionV>
            <wp:extent cx="14605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-4674235</wp:posOffset>
            </wp:positionV>
            <wp:extent cx="13716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-4674235</wp:posOffset>
            </wp:positionV>
            <wp:extent cx="13716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-2462530</wp:posOffset>
            </wp:positionV>
            <wp:extent cx="14605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-2462530</wp:posOffset>
            </wp:positionV>
            <wp:extent cx="13716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-2462530</wp:posOffset>
            </wp:positionV>
            <wp:extent cx="13716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-2102485</wp:posOffset>
            </wp:positionV>
            <wp:extent cx="14605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-2102485</wp:posOffset>
            </wp:positionV>
            <wp:extent cx="13716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-2102485</wp:posOffset>
            </wp:positionV>
            <wp:extent cx="13716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-1922145</wp:posOffset>
            </wp:positionV>
            <wp:extent cx="14605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-1922145</wp:posOffset>
            </wp:positionV>
            <wp:extent cx="13716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-1922145</wp:posOffset>
            </wp:positionV>
            <wp:extent cx="13716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-1296670</wp:posOffset>
            </wp:positionV>
            <wp:extent cx="14605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-1296670</wp:posOffset>
            </wp:positionV>
            <wp:extent cx="13716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-1296670</wp:posOffset>
            </wp:positionV>
            <wp:extent cx="13716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-216535</wp:posOffset>
            </wp:positionV>
            <wp:extent cx="14605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-216535</wp:posOffset>
            </wp:positionV>
            <wp:extent cx="13716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-216535</wp:posOffset>
            </wp:positionV>
            <wp:extent cx="13716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-33655</wp:posOffset>
            </wp:positionV>
            <wp:extent cx="1460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1460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-33655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-33655</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Net income margin as a % of revenues</w:t>
            </w:r>
          </w:p>
        </w:tc>
        <w:tc>
          <w:tcPr>
            <w:tcW w:w="7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3.0 %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2.4 %</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0"/>
        </w:trPr>
        <w:tc>
          <w:tcPr>
            <w:tcW w:w="540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3"/>
                <w:szCs w:val="13"/>
                <w:b w:val="1"/>
                <w:bCs w:val="1"/>
                <w:color w:val="auto"/>
              </w:rPr>
              <w:t>Three Months Ended October 31,</w:t>
            </w:r>
          </w:p>
        </w:tc>
        <w:tc>
          <w:tcPr>
            <w:tcW w:w="2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October 31,</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400" w:type="dxa"/>
            <w:vAlign w:val="bottom"/>
          </w:tcPr>
          <w:p>
            <w:pPr>
              <w:spacing w:after="0"/>
              <w:rPr>
                <w:sz w:val="24"/>
                <w:szCs w:val="24"/>
                <w:color w:val="auto"/>
              </w:rPr>
            </w:pPr>
          </w:p>
        </w:tc>
        <w:tc>
          <w:tcPr>
            <w:tcW w:w="1300" w:type="dxa"/>
            <w:vAlign w:val="bottom"/>
            <w:gridSpan w:val="2"/>
          </w:tcPr>
          <w:p>
            <w:pPr>
              <w:ind w:left="500"/>
              <w:spacing w:after="0"/>
              <w:rPr>
                <w:sz w:val="20"/>
                <w:szCs w:val="20"/>
                <w:color w:val="auto"/>
              </w:rPr>
            </w:pPr>
            <w:r>
              <w:rPr>
                <w:rFonts w:ascii="Arial" w:cs="Arial" w:eastAsia="Arial" w:hAnsi="Arial"/>
                <w:sz w:val="14"/>
                <w:szCs w:val="14"/>
                <w:b w:val="1"/>
                <w:bCs w:val="1"/>
                <w:color w:val="auto"/>
              </w:rPr>
              <w:t>2023</w:t>
            </w:r>
          </w:p>
        </w:tc>
        <w:tc>
          <w:tcPr>
            <w:tcW w:w="1520" w:type="dxa"/>
            <w:vAlign w:val="bottom"/>
            <w:gridSpan w:val="3"/>
          </w:tcPr>
          <w:p>
            <w:pPr>
              <w:ind w:left="720"/>
              <w:spacing w:after="0"/>
              <w:rPr>
                <w:sz w:val="20"/>
                <w:szCs w:val="20"/>
                <w:color w:val="auto"/>
              </w:rPr>
            </w:pPr>
            <w:r>
              <w:rPr>
                <w:rFonts w:ascii="Arial" w:cs="Arial" w:eastAsia="Arial" w:hAnsi="Arial"/>
                <w:sz w:val="14"/>
                <w:szCs w:val="14"/>
                <w:b w:val="1"/>
                <w:bCs w:val="1"/>
                <w:color w:val="auto"/>
              </w:rPr>
              <w:t>2022</w:t>
            </w:r>
          </w:p>
        </w:tc>
        <w:tc>
          <w:tcPr>
            <w:tcW w:w="1520" w:type="dxa"/>
            <w:vAlign w:val="bottom"/>
            <w:gridSpan w:val="3"/>
          </w:tcPr>
          <w:p>
            <w:pPr>
              <w:ind w:left="720"/>
              <w:spacing w:after="0"/>
              <w:rPr>
                <w:sz w:val="20"/>
                <w:szCs w:val="20"/>
                <w:color w:val="auto"/>
              </w:rPr>
            </w:pPr>
            <w:r>
              <w:rPr>
                <w:rFonts w:ascii="Arial" w:cs="Arial" w:eastAsia="Arial" w:hAnsi="Arial"/>
                <w:sz w:val="14"/>
                <w:szCs w:val="14"/>
                <w:b w:val="1"/>
                <w:bCs w:val="1"/>
                <w:color w:val="auto"/>
              </w:rPr>
              <w:t>2023</w:t>
            </w:r>
          </w:p>
        </w:tc>
        <w:tc>
          <w:tcPr>
            <w:tcW w:w="1500" w:type="dxa"/>
            <w:vAlign w:val="bottom"/>
            <w:gridSpan w:val="3"/>
          </w:tcPr>
          <w:p>
            <w:pPr>
              <w:ind w:left="7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70"/>
        </w:trPr>
        <w:tc>
          <w:tcPr>
            <w:tcW w:w="540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Revenues Excluding Management Reimbursement</w:t>
            </w:r>
          </w:p>
        </w:tc>
        <w:tc>
          <w:tcPr>
            <w:tcW w:w="700" w:type="dxa"/>
            <w:vAlign w:val="bottom"/>
            <w:tcBorders>
              <w:top w:val="single" w:sz="8" w:color="auto"/>
            </w:tcBorders>
            <w:shd w:val="clear" w:color="auto" w:fill="DCE2EF"/>
          </w:tcPr>
          <w:p>
            <w:pPr>
              <w:spacing w:after="0"/>
              <w:rPr>
                <w:sz w:val="23"/>
                <w:szCs w:val="23"/>
                <w:color w:val="auto"/>
              </w:rPr>
            </w:pPr>
          </w:p>
        </w:tc>
        <w:tc>
          <w:tcPr>
            <w:tcW w:w="600" w:type="dxa"/>
            <w:vAlign w:val="bottom"/>
            <w:tcBorders>
              <w:top w:val="single" w:sz="8" w:color="auto"/>
            </w:tcBorders>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680" w:type="dxa"/>
            <w:vAlign w:val="bottom"/>
            <w:tcBorders>
              <w:top w:val="single" w:sz="8" w:color="auto"/>
            </w:tcBorders>
            <w:shd w:val="clear" w:color="auto" w:fill="DCE2EF"/>
          </w:tcPr>
          <w:p>
            <w:pPr>
              <w:spacing w:after="0"/>
              <w:rPr>
                <w:sz w:val="23"/>
                <w:szCs w:val="23"/>
                <w:color w:val="auto"/>
              </w:rPr>
            </w:pPr>
          </w:p>
        </w:tc>
        <w:tc>
          <w:tcPr>
            <w:tcW w:w="600" w:type="dxa"/>
            <w:vAlign w:val="bottom"/>
            <w:tcBorders>
              <w:top w:val="single" w:sz="8" w:color="auto"/>
            </w:tcBorders>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580" w:type="dxa"/>
            <w:vAlign w:val="bottom"/>
            <w:tcBorders>
              <w:top w:val="single" w:sz="8" w:color="auto"/>
            </w:tcBorders>
            <w:shd w:val="clear" w:color="auto" w:fill="DCE2EF"/>
          </w:tcPr>
          <w:p>
            <w:pPr>
              <w:spacing w:after="0"/>
              <w:rPr>
                <w:sz w:val="23"/>
                <w:szCs w:val="23"/>
                <w:color w:val="auto"/>
              </w:rPr>
            </w:pPr>
          </w:p>
        </w:tc>
        <w:tc>
          <w:tcPr>
            <w:tcW w:w="700" w:type="dxa"/>
            <w:vAlign w:val="bottom"/>
            <w:tcBorders>
              <w:top w:val="single" w:sz="8" w:color="auto"/>
            </w:tcBorders>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740" w:type="dxa"/>
            <w:vAlign w:val="bottom"/>
            <w:tcBorders>
              <w:top w:val="single" w:sz="8" w:color="auto"/>
            </w:tcBorders>
            <w:shd w:val="clear" w:color="auto" w:fill="DCE2EF"/>
          </w:tcPr>
          <w:p>
            <w:pPr>
              <w:spacing w:after="0"/>
              <w:rPr>
                <w:sz w:val="23"/>
                <w:szCs w:val="23"/>
                <w:color w:val="auto"/>
              </w:rPr>
            </w:pPr>
          </w:p>
        </w:tc>
        <w:tc>
          <w:tcPr>
            <w:tcW w:w="540" w:type="dxa"/>
            <w:vAlign w:val="bottom"/>
            <w:tcBorders>
              <w:top w:val="single" w:sz="8" w:color="auto"/>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400" w:type="dxa"/>
            <w:vAlign w:val="bottom"/>
          </w:tcPr>
          <w:p>
            <w:pPr>
              <w:ind w:left="60"/>
              <w:spacing w:after="0"/>
              <w:rPr>
                <w:sz w:val="20"/>
                <w:szCs w:val="20"/>
                <w:color w:val="auto"/>
              </w:rPr>
            </w:pPr>
            <w:r>
              <w:rPr>
                <w:rFonts w:ascii="Arial" w:cs="Arial" w:eastAsia="Arial" w:hAnsi="Arial"/>
                <w:sz w:val="15"/>
                <w:szCs w:val="15"/>
                <w:color w:val="auto"/>
              </w:rPr>
              <w:t>Revenues</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2,092.9</w:t>
            </w:r>
          </w:p>
        </w:tc>
        <w:tc>
          <w:tcPr>
            <w:tcW w:w="9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2,011.1</w:t>
            </w:r>
          </w:p>
        </w:tc>
        <w:tc>
          <w:tcPr>
            <w:tcW w:w="8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8,096.4</w:t>
            </w: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7,806.6</w:t>
            </w:r>
          </w:p>
        </w:tc>
        <w:tc>
          <w:tcPr>
            <w:tcW w:w="0" w:type="dxa"/>
            <w:vAlign w:val="bottom"/>
          </w:tcPr>
          <w:p>
            <w:pPr>
              <w:spacing w:after="0"/>
              <w:rPr>
                <w:sz w:val="1"/>
                <w:szCs w:val="1"/>
                <w:color w:val="auto"/>
              </w:rPr>
            </w:pPr>
          </w:p>
        </w:tc>
      </w:tr>
      <w:tr>
        <w:trPr>
          <w:trHeight w:val="287"/>
        </w:trPr>
        <w:tc>
          <w:tcPr>
            <w:tcW w:w="540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Management reimbursement</w:t>
            </w:r>
          </w:p>
        </w:tc>
        <w:tc>
          <w:tcPr>
            <w:tcW w:w="70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(78.5)</w:t>
            </w:r>
          </w:p>
        </w:tc>
        <w:tc>
          <w:tcPr>
            <w:tcW w:w="24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(76.5)</w:t>
            </w:r>
          </w:p>
        </w:tc>
        <w:tc>
          <w:tcPr>
            <w:tcW w:w="2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spacing w:after="0"/>
              <w:rPr>
                <w:sz w:val="24"/>
                <w:szCs w:val="24"/>
                <w:color w:val="auto"/>
              </w:rPr>
            </w:pPr>
          </w:p>
        </w:tc>
        <w:tc>
          <w:tcPr>
            <w:tcW w:w="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(302.3)</w:t>
            </w:r>
          </w:p>
        </w:tc>
        <w:tc>
          <w:tcPr>
            <w:tcW w:w="220" w:type="dxa"/>
            <w:vAlign w:val="bottom"/>
            <w:tcBorders>
              <w:bottom w:val="single" w:sz="8" w:color="DCE2EF"/>
            </w:tcBorders>
            <w:shd w:val="clear" w:color="auto" w:fill="DCE2EF"/>
          </w:tcPr>
          <w:p>
            <w:pPr>
              <w:spacing w:after="0"/>
              <w:rPr>
                <w:sz w:val="24"/>
                <w:szCs w:val="24"/>
                <w:color w:val="auto"/>
              </w:rPr>
            </w:pPr>
          </w:p>
        </w:tc>
        <w:tc>
          <w:tcPr>
            <w:tcW w:w="740" w:type="dxa"/>
            <w:vAlign w:val="bottom"/>
            <w:tcBorders>
              <w:bottom w:val="single" w:sz="8" w:color="auto"/>
            </w:tcBorders>
            <w:shd w:val="clear" w:color="auto" w:fill="DCE2EF"/>
          </w:tcPr>
          <w:p>
            <w:pPr>
              <w:spacing w:after="0"/>
              <w:rPr>
                <w:sz w:val="24"/>
                <w:szCs w:val="24"/>
                <w:color w:val="auto"/>
              </w:rPr>
            </w:pPr>
          </w:p>
        </w:tc>
        <w:tc>
          <w:tcPr>
            <w:tcW w:w="5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(280.6)</w:t>
            </w:r>
          </w:p>
        </w:tc>
        <w:tc>
          <w:tcPr>
            <w:tcW w:w="0" w:type="dxa"/>
            <w:vAlign w:val="bottom"/>
          </w:tcPr>
          <w:p>
            <w:pPr>
              <w:spacing w:after="0"/>
              <w:rPr>
                <w:sz w:val="1"/>
                <w:szCs w:val="1"/>
                <w:color w:val="auto"/>
              </w:rPr>
            </w:pPr>
          </w:p>
        </w:tc>
      </w:tr>
      <w:tr>
        <w:trPr>
          <w:trHeight w:val="264"/>
        </w:trPr>
        <w:tc>
          <w:tcPr>
            <w:tcW w:w="5400" w:type="dxa"/>
            <w:vAlign w:val="bottom"/>
          </w:tcPr>
          <w:p>
            <w:pPr>
              <w:ind w:left="60"/>
              <w:spacing w:after="0"/>
              <w:rPr>
                <w:sz w:val="20"/>
                <w:szCs w:val="20"/>
                <w:color w:val="auto"/>
              </w:rPr>
            </w:pPr>
            <w:r>
              <w:rPr>
                <w:rFonts w:ascii="Arial" w:cs="Arial" w:eastAsia="Arial" w:hAnsi="Arial"/>
                <w:sz w:val="15"/>
                <w:szCs w:val="15"/>
                <w:color w:val="auto"/>
              </w:rPr>
              <w:t>Revenues excluding management reimbursement</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2,014.4</w:t>
            </w:r>
          </w:p>
        </w:tc>
        <w:tc>
          <w:tcPr>
            <w:tcW w:w="9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1,934.6</w:t>
            </w:r>
          </w:p>
        </w:tc>
        <w:tc>
          <w:tcPr>
            <w:tcW w:w="8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7,794.0</w:t>
            </w: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7,526.0</w:t>
            </w:r>
          </w:p>
        </w:tc>
        <w:tc>
          <w:tcPr>
            <w:tcW w:w="0" w:type="dxa"/>
            <w:vAlign w:val="bottom"/>
          </w:tcPr>
          <w:p>
            <w:pPr>
              <w:spacing w:after="0"/>
              <w:rPr>
                <w:sz w:val="1"/>
                <w:szCs w:val="1"/>
                <w:color w:val="auto"/>
              </w:rPr>
            </w:pPr>
          </w:p>
        </w:tc>
      </w:tr>
      <w:tr>
        <w:trPr>
          <w:trHeight w:val="270"/>
        </w:trPr>
        <w:tc>
          <w:tcPr>
            <w:tcW w:w="5400" w:type="dxa"/>
            <w:vAlign w:val="bottom"/>
            <w:shd w:val="clear" w:color="auto" w:fill="DCE2EF"/>
          </w:tcPr>
          <w:p>
            <w:pPr>
              <w:spacing w:after="0"/>
              <w:rPr>
                <w:sz w:val="23"/>
                <w:szCs w:val="23"/>
                <w:color w:val="auto"/>
              </w:rPr>
            </w:pPr>
          </w:p>
        </w:tc>
        <w:tc>
          <w:tcPr>
            <w:tcW w:w="700" w:type="dxa"/>
            <w:vAlign w:val="bottom"/>
            <w:tcBorders>
              <w:top w:val="single" w:sz="8" w:color="auto"/>
            </w:tcBorders>
            <w:shd w:val="clear" w:color="auto" w:fill="DCE2EF"/>
          </w:tcPr>
          <w:p>
            <w:pPr>
              <w:spacing w:after="0"/>
              <w:rPr>
                <w:sz w:val="23"/>
                <w:szCs w:val="23"/>
                <w:color w:val="auto"/>
              </w:rPr>
            </w:pPr>
          </w:p>
        </w:tc>
        <w:tc>
          <w:tcPr>
            <w:tcW w:w="600" w:type="dxa"/>
            <w:vAlign w:val="bottom"/>
            <w:tcBorders>
              <w:top w:val="single" w:sz="8" w:color="auto"/>
            </w:tcBorders>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680" w:type="dxa"/>
            <w:vAlign w:val="bottom"/>
            <w:tcBorders>
              <w:top w:val="single" w:sz="8" w:color="auto"/>
            </w:tcBorders>
            <w:shd w:val="clear" w:color="auto" w:fill="DCE2EF"/>
          </w:tcPr>
          <w:p>
            <w:pPr>
              <w:spacing w:after="0"/>
              <w:rPr>
                <w:sz w:val="23"/>
                <w:szCs w:val="23"/>
                <w:color w:val="auto"/>
              </w:rPr>
            </w:pPr>
          </w:p>
        </w:tc>
        <w:tc>
          <w:tcPr>
            <w:tcW w:w="600" w:type="dxa"/>
            <w:vAlign w:val="bottom"/>
            <w:tcBorders>
              <w:top w:val="single" w:sz="8" w:color="auto"/>
            </w:tcBorders>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580" w:type="dxa"/>
            <w:vAlign w:val="bottom"/>
            <w:tcBorders>
              <w:top w:val="single" w:sz="8" w:color="auto"/>
            </w:tcBorders>
            <w:shd w:val="clear" w:color="auto" w:fill="DCE2EF"/>
          </w:tcPr>
          <w:p>
            <w:pPr>
              <w:spacing w:after="0"/>
              <w:rPr>
                <w:sz w:val="23"/>
                <w:szCs w:val="23"/>
                <w:color w:val="auto"/>
              </w:rPr>
            </w:pPr>
          </w:p>
        </w:tc>
        <w:tc>
          <w:tcPr>
            <w:tcW w:w="700" w:type="dxa"/>
            <w:vAlign w:val="bottom"/>
            <w:tcBorders>
              <w:top w:val="single" w:sz="8" w:color="auto"/>
            </w:tcBorders>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740" w:type="dxa"/>
            <w:vAlign w:val="bottom"/>
            <w:tcBorders>
              <w:top w:val="single" w:sz="8" w:color="auto"/>
            </w:tcBorders>
            <w:shd w:val="clear" w:color="auto" w:fill="DCE2EF"/>
          </w:tcPr>
          <w:p>
            <w:pPr>
              <w:spacing w:after="0"/>
              <w:rPr>
                <w:sz w:val="23"/>
                <w:szCs w:val="23"/>
                <w:color w:val="auto"/>
              </w:rPr>
            </w:pPr>
          </w:p>
        </w:tc>
        <w:tc>
          <w:tcPr>
            <w:tcW w:w="540" w:type="dxa"/>
            <w:vAlign w:val="bottom"/>
            <w:tcBorders>
              <w:top w:val="single" w:sz="8" w:color="auto"/>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Adjusted EBITDA margin as a % of revenues excluding management</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reimbursement</w:t>
            </w: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7.2 %</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6.8 %</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6.8 %</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453"/>
        </w:trPr>
        <w:tc>
          <w:tcPr>
            <w:tcW w:w="5400" w:type="dxa"/>
            <w:vAlign w:val="bottom"/>
          </w:tcPr>
          <w:p>
            <w:pPr>
              <w:spacing w:after="0"/>
              <w:rPr>
                <w:sz w:val="24"/>
                <w:szCs w:val="24"/>
                <w:color w:val="auto"/>
              </w:rPr>
            </w:pPr>
          </w:p>
        </w:tc>
        <w:tc>
          <w:tcPr>
            <w:tcW w:w="700" w:type="dxa"/>
            <w:vAlign w:val="bottom"/>
          </w:tcPr>
          <w:p>
            <w:pPr>
              <w:jc w:val="right"/>
              <w:ind w:right="305"/>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-1562100</wp:posOffset>
            </wp:positionV>
            <wp:extent cx="14605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-1562100</wp:posOffset>
            </wp:positionV>
            <wp:extent cx="14605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-1562100</wp:posOffset>
            </wp:positionV>
            <wp:extent cx="13716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-1022350</wp:posOffset>
            </wp:positionV>
            <wp:extent cx="14605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-1022350</wp:posOffset>
            </wp:positionV>
            <wp:extent cx="14605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-1022350</wp:posOffset>
            </wp:positionV>
            <wp:extent cx="13716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-842010</wp:posOffset>
            </wp:positionV>
            <wp:extent cx="14605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-842010</wp:posOffset>
            </wp:positionV>
            <wp:extent cx="14605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-842010</wp:posOffset>
            </wp:positionV>
            <wp:extent cx="13716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2820" w:type="dxa"/>
            <w:vAlign w:val="bottom"/>
            <w:tcBorders>
              <w:bottom w:val="single" w:sz="8" w:color="auto"/>
            </w:tcBorders>
            <w:gridSpan w:val="5"/>
          </w:tcPr>
          <w:p>
            <w:pPr>
              <w:jc w:val="right"/>
              <w:ind w:right="266"/>
              <w:spacing w:after="0"/>
              <w:rPr>
                <w:sz w:val="20"/>
                <w:szCs w:val="20"/>
                <w:color w:val="auto"/>
              </w:rPr>
            </w:pPr>
            <w:r>
              <w:rPr>
                <w:rFonts w:ascii="Arial" w:cs="Arial" w:eastAsia="Arial" w:hAnsi="Arial"/>
                <w:sz w:val="13"/>
                <w:szCs w:val="13"/>
                <w:b w:val="1"/>
                <w:bCs w:val="1"/>
                <w:color w:val="auto"/>
              </w:rPr>
              <w:t>Three Months Ended October 31,</w:t>
            </w:r>
          </w:p>
        </w:tc>
        <w:tc>
          <w:tcPr>
            <w:tcW w:w="240" w:type="dxa"/>
            <w:vAlign w:val="bottom"/>
          </w:tcPr>
          <w:p>
            <w:pPr>
              <w:spacing w:after="0"/>
              <w:rPr>
                <w:sz w:val="17"/>
                <w:szCs w:val="17"/>
                <w:color w:val="auto"/>
              </w:rPr>
            </w:pPr>
          </w:p>
        </w:tc>
        <w:tc>
          <w:tcPr>
            <w:tcW w:w="23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3"/>
                <w:szCs w:val="13"/>
                <w:b w:val="1"/>
                <w:bCs w:val="1"/>
                <w:color w:val="auto"/>
              </w:rPr>
              <w:t>Years Ended October 31,</w:t>
            </w:r>
          </w:p>
        </w:tc>
        <w:tc>
          <w:tcPr>
            <w:tcW w:w="460" w:type="dxa"/>
            <w:vAlign w:val="bottom"/>
            <w:tcBorders>
              <w:bottom w:val="single" w:sz="8" w:color="auto"/>
            </w:tcBorders>
          </w:tcPr>
          <w:p>
            <w:pPr>
              <w:spacing w:after="0"/>
              <w:rPr>
                <w:sz w:val="17"/>
                <w:szCs w:val="17"/>
                <w:color w:val="auto"/>
              </w:rPr>
            </w:pPr>
          </w:p>
        </w:tc>
      </w:tr>
      <w:tr>
        <w:trPr>
          <w:trHeight w:val="263"/>
        </w:trPr>
        <w:tc>
          <w:tcPr>
            <w:tcW w:w="5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22"/>
                <w:szCs w:val="22"/>
                <w:color w:val="auto"/>
              </w:rPr>
            </w:pPr>
          </w:p>
        </w:tc>
      </w:tr>
      <w:tr>
        <w:trPr>
          <w:trHeight w:val="220"/>
        </w:trPr>
        <w:tc>
          <w:tcPr>
            <w:tcW w:w="5400" w:type="dxa"/>
            <w:vAlign w:val="bottom"/>
            <w:shd w:val="clear" w:color="auto" w:fill="DCE2EF"/>
          </w:tcPr>
          <w:p>
            <w:pPr>
              <w:ind w:left="60"/>
              <w:spacing w:after="0"/>
              <w:rPr>
                <w:sz w:val="20"/>
                <w:szCs w:val="20"/>
                <w:color w:val="auto"/>
              </w:rPr>
            </w:pPr>
            <w:r>
              <w:rPr>
                <w:rFonts w:ascii="Arial" w:cs="Arial" w:eastAsia="Arial" w:hAnsi="Arial"/>
                <w:sz w:val="14"/>
                <w:szCs w:val="14"/>
                <w:b w:val="1"/>
                <w:bCs w:val="1"/>
                <w:color w:val="auto"/>
              </w:rPr>
              <w:t>Reconciliation of Net Income per Diluted Share to Adjusted Net Income</w:t>
            </w:r>
          </w:p>
        </w:tc>
        <w:tc>
          <w:tcPr>
            <w:tcW w:w="840" w:type="dxa"/>
            <w:vAlign w:val="bottom"/>
            <w:tcBorders>
              <w:top w:val="single" w:sz="8" w:color="auto"/>
            </w:tcBorders>
            <w:shd w:val="clear" w:color="auto" w:fill="DCE2EF"/>
          </w:tcPr>
          <w:p>
            <w:pPr>
              <w:spacing w:after="0"/>
              <w:rPr>
                <w:sz w:val="19"/>
                <w:szCs w:val="19"/>
                <w:color w:val="auto"/>
              </w:rPr>
            </w:pPr>
          </w:p>
        </w:tc>
        <w:tc>
          <w:tcPr>
            <w:tcW w:w="460" w:type="dxa"/>
            <w:vAlign w:val="bottom"/>
            <w:tcBorders>
              <w:top w:val="single" w:sz="8" w:color="auto"/>
            </w:tcBorders>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840" w:type="dxa"/>
            <w:vAlign w:val="bottom"/>
            <w:tcBorders>
              <w:top w:val="single" w:sz="8" w:color="auto"/>
            </w:tcBorders>
            <w:shd w:val="clear" w:color="auto" w:fill="DCE2EF"/>
          </w:tcPr>
          <w:p>
            <w:pPr>
              <w:spacing w:after="0"/>
              <w:rPr>
                <w:sz w:val="19"/>
                <w:szCs w:val="19"/>
                <w:color w:val="auto"/>
              </w:rPr>
            </w:pPr>
          </w:p>
        </w:tc>
        <w:tc>
          <w:tcPr>
            <w:tcW w:w="440" w:type="dxa"/>
            <w:vAlign w:val="bottom"/>
            <w:tcBorders>
              <w:top w:val="single" w:sz="8" w:color="auto"/>
            </w:tcBorders>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820" w:type="dxa"/>
            <w:vAlign w:val="bottom"/>
            <w:tcBorders>
              <w:top w:val="single" w:sz="8" w:color="auto"/>
            </w:tcBorders>
            <w:shd w:val="clear" w:color="auto" w:fill="DCE2EF"/>
          </w:tcPr>
          <w:p>
            <w:pPr>
              <w:spacing w:after="0"/>
              <w:rPr>
                <w:sz w:val="19"/>
                <w:szCs w:val="19"/>
                <w:color w:val="auto"/>
              </w:rPr>
            </w:pPr>
          </w:p>
        </w:tc>
        <w:tc>
          <w:tcPr>
            <w:tcW w:w="460" w:type="dxa"/>
            <w:vAlign w:val="bottom"/>
            <w:tcBorders>
              <w:top w:val="single" w:sz="8" w:color="auto"/>
            </w:tcBorders>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20" w:type="dxa"/>
            <w:vAlign w:val="bottom"/>
            <w:tcBorders>
              <w:top w:val="single" w:sz="8" w:color="auto"/>
            </w:tcBorders>
            <w:shd w:val="clear" w:color="auto" w:fill="DCE2EF"/>
          </w:tcPr>
          <w:p>
            <w:pPr>
              <w:spacing w:after="0"/>
              <w:rPr>
                <w:sz w:val="19"/>
                <w:szCs w:val="19"/>
                <w:color w:val="auto"/>
              </w:rPr>
            </w:pPr>
          </w:p>
        </w:tc>
        <w:tc>
          <w:tcPr>
            <w:tcW w:w="460" w:type="dxa"/>
            <w:vAlign w:val="bottom"/>
            <w:tcBorders>
              <w:top w:val="single" w:sz="8" w:color="auto"/>
            </w:tcBorders>
            <w:shd w:val="clear" w:color="auto" w:fill="DCE2EF"/>
          </w:tcPr>
          <w:p>
            <w:pPr>
              <w:spacing w:after="0"/>
              <w:rPr>
                <w:sz w:val="19"/>
                <w:szCs w:val="19"/>
                <w:color w:val="auto"/>
              </w:rPr>
            </w:pPr>
          </w:p>
        </w:tc>
      </w:tr>
      <w:tr>
        <w:trPr>
          <w:trHeight w:val="196"/>
        </w:trPr>
        <w:tc>
          <w:tcPr>
            <w:tcW w:w="5400" w:type="dxa"/>
            <w:vAlign w:val="bottom"/>
            <w:shd w:val="clear" w:color="auto" w:fill="DCE2EF"/>
          </w:tcPr>
          <w:p>
            <w:pPr>
              <w:ind w:left="60"/>
              <w:spacing w:after="0"/>
              <w:rPr>
                <w:sz w:val="20"/>
                <w:szCs w:val="20"/>
                <w:color w:val="auto"/>
              </w:rPr>
            </w:pPr>
            <w:r>
              <w:rPr>
                <w:rFonts w:ascii="Arial" w:cs="Arial" w:eastAsia="Arial" w:hAnsi="Arial"/>
                <w:sz w:val="14"/>
                <w:szCs w:val="14"/>
                <w:b w:val="1"/>
                <w:bCs w:val="1"/>
                <w:color w:val="auto"/>
              </w:rPr>
              <w:t>per Diluted Share</w:t>
            </w:r>
          </w:p>
        </w:tc>
        <w:tc>
          <w:tcPr>
            <w:tcW w:w="84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44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r>
      <w:tr>
        <w:trPr>
          <w:trHeight w:val="259"/>
        </w:trPr>
        <w:tc>
          <w:tcPr>
            <w:tcW w:w="540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r>
      <w:tr>
        <w:trPr>
          <w:trHeight w:val="262"/>
        </w:trPr>
        <w:tc>
          <w:tcPr>
            <w:tcW w:w="5400" w:type="dxa"/>
            <w:vAlign w:val="bottom"/>
          </w:tcPr>
          <w:p>
            <w:pPr>
              <w:ind w:left="60"/>
              <w:spacing w:after="0"/>
              <w:rPr>
                <w:sz w:val="20"/>
                <w:szCs w:val="20"/>
                <w:color w:val="auto"/>
              </w:rPr>
            </w:pPr>
            <w:r>
              <w:rPr>
                <w:rFonts w:ascii="Arial" w:cs="Arial" w:eastAsia="Arial" w:hAnsi="Arial"/>
                <w:sz w:val="14"/>
                <w:szCs w:val="14"/>
                <w:color w:val="auto"/>
              </w:rPr>
              <w:t>Net Income per diluted share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0.96</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0.73</w:t>
            </w:r>
          </w:p>
        </w:tc>
        <w:tc>
          <w:tcPr>
            <w:tcW w:w="106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3.79</w:t>
            </w:r>
          </w:p>
        </w:tc>
        <w:tc>
          <w:tcPr>
            <w:tcW w:w="10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3.41</w:t>
            </w:r>
          </w:p>
        </w:tc>
      </w:tr>
      <w:tr>
        <w:trPr>
          <w:trHeight w:val="22"/>
        </w:trPr>
        <w:tc>
          <w:tcPr>
            <w:tcW w:w="5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2"/>
        </w:trPr>
        <w:tc>
          <w:tcPr>
            <w:tcW w:w="5400" w:type="dxa"/>
            <w:vAlign w:val="bottom"/>
            <w:shd w:val="clear" w:color="auto" w:fill="DCE2EF"/>
          </w:tcPr>
          <w:p>
            <w:pPr>
              <w:ind w:left="180"/>
              <w:spacing w:after="0"/>
              <w:rPr>
                <w:sz w:val="20"/>
                <w:szCs w:val="20"/>
                <w:color w:val="auto"/>
              </w:rPr>
            </w:pPr>
            <w:r>
              <w:rPr>
                <w:rFonts w:ascii="Arial" w:cs="Arial" w:eastAsia="Arial" w:hAnsi="Arial"/>
                <w:sz w:val="14"/>
                <w:szCs w:val="14"/>
                <w:color w:val="auto"/>
              </w:rPr>
              <w:t>Items impacting comparability, net of taxes</w:t>
            </w:r>
          </w:p>
        </w:tc>
        <w:tc>
          <w:tcPr>
            <w:tcW w:w="84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r>
      <w:tr>
        <w:trPr>
          <w:trHeight w:val="256"/>
        </w:trPr>
        <w:tc>
          <w:tcPr>
            <w:tcW w:w="5400" w:type="dxa"/>
            <w:vAlign w:val="bottom"/>
            <w:tcBorders>
              <w:bottom w:val="single" w:sz="8" w:color="DCE2EF"/>
            </w:tcBorders>
            <w:shd w:val="clear" w:color="auto" w:fill="DCE2EF"/>
          </w:tcPr>
          <w:p>
            <w:pPr>
              <w:spacing w:after="0"/>
              <w:rPr>
                <w:sz w:val="21"/>
                <w:szCs w:val="21"/>
                <w:color w:val="auto"/>
              </w:rPr>
            </w:pPr>
          </w:p>
        </w:tc>
        <w:tc>
          <w:tcPr>
            <w:tcW w:w="840" w:type="dxa"/>
            <w:vAlign w:val="bottom"/>
            <w:tcBorders>
              <w:bottom w:val="single" w:sz="8" w:color="DCE2EF"/>
            </w:tcBorders>
            <w:shd w:val="clear" w:color="auto" w:fill="DCE2EF"/>
          </w:tcPr>
          <w:p>
            <w:pPr>
              <w:spacing w:after="0"/>
              <w:rPr>
                <w:sz w:val="21"/>
                <w:szCs w:val="21"/>
                <w:color w:val="auto"/>
              </w:rPr>
            </w:pPr>
          </w:p>
        </w:tc>
        <w:tc>
          <w:tcPr>
            <w:tcW w:w="4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0.05</w:t>
            </w:r>
          </w:p>
        </w:tc>
        <w:tc>
          <w:tcPr>
            <w:tcW w:w="240" w:type="dxa"/>
            <w:vAlign w:val="bottom"/>
            <w:tcBorders>
              <w:bottom w:val="single" w:sz="8" w:color="DCE2EF"/>
            </w:tcBorders>
            <w:shd w:val="clear" w:color="auto" w:fill="DCE2EF"/>
          </w:tcPr>
          <w:p>
            <w:pPr>
              <w:spacing w:after="0"/>
              <w:rPr>
                <w:sz w:val="21"/>
                <w:szCs w:val="21"/>
                <w:color w:val="auto"/>
              </w:rPr>
            </w:pPr>
          </w:p>
        </w:tc>
        <w:tc>
          <w:tcPr>
            <w:tcW w:w="84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0.16</w:t>
            </w:r>
          </w:p>
        </w:tc>
        <w:tc>
          <w:tcPr>
            <w:tcW w:w="2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1"/>
                <w:szCs w:val="21"/>
                <w:color w:val="auto"/>
              </w:rPr>
            </w:pPr>
          </w:p>
        </w:tc>
        <w:tc>
          <w:tcPr>
            <w:tcW w:w="4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(0.29)</w:t>
            </w:r>
          </w:p>
        </w:tc>
        <w:tc>
          <w:tcPr>
            <w:tcW w:w="2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1"/>
                <w:szCs w:val="21"/>
                <w:color w:val="auto"/>
              </w:rPr>
            </w:pPr>
          </w:p>
        </w:tc>
        <w:tc>
          <w:tcPr>
            <w:tcW w:w="4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0.25</w:t>
            </w:r>
          </w:p>
        </w:tc>
      </w:tr>
      <w:tr>
        <w:trPr>
          <w:trHeight w:val="242"/>
        </w:trPr>
        <w:tc>
          <w:tcPr>
            <w:tcW w:w="5400" w:type="dxa"/>
            <w:vAlign w:val="bottom"/>
            <w:tcBorders>
              <w:top w:val="single" w:sz="8" w:color="DCE2EF"/>
            </w:tcBorders>
          </w:tcPr>
          <w:p>
            <w:pPr>
              <w:ind w:left="60"/>
              <w:spacing w:after="0"/>
              <w:rPr>
                <w:sz w:val="20"/>
                <w:szCs w:val="20"/>
                <w:color w:val="auto"/>
              </w:rPr>
            </w:pPr>
            <w:r>
              <w:rPr>
                <w:rFonts w:ascii="Arial" w:cs="Arial" w:eastAsia="Arial" w:hAnsi="Arial"/>
                <w:sz w:val="14"/>
                <w:szCs w:val="14"/>
                <w:color w:val="auto"/>
              </w:rPr>
              <w:t>Adjusted Net Income per diluted share</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240" w:type="dxa"/>
            <w:vAlign w:val="bottom"/>
            <w:tcBorders>
              <w:top w:val="single" w:sz="8" w:color="DCE2EF"/>
            </w:tcBorders>
          </w:tcPr>
          <w:p>
            <w:pPr>
              <w:spacing w:after="0"/>
              <w:rPr>
                <w:sz w:val="21"/>
                <w:szCs w:val="21"/>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0.89</w:t>
            </w:r>
          </w:p>
        </w:tc>
        <w:tc>
          <w:tcPr>
            <w:tcW w:w="240" w:type="dxa"/>
            <w:vAlign w:val="bottom"/>
            <w:tcBorders>
              <w:top w:val="single" w:sz="8" w:color="DCE2EF"/>
            </w:tcBorders>
          </w:tcPr>
          <w:p>
            <w:pPr>
              <w:spacing w:after="0"/>
              <w:rPr>
                <w:sz w:val="21"/>
                <w:szCs w:val="21"/>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220" w:type="dxa"/>
            <w:vAlign w:val="bottom"/>
            <w:tcBorders>
              <w:top w:val="single" w:sz="8" w:color="DCE2EF"/>
            </w:tcBorders>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3.66</w:t>
            </w:r>
          </w:p>
        </w:tc>
      </w:tr>
      <w:tr>
        <w:trPr>
          <w:trHeight w:val="22"/>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43"/>
        </w:trPr>
        <w:tc>
          <w:tcPr>
            <w:tcW w:w="540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4"/>
                <w:szCs w:val="14"/>
                <w:color w:val="auto"/>
              </w:rPr>
              <w:t>Diluted shares</w:t>
            </w:r>
          </w:p>
        </w:tc>
        <w:tc>
          <w:tcPr>
            <w:tcW w:w="840" w:type="dxa"/>
            <w:vAlign w:val="bottom"/>
            <w:tcBorders>
              <w:bottom w:val="single" w:sz="8" w:color="DCE2EF"/>
            </w:tcBorders>
            <w:shd w:val="clear" w:color="auto" w:fill="DCE2EF"/>
          </w:tcPr>
          <w:p>
            <w:pPr>
              <w:spacing w:after="0"/>
              <w:rPr>
                <w:sz w:val="21"/>
                <w:szCs w:val="21"/>
                <w:color w:val="auto"/>
              </w:rPr>
            </w:pPr>
          </w:p>
        </w:tc>
        <w:tc>
          <w:tcPr>
            <w:tcW w:w="4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65.3</w:t>
            </w:r>
          </w:p>
        </w:tc>
        <w:tc>
          <w:tcPr>
            <w:tcW w:w="240" w:type="dxa"/>
            <w:vAlign w:val="bottom"/>
            <w:tcBorders>
              <w:bottom w:val="single" w:sz="8" w:color="DCE2EF"/>
            </w:tcBorders>
            <w:shd w:val="clear" w:color="auto" w:fill="DCE2EF"/>
          </w:tcPr>
          <w:p>
            <w:pPr>
              <w:spacing w:after="0"/>
              <w:rPr>
                <w:sz w:val="21"/>
                <w:szCs w:val="21"/>
                <w:color w:val="auto"/>
              </w:rPr>
            </w:pPr>
          </w:p>
        </w:tc>
        <w:tc>
          <w:tcPr>
            <w:tcW w:w="84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66.9</w:t>
            </w:r>
          </w:p>
        </w:tc>
        <w:tc>
          <w:tcPr>
            <w:tcW w:w="2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1"/>
                <w:szCs w:val="21"/>
                <w:color w:val="auto"/>
              </w:rPr>
            </w:pPr>
          </w:p>
        </w:tc>
        <w:tc>
          <w:tcPr>
            <w:tcW w:w="4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66.3</w:t>
            </w:r>
          </w:p>
        </w:tc>
        <w:tc>
          <w:tcPr>
            <w:tcW w:w="2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1"/>
                <w:szCs w:val="21"/>
                <w:color w:val="auto"/>
              </w:rPr>
            </w:pPr>
          </w:p>
        </w:tc>
        <w:tc>
          <w:tcPr>
            <w:tcW w:w="4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67.5</w:t>
            </w:r>
          </w:p>
        </w:tc>
      </w:tr>
      <w:tr>
        <w:trPr>
          <w:trHeight w:val="479"/>
        </w:trPr>
        <w:tc>
          <w:tcPr>
            <w:tcW w:w="540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266"/>
              <w:spacing w:after="0"/>
              <w:rPr>
                <w:sz w:val="20"/>
                <w:szCs w:val="20"/>
                <w:color w:val="auto"/>
              </w:rPr>
            </w:pPr>
            <w:r>
              <w:rPr>
                <w:rFonts w:ascii="Arial" w:cs="Arial" w:eastAsia="Arial" w:hAnsi="Arial"/>
                <w:sz w:val="13"/>
                <w:szCs w:val="13"/>
                <w:b w:val="1"/>
                <w:bCs w:val="1"/>
                <w:color w:val="auto"/>
              </w:rPr>
              <w:t>Three Months Ended October 31,</w:t>
            </w:r>
          </w:p>
        </w:tc>
        <w:tc>
          <w:tcPr>
            <w:tcW w:w="24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3"/>
                <w:szCs w:val="13"/>
                <w:b w:val="1"/>
                <w:bCs w:val="1"/>
                <w:color w:val="auto"/>
              </w:rPr>
              <w:t>Years Ended October 31,</w:t>
            </w:r>
          </w:p>
        </w:tc>
        <w:tc>
          <w:tcPr>
            <w:tcW w:w="460" w:type="dxa"/>
            <w:vAlign w:val="bottom"/>
            <w:tcBorders>
              <w:bottom w:val="single" w:sz="8" w:color="auto"/>
            </w:tcBorders>
          </w:tcPr>
          <w:p>
            <w:pPr>
              <w:spacing w:after="0"/>
              <w:rPr>
                <w:sz w:val="24"/>
                <w:szCs w:val="24"/>
                <w:color w:val="auto"/>
              </w:rPr>
            </w:pPr>
          </w:p>
        </w:tc>
      </w:tr>
      <w:tr>
        <w:trPr>
          <w:trHeight w:val="263"/>
        </w:trPr>
        <w:tc>
          <w:tcPr>
            <w:tcW w:w="5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22"/>
                <w:szCs w:val="22"/>
                <w:color w:val="auto"/>
              </w:rPr>
            </w:pPr>
          </w:p>
        </w:tc>
      </w:tr>
      <w:tr>
        <w:trPr>
          <w:trHeight w:val="210"/>
        </w:trPr>
        <w:tc>
          <w:tcPr>
            <w:tcW w:w="540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Cash Provided by Operating Activities to Free</w:t>
            </w:r>
          </w:p>
        </w:tc>
        <w:tc>
          <w:tcPr>
            <w:tcW w:w="840" w:type="dxa"/>
            <w:vAlign w:val="bottom"/>
            <w:tcBorders>
              <w:top w:val="single" w:sz="8" w:color="auto"/>
            </w:tcBorders>
            <w:shd w:val="clear" w:color="auto" w:fill="DCE2EF"/>
          </w:tcPr>
          <w:p>
            <w:pPr>
              <w:spacing w:after="0"/>
              <w:rPr>
                <w:sz w:val="18"/>
                <w:szCs w:val="18"/>
                <w:color w:val="auto"/>
              </w:rPr>
            </w:pPr>
          </w:p>
        </w:tc>
        <w:tc>
          <w:tcPr>
            <w:tcW w:w="460" w:type="dxa"/>
            <w:vAlign w:val="bottom"/>
            <w:tcBorders>
              <w:top w:val="single" w:sz="8" w:color="auto"/>
            </w:tcBorders>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40" w:type="dxa"/>
            <w:vAlign w:val="bottom"/>
            <w:tcBorders>
              <w:top w:val="single" w:sz="8" w:color="auto"/>
            </w:tcBorders>
            <w:shd w:val="clear" w:color="auto" w:fill="DCE2EF"/>
          </w:tcPr>
          <w:p>
            <w:pPr>
              <w:spacing w:after="0"/>
              <w:rPr>
                <w:sz w:val="18"/>
                <w:szCs w:val="18"/>
                <w:color w:val="auto"/>
              </w:rPr>
            </w:pPr>
          </w:p>
        </w:tc>
        <w:tc>
          <w:tcPr>
            <w:tcW w:w="440" w:type="dxa"/>
            <w:vAlign w:val="bottom"/>
            <w:tcBorders>
              <w:top w:val="single" w:sz="8" w:color="auto"/>
            </w:tcBorders>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20" w:type="dxa"/>
            <w:vAlign w:val="bottom"/>
            <w:tcBorders>
              <w:top w:val="single" w:sz="8" w:color="auto"/>
            </w:tcBorders>
            <w:shd w:val="clear" w:color="auto" w:fill="DCE2EF"/>
          </w:tcPr>
          <w:p>
            <w:pPr>
              <w:spacing w:after="0"/>
              <w:rPr>
                <w:sz w:val="18"/>
                <w:szCs w:val="18"/>
                <w:color w:val="auto"/>
              </w:rPr>
            </w:pPr>
          </w:p>
        </w:tc>
        <w:tc>
          <w:tcPr>
            <w:tcW w:w="460" w:type="dxa"/>
            <w:vAlign w:val="bottom"/>
            <w:tcBorders>
              <w:top w:val="single" w:sz="8" w:color="auto"/>
            </w:tcBorders>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820" w:type="dxa"/>
            <w:vAlign w:val="bottom"/>
            <w:tcBorders>
              <w:top w:val="single" w:sz="8" w:color="auto"/>
            </w:tcBorders>
            <w:shd w:val="clear" w:color="auto" w:fill="DCE2EF"/>
          </w:tcPr>
          <w:p>
            <w:pPr>
              <w:spacing w:after="0"/>
              <w:rPr>
                <w:sz w:val="18"/>
                <w:szCs w:val="18"/>
                <w:color w:val="auto"/>
              </w:rPr>
            </w:pPr>
          </w:p>
        </w:tc>
        <w:tc>
          <w:tcPr>
            <w:tcW w:w="460" w:type="dxa"/>
            <w:vAlign w:val="bottom"/>
            <w:tcBorders>
              <w:top w:val="single" w:sz="8" w:color="auto"/>
            </w:tcBorders>
            <w:shd w:val="clear" w:color="auto" w:fill="DCE2EF"/>
          </w:tcPr>
          <w:p>
            <w:pPr>
              <w:spacing w:after="0"/>
              <w:rPr>
                <w:sz w:val="18"/>
                <w:szCs w:val="18"/>
                <w:color w:val="auto"/>
              </w:rPr>
            </w:pPr>
          </w:p>
        </w:tc>
      </w:tr>
      <w:tr>
        <w:trPr>
          <w:trHeight w:val="222"/>
        </w:trPr>
        <w:tc>
          <w:tcPr>
            <w:tcW w:w="540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Cash Flow</w:t>
            </w:r>
          </w:p>
        </w:tc>
        <w:tc>
          <w:tcPr>
            <w:tcW w:w="84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84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r>
      <w:tr>
        <w:trPr>
          <w:trHeight w:val="274"/>
        </w:trPr>
        <w:tc>
          <w:tcPr>
            <w:tcW w:w="5400" w:type="dxa"/>
            <w:vAlign w:val="bottom"/>
          </w:tcPr>
          <w:p>
            <w:pPr>
              <w:ind w:left="60"/>
              <w:spacing w:after="0"/>
              <w:rPr>
                <w:sz w:val="20"/>
                <w:szCs w:val="20"/>
                <w:color w:val="auto"/>
              </w:rPr>
            </w:pPr>
            <w:r>
              <w:rPr>
                <w:rFonts w:ascii="Arial" w:cs="Arial" w:eastAsia="Arial" w:hAnsi="Arial"/>
                <w:sz w:val="15"/>
                <w:szCs w:val="15"/>
                <w:color w:val="auto"/>
              </w:rPr>
              <w:t>Net cash provided by operating activities</w:t>
            </w:r>
          </w:p>
        </w:tc>
        <w:tc>
          <w:tcPr>
            <w:tcW w:w="84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139.1</w:t>
            </w:r>
          </w:p>
        </w:tc>
        <w:tc>
          <w:tcPr>
            <w:tcW w:w="1080" w:type="dxa"/>
            <w:vAlign w:val="bottom"/>
            <w:gridSpan w:val="2"/>
          </w:tcPr>
          <w:p>
            <w:pPr>
              <w:jc w:val="right"/>
              <w:ind w:right="108"/>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117.1</w:t>
            </w:r>
          </w:p>
        </w:tc>
        <w:tc>
          <w:tcPr>
            <w:tcW w:w="1060" w:type="dxa"/>
            <w:vAlign w:val="bottom"/>
            <w:gridSpan w:val="2"/>
          </w:tcPr>
          <w:p>
            <w:pPr>
              <w:jc w:val="right"/>
              <w:ind w:right="111"/>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243.3</w:t>
            </w:r>
          </w:p>
        </w:tc>
        <w:tc>
          <w:tcPr>
            <w:tcW w:w="1040" w:type="dxa"/>
            <w:vAlign w:val="bottom"/>
            <w:gridSpan w:val="2"/>
          </w:tcPr>
          <w:p>
            <w:pPr>
              <w:jc w:val="right"/>
              <w:ind w:right="28"/>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20.4</w:t>
            </w:r>
          </w:p>
        </w:tc>
      </w:tr>
      <w:tr>
        <w:trPr>
          <w:trHeight w:val="290"/>
        </w:trPr>
        <w:tc>
          <w:tcPr>
            <w:tcW w:w="5400" w:type="dxa"/>
            <w:vAlign w:val="bottom"/>
            <w:tcBorders>
              <w:bottom w:val="single" w:sz="8" w:color="DCE2EF"/>
            </w:tcBorders>
            <w:shd w:val="clear" w:color="auto" w:fill="DCE2EF"/>
          </w:tcPr>
          <w:p>
            <w:pPr>
              <w:ind w:left="160"/>
              <w:spacing w:after="0"/>
              <w:rPr>
                <w:sz w:val="20"/>
                <w:szCs w:val="20"/>
                <w:color w:val="auto"/>
              </w:rPr>
            </w:pPr>
            <w:r>
              <w:rPr>
                <w:rFonts w:ascii="Arial" w:cs="Arial" w:eastAsia="Arial" w:hAnsi="Arial"/>
                <w:sz w:val="15"/>
                <w:szCs w:val="15"/>
                <w:color w:val="auto"/>
              </w:rPr>
              <w:t>Additions to property, plant and equipment</w:t>
            </w:r>
          </w:p>
        </w:tc>
        <w:tc>
          <w:tcPr>
            <w:tcW w:w="840" w:type="dxa"/>
            <w:vAlign w:val="bottom"/>
            <w:tcBorders>
              <w:bottom w:val="single" w:sz="8" w:color="auto"/>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(17.9)</w:t>
            </w:r>
          </w:p>
        </w:tc>
        <w:tc>
          <w:tcPr>
            <w:tcW w:w="240" w:type="dxa"/>
            <w:vAlign w:val="bottom"/>
            <w:tcBorders>
              <w:bottom w:val="single" w:sz="8" w:color="DCE2EF"/>
            </w:tcBorders>
            <w:shd w:val="clear" w:color="auto" w:fill="DCE2EF"/>
          </w:tcPr>
          <w:p>
            <w:pPr>
              <w:spacing w:after="0"/>
              <w:rPr>
                <w:sz w:val="24"/>
                <w:szCs w:val="24"/>
                <w:color w:val="auto"/>
              </w:rPr>
            </w:pPr>
          </w:p>
        </w:tc>
        <w:tc>
          <w:tcPr>
            <w:tcW w:w="840" w:type="dxa"/>
            <w:vAlign w:val="bottom"/>
            <w:tcBorders>
              <w:bottom w:val="single" w:sz="8" w:color="auto"/>
            </w:tcBorders>
            <w:shd w:val="clear" w:color="auto" w:fill="DCE2EF"/>
          </w:tcPr>
          <w:p>
            <w:pPr>
              <w:spacing w:after="0"/>
              <w:rPr>
                <w:sz w:val="24"/>
                <w:szCs w:val="24"/>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(13.0)</w:t>
            </w:r>
          </w:p>
        </w:tc>
        <w:tc>
          <w:tcPr>
            <w:tcW w:w="240" w:type="dxa"/>
            <w:vAlign w:val="bottom"/>
            <w:tcBorders>
              <w:bottom w:val="single" w:sz="8" w:color="DCE2EF"/>
            </w:tcBorders>
            <w:shd w:val="clear" w:color="auto" w:fill="DCE2EF"/>
          </w:tcPr>
          <w:p>
            <w:pPr>
              <w:spacing w:after="0"/>
              <w:rPr>
                <w:sz w:val="24"/>
                <w:szCs w:val="24"/>
                <w:color w:val="auto"/>
              </w:rPr>
            </w:pPr>
          </w:p>
        </w:tc>
        <w:tc>
          <w:tcPr>
            <w:tcW w:w="820" w:type="dxa"/>
            <w:vAlign w:val="bottom"/>
            <w:tcBorders>
              <w:bottom w:val="single" w:sz="8" w:color="auto"/>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(52.6)</w:t>
            </w:r>
          </w:p>
        </w:tc>
        <w:tc>
          <w:tcPr>
            <w:tcW w:w="220" w:type="dxa"/>
            <w:vAlign w:val="bottom"/>
            <w:tcBorders>
              <w:bottom w:val="single" w:sz="8" w:color="DCE2EF"/>
            </w:tcBorders>
            <w:shd w:val="clear" w:color="auto" w:fill="DCE2EF"/>
          </w:tcPr>
          <w:p>
            <w:pPr>
              <w:spacing w:after="0"/>
              <w:rPr>
                <w:sz w:val="24"/>
                <w:szCs w:val="24"/>
                <w:color w:val="auto"/>
              </w:rPr>
            </w:pPr>
          </w:p>
        </w:tc>
        <w:tc>
          <w:tcPr>
            <w:tcW w:w="820" w:type="dxa"/>
            <w:vAlign w:val="bottom"/>
            <w:tcBorders>
              <w:bottom w:val="single" w:sz="8" w:color="auto"/>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(50.8)</w:t>
            </w:r>
          </w:p>
        </w:tc>
      </w:tr>
      <w:tr>
        <w:trPr>
          <w:trHeight w:val="260"/>
        </w:trPr>
        <w:tc>
          <w:tcPr>
            <w:tcW w:w="5400" w:type="dxa"/>
            <w:vAlign w:val="bottom"/>
          </w:tcPr>
          <w:p>
            <w:pPr>
              <w:ind w:left="60"/>
              <w:spacing w:after="0"/>
              <w:rPr>
                <w:sz w:val="20"/>
                <w:szCs w:val="20"/>
                <w:color w:val="auto"/>
              </w:rPr>
            </w:pPr>
            <w:r>
              <w:rPr>
                <w:rFonts w:ascii="Arial" w:cs="Arial" w:eastAsia="Arial" w:hAnsi="Arial"/>
                <w:sz w:val="15"/>
                <w:szCs w:val="15"/>
                <w:color w:val="auto"/>
              </w:rPr>
              <w:t>Free Cash Flow</w:t>
            </w:r>
          </w:p>
        </w:tc>
        <w:tc>
          <w:tcPr>
            <w:tcW w:w="84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121.2</w:t>
            </w:r>
          </w:p>
        </w:tc>
        <w:tc>
          <w:tcPr>
            <w:tcW w:w="1080" w:type="dxa"/>
            <w:vAlign w:val="bottom"/>
            <w:gridSpan w:val="2"/>
          </w:tcPr>
          <w:p>
            <w:pPr>
              <w:jc w:val="right"/>
              <w:ind w:right="128"/>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104.1</w:t>
            </w:r>
          </w:p>
        </w:tc>
        <w:tc>
          <w:tcPr>
            <w:tcW w:w="1060" w:type="dxa"/>
            <w:vAlign w:val="bottom"/>
            <w:gridSpan w:val="2"/>
          </w:tcPr>
          <w:p>
            <w:pPr>
              <w:jc w:val="right"/>
              <w:ind w:right="111"/>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190.7</w:t>
            </w:r>
          </w:p>
        </w:tc>
        <w:tc>
          <w:tcPr>
            <w:tcW w:w="1040" w:type="dxa"/>
            <w:vAlign w:val="bottom"/>
            <w:gridSpan w:val="2"/>
          </w:tcPr>
          <w:p>
            <w:pPr>
              <w:jc w:val="right"/>
              <w:ind w:right="128"/>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(30.4)</w:t>
            </w:r>
          </w:p>
        </w:tc>
      </w:tr>
      <w:tr>
        <w:trPr>
          <w:trHeight w:val="27"/>
        </w:trPr>
        <w:tc>
          <w:tcPr>
            <w:tcW w:w="540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-2651125</wp:posOffset>
            </wp:positionV>
            <wp:extent cx="14605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-2651125</wp:posOffset>
            </wp:positionV>
            <wp:extent cx="14605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-2651125</wp:posOffset>
            </wp:positionV>
            <wp:extent cx="137160"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-1708150</wp:posOffset>
            </wp:positionV>
            <wp:extent cx="14605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-1708150</wp:posOffset>
            </wp:positionV>
            <wp:extent cx="146050"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-1708150</wp:posOffset>
            </wp:positionV>
            <wp:extent cx="137160"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-1527810</wp:posOffset>
            </wp:positionV>
            <wp:extent cx="14605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-1527810</wp:posOffset>
            </wp:positionV>
            <wp:extent cx="14605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-1527810</wp:posOffset>
            </wp:positionV>
            <wp:extent cx="137160"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-859155</wp:posOffset>
            </wp:positionV>
            <wp:extent cx="14605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-859155</wp:posOffset>
            </wp:positionV>
            <wp:extent cx="146050"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-859155</wp:posOffset>
            </wp:positionV>
            <wp:extent cx="13716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-216535</wp:posOffset>
            </wp:positionV>
            <wp:extent cx="146050"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-216535</wp:posOffset>
            </wp:positionV>
            <wp:extent cx="146050"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-216535</wp:posOffset>
            </wp:positionV>
            <wp:extent cx="137160"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133" w:lineRule="exact"/>
        <w:rPr>
          <w:sz w:val="20"/>
          <w:szCs w:val="20"/>
          <w:color w:val="auto"/>
        </w:rPr>
      </w:pPr>
    </w:p>
    <w:p>
      <w:pPr>
        <w:ind w:firstLine="8"/>
        <w:spacing w:after="0" w:line="292" w:lineRule="auto"/>
        <w:tabs>
          <w:tab w:leader="none" w:pos="144"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The Company adjusts net income to exclude the impact of certain items that are unusual, non-recurring, or otherwise do not reflect management's views of the underlying operational results and trends of the Company.</w:t>
      </w:r>
    </w:p>
    <w:p>
      <w:pPr>
        <w:spacing w:after="0" w:line="107" w:lineRule="exact"/>
        <w:rPr>
          <w:rFonts w:ascii="Arial" w:cs="Arial" w:eastAsia="Arial" w:hAnsi="Arial"/>
          <w:sz w:val="16"/>
          <w:szCs w:val="16"/>
          <w:color w:val="auto"/>
          <w:vertAlign w:val="superscript"/>
        </w:rPr>
      </w:pPr>
    </w:p>
    <w:p>
      <w:pPr>
        <w:jc w:val="both"/>
        <w:ind w:firstLine="8"/>
        <w:spacing w:after="0" w:line="341" w:lineRule="auto"/>
        <w:tabs>
          <w:tab w:leader="none" w:pos="144"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Represents the net adjustments to our self-insurance reserve for general liability, workers’ compensation, automobile and medical and dental insurance claims related to prior period accident years. Management believes these prior period reserve changes do not illustrate the performance of the Company’s normal ongoing operations given the current year's insurance expense is estimated by management in conjunction with the Company's outside actuary to take into consideration past history and current costs and regulatory trends. Once the Company develops its best estimate of insurance expense premiums for the year, the Company fully allocates such costs out to the business leaders to hold them accountable for the current year costs within operations. However,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would not depict how the business is run as the Company holds its management accountable for the current year’s operational performance. The Company believes the exclusion of the self-insurance adjustment from net income is useful to investors by enabling them to better assess our operating performance in the context of current year profitability. For the three months ended October 31, 2023 and 2022, our self-insurance general liability, workers’ compensation and automobile insurance claims related to prior period accident years was decreased by $9.5M and by $0.7M, respectively. For the years ended October 31, 2023 and 2022, our self-insurance general liability, workers’ compensation, automobile and medical and dental insurance claims related to prior period accident years was decreased by $11.3M and by $37.9M, respectively.</w:t>
      </w:r>
    </w:p>
    <w:p>
      <w:pPr>
        <w:spacing w:after="0" w:line="255"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Represents acquisition and integration related costs primarily associated with Able acquisition.</w:t>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vertAlign w:val="superscript"/>
        </w:rPr>
        <w:t>(d</w:t>
      </w:r>
      <w:r>
        <w:rPr>
          <w:rFonts w:ascii="Arial" w:cs="Arial" w:eastAsia="Arial" w:hAnsi="Arial"/>
          <w:sz w:val="14"/>
          <w:szCs w:val="14"/>
          <w:color w:val="auto"/>
        </w:rPr>
        <w:t>) Represents discrete transformational costs that primarily consists of general and administrative costs for developing technological needs and alternatives, project management, testing, training and data conversion inclusive of internal costs,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78"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Represents a $7.6 million gain on the sale of certain healthcare customer contracts.</w:t>
      </w:r>
    </w:p>
    <w:p>
      <w:pPr>
        <w:spacing w:after="0" w:line="65"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Represents an adjustment to the estimate of the fair value of the contingent consideration associated with the RavenVolt acquisition.</w:t>
      </w:r>
    </w:p>
    <w:p>
      <w:pPr>
        <w:spacing w:after="0" w:line="76"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Represents Employee Retention Credit (ERC) refunds received from the Internal Revenue Service.</w:t>
      </w:r>
    </w:p>
    <w:p>
      <w:pPr>
        <w:spacing w:after="0" w:line="147" w:lineRule="exact"/>
        <w:rPr>
          <w:rFonts w:ascii="Arial" w:cs="Arial" w:eastAsia="Arial" w:hAnsi="Arial"/>
          <w:sz w:val="18"/>
          <w:szCs w:val="18"/>
          <w:color w:val="auto"/>
          <w:vertAlign w:val="superscript"/>
        </w:rPr>
      </w:pPr>
    </w:p>
    <w:p>
      <w:pPr>
        <w:ind w:right="260" w:firstLine="8"/>
        <w:spacing w:after="0" w:line="280" w:lineRule="auto"/>
        <w:tabs>
          <w:tab w:leader="none" w:pos="144"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Includes a $4.4 million accrual related to certain prior years' union benefits' audit. Also includes a $3.9 million accrual reversal for an abated withdrawal liability, which was initially accrued in FY 2019. The accrual was related to a lost client account where ABM employees assigned to the account participated in a defined-benefit multiemployer pension fund where contributions to the pension fund by ABM were limited to that single client account.</w:t>
      </w:r>
    </w:p>
    <w:p>
      <w:pPr>
        <w:spacing w:after="0" w:line="9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Represents primarily severance and related costs associated with the Company's reorganization that impacted approximately 150 people.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7" w:name="page18"/>
    <w:bookmarkEnd w:id="17"/>
    <w:p>
      <w:pPr>
        <w:ind w:firstLine="8"/>
        <w:spacing w:after="0" w:line="347" w:lineRule="auto"/>
        <w:tabs>
          <w:tab w:leader="none" w:pos="112"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The Company's tax impact is calculated using the federal and state statutory rate of 28.11% for US and 22.5% for UK for FY 2023, and 28.11% for US and 19% for UK for FY 2022. For purposes of calculating the tax impact, the change in the fair value of the contingent consideration related to RavenVolt acquisition is deemed to be an non-taxable item.</w:t>
      </w:r>
    </w:p>
    <w:p>
      <w:pPr>
        <w:spacing w:after="0" w:line="1" w:lineRule="exact"/>
        <w:rPr>
          <w:rFonts w:ascii="Arial" w:cs="Arial" w:eastAsia="Arial" w:hAnsi="Arial"/>
          <w:sz w:val="17"/>
          <w:szCs w:val="17"/>
          <w:color w:val="auto"/>
          <w:vertAlign w:val="superscript"/>
        </w:rPr>
      </w:pPr>
    </w:p>
    <w:p>
      <w:pPr>
        <w:spacing w:after="0"/>
        <w:rPr>
          <w:rFonts w:ascii="Arial" w:cs="Arial" w:eastAsia="Arial" w:hAnsi="Arial"/>
          <w:sz w:val="17"/>
          <w:szCs w:val="17"/>
          <w:color w:val="auto"/>
          <w:vertAlign w:val="superscript"/>
        </w:rPr>
      </w:pPr>
      <w:r>
        <w:rPr>
          <w:rFonts w:ascii="Arial" w:cs="Arial" w:eastAsia="Arial" w:hAnsi="Arial"/>
          <w:sz w:val="14"/>
          <w:szCs w:val="14"/>
          <w:color w:val="auto"/>
        </w:rPr>
        <w:t>We calculate tax from the underlying whole-dollar amounts, as a result, certain amounts may not recalculate based on reported numbers due to rounding.</w:t>
      </w:r>
    </w:p>
    <w:p>
      <w:pPr>
        <w:spacing w:after="0" w:line="154"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The Company’s tax impact also includes the following discrete items:</w:t>
      </w:r>
    </w:p>
    <w:p>
      <w:pPr>
        <w:ind w:left="760" w:hanging="378"/>
        <w:spacing w:after="0"/>
        <w:tabs>
          <w:tab w:leader="none" w:pos="760" w:val="left"/>
        </w:tabs>
        <w:numPr>
          <w:ilvl w:val="1"/>
          <w:numId w:val="21"/>
        </w:numPr>
        <w:rPr>
          <w:rFonts w:ascii="Times New Roman" w:cs="Times New Roman" w:eastAsia="Times New Roman" w:hAnsi="Times New Roman"/>
          <w:sz w:val="12"/>
          <w:szCs w:val="12"/>
          <w:color w:val="auto"/>
        </w:rPr>
      </w:pPr>
      <w:r>
        <w:rPr>
          <w:rFonts w:ascii="Arial" w:cs="Arial" w:eastAsia="Arial" w:hAnsi="Arial"/>
          <w:sz w:val="14"/>
          <w:szCs w:val="14"/>
          <w:color w:val="auto"/>
        </w:rPr>
        <w:t>For the three months ended October 31, 2023</w:t>
      </w:r>
    </w:p>
    <w:p>
      <w:pPr>
        <w:spacing w:after="0" w:line="1" w:lineRule="exact"/>
        <w:rPr>
          <w:rFonts w:ascii="Times New Roman" w:cs="Times New Roman" w:eastAsia="Times New Roman" w:hAnsi="Times New Roman"/>
          <w:sz w:val="12"/>
          <w:szCs w:val="12"/>
          <w:color w:val="auto"/>
        </w:rPr>
      </w:pPr>
    </w:p>
    <w:p>
      <w:pPr>
        <w:ind w:left="1500" w:hanging="369"/>
        <w:spacing w:after="0"/>
        <w:tabs>
          <w:tab w:leader="none" w:pos="1500" w:val="left"/>
        </w:tabs>
        <w:numPr>
          <w:ilvl w:val="2"/>
          <w:numId w:val="21"/>
        </w:numPr>
        <w:rPr>
          <w:rFonts w:ascii="Times New Roman" w:cs="Times New Roman" w:eastAsia="Times New Roman" w:hAnsi="Times New Roman"/>
          <w:sz w:val="12"/>
          <w:szCs w:val="12"/>
          <w:color w:val="auto"/>
        </w:rPr>
      </w:pPr>
      <w:r>
        <w:rPr>
          <w:rFonts w:ascii="Arial" w:cs="Arial" w:eastAsia="Arial" w:hAnsi="Arial"/>
          <w:sz w:val="14"/>
          <w:szCs w:val="14"/>
          <w:color w:val="auto"/>
        </w:rPr>
        <w:t>a tax benefit of $1.8 million related to expiring statue of limitations</w:t>
      </w:r>
    </w:p>
    <w:p>
      <w:pPr>
        <w:spacing w:after="0" w:line="1" w:lineRule="exact"/>
        <w:rPr>
          <w:rFonts w:ascii="Times New Roman" w:cs="Times New Roman" w:eastAsia="Times New Roman" w:hAnsi="Times New Roman"/>
          <w:sz w:val="12"/>
          <w:szCs w:val="12"/>
          <w:color w:val="auto"/>
        </w:rPr>
      </w:pPr>
    </w:p>
    <w:p>
      <w:pPr>
        <w:ind w:left="1500" w:hanging="369"/>
        <w:spacing w:after="0"/>
        <w:tabs>
          <w:tab w:leader="none" w:pos="1500" w:val="left"/>
        </w:tabs>
        <w:numPr>
          <w:ilvl w:val="2"/>
          <w:numId w:val="21"/>
        </w:numPr>
        <w:rPr>
          <w:rFonts w:ascii="Times New Roman" w:cs="Times New Roman" w:eastAsia="Times New Roman" w:hAnsi="Times New Roman"/>
          <w:sz w:val="12"/>
          <w:szCs w:val="12"/>
          <w:color w:val="auto"/>
        </w:rPr>
      </w:pPr>
      <w:r>
        <w:rPr>
          <w:rFonts w:ascii="Arial" w:cs="Arial" w:eastAsia="Arial" w:hAnsi="Arial"/>
          <w:sz w:val="14"/>
          <w:szCs w:val="14"/>
          <w:color w:val="auto"/>
        </w:rPr>
        <w:t>$0.4 million charge related to ERC refunds received from IRS</w:t>
      </w:r>
    </w:p>
    <w:p>
      <w:pPr>
        <w:spacing w:after="0" w:line="1" w:lineRule="exact"/>
        <w:rPr>
          <w:rFonts w:ascii="Times New Roman" w:cs="Times New Roman" w:eastAsia="Times New Roman" w:hAnsi="Times New Roman"/>
          <w:sz w:val="12"/>
          <w:szCs w:val="12"/>
          <w:color w:val="auto"/>
        </w:rPr>
      </w:pPr>
    </w:p>
    <w:p>
      <w:pPr>
        <w:ind w:left="760" w:hanging="378"/>
        <w:spacing w:after="0"/>
        <w:tabs>
          <w:tab w:leader="none" w:pos="760" w:val="left"/>
        </w:tabs>
        <w:numPr>
          <w:ilvl w:val="1"/>
          <w:numId w:val="21"/>
        </w:numPr>
        <w:rPr>
          <w:rFonts w:ascii="Times New Roman" w:cs="Times New Roman" w:eastAsia="Times New Roman" w:hAnsi="Times New Roman"/>
          <w:sz w:val="12"/>
          <w:szCs w:val="12"/>
          <w:color w:val="auto"/>
        </w:rPr>
      </w:pPr>
      <w:r>
        <w:rPr>
          <w:rFonts w:ascii="Arial" w:cs="Arial" w:eastAsia="Arial" w:hAnsi="Arial"/>
          <w:sz w:val="14"/>
          <w:szCs w:val="14"/>
          <w:color w:val="auto"/>
        </w:rPr>
        <w:t>For the year ended October 31, 2023</w:t>
      </w:r>
    </w:p>
    <w:p>
      <w:pPr>
        <w:spacing w:after="0" w:line="1" w:lineRule="exact"/>
        <w:rPr>
          <w:rFonts w:ascii="Times New Roman" w:cs="Times New Roman" w:eastAsia="Times New Roman" w:hAnsi="Times New Roman"/>
          <w:sz w:val="12"/>
          <w:szCs w:val="12"/>
          <w:color w:val="auto"/>
        </w:rPr>
      </w:pPr>
    </w:p>
    <w:p>
      <w:pPr>
        <w:ind w:left="1500" w:hanging="369"/>
        <w:spacing w:after="0"/>
        <w:tabs>
          <w:tab w:leader="none" w:pos="1500" w:val="left"/>
        </w:tabs>
        <w:numPr>
          <w:ilvl w:val="2"/>
          <w:numId w:val="21"/>
        </w:numPr>
        <w:rPr>
          <w:rFonts w:ascii="Times New Roman" w:cs="Times New Roman" w:eastAsia="Times New Roman" w:hAnsi="Times New Roman"/>
          <w:sz w:val="12"/>
          <w:szCs w:val="12"/>
          <w:color w:val="auto"/>
        </w:rPr>
      </w:pPr>
      <w:r>
        <w:rPr>
          <w:rFonts w:ascii="Arial" w:cs="Arial" w:eastAsia="Arial" w:hAnsi="Arial"/>
          <w:sz w:val="14"/>
          <w:szCs w:val="14"/>
          <w:color w:val="auto"/>
        </w:rPr>
        <w:t>a tax benefit of $1.8 million related to expiring statue of limitations</w:t>
      </w:r>
    </w:p>
    <w:p>
      <w:pPr>
        <w:spacing w:after="0" w:line="1" w:lineRule="exact"/>
        <w:rPr>
          <w:rFonts w:ascii="Times New Roman" w:cs="Times New Roman" w:eastAsia="Times New Roman" w:hAnsi="Times New Roman"/>
          <w:sz w:val="12"/>
          <w:szCs w:val="12"/>
          <w:color w:val="auto"/>
        </w:rPr>
      </w:pPr>
    </w:p>
    <w:p>
      <w:pPr>
        <w:ind w:left="1500" w:hanging="369"/>
        <w:spacing w:after="0"/>
        <w:tabs>
          <w:tab w:leader="none" w:pos="1500" w:val="left"/>
        </w:tabs>
        <w:numPr>
          <w:ilvl w:val="2"/>
          <w:numId w:val="21"/>
        </w:numPr>
        <w:rPr>
          <w:rFonts w:ascii="Times New Roman" w:cs="Times New Roman" w:eastAsia="Times New Roman" w:hAnsi="Times New Roman"/>
          <w:sz w:val="12"/>
          <w:szCs w:val="12"/>
          <w:color w:val="auto"/>
        </w:rPr>
      </w:pPr>
      <w:r>
        <w:rPr>
          <w:rFonts w:ascii="Arial" w:cs="Arial" w:eastAsia="Arial" w:hAnsi="Arial"/>
          <w:sz w:val="14"/>
          <w:szCs w:val="14"/>
          <w:color w:val="auto"/>
        </w:rPr>
        <w:t>$5.4 million charge related to ERC refunds received from IRS</w:t>
      </w:r>
    </w:p>
    <w:p>
      <w:pPr>
        <w:spacing w:after="0" w:line="1" w:lineRule="exact"/>
        <w:rPr>
          <w:rFonts w:ascii="Times New Roman" w:cs="Times New Roman" w:eastAsia="Times New Roman" w:hAnsi="Times New Roman"/>
          <w:sz w:val="12"/>
          <w:szCs w:val="12"/>
          <w:color w:val="auto"/>
        </w:rPr>
      </w:pPr>
    </w:p>
    <w:p>
      <w:pPr>
        <w:ind w:left="760" w:hanging="378"/>
        <w:spacing w:after="0"/>
        <w:tabs>
          <w:tab w:leader="none" w:pos="760" w:val="left"/>
        </w:tabs>
        <w:numPr>
          <w:ilvl w:val="1"/>
          <w:numId w:val="21"/>
        </w:numPr>
        <w:rPr>
          <w:rFonts w:ascii="Times New Roman" w:cs="Times New Roman" w:eastAsia="Times New Roman" w:hAnsi="Times New Roman"/>
          <w:sz w:val="12"/>
          <w:szCs w:val="12"/>
          <w:color w:val="auto"/>
        </w:rPr>
      </w:pPr>
      <w:r>
        <w:rPr>
          <w:rFonts w:ascii="Arial" w:cs="Arial" w:eastAsia="Arial" w:hAnsi="Arial"/>
          <w:sz w:val="14"/>
          <w:szCs w:val="14"/>
          <w:color w:val="auto"/>
        </w:rPr>
        <w:t>For the three months and the year ended October 31, 2022</w:t>
      </w:r>
    </w:p>
    <w:p>
      <w:pPr>
        <w:spacing w:after="0" w:line="1" w:lineRule="exact"/>
        <w:rPr>
          <w:rFonts w:ascii="Times New Roman" w:cs="Times New Roman" w:eastAsia="Times New Roman" w:hAnsi="Times New Roman"/>
          <w:sz w:val="12"/>
          <w:szCs w:val="12"/>
          <w:color w:val="auto"/>
        </w:rPr>
      </w:pPr>
    </w:p>
    <w:p>
      <w:pPr>
        <w:ind w:left="1500" w:hanging="369"/>
        <w:spacing w:after="0" w:line="236" w:lineRule="auto"/>
        <w:tabs>
          <w:tab w:leader="none" w:pos="1500" w:val="left"/>
        </w:tabs>
        <w:numPr>
          <w:ilvl w:val="2"/>
          <w:numId w:val="21"/>
        </w:numPr>
        <w:rPr>
          <w:rFonts w:ascii="Times New Roman" w:cs="Times New Roman" w:eastAsia="Times New Roman" w:hAnsi="Times New Roman"/>
          <w:sz w:val="12"/>
          <w:szCs w:val="12"/>
          <w:color w:val="auto"/>
        </w:rPr>
      </w:pPr>
      <w:r>
        <w:rPr>
          <w:rFonts w:ascii="Arial" w:cs="Arial" w:eastAsia="Arial" w:hAnsi="Arial"/>
          <w:sz w:val="14"/>
          <w:szCs w:val="14"/>
          <w:color w:val="auto"/>
        </w:rPr>
        <w:t>a tax benefit of $4.5 million and $8.1 million, respectively, related to expiring statue of limitations.</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9" w:right="45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12"/>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5"/>
    </w:lvl>
  </w:abstractNum>
  <w:abstractNum w:abstractNumId="20">
    <w:nsid w:val="628C895D"/>
    <w:multiLevelType w:val="hybridMultilevel"/>
    <w:lvl w:ilvl="0">
      <w:lvlJc w:val="left"/>
      <w:lvlText w:val="(%1)"/>
      <w:numFmt w:val="lowerLetter"/>
      <w:start w:val="10"/>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2023-12-13T06:05:41Z</dcterms:created>
  <dcterms:modified xsi:type="dcterms:W3CDTF">2023-12-13T06:05:41Z</dcterms:modified>
</cp:coreProperties>
</file>