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JACOBSEN RENE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ABM INDUSTRIES INC /DE/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2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11,779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55,988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12,282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64,891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68,509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60,424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-3978910</wp:posOffset>
            </wp:positionV>
            <wp:extent cx="7031355" cy="4019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01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(RSUs) granted under the 2006 Equity Incentive Plan, representing a contingent right to receive shares of common stock. Units vest in three equal annual installments beginning a year from the grant date, and will settle in shares of common stock.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common stock withheld by the Issuer to cover tax withholding obligations arising from the vesting of a previous grant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earned in connection with performance shares previously granted on 1/10/2018, based on achievement of certain targets in the period ended 10/31/2020. Such performance shares vested on 1/10/2021.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earned in connection with TSR performance shares previously granted on 1/10/2018, based on TSR performance in the 3-year period beginning 11/1/2017 and ended 10/31/2020 as compared to the S&amp;PSmallCap 600 Index. Such TSR performance shares vested on 1/10/2021.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common stock withheld by the Issuer to cover tax withholding obligations arising from the vesting of performance shares and TSR performance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45,859 unvested RSUs and Dividend Equivalent Rights relating to the unvested RSUs, adjusted to reflect the cumulative effect of fractional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9091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2021-01-12T17:47:54Z</dcterms:created>
  <dcterms:modified xsi:type="dcterms:W3CDTF">2021-01-12T17:47:54Z</dcterms:modified>
</cp:coreProperties>
</file>