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87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879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GIACOBBE SCOTT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551 FIFTH AVENUE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07/15/2016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Pres - Building &amp; Energy</w:t>
      </w:r>
    </w:p>
    <w:p>
      <w:pPr>
        <w:spacing w:after="0" w:line="315" w:lineRule="exact"/>
        <w:rPr>
          <w:sz w:val="24"/>
          <w:szCs w:val="24"/>
          <w:color w:val="auto"/>
        </w:rPr>
      </w:pPr>
    </w:p>
    <w:p>
      <w:pPr>
        <w:sectPr>
          <w:pgSz w:w="11900" w:h="16838" w:orient="portrait"/>
          <w:cols w:equalWidth="0" w:num="3">
            <w:col w:w="3360" w:space="720"/>
            <w:col w:w="3400" w:space="577"/>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10176</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80" w:type="dxa"/>
            <w:vAlign w:val="bottom"/>
            <w:gridSpan w:val="2"/>
          </w:tcPr>
          <w:p>
            <w:pPr>
              <w:jc w:val="right"/>
              <w:ind w:right="118"/>
              <w:spacing w:after="0"/>
              <w:rPr>
                <w:sz w:val="20"/>
                <w:szCs w:val="20"/>
                <w:color w:val="auto"/>
              </w:rPr>
            </w:pPr>
            <w:r>
              <w:rPr>
                <w:rFonts w:ascii="Arial" w:cs="Arial" w:eastAsia="Arial" w:hAnsi="Arial"/>
                <w:sz w:val="18"/>
                <w:szCs w:val="18"/>
                <w:color w:val="0000FF"/>
              </w:rPr>
              <w:t>07/15/2016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5,000</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Pr>
          <w:p>
            <w:pPr>
              <w:ind w:left="18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25.84</w:t>
            </w:r>
          </w:p>
        </w:tc>
        <w:tc>
          <w:tcPr>
            <w:tcW w:w="200" w:type="dxa"/>
            <w:vAlign w:val="bottom"/>
          </w:tcPr>
          <w:p>
            <w:pPr>
              <w:spacing w:after="0"/>
              <w:rPr>
                <w:sz w:val="23"/>
                <w:szCs w:val="23"/>
                <w:color w:val="auto"/>
              </w:rPr>
            </w:pPr>
          </w:p>
        </w:tc>
        <w:tc>
          <w:tcPr>
            <w:tcW w:w="1220" w:type="dxa"/>
            <w:vAlign w:val="bottom"/>
            <w:gridSpan w:val="2"/>
          </w:tcPr>
          <w:p>
            <w:pPr>
              <w:jc w:val="right"/>
              <w:ind w:right="319"/>
              <w:spacing w:after="0"/>
              <w:rPr>
                <w:sz w:val="20"/>
                <w:szCs w:val="20"/>
                <w:color w:val="auto"/>
              </w:rPr>
            </w:pPr>
            <w:r>
              <w:rPr>
                <w:rFonts w:ascii="Arial" w:cs="Arial" w:eastAsia="Arial" w:hAnsi="Arial"/>
                <w:sz w:val="18"/>
                <w:szCs w:val="18"/>
                <w:color w:val="0000FF"/>
              </w:rPr>
              <w:t>37,807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right"/>
              <w:ind w:right="118"/>
              <w:spacing w:after="0"/>
              <w:rPr>
                <w:sz w:val="20"/>
                <w:szCs w:val="20"/>
                <w:color w:val="auto"/>
              </w:rPr>
            </w:pPr>
            <w:r>
              <w:rPr>
                <w:rFonts w:ascii="Arial" w:cs="Arial" w:eastAsia="Arial" w:hAnsi="Arial"/>
                <w:sz w:val="18"/>
                <w:szCs w:val="18"/>
                <w:color w:val="0000FF"/>
              </w:rPr>
              <w:t>07/15/2016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5,000</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36.8583</w:t>
            </w:r>
            <w:r>
              <w:rPr>
                <w:rFonts w:ascii="Arial" w:cs="Arial" w:eastAsia="Arial" w:hAnsi="Arial"/>
                <w:sz w:val="22"/>
                <w:szCs w:val="22"/>
                <w:color w:val="008000"/>
                <w:w w:val="90"/>
                <w:vertAlign w:val="superscript"/>
              </w:rPr>
              <w:t>(1)</w:t>
            </w:r>
          </w:p>
        </w:tc>
        <w:tc>
          <w:tcPr>
            <w:tcW w:w="122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rPr>
              <w:t>32,807</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25.84</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07/15/2016</w:t>
            </w:r>
          </w:p>
        </w:tc>
        <w:tc>
          <w:tcPr>
            <w:tcW w:w="1140" w:type="dxa"/>
            <w:vAlign w:val="bottom"/>
          </w:tcPr>
          <w:p>
            <w:pPr>
              <w:spacing w:after="0"/>
              <w:rPr>
                <w:sz w:val="16"/>
                <w:szCs w:val="16"/>
                <w:color w:val="auto"/>
              </w:rPr>
            </w:pPr>
          </w:p>
        </w:tc>
        <w:tc>
          <w:tcPr>
            <w:tcW w:w="440" w:type="dxa"/>
            <w:vAlign w:val="bottom"/>
            <w:vMerge w:val="restart"/>
          </w:tcPr>
          <w:p>
            <w:pPr>
              <w:jc w:val="right"/>
              <w:ind w:right="98"/>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6"/>
                <w:szCs w:val="16"/>
                <w:color w:val="auto"/>
              </w:rPr>
            </w:pPr>
          </w:p>
        </w:tc>
        <w:tc>
          <w:tcPr>
            <w:tcW w:w="720" w:type="dxa"/>
            <w:vAlign w:val="bottom"/>
            <w:vMerge w:val="restart"/>
          </w:tcPr>
          <w:p>
            <w:pPr>
              <w:ind w:left="360"/>
              <w:spacing w:after="0"/>
              <w:rPr>
                <w:sz w:val="20"/>
                <w:szCs w:val="20"/>
                <w:color w:val="auto"/>
              </w:rPr>
            </w:pPr>
            <w:r>
              <w:rPr>
                <w:rFonts w:ascii="Arial" w:cs="Arial" w:eastAsia="Arial" w:hAnsi="Arial"/>
                <w:sz w:val="14"/>
                <w:szCs w:val="14"/>
                <w:color w:val="0000FF"/>
                <w:w w:val="96"/>
              </w:rPr>
              <w:t>5,000</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0000FF"/>
                <w:w w:val="85"/>
              </w:rPr>
              <w:t>01/10/2018</w:t>
            </w: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5,000</w:t>
            </w:r>
          </w:p>
        </w:tc>
        <w:tc>
          <w:tcPr>
            <w:tcW w:w="200" w:type="dxa"/>
            <w:vAlign w:val="bottom"/>
          </w:tcPr>
          <w:p>
            <w:pPr>
              <w:spacing w:after="0"/>
              <w:rPr>
                <w:sz w:val="16"/>
                <w:szCs w:val="16"/>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vMerge w:val="restart"/>
          </w:tcPr>
          <w:p>
            <w:pPr>
              <w:ind w:left="300"/>
              <w:spacing w:after="0"/>
              <w:rPr>
                <w:sz w:val="20"/>
                <w:szCs w:val="20"/>
                <w:color w:val="auto"/>
              </w:rPr>
            </w:pPr>
            <w:r>
              <w:rPr>
                <w:rFonts w:ascii="Arial" w:cs="Arial" w:eastAsia="Arial" w:hAnsi="Arial"/>
                <w:sz w:val="14"/>
                <w:szCs w:val="14"/>
                <w:color w:val="0000FF"/>
                <w:w w:val="88"/>
              </w:rPr>
              <w:t>26,094</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w w:val="96"/>
              </w:rPr>
              <w:t>Options</w:t>
            </w:r>
            <w:r>
              <w:rPr>
                <w:rFonts w:ascii="Arial" w:cs="Arial" w:eastAsia="Arial" w:hAnsi="Arial"/>
                <w:sz w:val="22"/>
                <w:szCs w:val="22"/>
                <w:color w:val="008000"/>
                <w:w w:val="96"/>
                <w:vertAlign w:val="superscript"/>
              </w:rPr>
              <w:t>(3)</w:t>
            </w:r>
          </w:p>
        </w:tc>
        <w:tc>
          <w:tcPr>
            <w:tcW w:w="82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$36.77 to $37.00, inclusive. The reporting person undertakes to provide to ABM Industries Incorporated, any security holder of ABM Industries Incorporated, or the staff of the Securities and Exchange Commission, upon request, full information regarding the number of shares sold at each separate price within the range set forth in footnote 1 to this Form 4.</w:t>
      </w:r>
    </w:p>
    <w:p>
      <w:pPr>
        <w:spacing w:after="0" w:line="30" w:lineRule="exact"/>
        <w:rPr>
          <w:rFonts w:ascii="Arial" w:cs="Arial" w:eastAsia="Arial" w:hAnsi="Arial"/>
          <w:sz w:val="14"/>
          <w:szCs w:val="14"/>
          <w:color w:val="008000"/>
        </w:rPr>
      </w:pPr>
    </w:p>
    <w:p>
      <w:pPr>
        <w:ind w:left="40" w:right="5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14,309 RSUs and DERS relating to the RSUs, adjusted to reflect the cumulative effect of fractional shares, 2,346 performance shares earned but not vested with respect to performance shares granted on 1/14/2014, 620 performance shares earned but not vested with respect to performance shares granted on 1/15/2015, and DERs related thereto..</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options granted under the 2006 Equity Incentive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100% exercisable on the fifth anniversary of the grant date.</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07/18/2016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910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2019-12-23T21:44:12Z</dcterms:created>
  <dcterms:modified xsi:type="dcterms:W3CDTF">2019-12-23T21:44:12Z</dcterms:modified>
</cp:coreProperties>
</file>