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MCCLURE JAMES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534</w:t>
            </w:r>
            <w:r>
              <w:rPr>
                <w:rFonts w:ascii="Arial" w:cs="Arial" w:eastAsia="Arial" w:hAnsi="Arial"/>
                <w:sz w:val="22"/>
                <w:szCs w:val="22"/>
                <w:color w:val="00800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jc w:val="center"/>
              <w:ind w:right="219"/>
              <w:spacing w:after="0"/>
              <w:rPr>
                <w:sz w:val="20"/>
                <w:szCs w:val="20"/>
                <w:color w:val="auto"/>
              </w:rPr>
            </w:pPr>
            <w:r>
              <w:rPr>
                <w:rFonts w:ascii="Arial" w:cs="Arial" w:eastAsia="Arial" w:hAnsi="Arial"/>
                <w:sz w:val="18"/>
                <w:szCs w:val="18"/>
                <w:color w:val="0000FF"/>
              </w:rPr>
              <w:t>135,189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Pr>
          <w:p>
            <w:pPr>
              <w:jc w:val="right"/>
              <w:ind w:right="72"/>
              <w:spacing w:after="0"/>
              <w:rPr>
                <w:sz w:val="20"/>
                <w:szCs w:val="20"/>
                <w:color w:val="auto"/>
              </w:rPr>
            </w:pPr>
            <w:r>
              <w:rPr>
                <w:rFonts w:ascii="Arial" w:cs="Arial" w:eastAsia="Arial" w:hAnsi="Arial"/>
                <w:sz w:val="18"/>
                <w:szCs w:val="18"/>
                <w:color w:val="0000FF"/>
              </w:rPr>
              <w:t>16</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gridSpan w:val="2"/>
          </w:tcPr>
          <w:p>
            <w:pPr>
              <w:jc w:val="right"/>
              <w:ind w:right="319"/>
              <w:spacing w:after="0"/>
              <w:rPr>
                <w:sz w:val="20"/>
                <w:szCs w:val="20"/>
                <w:color w:val="auto"/>
              </w:rPr>
            </w:pPr>
            <w:r>
              <w:rPr>
                <w:rFonts w:ascii="Arial" w:cs="Arial" w:eastAsia="Arial" w:hAnsi="Arial"/>
                <w:sz w:val="18"/>
                <w:szCs w:val="18"/>
                <w:color w:val="0000FF"/>
              </w:rPr>
              <w:t>135,707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21,240 unvested RSUs, 82,825 vested RSUs, the receipt of which has been deferred and DERs relating to the RSUs, adjusted to reflect the cumulative effect of fractional shares, 10,165 performance shares earned but not vested with respect to TSR performance shares granted on 9/8/2014, 1,553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8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2019-12-23T21:41:52Z</dcterms:created>
  <dcterms:modified xsi:type="dcterms:W3CDTF">2019-12-23T21:41:52Z</dcterms:modified>
</cp:coreProperties>
</file>