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3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 w:lineRule="exact"/>
        <w:rPr>
          <w:sz w:val="24"/>
          <w:szCs w:val="24"/>
          <w:color w:val="auto"/>
        </w:rPr>
      </w:pPr>
    </w:p>
    <w:p>
      <w:pPr>
        <w:jc w:val="center"/>
        <w:ind w:right="3130"/>
        <w:spacing w:after="0"/>
        <w:tabs>
          <w:tab w:leader="none" w:pos="160" w:val="left"/>
        </w:tabs>
        <w:rPr>
          <w:sz w:val="20"/>
          <w:szCs w:val="20"/>
          <w:color w:val="auto"/>
        </w:rPr>
      </w:pPr>
      <w:r>
        <w:rPr>
          <w:rFonts w:ascii="Courier New" w:cs="Courier New" w:eastAsia="Courier New" w:hAnsi="Courier New"/>
          <w:sz w:val="15"/>
          <w:szCs w:val="15"/>
          <w:color w:val="auto"/>
        </w:rPr>
        <w:t>WASHINGTON, D. C.</w:t>
      </w:r>
      <w:r>
        <w:rPr>
          <w:sz w:val="20"/>
          <w:szCs w:val="20"/>
          <w:color w:val="auto"/>
        </w:rPr>
        <w:tab/>
      </w:r>
      <w:r>
        <w:rPr>
          <w:rFonts w:ascii="Courier New" w:cs="Courier New" w:eastAsia="Courier New" w:hAnsi="Courier New"/>
          <w:sz w:val="14"/>
          <w:szCs w:val="14"/>
          <w:color w:val="auto"/>
        </w:rPr>
        <w:t>20549</w:t>
      </w:r>
    </w:p>
    <w:p>
      <w:pPr>
        <w:spacing w:after="0" w:line="171" w:lineRule="exact"/>
        <w:rPr>
          <w:sz w:val="24"/>
          <w:szCs w:val="24"/>
          <w:color w:val="auto"/>
        </w:rPr>
      </w:pPr>
    </w:p>
    <w:p>
      <w:pPr>
        <w:ind w:left="194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ind w:left="3009"/>
        <w:spacing w:after="0"/>
        <w:rPr>
          <w:sz w:val="20"/>
          <w:szCs w:val="20"/>
          <w:color w:val="auto"/>
        </w:rPr>
      </w:pPr>
      <w:r>
        <w:rPr>
          <w:rFonts w:ascii="Courier New" w:cs="Courier New" w:eastAsia="Courier New" w:hAnsi="Courier New"/>
          <w:sz w:val="15"/>
          <w:szCs w:val="15"/>
          <w:color w:val="auto"/>
        </w:rPr>
        <w:t>FORM 10 Q</w:t>
      </w:r>
    </w:p>
    <w:p>
      <w:pPr>
        <w:spacing w:after="0" w:line="17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(Mark One)</w:t>
      </w:r>
    </w:p>
    <w:p>
      <w:pPr>
        <w:spacing w:after="0" w:line="3" w:lineRule="exact"/>
        <w:rPr>
          <w:sz w:val="24"/>
          <w:szCs w:val="24"/>
          <w:color w:val="auto"/>
        </w:rPr>
      </w:pPr>
    </w:p>
    <w:p>
      <w:pPr>
        <w:ind w:left="709" w:right="4019" w:hanging="620"/>
        <w:spacing w:after="0" w:line="238" w:lineRule="auto"/>
        <w:tabs>
          <w:tab w:leader="none" w:pos="354"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15(d) OF THE SECURITIES EXCHANGE ACT OF 1934</w:t>
      </w:r>
    </w:p>
    <w:p>
      <w:pPr>
        <w:spacing w:after="0" w:line="172" w:lineRule="exact"/>
        <w:rPr>
          <w:sz w:val="24"/>
          <w:szCs w:val="24"/>
          <w:color w:val="auto"/>
        </w:rPr>
      </w:pPr>
    </w:p>
    <w:p>
      <w:pPr>
        <w:ind w:left="9"/>
        <w:spacing w:after="0"/>
        <w:tabs>
          <w:tab w:leader="none" w:pos="2829" w:val="left"/>
        </w:tabs>
        <w:rPr>
          <w:sz w:val="20"/>
          <w:szCs w:val="20"/>
          <w:color w:val="auto"/>
        </w:rPr>
      </w:pPr>
      <w:r>
        <w:rPr>
          <w:rFonts w:ascii="Courier New" w:cs="Courier New" w:eastAsia="Courier New" w:hAnsi="Courier New"/>
          <w:sz w:val="15"/>
          <w:szCs w:val="15"/>
          <w:color w:val="auto"/>
        </w:rPr>
        <w:t>For the quarterly period ended</w:t>
      </w:r>
      <w:r>
        <w:rPr>
          <w:sz w:val="20"/>
          <w:szCs w:val="20"/>
          <w:color w:val="auto"/>
        </w:rPr>
        <w:tab/>
      </w:r>
      <w:r>
        <w:rPr>
          <w:rFonts w:ascii="Courier New" w:cs="Courier New" w:eastAsia="Courier New" w:hAnsi="Courier New"/>
          <w:sz w:val="14"/>
          <w:szCs w:val="14"/>
          <w:color w:val="auto"/>
        </w:rPr>
        <w:t>July 31, 1995</w:t>
      </w:r>
    </w:p>
    <w:p>
      <w:pPr>
        <w:spacing w:after="0" w:line="1" w:lineRule="exact"/>
        <w:rPr>
          <w:sz w:val="24"/>
          <w:szCs w:val="24"/>
          <w:color w:val="auto"/>
        </w:rPr>
      </w:pPr>
    </w:p>
    <w:p>
      <w:pPr>
        <w:ind w:left="284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ind w:left="3289"/>
        <w:spacing w:after="0"/>
        <w:rPr>
          <w:sz w:val="20"/>
          <w:szCs w:val="20"/>
          <w:color w:val="auto"/>
        </w:rPr>
      </w:pPr>
      <w:r>
        <w:rPr>
          <w:rFonts w:ascii="Courier New" w:cs="Courier New" w:eastAsia="Courier New" w:hAnsi="Courier New"/>
          <w:sz w:val="15"/>
          <w:szCs w:val="15"/>
          <w:color w:val="auto"/>
        </w:rPr>
        <w:t>OR</w:t>
      </w:r>
    </w:p>
    <w:p>
      <w:pPr>
        <w:spacing w:after="0" w:line="174" w:lineRule="exact"/>
        <w:rPr>
          <w:sz w:val="24"/>
          <w:szCs w:val="24"/>
          <w:color w:val="auto"/>
        </w:rPr>
      </w:pPr>
    </w:p>
    <w:p>
      <w:pPr>
        <w:ind w:left="529" w:right="3919" w:hanging="529"/>
        <w:spacing w:after="0" w:line="238" w:lineRule="auto"/>
        <w:tabs>
          <w:tab w:leader="none" w:pos="352"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REPORT PURSUANT TO SECTION 13 or 15(d) OF THE SECURITIES EXCHANGE ACT OF 1934</w:t>
      </w:r>
    </w:p>
    <w:p>
      <w:pPr>
        <w:sectPr>
          <w:pgSz w:w="11900" w:h="16838" w:orient="portrait"/>
          <w:cols w:equalWidth="0" w:num="1">
            <w:col w:w="10228"/>
          </w:cols>
          <w:pgMar w:left="231" w:top="400" w:right="1440" w:bottom="1440" w:gutter="0" w:footer="0" w:header="0"/>
        </w:sectPr>
      </w:pPr>
    </w:p>
    <w:p>
      <w:pPr>
        <w:spacing w:after="0" w:line="175" w:lineRule="exact"/>
        <w:rPr>
          <w:sz w:val="24"/>
          <w:szCs w:val="24"/>
          <w:color w:val="auto"/>
        </w:rPr>
      </w:pPr>
    </w:p>
    <w:p>
      <w:pPr>
        <w:ind w:left="9"/>
        <w:spacing w:after="0"/>
        <w:rPr>
          <w:sz w:val="20"/>
          <w:szCs w:val="20"/>
          <w:color w:val="auto"/>
        </w:rPr>
      </w:pPr>
      <w:r>
        <w:rPr>
          <w:rFonts w:ascii="Courier New" w:cs="Courier New" w:eastAsia="Courier New" w:hAnsi="Courier New"/>
          <w:sz w:val="14"/>
          <w:szCs w:val="14"/>
          <w:color w:val="auto"/>
        </w:rPr>
        <w:t>For the transition period from ___________________</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jc w:val="center"/>
        <w:spacing w:after="0"/>
        <w:rPr>
          <w:sz w:val="20"/>
          <w:szCs w:val="20"/>
          <w:color w:val="auto"/>
        </w:rPr>
      </w:pPr>
      <w:r>
        <w:rPr>
          <w:rFonts w:ascii="Courier New" w:cs="Courier New" w:eastAsia="Courier New" w:hAnsi="Courier New"/>
          <w:sz w:val="15"/>
          <w:szCs w:val="15"/>
          <w:color w:val="auto"/>
        </w:rPr>
        <w:t>to</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w:t>
      </w:r>
    </w:p>
    <w:p>
      <w:pPr>
        <w:spacing w:after="0" w:line="182" w:lineRule="exact"/>
        <w:rPr>
          <w:sz w:val="24"/>
          <w:szCs w:val="24"/>
          <w:color w:val="auto"/>
        </w:rPr>
      </w:pPr>
    </w:p>
    <w:p>
      <w:pPr>
        <w:sectPr>
          <w:pgSz w:w="11900" w:h="16838" w:orient="portrait"/>
          <w:cols w:equalWidth="0" w:num="3">
            <w:col w:w="4429" w:space="360"/>
            <w:col w:w="180" w:space="360"/>
            <w:col w:w="4899"/>
          </w:cols>
          <w:pgMar w:left="231" w:top="400" w:right="1440" w:bottom="1440" w:gutter="0" w:footer="0" w:header="0"/>
          <w:type w:val="continuous"/>
        </w:sectPr>
      </w:pPr>
    </w:p>
    <w:p>
      <w:pPr>
        <w:jc w:val="right"/>
        <w:ind w:right="5519"/>
        <w:spacing w:after="0"/>
        <w:rPr>
          <w:sz w:val="20"/>
          <w:szCs w:val="20"/>
          <w:color w:val="auto"/>
        </w:rPr>
      </w:pPr>
      <w:r>
        <w:rPr>
          <w:rFonts w:ascii="Courier New" w:cs="Courier New" w:eastAsia="Courier New" w:hAnsi="Courier New"/>
          <w:sz w:val="14"/>
          <w:szCs w:val="14"/>
          <w:color w:val="auto"/>
        </w:rPr>
        <w:t>Commission file Number 1-8929</w:t>
      </w:r>
    </w:p>
    <w:p>
      <w:pPr>
        <w:spacing w:after="0" w:line="9" w:lineRule="exact"/>
        <w:rPr>
          <w:sz w:val="24"/>
          <w:szCs w:val="24"/>
          <w:color w:val="auto"/>
        </w:rPr>
      </w:pPr>
    </w:p>
    <w:p>
      <w:pPr>
        <w:jc w:val="right"/>
        <w:ind w:right="5519"/>
        <w:spacing w:after="0"/>
        <w:rPr>
          <w:sz w:val="20"/>
          <w:szCs w:val="20"/>
          <w:color w:val="auto"/>
        </w:rPr>
      </w:pPr>
      <w:r>
        <w:rPr>
          <w:rFonts w:ascii="Courier New" w:cs="Courier New" w:eastAsia="Courier New" w:hAnsi="Courier New"/>
          <w:sz w:val="15"/>
          <w:szCs w:val="15"/>
          <w:color w:val="auto"/>
        </w:rPr>
        <w:t>------</w:t>
      </w:r>
    </w:p>
    <w:p>
      <w:pPr>
        <w:spacing w:after="0" w:line="345" w:lineRule="exact"/>
        <w:rPr>
          <w:sz w:val="24"/>
          <w:szCs w:val="24"/>
          <w:color w:val="auto"/>
        </w:rPr>
      </w:pPr>
    </w:p>
    <w:p>
      <w:pPr>
        <w:ind w:left="2389"/>
        <w:spacing w:after="0"/>
        <w:rPr>
          <w:sz w:val="20"/>
          <w:szCs w:val="20"/>
          <w:color w:val="auto"/>
        </w:rPr>
      </w:pPr>
      <w:r>
        <w:rPr>
          <w:rFonts w:ascii="Courier New" w:cs="Courier New" w:eastAsia="Courier New" w:hAnsi="Courier New"/>
          <w:sz w:val="14"/>
          <w:szCs w:val="14"/>
          <w:color w:val="auto"/>
        </w:rPr>
        <w:t>ABM INDUSTRIES INCORPORATED</w:t>
      </w:r>
    </w:p>
    <w:p>
      <w:pPr>
        <w:sectPr>
          <w:pgSz w:w="11900" w:h="16838" w:orient="portrait"/>
          <w:cols w:equalWidth="0" w:num="1">
            <w:col w:w="10228"/>
          </w:cols>
          <w:pgMar w:left="231" w:top="400" w:right="1440" w:bottom="1440" w:gutter="0" w:footer="0" w:header="0"/>
          <w:type w:val="continuous"/>
        </w:sectPr>
      </w:pPr>
    </w:p>
    <w:p>
      <w:pPr>
        <w:spacing w:after="0" w:line="180" w:lineRule="exact"/>
        <w:rPr>
          <w:sz w:val="24"/>
          <w:szCs w:val="24"/>
          <w:color w:val="auto"/>
        </w:rPr>
      </w:pPr>
    </w:p>
    <w:p>
      <w:pPr>
        <w:ind w:left="789"/>
        <w:spacing w:after="0"/>
        <w:rPr>
          <w:sz w:val="20"/>
          <w:szCs w:val="20"/>
          <w:color w:val="auto"/>
        </w:rPr>
      </w:pPr>
      <w:r>
        <w:rPr>
          <w:rFonts w:ascii="Courier New" w:cs="Courier New" w:eastAsia="Courier New" w:hAnsi="Courier New"/>
          <w:sz w:val="15"/>
          <w:szCs w:val="15"/>
          <w:color w:val="auto"/>
        </w:rPr>
        <w:t>--------------------------------------------------------------</w:t>
      </w:r>
    </w:p>
    <w:p>
      <w:pPr>
        <w:spacing w:after="0" w:line="1" w:lineRule="exact"/>
        <w:rPr>
          <w:sz w:val="24"/>
          <w:szCs w:val="24"/>
          <w:color w:val="auto"/>
        </w:rPr>
      </w:pPr>
    </w:p>
    <w:p>
      <w:pPr>
        <w:ind w:left="114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342" w:lineRule="exact"/>
        <w:rPr>
          <w:sz w:val="24"/>
          <w:szCs w:val="24"/>
          <w:color w:val="auto"/>
        </w:rPr>
      </w:pPr>
    </w:p>
    <w:tbl>
      <w:tblPr>
        <w:tblLayout w:type="fixed"/>
        <w:tblInd w:w="349" w:type="dxa"/>
        <w:tblCellMar>
          <w:top w:w="0" w:type="dxa"/>
          <w:left w:w="0" w:type="dxa"/>
          <w:bottom w:w="0" w:type="dxa"/>
          <w:right w:w="0" w:type="dxa"/>
        </w:tblCellMar>
      </w:tblP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Delaware</w:t>
            </w:r>
          </w:p>
        </w:tc>
        <w:tc>
          <w:tcPr>
            <w:tcW w:w="3100" w:type="dxa"/>
            <w:vAlign w:val="bottom"/>
          </w:tcPr>
          <w:p>
            <w:pPr>
              <w:jc w:val="right"/>
              <w:spacing w:after="0"/>
              <w:rPr>
                <w:sz w:val="20"/>
                <w:szCs w:val="20"/>
                <w:color w:val="auto"/>
              </w:rPr>
            </w:pPr>
            <w:r>
              <w:rPr>
                <w:rFonts w:ascii="Courier New" w:cs="Courier New" w:eastAsia="Courier New" w:hAnsi="Courier New"/>
                <w:sz w:val="15"/>
                <w:szCs w:val="15"/>
                <w:color w:val="auto"/>
              </w:rPr>
              <w:t>94-1369354</w:t>
            </w:r>
          </w:p>
        </w:tc>
      </w:tr>
    </w:tbl>
    <w:p>
      <w:pPr>
        <w:spacing w:after="0" w:line="3" w:lineRule="exact"/>
        <w:rPr>
          <w:sz w:val="24"/>
          <w:szCs w:val="24"/>
          <w:color w:val="auto"/>
        </w:rPr>
      </w:pPr>
    </w:p>
    <w:p>
      <w:pPr>
        <w:ind w:left="9"/>
        <w:spacing w:after="0"/>
        <w:rPr>
          <w:sz w:val="20"/>
          <w:szCs w:val="20"/>
          <w:color w:val="auto"/>
        </w:rPr>
      </w:pPr>
      <w:r>
        <w:rPr>
          <w:rFonts w:ascii="Courier New" w:cs="Courier New" w:eastAsia="Courier New" w:hAnsi="Courier New"/>
          <w:sz w:val="14"/>
          <w:szCs w:val="14"/>
          <w:color w:val="auto"/>
        </w:rPr>
        <w:t>-------------------------------------------------------------------------------</w:t>
      </w:r>
    </w:p>
    <w:p>
      <w:pPr>
        <w:spacing w:after="0" w:line="9" w:lineRule="exact"/>
        <w:rPr>
          <w:sz w:val="24"/>
          <w:szCs w:val="24"/>
          <w:color w:val="auto"/>
        </w:rPr>
      </w:pPr>
    </w:p>
    <w:p>
      <w:pPr>
        <w:ind w:left="9"/>
        <w:spacing w:after="0"/>
        <w:tabs>
          <w:tab w:leader="none" w:pos="5489" w:val="left"/>
        </w:tabs>
        <w:rPr>
          <w:sz w:val="20"/>
          <w:szCs w:val="20"/>
          <w:color w:val="auto"/>
        </w:rPr>
      </w:pPr>
      <w:r>
        <w:rPr>
          <w:rFonts w:ascii="Courier New" w:cs="Courier New" w:eastAsia="Courier New" w:hAnsi="Courier New"/>
          <w:sz w:val="15"/>
          <w:szCs w:val="15"/>
          <w:color w:val="auto"/>
        </w:rPr>
        <w:t>(State or other jurisdiction of</w:t>
      </w:r>
      <w:r>
        <w:rPr>
          <w:sz w:val="20"/>
          <w:szCs w:val="20"/>
          <w:color w:val="auto"/>
        </w:rPr>
        <w:tab/>
      </w:r>
      <w:r>
        <w:rPr>
          <w:rFonts w:ascii="Courier New" w:cs="Courier New" w:eastAsia="Courier New" w:hAnsi="Courier New"/>
          <w:sz w:val="14"/>
          <w:szCs w:val="14"/>
          <w:color w:val="auto"/>
        </w:rPr>
        <w:t>(IRS Employer</w:t>
      </w:r>
    </w:p>
    <w:p>
      <w:pPr>
        <w:spacing w:after="0" w:line="1" w:lineRule="exact"/>
        <w:rPr>
          <w:sz w:val="24"/>
          <w:szCs w:val="24"/>
          <w:color w:val="auto"/>
        </w:rPr>
      </w:pPr>
    </w:p>
    <w:p>
      <w:pPr>
        <w:ind w:left="9"/>
        <w:spacing w:after="0"/>
        <w:tabs>
          <w:tab w:leader="none" w:pos="5489" w:val="left"/>
        </w:tabs>
        <w:rPr>
          <w:sz w:val="20"/>
          <w:szCs w:val="20"/>
          <w:color w:val="auto"/>
        </w:rPr>
      </w:pPr>
      <w:r>
        <w:rPr>
          <w:rFonts w:ascii="Courier New" w:cs="Courier New" w:eastAsia="Courier New" w:hAnsi="Courier New"/>
          <w:sz w:val="15"/>
          <w:szCs w:val="15"/>
          <w:color w:val="auto"/>
        </w:rPr>
        <w:t>incorporation or organization)</w:t>
      </w:r>
      <w:r>
        <w:rPr>
          <w:sz w:val="20"/>
          <w:szCs w:val="20"/>
          <w:color w:val="auto"/>
        </w:rPr>
        <w:tab/>
      </w:r>
      <w:r>
        <w:rPr>
          <w:rFonts w:ascii="Courier New" w:cs="Courier New" w:eastAsia="Courier New" w:hAnsi="Courier New"/>
          <w:sz w:val="14"/>
          <w:szCs w:val="14"/>
          <w:color w:val="auto"/>
        </w:rPr>
        <w:t>Identification</w:t>
      </w:r>
    </w:p>
    <w:p>
      <w:pPr>
        <w:spacing w:after="0" w:line="1" w:lineRule="exact"/>
        <w:rPr>
          <w:sz w:val="24"/>
          <w:szCs w:val="24"/>
          <w:color w:val="auto"/>
        </w:rPr>
      </w:pPr>
    </w:p>
    <w:p>
      <w:pPr>
        <w:ind w:left="5509"/>
        <w:spacing w:after="0"/>
        <w:rPr>
          <w:sz w:val="20"/>
          <w:szCs w:val="20"/>
          <w:color w:val="auto"/>
        </w:rPr>
      </w:pPr>
      <w:r>
        <w:rPr>
          <w:rFonts w:ascii="Courier New" w:cs="Courier New" w:eastAsia="Courier New" w:hAnsi="Courier New"/>
          <w:sz w:val="15"/>
          <w:szCs w:val="15"/>
          <w:color w:val="auto"/>
        </w:rPr>
        <w:t>No.)</w:t>
      </w:r>
    </w:p>
    <w:p>
      <w:pPr>
        <w:spacing w:after="0" w:line="342" w:lineRule="exact"/>
        <w:rPr>
          <w:sz w:val="24"/>
          <w:szCs w:val="24"/>
          <w:color w:val="auto"/>
        </w:rPr>
      </w:pPr>
    </w:p>
    <w:p>
      <w:pPr>
        <w:ind w:left="9"/>
        <w:spacing w:after="0"/>
        <w:tabs>
          <w:tab w:leader="none" w:pos="1749" w:val="left"/>
          <w:tab w:leader="none" w:pos="2909" w:val="left"/>
          <w:tab w:leader="none" w:pos="5489" w:val="left"/>
        </w:tabs>
        <w:rPr>
          <w:sz w:val="20"/>
          <w:szCs w:val="20"/>
          <w:color w:val="auto"/>
        </w:rPr>
      </w:pPr>
      <w:r>
        <w:rPr>
          <w:rFonts w:ascii="Courier New" w:cs="Courier New" w:eastAsia="Courier New" w:hAnsi="Courier New"/>
          <w:sz w:val="15"/>
          <w:szCs w:val="15"/>
          <w:color w:val="auto"/>
        </w:rPr>
        <w:t>50 Fremont Street,</w:t>
        <w:tab/>
        <w:t>26th Floor,</w:t>
        <w:tab/>
        <w:t>San Francisco, California</w:t>
      </w:r>
      <w:r>
        <w:rPr>
          <w:sz w:val="20"/>
          <w:szCs w:val="20"/>
          <w:color w:val="auto"/>
        </w:rPr>
        <w:tab/>
      </w:r>
      <w:r>
        <w:rPr>
          <w:rFonts w:ascii="Courier New" w:cs="Courier New" w:eastAsia="Courier New" w:hAnsi="Courier New"/>
          <w:sz w:val="14"/>
          <w:szCs w:val="14"/>
          <w:color w:val="auto"/>
        </w:rPr>
        <w:t>94105</w:t>
      </w:r>
    </w:p>
    <w:p>
      <w:pPr>
        <w:spacing w:after="0" w:line="3" w:lineRule="exact"/>
        <w:rPr>
          <w:sz w:val="24"/>
          <w:szCs w:val="24"/>
          <w:color w:val="auto"/>
        </w:rPr>
      </w:pPr>
    </w:p>
    <w:p>
      <w:pPr>
        <w:ind w:left="9"/>
        <w:spacing w:after="0"/>
        <w:rPr>
          <w:sz w:val="20"/>
          <w:szCs w:val="20"/>
          <w:color w:val="auto"/>
        </w:rPr>
      </w:pPr>
      <w:r>
        <w:rPr>
          <w:rFonts w:ascii="Courier New" w:cs="Courier New" w:eastAsia="Courier New" w:hAnsi="Courier New"/>
          <w:sz w:val="14"/>
          <w:szCs w:val="14"/>
          <w:color w:val="auto"/>
        </w:rPr>
        <w:t>-------------------------------------------------------------------------------</w:t>
      </w:r>
    </w:p>
    <w:p>
      <w:pPr>
        <w:spacing w:after="0" w:line="327" w:lineRule="exact"/>
        <w:rPr>
          <w:sz w:val="24"/>
          <w:szCs w:val="24"/>
          <w:color w:val="auto"/>
        </w:rPr>
      </w:pPr>
    </w:p>
    <w:p>
      <w:pPr>
        <w:ind w:left="9"/>
        <w:spacing w:after="0"/>
        <w:tabs>
          <w:tab w:leader="none" w:pos="5489" w:val="left"/>
        </w:tabs>
        <w:rPr>
          <w:sz w:val="20"/>
          <w:szCs w:val="20"/>
          <w:color w:val="auto"/>
        </w:rPr>
      </w:pPr>
      <w:r>
        <w:rPr>
          <w:rFonts w:ascii="Courier New" w:cs="Courier New" w:eastAsia="Courier New" w:hAnsi="Courier New"/>
          <w:sz w:val="15"/>
          <w:szCs w:val="15"/>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ectPr>
          <w:pgSz w:w="11900" w:h="16838" w:orient="portrait"/>
          <w:cols w:equalWidth="0" w:num="1">
            <w:col w:w="10228"/>
          </w:cols>
          <w:pgMar w:left="231" w:top="400" w:right="1440" w:bottom="1440" w:gutter="0" w:footer="0" w:header="0"/>
          <w:type w:val="continuous"/>
        </w:sectPr>
      </w:pPr>
    </w:p>
    <w:p>
      <w:pPr>
        <w:spacing w:after="0" w:line="345" w:lineRule="exact"/>
        <w:rPr>
          <w:sz w:val="24"/>
          <w:szCs w:val="24"/>
          <w:color w:val="auto"/>
        </w:rPr>
      </w:pPr>
    </w:p>
    <w:p>
      <w:pPr>
        <w:ind w:left="9"/>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32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(415) 597-4500</w:t>
      </w:r>
    </w:p>
    <w:p>
      <w:pPr>
        <w:spacing w:after="0" w:line="12"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4"/>
          <w:szCs w:val="24"/>
          <w:color w:val="auto"/>
        </w:rPr>
      </w:pPr>
    </w:p>
    <w:p>
      <w:pPr>
        <w:sectPr>
          <w:pgSz w:w="11900" w:h="16838" w:orient="portrait"/>
          <w:cols w:equalWidth="0" w:num="2">
            <w:col w:w="4869" w:space="720"/>
            <w:col w:w="4639"/>
          </w:cols>
          <w:pgMar w:left="231" w:top="400" w:right="1440" w:bottom="1440" w:gutter="0" w:footer="0" w:header="0"/>
          <w:type w:val="continuous"/>
        </w:sectPr>
      </w:pPr>
    </w:p>
    <w:p>
      <w:pPr>
        <w:ind w:left="9"/>
        <w:spacing w:after="0"/>
        <w:rPr>
          <w:sz w:val="20"/>
          <w:szCs w:val="20"/>
          <w:color w:val="auto"/>
        </w:rPr>
      </w:pPr>
      <w:r>
        <w:rPr>
          <w:rFonts w:ascii="Courier New" w:cs="Courier New" w:eastAsia="Courier New" w:hAnsi="Courier New"/>
          <w:sz w:val="14"/>
          <w:szCs w:val="14"/>
          <w:color w:val="auto"/>
        </w:rPr>
        <w:t>Indicate by check mark whether the registrant (1) has filed all reports required</w:t>
      </w:r>
    </w:p>
    <w:p>
      <w:pPr>
        <w:spacing w:after="0" w:line="12" w:lineRule="exact"/>
        <w:rPr>
          <w:sz w:val="24"/>
          <w:szCs w:val="24"/>
          <w:color w:val="auto"/>
        </w:rPr>
      </w:pPr>
    </w:p>
    <w:p>
      <w:pPr>
        <w:ind w:left="9"/>
        <w:spacing w:after="0"/>
        <w:rPr>
          <w:sz w:val="20"/>
          <w:szCs w:val="20"/>
          <w:color w:val="auto"/>
        </w:rPr>
      </w:pPr>
      <w:r>
        <w:rPr>
          <w:rFonts w:ascii="Courier New" w:cs="Courier New" w:eastAsia="Courier New" w:hAnsi="Courier New"/>
          <w:sz w:val="14"/>
          <w:szCs w:val="14"/>
          <w:color w:val="auto"/>
        </w:rPr>
        <w:t>Section 13 or 15(d) of the Securities Exchange Act of 1934 during the preceding</w:t>
      </w:r>
    </w:p>
    <w:p>
      <w:pPr>
        <w:spacing w:after="0" w:line="12" w:lineRule="exact"/>
        <w:rPr>
          <w:sz w:val="24"/>
          <w:szCs w:val="24"/>
          <w:color w:val="auto"/>
        </w:rPr>
      </w:pPr>
    </w:p>
    <w:p>
      <w:pPr>
        <w:ind w:left="9"/>
        <w:spacing w:after="0"/>
        <w:rPr>
          <w:sz w:val="20"/>
          <w:szCs w:val="20"/>
          <w:color w:val="auto"/>
        </w:rPr>
      </w:pPr>
      <w:r>
        <w:rPr>
          <w:rFonts w:ascii="Courier New" w:cs="Courier New" w:eastAsia="Courier New" w:hAnsi="Courier New"/>
          <w:sz w:val="14"/>
          <w:szCs w:val="14"/>
          <w:color w:val="auto"/>
        </w:rPr>
        <w:t>12 months (or such shorter period that the registrant was required to file such</w:t>
      </w:r>
    </w:p>
    <w:p>
      <w:pPr>
        <w:spacing w:after="0" w:line="9"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reports), and subject to such filing requirements for the past 90 days.</w:t>
      </w:r>
    </w:p>
    <w:p>
      <w:pPr>
        <w:spacing w:after="0" w:line="1" w:lineRule="exact"/>
        <w:rPr>
          <w:sz w:val="24"/>
          <w:szCs w:val="24"/>
          <w:color w:val="auto"/>
        </w:rPr>
      </w:pPr>
    </w:p>
    <w:p>
      <w:pPr>
        <w:ind w:left="1069"/>
        <w:spacing w:after="0"/>
        <w:tabs>
          <w:tab w:leader="none" w:pos="1489" w:val="left"/>
          <w:tab w:leader="none" w:pos="2369" w:val="left"/>
        </w:tabs>
        <w:rPr>
          <w:sz w:val="20"/>
          <w:szCs w:val="20"/>
          <w:color w:val="auto"/>
        </w:rPr>
      </w:pPr>
      <w:r>
        <w:rPr>
          <w:rFonts w:ascii="Courier New" w:cs="Courier New" w:eastAsia="Courier New" w:hAnsi="Courier New"/>
          <w:sz w:val="15"/>
          <w:szCs w:val="15"/>
          <w:color w:val="auto"/>
        </w:rPr>
        <w:t>Yes</w:t>
        <w:tab/>
        <w:t>X</w:t>
      </w:r>
      <w:r>
        <w:rPr>
          <w:sz w:val="20"/>
          <w:szCs w:val="20"/>
          <w:color w:val="auto"/>
        </w:rPr>
        <w:tab/>
      </w:r>
      <w:r>
        <w:rPr>
          <w:rFonts w:ascii="Courier New" w:cs="Courier New" w:eastAsia="Courier New" w:hAnsi="Courier New"/>
          <w:sz w:val="15"/>
          <w:szCs w:val="15"/>
          <w:color w:val="auto"/>
        </w:rPr>
        <w:t>No</w:t>
      </w:r>
    </w:p>
    <w:p>
      <w:pPr>
        <w:spacing w:after="0" w:line="1" w:lineRule="exact"/>
        <w:rPr>
          <w:sz w:val="24"/>
          <w:szCs w:val="24"/>
          <w:color w:val="auto"/>
        </w:rPr>
      </w:pPr>
    </w:p>
    <w:p>
      <w:pPr>
        <w:ind w:left="1329"/>
        <w:spacing w:after="0"/>
        <w:tabs>
          <w:tab w:leader="none" w:pos="254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ectPr>
          <w:pgSz w:w="11900" w:h="16838" w:orient="portrait"/>
          <w:cols w:equalWidth="0" w:num="1">
            <w:col w:w="10228"/>
          </w:cols>
          <w:pgMar w:left="231" w:top="400" w:right="1440" w:bottom="1440" w:gutter="0" w:footer="0" w:header="0"/>
          <w:type w:val="continuous"/>
        </w:sectPr>
      </w:pPr>
    </w:p>
    <w:p>
      <w:pPr>
        <w:spacing w:after="0" w:line="174" w:lineRule="exact"/>
        <w:rPr>
          <w:sz w:val="24"/>
          <w:szCs w:val="24"/>
          <w:color w:val="auto"/>
        </w:rPr>
      </w:pPr>
    </w:p>
    <w:p>
      <w:pPr>
        <w:ind w:left="9"/>
        <w:spacing w:after="0"/>
        <w:rPr>
          <w:sz w:val="20"/>
          <w:szCs w:val="20"/>
          <w:color w:val="auto"/>
        </w:rPr>
      </w:pPr>
      <w:r>
        <w:rPr>
          <w:rFonts w:ascii="Courier New" w:cs="Courier New" w:eastAsia="Courier New" w:hAnsi="Courier New"/>
          <w:sz w:val="14"/>
          <w:szCs w:val="14"/>
          <w:color w:val="auto"/>
        </w:rPr>
        <w:t>Number of shares of Common Stock outstanding as of July 31, 1995:</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9,282,709</w:t>
      </w:r>
    </w:p>
    <w:p>
      <w:pPr>
        <w:spacing w:after="0" w:line="183" w:lineRule="exact"/>
        <w:rPr>
          <w:sz w:val="24"/>
          <w:szCs w:val="24"/>
          <w:color w:val="auto"/>
        </w:rPr>
      </w:pPr>
    </w:p>
    <w:p>
      <w:pPr>
        <w:sectPr>
          <w:pgSz w:w="11900" w:h="16838" w:orient="portrait"/>
          <w:cols w:equalWidth="0" w:num="2">
            <w:col w:w="5769" w:space="260"/>
            <w:col w:w="4199"/>
          </w:cols>
          <w:pgMar w:left="231" w:top="400" w:right="1440" w:bottom="1440" w:gutter="0" w:footer="0" w:header="0"/>
          <w:type w:val="continuous"/>
        </w:sectPr>
      </w:pPr>
    </w:p>
    <w:p>
      <w:pPr>
        <w:ind w:left="3469"/>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28"/>
          </w:cols>
          <w:pgMar w:left="231" w:top="400" w:right="1440" w:bottom="1440" w:gutter="0" w:footer="0" w:header="0"/>
          <w:type w:val="continuous"/>
        </w:sectPr>
      </w:pPr>
    </w:p>
    <w:bookmarkStart w:id="1" w:name="page2"/>
    <w:bookmarkEnd w:id="1"/>
    <w:p>
      <w:pPr>
        <w:spacing w:after="0"/>
        <w:tabs>
          <w:tab w:leader="none" w:pos="760" w:val="left"/>
        </w:tabs>
        <w:rPr>
          <w:sz w:val="20"/>
          <w:szCs w:val="20"/>
          <w:color w:val="auto"/>
        </w:rPr>
      </w:pPr>
      <w:r>
        <w:rPr>
          <w:rFonts w:ascii="Courier New" w:cs="Courier New" w:eastAsia="Courier New" w:hAnsi="Courier New"/>
          <w:sz w:val="15"/>
          <w:szCs w:val="15"/>
          <w:color w:val="auto"/>
        </w:rPr>
        <w:t>PART 1.</w:t>
      </w:r>
      <w:r>
        <w:rPr>
          <w:sz w:val="20"/>
          <w:szCs w:val="20"/>
          <w:color w:val="auto"/>
        </w:rPr>
        <w:tab/>
      </w:r>
      <w:r>
        <w:rPr>
          <w:rFonts w:ascii="Courier New" w:cs="Courier New" w:eastAsia="Courier New" w:hAnsi="Courier New"/>
          <w:sz w:val="14"/>
          <w:szCs w:val="14"/>
          <w:color w:val="auto"/>
        </w:rPr>
        <w:t>FINANCIAL INFORMATION</w:t>
      </w:r>
    </w:p>
    <w:p>
      <w:pPr>
        <w:spacing w:after="0" w:line="17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Financial Statements</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ABM INDUSTRIES INCORPORATED AND SUBSIDIARIES</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CONSOLIDATED BALANCE SHEETS</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51" w:lineRule="exact"/>
        <w:rPr>
          <w:sz w:val="20"/>
          <w:szCs w:val="20"/>
          <w:color w:val="auto"/>
        </w:rPr>
      </w:pPr>
    </w:p>
    <w:p>
      <w:pPr>
        <w:ind w:left="4420"/>
        <w:spacing w:after="0"/>
        <w:tabs>
          <w:tab w:leader="none" w:pos="5740" w:val="left"/>
        </w:tabs>
        <w:rPr>
          <w:sz w:val="20"/>
          <w:szCs w:val="20"/>
          <w:color w:val="auto"/>
        </w:rPr>
      </w:pPr>
      <w:r>
        <w:rPr>
          <w:rFonts w:ascii="Courier New" w:cs="Courier New" w:eastAsia="Courier New" w:hAnsi="Courier New"/>
          <w:sz w:val="15"/>
          <w:szCs w:val="15"/>
          <w:color w:val="auto"/>
        </w:rPr>
        <w:t>OCTOBER 31,</w:t>
      </w:r>
      <w:r>
        <w:rPr>
          <w:sz w:val="20"/>
          <w:szCs w:val="20"/>
          <w:color w:val="auto"/>
        </w:rPr>
        <w:tab/>
      </w:r>
      <w:r>
        <w:rPr>
          <w:rFonts w:ascii="Courier New" w:cs="Courier New" w:eastAsia="Courier New" w:hAnsi="Courier New"/>
          <w:sz w:val="14"/>
          <w:szCs w:val="14"/>
          <w:color w:val="auto"/>
        </w:rPr>
        <w:t>JULY 31,</w:t>
      </w:r>
    </w:p>
    <w:p>
      <w:pPr>
        <w:spacing w:after="0" w:line="1" w:lineRule="exact"/>
        <w:rPr>
          <w:sz w:val="20"/>
          <w:szCs w:val="20"/>
          <w:color w:val="auto"/>
        </w:rPr>
      </w:pPr>
    </w:p>
    <w:p>
      <w:pPr>
        <w:spacing w:after="0"/>
        <w:tabs>
          <w:tab w:leader="none" w:pos="4760" w:val="left"/>
          <w:tab w:leader="none" w:pos="5920" w:val="left"/>
        </w:tabs>
        <w:rPr>
          <w:sz w:val="20"/>
          <w:szCs w:val="20"/>
          <w:color w:val="auto"/>
        </w:rPr>
      </w:pPr>
      <w:r>
        <w:rPr>
          <w:rFonts w:ascii="Courier New" w:cs="Courier New" w:eastAsia="Courier New" w:hAnsi="Courier New"/>
          <w:sz w:val="15"/>
          <w:szCs w:val="15"/>
          <w:color w:val="auto"/>
        </w:rPr>
        <w:t>ASSETS</w:t>
      </w:r>
      <w:r>
        <w:rPr>
          <w:sz w:val="20"/>
          <w:szCs w:val="20"/>
          <w:color w:val="auto"/>
        </w:rPr>
        <w:tab/>
      </w:r>
      <w:r>
        <w:rPr>
          <w:rFonts w:ascii="Courier New" w:cs="Courier New" w:eastAsia="Courier New" w:hAnsi="Courier New"/>
          <w:sz w:val="15"/>
          <w:szCs w:val="15"/>
          <w:color w:val="auto"/>
        </w:rPr>
        <w:t>1994</w:t>
      </w:r>
      <w:r>
        <w:rPr>
          <w:sz w:val="20"/>
          <w:szCs w:val="20"/>
          <w:color w:val="auto"/>
        </w:rPr>
        <w:tab/>
      </w:r>
      <w:r>
        <w:rPr>
          <w:rFonts w:ascii="Courier New" w:cs="Courier New" w:eastAsia="Courier New" w:hAnsi="Courier New"/>
          <w:sz w:val="15"/>
          <w:szCs w:val="15"/>
          <w:color w:val="auto"/>
        </w:rPr>
        <w:t>1995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(Unaudited)</w:t>
            </w:r>
          </w:p>
        </w:tc>
      </w:tr>
      <w:tr>
        <w:trPr>
          <w:trHeight w:val="341"/>
        </w:trPr>
        <w:tc>
          <w:tcPr>
            <w:tcW w:w="3940" w:type="dxa"/>
            <w:vAlign w:val="bottom"/>
            <w:gridSpan w:val="2"/>
          </w:tcPr>
          <w:p>
            <w:pPr>
              <w:spacing w:after="0"/>
              <w:rPr>
                <w:sz w:val="20"/>
                <w:szCs w:val="20"/>
                <w:color w:val="auto"/>
              </w:rPr>
            </w:pPr>
            <w:r>
              <w:rPr>
                <w:rFonts w:ascii="Courier New" w:cs="Courier New" w:eastAsia="Courier New" w:hAnsi="Courier New"/>
                <w:sz w:val="15"/>
                <w:szCs w:val="15"/>
                <w:color w:val="auto"/>
              </w:rPr>
              <w:t>CURRENT ASSETS:</w:t>
            </w:r>
          </w:p>
        </w:tc>
        <w:tc>
          <w:tcPr>
            <w:tcW w:w="14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1"/>
        </w:trPr>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Cash and</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cash equivalents</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7,368</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1,042</w:t>
            </w:r>
          </w:p>
        </w:tc>
      </w:tr>
      <w:tr>
        <w:trPr>
          <w:trHeight w:val="171"/>
        </w:trPr>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Accounts</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and other receivables, net</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140,788</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149,955</w:t>
            </w:r>
          </w:p>
        </w:tc>
      </w:tr>
      <w:tr>
        <w:trPr>
          <w:trHeight w:val="171"/>
        </w:trPr>
        <w:tc>
          <w:tcPr>
            <w:tcW w:w="39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Inventories and supplies</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17,420</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19,579</w:t>
            </w:r>
          </w:p>
        </w:tc>
      </w:tr>
      <w:tr>
        <w:trPr>
          <w:trHeight w:val="171"/>
        </w:trPr>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Deferred</w:t>
            </w:r>
          </w:p>
        </w:tc>
        <w:tc>
          <w:tcPr>
            <w:tcW w:w="2920" w:type="dxa"/>
            <w:vAlign w:val="bottom"/>
          </w:tcPr>
          <w:p>
            <w:pPr>
              <w:ind w:left="40"/>
              <w:spacing w:after="0"/>
              <w:rPr>
                <w:sz w:val="20"/>
                <w:szCs w:val="20"/>
                <w:color w:val="auto"/>
              </w:rPr>
            </w:pPr>
            <w:r>
              <w:rPr>
                <w:rFonts w:ascii="Courier New" w:cs="Courier New" w:eastAsia="Courier New" w:hAnsi="Courier New"/>
                <w:sz w:val="15"/>
                <w:szCs w:val="15"/>
                <w:color w:val="auto"/>
              </w:rPr>
              <w:t>income taxes</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11,638</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12,854</w:t>
            </w:r>
          </w:p>
        </w:tc>
      </w:tr>
      <w:tr>
        <w:trPr>
          <w:trHeight w:val="171"/>
        </w:trPr>
        <w:tc>
          <w:tcPr>
            <w:tcW w:w="39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Prepaid expenses</w:t>
            </w:r>
          </w:p>
        </w:tc>
        <w:tc>
          <w:tcPr>
            <w:tcW w:w="14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12,228</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15,558</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520" w:type="dxa"/>
        <w:tblCellMar>
          <w:top w:w="0" w:type="dxa"/>
          <w:left w:w="0" w:type="dxa"/>
          <w:bottom w:w="0" w:type="dxa"/>
          <w:right w:w="0" w:type="dxa"/>
        </w:tblCellMar>
      </w:tblPr>
      <w:tr>
        <w:trPr>
          <w:trHeight w:val="170"/>
        </w:trPr>
        <w:tc>
          <w:tcPr>
            <w:tcW w:w="2940" w:type="dxa"/>
            <w:vAlign w:val="bottom"/>
          </w:tcPr>
          <w:p>
            <w:pPr>
              <w:spacing w:after="0"/>
              <w:rPr>
                <w:sz w:val="20"/>
                <w:szCs w:val="20"/>
                <w:color w:val="auto"/>
              </w:rPr>
            </w:pPr>
            <w:r>
              <w:rPr>
                <w:rFonts w:ascii="Courier New" w:cs="Courier New" w:eastAsia="Courier New" w:hAnsi="Courier New"/>
                <w:sz w:val="15"/>
                <w:szCs w:val="15"/>
                <w:color w:val="auto"/>
              </w:rPr>
              <w:t>Total current assets</w:t>
            </w:r>
          </w:p>
        </w:tc>
        <w:tc>
          <w:tcPr>
            <w:tcW w:w="20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189,442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198,988</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20"/>
                <w:szCs w:val="20"/>
                <w:color w:val="auto"/>
              </w:rPr>
            </w:pPr>
            <w:r>
              <w:rPr>
                <w:rFonts w:ascii="Courier New" w:cs="Courier New" w:eastAsia="Courier New" w:hAnsi="Courier New"/>
                <w:sz w:val="15"/>
                <w:szCs w:val="15"/>
                <w:color w:val="auto"/>
              </w:rPr>
              <w:t>INVESTMENTS AND LONG-TERM RECEIVABLES</w:t>
            </w:r>
          </w:p>
        </w:tc>
        <w:tc>
          <w:tcPr>
            <w:tcW w:w="14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6,841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6,601</w:t>
            </w:r>
          </w:p>
        </w:tc>
      </w:tr>
      <w:tr>
        <w:trPr>
          <w:trHeight w:val="341"/>
        </w:trPr>
        <w:tc>
          <w:tcPr>
            <w:tcW w:w="408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AT COST:</w:t>
            </w:r>
          </w:p>
        </w:tc>
        <w:tc>
          <w:tcPr>
            <w:tcW w:w="14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4080" w:type="dxa"/>
            <w:vAlign w:val="bottom"/>
          </w:tcPr>
          <w:p>
            <w:pPr>
              <w:ind w:left="260"/>
              <w:spacing w:after="0"/>
              <w:rPr>
                <w:sz w:val="20"/>
                <w:szCs w:val="20"/>
                <w:color w:val="auto"/>
              </w:rPr>
            </w:pPr>
            <w:r>
              <w:rPr>
                <w:rFonts w:ascii="Courier New" w:cs="Courier New" w:eastAsia="Courier New" w:hAnsi="Courier New"/>
                <w:sz w:val="15"/>
                <w:szCs w:val="15"/>
                <w:color w:val="auto"/>
              </w:rPr>
              <w:t>Land and buildings</w:t>
            </w:r>
          </w:p>
        </w:tc>
        <w:tc>
          <w:tcPr>
            <w:tcW w:w="14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6,063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5,555</w:t>
            </w:r>
          </w:p>
        </w:tc>
      </w:tr>
      <w:tr>
        <w:trPr>
          <w:trHeight w:val="171"/>
        </w:trPr>
        <w:tc>
          <w:tcPr>
            <w:tcW w:w="4080" w:type="dxa"/>
            <w:vAlign w:val="bottom"/>
          </w:tcPr>
          <w:p>
            <w:pPr>
              <w:ind w:left="260"/>
              <w:spacing w:after="0"/>
              <w:rPr>
                <w:sz w:val="20"/>
                <w:szCs w:val="20"/>
                <w:color w:val="auto"/>
              </w:rPr>
            </w:pPr>
            <w:r>
              <w:rPr>
                <w:rFonts w:ascii="Courier New" w:cs="Courier New" w:eastAsia="Courier New" w:hAnsi="Courier New"/>
                <w:sz w:val="15"/>
                <w:szCs w:val="15"/>
                <w:color w:val="auto"/>
              </w:rPr>
              <w:t>Transportation and equipment</w:t>
            </w:r>
          </w:p>
        </w:tc>
        <w:tc>
          <w:tcPr>
            <w:tcW w:w="14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8,600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9,773</w:t>
            </w:r>
          </w:p>
        </w:tc>
      </w:tr>
      <w:tr>
        <w:trPr>
          <w:trHeight w:val="171"/>
        </w:trPr>
        <w:tc>
          <w:tcPr>
            <w:tcW w:w="4080" w:type="dxa"/>
            <w:vAlign w:val="bottom"/>
          </w:tcPr>
          <w:p>
            <w:pPr>
              <w:ind w:left="260"/>
              <w:spacing w:after="0"/>
              <w:rPr>
                <w:sz w:val="20"/>
                <w:szCs w:val="20"/>
                <w:color w:val="auto"/>
              </w:rPr>
            </w:pPr>
            <w:r>
              <w:rPr>
                <w:rFonts w:ascii="Courier New" w:cs="Courier New" w:eastAsia="Courier New" w:hAnsi="Courier New"/>
                <w:sz w:val="15"/>
                <w:szCs w:val="15"/>
                <w:color w:val="auto"/>
              </w:rPr>
              <w:t>Machinery and other equipment</w:t>
            </w:r>
          </w:p>
        </w:tc>
        <w:tc>
          <w:tcPr>
            <w:tcW w:w="14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33,187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35,866</w:t>
            </w:r>
          </w:p>
        </w:tc>
      </w:tr>
      <w:tr>
        <w:trPr>
          <w:trHeight w:val="171"/>
        </w:trPr>
        <w:tc>
          <w:tcPr>
            <w:tcW w:w="4080" w:type="dxa"/>
            <w:vAlign w:val="bottom"/>
          </w:tcPr>
          <w:p>
            <w:pPr>
              <w:ind w:left="260"/>
              <w:spacing w:after="0"/>
              <w:rPr>
                <w:sz w:val="20"/>
                <w:szCs w:val="20"/>
                <w:color w:val="auto"/>
              </w:rPr>
            </w:pPr>
            <w:r>
              <w:rPr>
                <w:rFonts w:ascii="Courier New" w:cs="Courier New" w:eastAsia="Courier New" w:hAnsi="Courier New"/>
                <w:sz w:val="15"/>
                <w:szCs w:val="15"/>
                <w:color w:val="auto"/>
              </w:rPr>
              <w:t>Leasehold improvements</w:t>
            </w:r>
          </w:p>
        </w:tc>
        <w:tc>
          <w:tcPr>
            <w:tcW w:w="14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9,052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9,260</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52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56,902</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60,454</w:t>
            </w:r>
          </w:p>
        </w:tc>
      </w:tr>
      <w:tr>
        <w:trPr>
          <w:trHeight w:val="341"/>
        </w:trPr>
        <w:tc>
          <w:tcPr>
            <w:tcW w:w="528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8"/>
              </w:rPr>
              <w:t>Less accumulated depreciation and amortization   (37,083)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(38,584)</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520" w:type="dxa"/>
        <w:tblCellMar>
          <w:top w:w="0" w:type="dxa"/>
          <w:left w:w="0" w:type="dxa"/>
          <w:bottom w:w="0" w:type="dxa"/>
          <w:right w:w="0" w:type="dxa"/>
        </w:tblCellMar>
      </w:tblP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net</w:t>
            </w:r>
          </w:p>
        </w:tc>
        <w:tc>
          <w:tcPr>
            <w:tcW w:w="14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19,819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21,870</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20"/>
                <w:szCs w:val="20"/>
                <w:color w:val="auto"/>
              </w:rPr>
            </w:pPr>
            <w:r>
              <w:rPr>
                <w:rFonts w:ascii="Courier New" w:cs="Courier New" w:eastAsia="Courier New" w:hAnsi="Courier New"/>
                <w:sz w:val="15"/>
                <w:szCs w:val="15"/>
                <w:color w:val="auto"/>
              </w:rPr>
              <w:t>INTANGIBLE ASSETS</w:t>
            </w:r>
          </w:p>
        </w:tc>
        <w:tc>
          <w:tcPr>
            <w:tcW w:w="2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61,373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68,965</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2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14,982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16,931</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2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7,013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10,126</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4520"/>
        <w:spacing w:after="0"/>
        <w:tabs>
          <w:tab w:leader="none" w:pos="5660" w:val="left"/>
        </w:tabs>
        <w:rPr>
          <w:sz w:val="20"/>
          <w:szCs w:val="20"/>
          <w:color w:val="auto"/>
        </w:rPr>
      </w:pPr>
      <w:r>
        <w:rPr>
          <w:rFonts w:ascii="Courier New" w:cs="Courier New" w:eastAsia="Courier New" w:hAnsi="Courier New"/>
          <w:sz w:val="15"/>
          <w:szCs w:val="15"/>
          <w:color w:val="auto"/>
        </w:rPr>
        <w:t>$299,470</w:t>
      </w:r>
      <w:r>
        <w:rPr>
          <w:sz w:val="20"/>
          <w:szCs w:val="20"/>
          <w:color w:val="auto"/>
        </w:rPr>
        <w:tab/>
      </w:r>
      <w:r>
        <w:rPr>
          <w:rFonts w:ascii="Courier New" w:cs="Courier New" w:eastAsia="Courier New" w:hAnsi="Courier New"/>
          <w:sz w:val="14"/>
          <w:szCs w:val="14"/>
          <w:color w:val="auto"/>
        </w:rPr>
        <w:t>$323,481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5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799" w:right="1440" w:bottom="1440" w:gutter="0" w:footer="0" w:header="0"/>
        </w:sectPr>
      </w:pPr>
    </w:p>
    <w:bookmarkStart w:id="2" w:name="page3"/>
    <w:bookmarkEnd w:id="2"/>
    <w:p>
      <w:pPr>
        <w:ind w:left="1580"/>
        <w:spacing w:after="0"/>
        <w:rPr>
          <w:sz w:val="20"/>
          <w:szCs w:val="20"/>
          <w:color w:val="auto"/>
        </w:rPr>
      </w:pPr>
      <w:r>
        <w:rPr>
          <w:rFonts w:ascii="Courier New" w:cs="Courier New" w:eastAsia="Courier New" w:hAnsi="Courier New"/>
          <w:sz w:val="15"/>
          <w:szCs w:val="15"/>
          <w:color w:val="auto"/>
        </w:rPr>
        <w:t>ABM INDUSTRIES INCORPORATED AND SUBSIDIARIES</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CONSOLIDATED BALANCE SHEETS</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(In Thousands)</w:t>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4420"/>
        <w:spacing w:after="0"/>
        <w:tabs>
          <w:tab w:leader="none" w:pos="5660" w:val="left"/>
        </w:tabs>
        <w:rPr>
          <w:sz w:val="20"/>
          <w:szCs w:val="20"/>
          <w:color w:val="auto"/>
        </w:rPr>
      </w:pPr>
      <w:r>
        <w:rPr>
          <w:rFonts w:ascii="Courier New" w:cs="Courier New" w:eastAsia="Courier New" w:hAnsi="Courier New"/>
          <w:sz w:val="15"/>
          <w:szCs w:val="15"/>
          <w:color w:val="auto"/>
        </w:rPr>
        <w:t>OCTOBER 31,</w:t>
      </w:r>
      <w:r>
        <w:rPr>
          <w:sz w:val="20"/>
          <w:szCs w:val="20"/>
          <w:color w:val="auto"/>
        </w:rPr>
        <w:tab/>
      </w:r>
      <w:r>
        <w:rPr>
          <w:rFonts w:ascii="Courier New" w:cs="Courier New" w:eastAsia="Courier New" w:hAnsi="Courier New"/>
          <w:sz w:val="14"/>
          <w:szCs w:val="14"/>
          <w:color w:val="auto"/>
        </w:rPr>
        <w:t>JULY 31,</w:t>
      </w:r>
    </w:p>
    <w:p>
      <w:pPr>
        <w:spacing w:after="0" w:line="1" w:lineRule="exact"/>
        <w:rPr>
          <w:sz w:val="20"/>
          <w:szCs w:val="20"/>
          <w:color w:val="auto"/>
        </w:rPr>
      </w:pPr>
    </w:p>
    <w:p>
      <w:pPr>
        <w:spacing w:after="0"/>
        <w:tabs>
          <w:tab w:leader="none" w:pos="4760" w:val="left"/>
          <w:tab w:leader="none" w:pos="5820" w:val="left"/>
        </w:tabs>
        <w:rPr>
          <w:sz w:val="20"/>
          <w:szCs w:val="20"/>
          <w:color w:val="auto"/>
        </w:rPr>
      </w:pPr>
      <w:r>
        <w:rPr>
          <w:rFonts w:ascii="Courier New" w:cs="Courier New" w:eastAsia="Courier New" w:hAnsi="Courier New"/>
          <w:sz w:val="15"/>
          <w:szCs w:val="15"/>
          <w:color w:val="auto"/>
        </w:rPr>
        <w:t>LIABILITIES AND STOCKHOLDERS' EQUITY</w:t>
      </w:r>
      <w:r>
        <w:rPr>
          <w:sz w:val="20"/>
          <w:szCs w:val="20"/>
          <w:color w:val="auto"/>
        </w:rPr>
        <w:tab/>
      </w:r>
      <w:r>
        <w:rPr>
          <w:rFonts w:ascii="Courier New" w:cs="Courier New" w:eastAsia="Courier New" w:hAnsi="Courier New"/>
          <w:sz w:val="15"/>
          <w:szCs w:val="15"/>
          <w:color w:val="auto"/>
        </w:rPr>
        <w:t>1994</w:t>
      </w:r>
      <w:r>
        <w:rPr>
          <w:sz w:val="20"/>
          <w:szCs w:val="20"/>
          <w:color w:val="auto"/>
        </w:rPr>
        <w:tab/>
      </w:r>
      <w:r>
        <w:rPr>
          <w:rFonts w:ascii="Courier New" w:cs="Courier New" w:eastAsia="Courier New" w:hAnsi="Courier New"/>
          <w:sz w:val="15"/>
          <w:szCs w:val="15"/>
          <w:color w:val="auto"/>
        </w:rPr>
        <w:t>1995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(Unaudited)</w:t>
            </w:r>
          </w:p>
        </w:tc>
      </w:tr>
      <w:tr>
        <w:trPr>
          <w:trHeight w:val="341"/>
        </w:trPr>
        <w:tc>
          <w:tcPr>
            <w:tcW w:w="38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1"/>
        </w:trPr>
        <w:tc>
          <w:tcPr>
            <w:tcW w:w="3860" w:type="dxa"/>
            <w:vAlign w:val="bottom"/>
          </w:tcPr>
          <w:p>
            <w:pPr>
              <w:ind w:left="260"/>
              <w:spacing w:after="0"/>
              <w:rPr>
                <w:sz w:val="20"/>
                <w:szCs w:val="20"/>
                <w:color w:val="auto"/>
              </w:rPr>
            </w:pPr>
            <w:r>
              <w:rPr>
                <w:rFonts w:ascii="Courier New" w:cs="Courier New" w:eastAsia="Courier New" w:hAnsi="Courier New"/>
                <w:sz w:val="15"/>
                <w:szCs w:val="15"/>
                <w:color w:val="auto"/>
              </w:rPr>
              <w:t>Current portion of long-term debt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683</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679</w:t>
            </w:r>
          </w:p>
        </w:tc>
      </w:tr>
      <w:tr>
        <w:trPr>
          <w:trHeight w:val="171"/>
        </w:trPr>
        <w:tc>
          <w:tcPr>
            <w:tcW w:w="3860" w:type="dxa"/>
            <w:vAlign w:val="bottom"/>
          </w:tcPr>
          <w:p>
            <w:pPr>
              <w:ind w:left="260"/>
              <w:spacing w:after="0"/>
              <w:rPr>
                <w:sz w:val="20"/>
                <w:szCs w:val="20"/>
                <w:color w:val="auto"/>
              </w:rPr>
            </w:pPr>
            <w:r>
              <w:rPr>
                <w:rFonts w:ascii="Courier New" w:cs="Courier New" w:eastAsia="Courier New" w:hAnsi="Courier New"/>
                <w:sz w:val="15"/>
                <w:szCs w:val="15"/>
                <w:color w:val="auto"/>
              </w:rPr>
              <w:t>Bank overdraft</w:t>
            </w:r>
          </w:p>
        </w:tc>
        <w:tc>
          <w:tcPr>
            <w:tcW w:w="800" w:type="dxa"/>
            <w:vAlign w:val="bottom"/>
          </w:tcPr>
          <w:p>
            <w:pPr>
              <w:spacing w:after="0"/>
              <w:rPr>
                <w:sz w:val="14"/>
                <w:szCs w:val="14"/>
                <w:color w:val="auto"/>
              </w:rPr>
            </w:pPr>
          </w:p>
        </w:tc>
        <w:tc>
          <w:tcPr>
            <w:tcW w:w="7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171"/>
        </w:trPr>
        <w:tc>
          <w:tcPr>
            <w:tcW w:w="386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 trade</w:t>
            </w:r>
          </w:p>
        </w:tc>
        <w:tc>
          <w:tcPr>
            <w:tcW w:w="800" w:type="dxa"/>
            <w:vAlign w:val="bottom"/>
          </w:tcPr>
          <w:p>
            <w:pPr>
              <w:spacing w:after="0"/>
              <w:rPr>
                <w:sz w:val="14"/>
                <w:szCs w:val="14"/>
                <w:color w:val="auto"/>
              </w:rPr>
            </w:pPr>
          </w:p>
        </w:tc>
        <w:tc>
          <w:tcPr>
            <w:tcW w:w="7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26,187</w:t>
            </w:r>
          </w:p>
        </w:tc>
        <w:tc>
          <w:tcPr>
            <w:tcW w:w="360" w:type="dxa"/>
            <w:vAlign w:val="bottom"/>
          </w:tcPr>
          <w:p>
            <w:pPr>
              <w:spacing w:after="0"/>
              <w:rPr>
                <w:sz w:val="14"/>
                <w:szCs w:val="14"/>
                <w:color w:val="auto"/>
              </w:rPr>
            </w:pPr>
          </w:p>
        </w:tc>
        <w:tc>
          <w:tcPr>
            <w:tcW w:w="7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23,042</w:t>
            </w:r>
          </w:p>
        </w:tc>
      </w:tr>
      <w:tr>
        <w:trPr>
          <w:trHeight w:val="171"/>
        </w:trPr>
        <w:tc>
          <w:tcPr>
            <w:tcW w:w="3860" w:type="dxa"/>
            <w:vAlign w:val="bottom"/>
          </w:tcPr>
          <w:p>
            <w:pPr>
              <w:ind w:left="260"/>
              <w:spacing w:after="0"/>
              <w:rPr>
                <w:sz w:val="20"/>
                <w:szCs w:val="20"/>
                <w:color w:val="auto"/>
              </w:rPr>
            </w:pPr>
            <w:r>
              <w:rPr>
                <w:rFonts w:ascii="Courier New" w:cs="Courier New" w:eastAsia="Courier New" w:hAnsi="Courier New"/>
                <w:sz w:val="15"/>
                <w:szCs w:val="15"/>
                <w:color w:val="auto"/>
              </w:rPr>
              <w:t>Income taxes payable</w:t>
            </w:r>
          </w:p>
        </w:tc>
        <w:tc>
          <w:tcPr>
            <w:tcW w:w="800" w:type="dxa"/>
            <w:vAlign w:val="bottom"/>
          </w:tcPr>
          <w:p>
            <w:pPr>
              <w:spacing w:after="0"/>
              <w:rPr>
                <w:sz w:val="14"/>
                <w:szCs w:val="14"/>
                <w:color w:val="auto"/>
              </w:rPr>
            </w:pPr>
          </w:p>
        </w:tc>
        <w:tc>
          <w:tcPr>
            <w:tcW w:w="7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1,961</w:t>
            </w:r>
          </w:p>
        </w:tc>
        <w:tc>
          <w:tcPr>
            <w:tcW w:w="360" w:type="dxa"/>
            <w:vAlign w:val="bottom"/>
          </w:tcPr>
          <w:p>
            <w:pPr>
              <w:spacing w:after="0"/>
              <w:rPr>
                <w:sz w:val="14"/>
                <w:szCs w:val="14"/>
                <w:color w:val="auto"/>
              </w:rPr>
            </w:pPr>
          </w:p>
        </w:tc>
        <w:tc>
          <w:tcPr>
            <w:tcW w:w="7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2,077</w:t>
            </w:r>
          </w:p>
        </w:tc>
      </w:tr>
      <w:tr>
        <w:trPr>
          <w:trHeight w:val="171"/>
        </w:trPr>
        <w:tc>
          <w:tcPr>
            <w:tcW w:w="3860" w:type="dxa"/>
            <w:vAlign w:val="bottom"/>
          </w:tcPr>
          <w:p>
            <w:pPr>
              <w:ind w:left="260"/>
              <w:spacing w:after="0"/>
              <w:rPr>
                <w:sz w:val="20"/>
                <w:szCs w:val="20"/>
                <w:color w:val="auto"/>
              </w:rPr>
            </w:pPr>
            <w:r>
              <w:rPr>
                <w:rFonts w:ascii="Courier New" w:cs="Courier New" w:eastAsia="Courier New" w:hAnsi="Courier New"/>
                <w:sz w:val="15"/>
                <w:szCs w:val="15"/>
                <w:color w:val="auto"/>
              </w:rPr>
              <w:t>Accrued Liabilities:</w:t>
            </w: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3860" w:type="dxa"/>
            <w:vAlign w:val="bottom"/>
          </w:tcPr>
          <w:p>
            <w:pPr>
              <w:ind w:left="520"/>
              <w:spacing w:after="0"/>
              <w:rPr>
                <w:sz w:val="20"/>
                <w:szCs w:val="20"/>
                <w:color w:val="auto"/>
              </w:rPr>
            </w:pPr>
            <w:r>
              <w:rPr>
                <w:rFonts w:ascii="Courier New" w:cs="Courier New" w:eastAsia="Courier New" w:hAnsi="Courier New"/>
                <w:sz w:val="15"/>
                <w:szCs w:val="15"/>
                <w:color w:val="auto"/>
              </w:rPr>
              <w:t>Compensation</w:t>
            </w:r>
          </w:p>
        </w:tc>
        <w:tc>
          <w:tcPr>
            <w:tcW w:w="800" w:type="dxa"/>
            <w:vAlign w:val="bottom"/>
          </w:tcPr>
          <w:p>
            <w:pPr>
              <w:spacing w:after="0"/>
              <w:rPr>
                <w:sz w:val="14"/>
                <w:szCs w:val="14"/>
                <w:color w:val="auto"/>
              </w:rPr>
            </w:pPr>
          </w:p>
        </w:tc>
        <w:tc>
          <w:tcPr>
            <w:tcW w:w="7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19,807</w:t>
            </w:r>
          </w:p>
        </w:tc>
        <w:tc>
          <w:tcPr>
            <w:tcW w:w="360" w:type="dxa"/>
            <w:vAlign w:val="bottom"/>
          </w:tcPr>
          <w:p>
            <w:pPr>
              <w:spacing w:after="0"/>
              <w:rPr>
                <w:sz w:val="14"/>
                <w:szCs w:val="14"/>
                <w:color w:val="auto"/>
              </w:rPr>
            </w:pPr>
          </w:p>
        </w:tc>
        <w:tc>
          <w:tcPr>
            <w:tcW w:w="7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19,941</w:t>
            </w:r>
          </w:p>
        </w:tc>
      </w:tr>
      <w:tr>
        <w:trPr>
          <w:trHeight w:val="171"/>
        </w:trPr>
        <w:tc>
          <w:tcPr>
            <w:tcW w:w="3860" w:type="dxa"/>
            <w:vAlign w:val="bottom"/>
          </w:tcPr>
          <w:p>
            <w:pPr>
              <w:ind w:left="520"/>
              <w:spacing w:after="0"/>
              <w:rPr>
                <w:sz w:val="20"/>
                <w:szCs w:val="20"/>
                <w:color w:val="auto"/>
              </w:rPr>
            </w:pPr>
            <w:r>
              <w:rPr>
                <w:rFonts w:ascii="Courier New" w:cs="Courier New" w:eastAsia="Courier New" w:hAnsi="Courier New"/>
                <w:sz w:val="15"/>
                <w:szCs w:val="15"/>
                <w:color w:val="auto"/>
              </w:rPr>
              <w:t>Taxes - other than income</w:t>
            </w:r>
          </w:p>
        </w:tc>
        <w:tc>
          <w:tcPr>
            <w:tcW w:w="800" w:type="dxa"/>
            <w:vAlign w:val="bottom"/>
          </w:tcPr>
          <w:p>
            <w:pPr>
              <w:spacing w:after="0"/>
              <w:rPr>
                <w:sz w:val="14"/>
                <w:szCs w:val="14"/>
                <w:color w:val="auto"/>
              </w:rPr>
            </w:pPr>
          </w:p>
        </w:tc>
        <w:tc>
          <w:tcPr>
            <w:tcW w:w="7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8,693</w:t>
            </w:r>
          </w:p>
        </w:tc>
        <w:tc>
          <w:tcPr>
            <w:tcW w:w="360" w:type="dxa"/>
            <w:vAlign w:val="bottom"/>
          </w:tcPr>
          <w:p>
            <w:pPr>
              <w:spacing w:after="0"/>
              <w:rPr>
                <w:sz w:val="14"/>
                <w:szCs w:val="14"/>
                <w:color w:val="auto"/>
              </w:rPr>
            </w:pPr>
          </w:p>
        </w:tc>
        <w:tc>
          <w:tcPr>
            <w:tcW w:w="7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10,126</w:t>
            </w:r>
          </w:p>
        </w:tc>
      </w:tr>
      <w:tr>
        <w:trPr>
          <w:trHeight w:val="171"/>
        </w:trPr>
        <w:tc>
          <w:tcPr>
            <w:tcW w:w="3860" w:type="dxa"/>
            <w:vAlign w:val="bottom"/>
          </w:tcPr>
          <w:p>
            <w:pPr>
              <w:ind w:left="520"/>
              <w:spacing w:after="0"/>
              <w:rPr>
                <w:sz w:val="20"/>
                <w:szCs w:val="20"/>
                <w:color w:val="auto"/>
              </w:rPr>
            </w:pPr>
            <w:r>
              <w:rPr>
                <w:rFonts w:ascii="Courier New" w:cs="Courier New" w:eastAsia="Courier New" w:hAnsi="Courier New"/>
                <w:sz w:val="15"/>
                <w:szCs w:val="15"/>
                <w:color w:val="auto"/>
              </w:rPr>
              <w:t>Insurance claims</w:t>
            </w:r>
          </w:p>
        </w:tc>
        <w:tc>
          <w:tcPr>
            <w:tcW w:w="800" w:type="dxa"/>
            <w:vAlign w:val="bottom"/>
          </w:tcPr>
          <w:p>
            <w:pPr>
              <w:spacing w:after="0"/>
              <w:rPr>
                <w:sz w:val="14"/>
                <w:szCs w:val="14"/>
                <w:color w:val="auto"/>
              </w:rPr>
            </w:pPr>
          </w:p>
        </w:tc>
        <w:tc>
          <w:tcPr>
            <w:tcW w:w="7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27,185</w:t>
            </w:r>
          </w:p>
        </w:tc>
        <w:tc>
          <w:tcPr>
            <w:tcW w:w="360" w:type="dxa"/>
            <w:vAlign w:val="bottom"/>
          </w:tcPr>
          <w:p>
            <w:pPr>
              <w:spacing w:after="0"/>
              <w:rPr>
                <w:sz w:val="14"/>
                <w:szCs w:val="14"/>
                <w:color w:val="auto"/>
              </w:rPr>
            </w:pPr>
          </w:p>
        </w:tc>
        <w:tc>
          <w:tcPr>
            <w:tcW w:w="7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29,718</w:t>
            </w:r>
          </w:p>
        </w:tc>
      </w:tr>
      <w:tr>
        <w:trPr>
          <w:trHeight w:val="171"/>
        </w:trPr>
        <w:tc>
          <w:tcPr>
            <w:tcW w:w="3860" w:type="dxa"/>
            <w:vAlign w:val="bottom"/>
          </w:tcPr>
          <w:p>
            <w:pPr>
              <w:ind w:left="520"/>
              <w:spacing w:after="0"/>
              <w:rPr>
                <w:sz w:val="20"/>
                <w:szCs w:val="20"/>
                <w:color w:val="auto"/>
              </w:rPr>
            </w:pPr>
            <w:r>
              <w:rPr>
                <w:rFonts w:ascii="Courier New" w:cs="Courier New" w:eastAsia="Courier New" w:hAnsi="Courier New"/>
                <w:sz w:val="15"/>
                <w:szCs w:val="15"/>
                <w:color w:val="auto"/>
              </w:rPr>
              <w:t>Other</w:t>
            </w:r>
          </w:p>
        </w:tc>
        <w:tc>
          <w:tcPr>
            <w:tcW w:w="800" w:type="dxa"/>
            <w:vAlign w:val="bottom"/>
          </w:tcPr>
          <w:p>
            <w:pPr>
              <w:spacing w:after="0"/>
              <w:rPr>
                <w:sz w:val="14"/>
                <w:szCs w:val="14"/>
                <w:color w:val="auto"/>
              </w:rPr>
            </w:pPr>
          </w:p>
        </w:tc>
        <w:tc>
          <w:tcPr>
            <w:tcW w:w="7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14,761</w:t>
            </w:r>
          </w:p>
        </w:tc>
        <w:tc>
          <w:tcPr>
            <w:tcW w:w="360" w:type="dxa"/>
            <w:vAlign w:val="bottom"/>
          </w:tcPr>
          <w:p>
            <w:pPr>
              <w:spacing w:after="0"/>
              <w:rPr>
                <w:sz w:val="14"/>
                <w:szCs w:val="14"/>
                <w:color w:val="auto"/>
              </w:rPr>
            </w:pPr>
          </w:p>
        </w:tc>
        <w:tc>
          <w:tcPr>
            <w:tcW w:w="7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16,532</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780" w:type="dxa"/>
        <w:tblCellMar>
          <w:top w:w="0" w:type="dxa"/>
          <w:left w:w="0" w:type="dxa"/>
          <w:bottom w:w="0" w:type="dxa"/>
          <w:right w:w="0" w:type="dxa"/>
        </w:tblCellMar>
      </w:tblP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Total current liabilities</w:t>
            </w:r>
          </w:p>
        </w:tc>
        <w:tc>
          <w:tcPr>
            <w:tcW w:w="15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99,277</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102,115</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60" w:type="dxa"/>
            <w:vAlign w:val="bottom"/>
          </w:tcPr>
          <w:p>
            <w:pPr>
              <w:spacing w:after="0"/>
              <w:rPr>
                <w:sz w:val="20"/>
                <w:szCs w:val="20"/>
                <w:color w:val="auto"/>
              </w:rPr>
            </w:pPr>
            <w:r>
              <w:rPr>
                <w:rFonts w:ascii="Courier New" w:cs="Courier New" w:eastAsia="Courier New" w:hAnsi="Courier New"/>
                <w:sz w:val="15"/>
                <w:szCs w:val="15"/>
                <w:color w:val="auto"/>
              </w:rPr>
              <w:t>LONG-TERM DEBT (LESS CURRENT PORTION)</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25,254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31,223</w:t>
            </w:r>
          </w:p>
        </w:tc>
      </w:tr>
      <w:tr>
        <w:trPr>
          <w:trHeight w:val="171"/>
        </w:trPr>
        <w:tc>
          <w:tcPr>
            <w:tcW w:w="4560" w:type="dxa"/>
            <w:vAlign w:val="bottom"/>
          </w:tcPr>
          <w:p>
            <w:pPr>
              <w:spacing w:after="0"/>
              <w:rPr>
                <w:sz w:val="20"/>
                <w:szCs w:val="20"/>
                <w:color w:val="auto"/>
              </w:rPr>
            </w:pPr>
            <w:r>
              <w:rPr>
                <w:rFonts w:ascii="Courier New" w:cs="Courier New" w:eastAsia="Courier New" w:hAnsi="Courier New"/>
                <w:sz w:val="15"/>
                <w:szCs w:val="15"/>
                <w:color w:val="auto"/>
              </w:rPr>
              <w:t>RETIREMENT PLANS</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5,978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7,123</w:t>
            </w:r>
          </w:p>
        </w:tc>
      </w:tr>
      <w:tr>
        <w:trPr>
          <w:trHeight w:val="171"/>
        </w:trPr>
        <w:tc>
          <w:tcPr>
            <w:tcW w:w="4560" w:type="dxa"/>
            <w:vAlign w:val="bottom"/>
          </w:tcPr>
          <w:p>
            <w:pPr>
              <w:spacing w:after="0"/>
              <w:rPr>
                <w:sz w:val="20"/>
                <w:szCs w:val="20"/>
                <w:color w:val="auto"/>
              </w:rPr>
            </w:pPr>
            <w:r>
              <w:rPr>
                <w:rFonts w:ascii="Courier New" w:cs="Courier New" w:eastAsia="Courier New" w:hAnsi="Courier New"/>
                <w:sz w:val="15"/>
                <w:szCs w:val="15"/>
                <w:color w:val="auto"/>
              </w:rPr>
              <w:t>INSURANCE CLAIMS</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38,230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40,735</w:t>
            </w:r>
          </w:p>
        </w:tc>
      </w:tr>
      <w:tr>
        <w:trPr>
          <w:trHeight w:val="341"/>
        </w:trPr>
        <w:tc>
          <w:tcPr>
            <w:tcW w:w="4560" w:type="dxa"/>
            <w:vAlign w:val="bottom"/>
          </w:tcPr>
          <w:p>
            <w:pPr>
              <w:spacing w:after="0"/>
              <w:rPr>
                <w:sz w:val="20"/>
                <w:szCs w:val="20"/>
                <w:color w:val="auto"/>
              </w:rPr>
            </w:pPr>
            <w:r>
              <w:rPr>
                <w:rFonts w:ascii="Courier New" w:cs="Courier New" w:eastAsia="Courier New" w:hAnsi="Courier New"/>
                <w:sz w:val="15"/>
                <w:szCs w:val="15"/>
                <w:color w:val="auto"/>
              </w:rPr>
              <w:t>SERIES B 8% SENIOR REDEEMABLE CUMULATIVE</w:t>
            </w: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4560" w:type="dxa"/>
            <w:vAlign w:val="bottom"/>
          </w:tcPr>
          <w:p>
            <w:pPr>
              <w:ind w:left="340"/>
              <w:spacing w:after="0"/>
              <w:rPr>
                <w:sz w:val="20"/>
                <w:szCs w:val="20"/>
                <w:color w:val="auto"/>
              </w:rPr>
            </w:pPr>
            <w:r>
              <w:rPr>
                <w:rFonts w:ascii="Courier New" w:cs="Courier New" w:eastAsia="Courier New" w:hAnsi="Courier New"/>
                <w:sz w:val="15"/>
                <w:szCs w:val="15"/>
                <w:color w:val="auto"/>
              </w:rPr>
              <w:t>PREFERRED STOCK</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6,400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6,400</w:t>
            </w:r>
          </w:p>
        </w:tc>
      </w:tr>
      <w:tr>
        <w:trPr>
          <w:trHeight w:val="341"/>
        </w:trPr>
        <w:tc>
          <w:tcPr>
            <w:tcW w:w="456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4560" w:type="dxa"/>
            <w:vAlign w:val="bottom"/>
          </w:tcPr>
          <w:p>
            <w:pPr>
              <w:ind w:left="260"/>
              <w:spacing w:after="0"/>
              <w:rPr>
                <w:sz w:val="20"/>
                <w:szCs w:val="20"/>
                <w:color w:val="auto"/>
              </w:rPr>
            </w:pPr>
            <w:r>
              <w:rPr>
                <w:rFonts w:ascii="Courier New" w:cs="Courier New" w:eastAsia="Courier New" w:hAnsi="Courier New"/>
                <w:sz w:val="15"/>
                <w:szCs w:val="15"/>
                <w:color w:val="auto"/>
              </w:rPr>
              <w:t>Preferred stock, $0.1 par value, 500,000 shares</w:t>
            </w:r>
          </w:p>
        </w:tc>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560" w:type="dxa"/>
            <w:vAlign w:val="bottom"/>
          </w:tcPr>
          <w:p>
            <w:pPr>
              <w:ind w:left="520"/>
              <w:spacing w:after="0"/>
              <w:rPr>
                <w:sz w:val="20"/>
                <w:szCs w:val="20"/>
                <w:color w:val="auto"/>
              </w:rPr>
            </w:pPr>
            <w:r>
              <w:rPr>
                <w:rFonts w:ascii="Courier New" w:cs="Courier New" w:eastAsia="Courier New" w:hAnsi="Courier New"/>
                <w:sz w:val="15"/>
                <w:szCs w:val="15"/>
                <w:color w:val="auto"/>
              </w:rPr>
              <w:t>authorized;  none issued</w:t>
            </w:r>
          </w:p>
        </w:tc>
        <w:tc>
          <w:tcPr>
            <w:tcW w:w="9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341"/>
        </w:trPr>
        <w:tc>
          <w:tcPr>
            <w:tcW w:w="4560" w:type="dxa"/>
            <w:vAlign w:val="bottom"/>
          </w:tcPr>
          <w:p>
            <w:pPr>
              <w:ind w:left="260"/>
              <w:spacing w:after="0"/>
              <w:rPr>
                <w:sz w:val="20"/>
                <w:szCs w:val="20"/>
                <w:color w:val="auto"/>
              </w:rPr>
            </w:pPr>
            <w:r>
              <w:rPr>
                <w:rFonts w:ascii="Courier New" w:cs="Courier New" w:eastAsia="Courier New" w:hAnsi="Courier New"/>
                <w:sz w:val="15"/>
                <w:szCs w:val="15"/>
                <w:color w:val="auto"/>
              </w:rPr>
              <w:t>Common stock, $.01 par value, 12,000,000 shares</w:t>
            </w:r>
          </w:p>
        </w:tc>
        <w:tc>
          <w:tcPr>
            <w:tcW w:w="9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4560" w:type="dxa"/>
            <w:vAlign w:val="bottom"/>
          </w:tcPr>
          <w:p>
            <w:pPr>
              <w:ind w:left="520"/>
              <w:spacing w:after="0"/>
              <w:rPr>
                <w:sz w:val="20"/>
                <w:szCs w:val="20"/>
                <w:color w:val="auto"/>
              </w:rPr>
            </w:pPr>
            <w:r>
              <w:rPr>
                <w:rFonts w:ascii="Courier New" w:cs="Courier New" w:eastAsia="Courier New" w:hAnsi="Courier New"/>
                <w:sz w:val="15"/>
                <w:szCs w:val="15"/>
                <w:color w:val="auto"/>
              </w:rPr>
              <w:t>authorized; 9,049,000 and 9,283,000 shares</w:t>
            </w:r>
          </w:p>
        </w:tc>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560" w:type="dxa"/>
            <w:vAlign w:val="bottom"/>
          </w:tcPr>
          <w:p>
            <w:pPr>
              <w:ind w:left="520"/>
              <w:spacing w:after="0"/>
              <w:rPr>
                <w:sz w:val="20"/>
                <w:szCs w:val="20"/>
                <w:color w:val="auto"/>
              </w:rPr>
            </w:pPr>
            <w:r>
              <w:rPr>
                <w:rFonts w:ascii="Courier New" w:cs="Courier New" w:eastAsia="Courier New" w:hAnsi="Courier New"/>
                <w:sz w:val="15"/>
                <w:szCs w:val="15"/>
                <w:color w:val="auto"/>
              </w:rPr>
              <w:t>issued and outstanding at October 31, 1994</w:t>
            </w:r>
          </w:p>
        </w:tc>
        <w:tc>
          <w:tcPr>
            <w:tcW w:w="9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560" w:type="dxa"/>
            <w:vAlign w:val="bottom"/>
          </w:tcPr>
          <w:p>
            <w:pPr>
              <w:ind w:left="520"/>
              <w:spacing w:after="0"/>
              <w:rPr>
                <w:sz w:val="20"/>
                <w:szCs w:val="20"/>
                <w:color w:val="auto"/>
              </w:rPr>
            </w:pPr>
            <w:r>
              <w:rPr>
                <w:rFonts w:ascii="Courier New" w:cs="Courier New" w:eastAsia="Courier New" w:hAnsi="Courier New"/>
                <w:sz w:val="15"/>
                <w:szCs w:val="15"/>
                <w:color w:val="auto"/>
              </w:rPr>
              <w:t>and July 31, 1995, respectively</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93</w:t>
            </w:r>
          </w:p>
        </w:tc>
      </w:tr>
      <w:tr>
        <w:trPr>
          <w:trHeight w:val="341"/>
        </w:trPr>
        <w:tc>
          <w:tcPr>
            <w:tcW w:w="4560" w:type="dxa"/>
            <w:vAlign w:val="bottom"/>
          </w:tcPr>
          <w:p>
            <w:pPr>
              <w:ind w:left="260"/>
              <w:spacing w:after="0"/>
              <w:rPr>
                <w:sz w:val="20"/>
                <w:szCs w:val="20"/>
                <w:color w:val="auto"/>
              </w:rPr>
            </w:pPr>
            <w:r>
              <w:rPr>
                <w:rFonts w:ascii="Courier New" w:cs="Courier New" w:eastAsia="Courier New" w:hAnsi="Courier New"/>
                <w:sz w:val="15"/>
                <w:szCs w:val="15"/>
                <w:color w:val="auto"/>
              </w:rPr>
              <w:t>Additional capital</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35,334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39,074</w:t>
            </w:r>
          </w:p>
        </w:tc>
      </w:tr>
      <w:tr>
        <w:trPr>
          <w:trHeight w:val="171"/>
        </w:trPr>
        <w:tc>
          <w:tcPr>
            <w:tcW w:w="4560" w:type="dxa"/>
            <w:vAlign w:val="bottom"/>
          </w:tcPr>
          <w:p>
            <w:pPr>
              <w:ind w:left="260"/>
              <w:spacing w:after="0"/>
              <w:rPr>
                <w:sz w:val="20"/>
                <w:szCs w:val="20"/>
                <w:color w:val="auto"/>
              </w:rPr>
            </w:pPr>
            <w:r>
              <w:rPr>
                <w:rFonts w:ascii="Courier New" w:cs="Courier New" w:eastAsia="Courier New" w:hAnsi="Courier New"/>
                <w:sz w:val="15"/>
                <w:szCs w:val="15"/>
                <w:color w:val="auto"/>
              </w:rPr>
              <w:t>Retained earnings</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88,907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96,718</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780" w:type="dxa"/>
        <w:tblCellMar>
          <w:top w:w="0" w:type="dxa"/>
          <w:left w:w="0" w:type="dxa"/>
          <w:bottom w:w="0" w:type="dxa"/>
          <w:right w:w="0" w:type="dxa"/>
        </w:tblCellMar>
      </w:tblP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Total stockholders' equity</w:t>
            </w:r>
          </w:p>
        </w:tc>
        <w:tc>
          <w:tcPr>
            <w:tcW w:w="15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124,331</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135,885</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4520"/>
        <w:spacing w:after="0"/>
        <w:tabs>
          <w:tab w:leader="none" w:pos="5560" w:val="left"/>
        </w:tabs>
        <w:rPr>
          <w:sz w:val="20"/>
          <w:szCs w:val="20"/>
          <w:color w:val="auto"/>
        </w:rPr>
      </w:pPr>
      <w:r>
        <w:rPr>
          <w:rFonts w:ascii="Courier New" w:cs="Courier New" w:eastAsia="Courier New" w:hAnsi="Courier New"/>
          <w:sz w:val="15"/>
          <w:szCs w:val="15"/>
          <w:color w:val="auto"/>
        </w:rPr>
        <w:t>$299,470</w:t>
      </w:r>
      <w:r>
        <w:rPr>
          <w:sz w:val="20"/>
          <w:szCs w:val="20"/>
          <w:color w:val="auto"/>
        </w:rPr>
        <w:tab/>
      </w:r>
      <w:r>
        <w:rPr>
          <w:rFonts w:ascii="Courier New" w:cs="Courier New" w:eastAsia="Courier New" w:hAnsi="Courier New"/>
          <w:sz w:val="15"/>
          <w:szCs w:val="15"/>
          <w:color w:val="auto"/>
        </w:rPr>
        <w:t>$323,481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5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28" w:right="1440" w:bottom="1440" w:gutter="0" w:footer="0" w:header="0"/>
        </w:sectPr>
      </w:pPr>
    </w:p>
    <w:bookmarkStart w:id="3" w:name="page4"/>
    <w:bookmarkEnd w:id="3"/>
    <w:p>
      <w:pPr>
        <w:ind w:left="2380"/>
        <w:spacing w:after="0"/>
        <w:rPr>
          <w:sz w:val="20"/>
          <w:szCs w:val="20"/>
          <w:color w:val="auto"/>
        </w:rPr>
      </w:pPr>
      <w:r>
        <w:rPr>
          <w:rFonts w:ascii="Courier New" w:cs="Courier New" w:eastAsia="Courier New" w:hAnsi="Courier New"/>
          <w:sz w:val="15"/>
          <w:szCs w:val="15"/>
          <w:color w:val="auto"/>
        </w:rPr>
        <w:t>ABM INDUSTRIES INCORPORATED</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CONSOLIDATED STATEMENT OF INCOME (UNAUDITED)</w:t>
      </w:r>
    </w:p>
    <w:p>
      <w:pPr>
        <w:spacing w:after="0" w:line="17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(IN THOUSANDS EXCEPT PER SHARE AMOUNTS)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6640"/>
        <w:spacing w:after="0"/>
        <w:tabs>
          <w:tab w:leader="none" w:pos="9820" w:val="left"/>
        </w:tabs>
        <w:rPr>
          <w:sz w:val="20"/>
          <w:szCs w:val="20"/>
          <w:color w:val="auto"/>
        </w:rPr>
      </w:pPr>
      <w:r>
        <w:rPr>
          <w:rFonts w:ascii="Courier New" w:cs="Courier New" w:eastAsia="Courier New" w:hAnsi="Courier New"/>
          <w:sz w:val="15"/>
          <w:szCs w:val="15"/>
          <w:color w:val="auto"/>
        </w:rPr>
        <w:t>THREE MONTHS ENDED</w:t>
      </w:r>
      <w:r>
        <w:rPr>
          <w:sz w:val="20"/>
          <w:szCs w:val="20"/>
          <w:color w:val="auto"/>
        </w:rPr>
        <w:tab/>
      </w:r>
      <w:r>
        <w:rPr>
          <w:rFonts w:ascii="Courier New" w:cs="Courier New" w:eastAsia="Courier New" w:hAnsi="Courier New"/>
          <w:sz w:val="14"/>
          <w:szCs w:val="14"/>
          <w:color w:val="auto"/>
        </w:rPr>
        <w:t>NINE MONTHS ENDED</w:t>
      </w:r>
    </w:p>
    <w:p>
      <w:pPr>
        <w:spacing w:after="0" w:line="1" w:lineRule="exact"/>
        <w:rPr>
          <w:sz w:val="20"/>
          <w:szCs w:val="20"/>
          <w:color w:val="auto"/>
        </w:rPr>
      </w:pPr>
    </w:p>
    <w:p>
      <w:pPr>
        <w:ind w:left="7100"/>
        <w:spacing w:after="0"/>
        <w:tabs>
          <w:tab w:leader="none" w:pos="10260" w:val="left"/>
        </w:tabs>
        <w:rPr>
          <w:sz w:val="20"/>
          <w:szCs w:val="20"/>
          <w:color w:val="auto"/>
        </w:rPr>
      </w:pPr>
      <w:r>
        <w:rPr>
          <w:rFonts w:ascii="Courier New" w:cs="Courier New" w:eastAsia="Courier New" w:hAnsi="Courier New"/>
          <w:sz w:val="15"/>
          <w:szCs w:val="15"/>
          <w:color w:val="auto"/>
        </w:rPr>
        <w:t>JULY 31,</w:t>
      </w:r>
      <w:r>
        <w:rPr>
          <w:sz w:val="20"/>
          <w:szCs w:val="20"/>
          <w:color w:val="auto"/>
        </w:rPr>
        <w:tab/>
      </w:r>
      <w:r>
        <w:rPr>
          <w:rFonts w:ascii="Courier New" w:cs="Courier New" w:eastAsia="Courier New" w:hAnsi="Courier New"/>
          <w:sz w:val="14"/>
          <w:szCs w:val="14"/>
          <w:color w:val="auto"/>
        </w:rPr>
        <w:t>JULY 31,</w:t>
      </w:r>
    </w:p>
    <w:p>
      <w:pPr>
        <w:spacing w:after="0" w:line="1" w:lineRule="exact"/>
        <w:rPr>
          <w:sz w:val="20"/>
          <w:szCs w:val="20"/>
          <w:color w:val="auto"/>
        </w:rPr>
      </w:pPr>
    </w:p>
    <w:p>
      <w:pPr>
        <w:ind w:left="6560"/>
        <w:spacing w:after="0"/>
        <w:tabs>
          <w:tab w:leader="none" w:pos="7860" w:val="left"/>
          <w:tab w:leader="none" w:pos="9640" w:val="left"/>
          <w:tab w:leader="none" w:pos="10980" w:val="left"/>
        </w:tabs>
        <w:rPr>
          <w:sz w:val="20"/>
          <w:szCs w:val="20"/>
          <w:color w:val="auto"/>
        </w:rPr>
      </w:pPr>
      <w:r>
        <w:rPr>
          <w:rFonts w:ascii="Courier New" w:cs="Courier New" w:eastAsia="Courier New" w:hAnsi="Courier New"/>
          <w:sz w:val="15"/>
          <w:szCs w:val="15"/>
          <w:color w:val="auto"/>
        </w:rPr>
        <w:t>1994</w:t>
      </w:r>
      <w:r>
        <w:rPr>
          <w:sz w:val="20"/>
          <w:szCs w:val="20"/>
          <w:color w:val="auto"/>
        </w:rPr>
        <w:tab/>
      </w: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1994</w:t>
      </w:r>
      <w:r>
        <w:rPr>
          <w:sz w:val="20"/>
          <w:szCs w:val="20"/>
          <w:color w:val="auto"/>
        </w:rPr>
        <w:tab/>
      </w:r>
      <w:r>
        <w:rPr>
          <w:rFonts w:ascii="Courier New" w:cs="Courier New" w:eastAsia="Courier New" w:hAnsi="Courier New"/>
          <w:sz w:val="15"/>
          <w:szCs w:val="15"/>
          <w:color w:val="auto"/>
        </w:rPr>
        <w:t>1995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REVENUES AND</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OTHER INCOME</w:t>
            </w:r>
          </w:p>
        </w:tc>
        <w:tc>
          <w:tcPr>
            <w:tcW w:w="2840" w:type="dxa"/>
            <w:vAlign w:val="bottom"/>
          </w:tcPr>
          <w:p>
            <w:pPr>
              <w:spacing w:after="0"/>
              <w:rPr>
                <w:sz w:val="14"/>
                <w:szCs w:val="14"/>
                <w:color w:val="auto"/>
              </w:rPr>
            </w:pPr>
          </w:p>
        </w:tc>
        <w:tc>
          <w:tcPr>
            <w:tcW w:w="22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$ 224,965</w:t>
            </w:r>
          </w:p>
        </w:tc>
        <w:tc>
          <w:tcPr>
            <w:tcW w:w="15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$ 245,792</w:t>
            </w:r>
          </w:p>
        </w:tc>
        <w:tc>
          <w:tcPr>
            <w:tcW w:w="16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651,676</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$ 712,250</w:t>
            </w:r>
          </w:p>
        </w:tc>
      </w:tr>
      <w:tr>
        <w:trPr>
          <w:trHeight w:val="341"/>
        </w:trPr>
        <w:tc>
          <w:tcPr>
            <w:tcW w:w="110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1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1100" w:type="dxa"/>
            <w:vAlign w:val="bottom"/>
          </w:tcPr>
          <w:p>
            <w:pPr>
              <w:ind w:left="260"/>
              <w:spacing w:after="0"/>
              <w:rPr>
                <w:sz w:val="20"/>
                <w:szCs w:val="20"/>
                <w:color w:val="auto"/>
              </w:rPr>
            </w:pPr>
            <w:r>
              <w:rPr>
                <w:rFonts w:ascii="Courier New" w:cs="Courier New" w:eastAsia="Courier New" w:hAnsi="Courier New"/>
                <w:sz w:val="15"/>
                <w:szCs w:val="15"/>
                <w:color w:val="auto"/>
              </w:rPr>
              <w:t>Operating</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Expenses and</w:t>
            </w:r>
          </w:p>
        </w:tc>
        <w:tc>
          <w:tcPr>
            <w:tcW w:w="2840" w:type="dxa"/>
            <w:vAlign w:val="bottom"/>
          </w:tcPr>
          <w:p>
            <w:pPr>
              <w:ind w:left="40"/>
              <w:spacing w:after="0"/>
              <w:rPr>
                <w:sz w:val="20"/>
                <w:szCs w:val="20"/>
                <w:color w:val="auto"/>
              </w:rPr>
            </w:pPr>
            <w:r>
              <w:rPr>
                <w:rFonts w:ascii="Courier New" w:cs="Courier New" w:eastAsia="Courier New" w:hAnsi="Courier New"/>
                <w:sz w:val="15"/>
                <w:szCs w:val="15"/>
                <w:color w:val="auto"/>
              </w:rPr>
              <w:t>Cost of Goods Sold</w:t>
            </w:r>
          </w:p>
        </w:tc>
        <w:tc>
          <w:tcPr>
            <w:tcW w:w="22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194,403</w:t>
            </w:r>
          </w:p>
        </w:tc>
        <w:tc>
          <w:tcPr>
            <w:tcW w:w="15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212,467</w:t>
            </w:r>
          </w:p>
        </w:tc>
        <w:tc>
          <w:tcPr>
            <w:tcW w:w="16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560,517</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613,379</w:t>
            </w:r>
          </w:p>
        </w:tc>
      </w:tr>
      <w:tr>
        <w:trPr>
          <w:trHeight w:val="171"/>
        </w:trPr>
        <w:tc>
          <w:tcPr>
            <w:tcW w:w="510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Selling and Administrative</w:t>
            </w:r>
          </w:p>
        </w:tc>
        <w:tc>
          <w:tcPr>
            <w:tcW w:w="22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22,660</w:t>
            </w:r>
          </w:p>
        </w:tc>
        <w:tc>
          <w:tcPr>
            <w:tcW w:w="15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23,817</w:t>
            </w:r>
          </w:p>
        </w:tc>
        <w:tc>
          <w:tcPr>
            <w:tcW w:w="16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71,202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74,691</w:t>
            </w:r>
          </w:p>
        </w:tc>
      </w:tr>
      <w:tr>
        <w:trPr>
          <w:trHeight w:val="171"/>
        </w:trPr>
        <w:tc>
          <w:tcPr>
            <w:tcW w:w="1100" w:type="dxa"/>
            <w:vAlign w:val="bottom"/>
          </w:tcPr>
          <w:p>
            <w:pPr>
              <w:ind w:left="260"/>
              <w:spacing w:after="0"/>
              <w:rPr>
                <w:sz w:val="20"/>
                <w:szCs w:val="20"/>
                <w:color w:val="auto"/>
              </w:rPr>
            </w:pPr>
            <w:r>
              <w:rPr>
                <w:rFonts w:ascii="Courier New" w:cs="Courier New" w:eastAsia="Courier New" w:hAnsi="Courier New"/>
                <w:sz w:val="15"/>
                <w:szCs w:val="15"/>
                <w:color w:val="auto"/>
              </w:rPr>
              <w:t>Interest</w:t>
            </w:r>
          </w:p>
        </w:tc>
        <w:tc>
          <w:tcPr>
            <w:tcW w:w="11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2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1,303</w:t>
            </w:r>
          </w:p>
        </w:tc>
        <w:tc>
          <w:tcPr>
            <w:tcW w:w="15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870</w:t>
            </w:r>
          </w:p>
        </w:tc>
        <w:tc>
          <w:tcPr>
            <w:tcW w:w="16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2,763</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2,904</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520" w:type="dxa"/>
        <w:tblCellMar>
          <w:top w:w="0" w:type="dxa"/>
          <w:left w:w="0" w:type="dxa"/>
          <w:bottom w:w="0" w:type="dxa"/>
          <w:right w:w="0" w:type="dxa"/>
        </w:tblCellMar>
      </w:tblP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Total Expenses</w:t>
            </w:r>
          </w:p>
        </w:tc>
        <w:tc>
          <w:tcPr>
            <w:tcW w:w="33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218,366</w:t>
            </w:r>
          </w:p>
        </w:tc>
        <w:tc>
          <w:tcPr>
            <w:tcW w:w="15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237,154</w:t>
            </w:r>
          </w:p>
        </w:tc>
        <w:tc>
          <w:tcPr>
            <w:tcW w:w="15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634,482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690,974</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INCOME</w:t>
            </w:r>
          </w:p>
        </w:tc>
        <w:tc>
          <w:tcPr>
            <w:tcW w:w="3920" w:type="dxa"/>
            <w:vAlign w:val="bottom"/>
          </w:tcPr>
          <w:p>
            <w:pPr>
              <w:ind w:left="60"/>
              <w:spacing w:after="0"/>
              <w:rPr>
                <w:sz w:val="20"/>
                <w:szCs w:val="20"/>
                <w:color w:val="auto"/>
              </w:rPr>
            </w:pPr>
            <w:r>
              <w:rPr>
                <w:rFonts w:ascii="Courier New" w:cs="Courier New" w:eastAsia="Courier New" w:hAnsi="Courier New"/>
                <w:sz w:val="15"/>
                <w:szCs w:val="15"/>
                <w:color w:val="auto"/>
              </w:rPr>
              <w:t>BEFORE INCOME TAXES</w:t>
            </w:r>
          </w:p>
        </w:tc>
        <w:tc>
          <w:tcPr>
            <w:tcW w:w="3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6,599</w:t>
            </w:r>
          </w:p>
        </w:tc>
        <w:tc>
          <w:tcPr>
            <w:tcW w:w="15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8,638</w:t>
            </w:r>
          </w:p>
        </w:tc>
        <w:tc>
          <w:tcPr>
            <w:tcW w:w="15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17,194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21,276</w:t>
            </w:r>
          </w:p>
        </w:tc>
      </w:tr>
      <w:tr>
        <w:trPr>
          <w:trHeight w:val="341"/>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INCOME</w:t>
            </w:r>
          </w:p>
        </w:tc>
        <w:tc>
          <w:tcPr>
            <w:tcW w:w="3920" w:type="dxa"/>
            <w:vAlign w:val="bottom"/>
          </w:tcPr>
          <w:p>
            <w:pPr>
              <w:ind w:left="60"/>
              <w:spacing w:after="0"/>
              <w:rPr>
                <w:sz w:val="20"/>
                <w:szCs w:val="20"/>
                <w:color w:val="auto"/>
              </w:rPr>
            </w:pPr>
            <w:r>
              <w:rPr>
                <w:rFonts w:ascii="Courier New" w:cs="Courier New" w:eastAsia="Courier New" w:hAnsi="Courier New"/>
                <w:sz w:val="15"/>
                <w:szCs w:val="15"/>
                <w:color w:val="auto"/>
              </w:rPr>
              <w:t>TAXES</w:t>
            </w:r>
          </w:p>
        </w:tc>
        <w:tc>
          <w:tcPr>
            <w:tcW w:w="3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2,453</w:t>
            </w:r>
          </w:p>
        </w:tc>
        <w:tc>
          <w:tcPr>
            <w:tcW w:w="15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3,628</w:t>
            </w:r>
          </w:p>
        </w:tc>
        <w:tc>
          <w:tcPr>
            <w:tcW w:w="15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6,903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8,936</w:t>
            </w:r>
          </w:p>
        </w:tc>
      </w:tr>
    </w:tbl>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pacing w:after="0"/>
        <w:tabs>
          <w:tab w:leader="none" w:pos="6280" w:val="left"/>
          <w:tab w:leader="none" w:pos="6620" w:val="left"/>
          <w:tab w:leader="none" w:pos="7600" w:val="left"/>
          <w:tab w:leader="none" w:pos="7960" w:val="left"/>
          <w:tab w:leader="none" w:pos="9280" w:val="left"/>
          <w:tab w:leader="none" w:pos="9640" w:val="left"/>
          <w:tab w:leader="none" w:pos="10700" w:val="left"/>
          <w:tab w:leader="none" w:pos="10980" w:val="left"/>
        </w:tabs>
        <w:rPr>
          <w:sz w:val="20"/>
          <w:szCs w:val="20"/>
          <w:color w:val="auto"/>
        </w:rPr>
      </w:pPr>
      <w:r>
        <w:rPr>
          <w:rFonts w:ascii="Courier New" w:cs="Courier New" w:eastAsia="Courier New" w:hAnsi="Courier New"/>
          <w:sz w:val="15"/>
          <w:szCs w:val="15"/>
          <w:color w:val="auto"/>
        </w:rPr>
        <w:t>NET INCOME</w:t>
      </w:r>
      <w:r>
        <w:rPr>
          <w:sz w:val="20"/>
          <w:szCs w:val="20"/>
          <w:color w:val="auto"/>
        </w:rPr>
        <w:tab/>
      </w:r>
      <w:r>
        <w:rPr>
          <w:rFonts w:ascii="Courier New" w:cs="Courier New" w:eastAsia="Courier New" w:hAnsi="Courier New"/>
          <w:sz w:val="15"/>
          <w:szCs w:val="15"/>
          <w:color w:val="auto"/>
        </w:rPr>
        <w:t>$</w:t>
        <w:tab/>
        <w:t>4,146</w:t>
      </w:r>
      <w:r>
        <w:rPr>
          <w:sz w:val="20"/>
          <w:szCs w:val="20"/>
          <w:color w:val="auto"/>
        </w:rPr>
        <w:tab/>
      </w:r>
      <w:r>
        <w:rPr>
          <w:rFonts w:ascii="Courier New" w:cs="Courier New" w:eastAsia="Courier New" w:hAnsi="Courier New"/>
          <w:sz w:val="15"/>
          <w:szCs w:val="15"/>
          <w:color w:val="auto"/>
        </w:rPr>
        <w:t>$</w:t>
        <w:tab/>
        <w:t>5,010</w:t>
      </w:r>
      <w:r>
        <w:rPr>
          <w:sz w:val="20"/>
          <w:szCs w:val="20"/>
          <w:color w:val="auto"/>
        </w:rPr>
        <w:tab/>
      </w:r>
      <w:r>
        <w:rPr>
          <w:rFonts w:ascii="Courier New" w:cs="Courier New" w:eastAsia="Courier New" w:hAnsi="Courier New"/>
          <w:sz w:val="15"/>
          <w:szCs w:val="15"/>
          <w:color w:val="auto"/>
        </w:rPr>
        <w:t>$</w:t>
        <w:tab/>
        <w:t>10,291</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12,340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80" w:type="dxa"/>
            <w:vAlign w:val="bottom"/>
          </w:tcPr>
          <w:p>
            <w:pPr>
              <w:spacing w:after="0"/>
              <w:rPr>
                <w:sz w:val="20"/>
                <w:szCs w:val="20"/>
                <w:color w:val="auto"/>
              </w:rPr>
            </w:pPr>
            <w:r>
              <w:rPr>
                <w:rFonts w:ascii="Courier New" w:cs="Courier New" w:eastAsia="Courier New" w:hAnsi="Courier New"/>
                <w:sz w:val="15"/>
                <w:szCs w:val="15"/>
                <w:color w:val="auto"/>
                <w:w w:val="99"/>
              </w:rPr>
              <w:t>NET INCOME PER</w:t>
            </w:r>
          </w:p>
        </w:tc>
        <w:tc>
          <w:tcPr>
            <w:tcW w:w="2000" w:type="dxa"/>
            <w:vAlign w:val="bottom"/>
          </w:tcPr>
          <w:p>
            <w:pPr>
              <w:ind w:left="40"/>
              <w:spacing w:after="0"/>
              <w:rPr>
                <w:sz w:val="20"/>
                <w:szCs w:val="20"/>
                <w:color w:val="auto"/>
              </w:rPr>
            </w:pPr>
            <w:r>
              <w:rPr>
                <w:rFonts w:ascii="Courier New" w:cs="Courier New" w:eastAsia="Courier New" w:hAnsi="Courier New"/>
                <w:sz w:val="15"/>
                <w:szCs w:val="15"/>
                <w:color w:val="auto"/>
              </w:rPr>
              <w:t>SHARE</w:t>
            </w:r>
          </w:p>
        </w:tc>
        <w:tc>
          <w:tcPr>
            <w:tcW w:w="32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0.45</w:t>
            </w:r>
          </w:p>
        </w:tc>
        <w:tc>
          <w:tcPr>
            <w:tcW w:w="4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0.51</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1.12</w:t>
            </w:r>
          </w:p>
        </w:tc>
        <w:tc>
          <w:tcPr>
            <w:tcW w:w="5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1.26</w:t>
            </w:r>
          </w:p>
        </w:tc>
      </w:tr>
      <w:tr>
        <w:trPr>
          <w:trHeight w:val="341"/>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DIVIDENDS PER COMMON SHARE</w:t>
            </w:r>
          </w:p>
        </w:tc>
        <w:tc>
          <w:tcPr>
            <w:tcW w:w="32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0.125</w:t>
            </w:r>
          </w:p>
        </w:tc>
        <w:tc>
          <w:tcPr>
            <w:tcW w:w="4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0.150</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0.375</w:t>
            </w:r>
          </w:p>
        </w:tc>
        <w:tc>
          <w:tcPr>
            <w:tcW w:w="5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0.45</w:t>
            </w:r>
          </w:p>
        </w:tc>
      </w:tr>
      <w:tr>
        <w:trPr>
          <w:trHeight w:val="341"/>
        </w:trPr>
        <w:tc>
          <w:tcPr>
            <w:tcW w:w="1280" w:type="dxa"/>
            <w:vAlign w:val="bottom"/>
          </w:tcPr>
          <w:p>
            <w:pPr>
              <w:spacing w:after="0"/>
              <w:rPr>
                <w:sz w:val="20"/>
                <w:szCs w:val="20"/>
                <w:color w:val="auto"/>
              </w:rPr>
            </w:pPr>
            <w:r>
              <w:rPr>
                <w:rFonts w:ascii="Courier New" w:cs="Courier New" w:eastAsia="Courier New" w:hAnsi="Courier New"/>
                <w:sz w:val="15"/>
                <w:szCs w:val="15"/>
                <w:color w:val="auto"/>
                <w:w w:val="99"/>
              </w:rPr>
              <w:t>AVERAGE NUMBER</w:t>
            </w:r>
          </w:p>
        </w:tc>
        <w:tc>
          <w:tcPr>
            <w:tcW w:w="2000" w:type="dxa"/>
            <w:vAlign w:val="bottom"/>
          </w:tcPr>
          <w:p>
            <w:pPr>
              <w:ind w:left="40"/>
              <w:spacing w:after="0"/>
              <w:rPr>
                <w:sz w:val="20"/>
                <w:szCs w:val="20"/>
                <w:color w:val="auto"/>
              </w:rPr>
            </w:pPr>
            <w:r>
              <w:rPr>
                <w:rFonts w:ascii="Courier New" w:cs="Courier New" w:eastAsia="Courier New" w:hAnsi="Courier New"/>
                <w:sz w:val="15"/>
                <w:szCs w:val="15"/>
                <w:color w:val="auto"/>
              </w:rPr>
              <w:t>OF COMMON AND COMMON</w:t>
            </w:r>
          </w:p>
        </w:tc>
        <w:tc>
          <w:tcPr>
            <w:tcW w:w="3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71"/>
        </w:trPr>
        <w:tc>
          <w:tcPr>
            <w:tcW w:w="1280" w:type="dxa"/>
            <w:vAlign w:val="bottom"/>
          </w:tcPr>
          <w:p>
            <w:pPr>
              <w:ind w:left="340"/>
              <w:spacing w:after="0"/>
              <w:rPr>
                <w:sz w:val="20"/>
                <w:szCs w:val="20"/>
                <w:color w:val="auto"/>
              </w:rPr>
            </w:pPr>
            <w:r>
              <w:rPr>
                <w:rFonts w:ascii="Courier New" w:cs="Courier New" w:eastAsia="Courier New" w:hAnsi="Courier New"/>
                <w:sz w:val="15"/>
                <w:szCs w:val="15"/>
                <w:color w:val="auto"/>
              </w:rPr>
              <w:t>EQUIVALENT</w:t>
            </w:r>
          </w:p>
        </w:tc>
        <w:tc>
          <w:tcPr>
            <w:tcW w:w="2000" w:type="dxa"/>
            <w:vAlign w:val="bottom"/>
          </w:tcPr>
          <w:p>
            <w:pPr>
              <w:ind w:left="40"/>
              <w:spacing w:after="0"/>
              <w:rPr>
                <w:sz w:val="20"/>
                <w:szCs w:val="20"/>
                <w:color w:val="auto"/>
              </w:rPr>
            </w:pPr>
            <w:r>
              <w:rPr>
                <w:rFonts w:ascii="Courier New" w:cs="Courier New" w:eastAsia="Courier New" w:hAnsi="Courier New"/>
                <w:sz w:val="15"/>
                <w:szCs w:val="15"/>
                <w:color w:val="auto"/>
              </w:rPr>
              <w:t>SHARES OUTSTANDING</w:t>
            </w:r>
          </w:p>
        </w:tc>
        <w:tc>
          <w:tcPr>
            <w:tcW w:w="3240" w:type="dxa"/>
            <w:vAlign w:val="bottom"/>
          </w:tcPr>
          <w:p>
            <w:pPr>
              <w:spacing w:after="0"/>
              <w:rPr>
                <w:sz w:val="14"/>
                <w:szCs w:val="14"/>
                <w:color w:val="auto"/>
              </w:rPr>
            </w:pP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8,942</w:t>
            </w:r>
          </w:p>
        </w:tc>
        <w:tc>
          <w:tcPr>
            <w:tcW w:w="480" w:type="dxa"/>
            <w:vAlign w:val="bottom"/>
          </w:tcPr>
          <w:p>
            <w:pPr>
              <w:spacing w:after="0"/>
              <w:rPr>
                <w:sz w:val="14"/>
                <w:szCs w:val="14"/>
                <w:color w:val="auto"/>
              </w:rPr>
            </w:pP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9,627</w:t>
            </w:r>
          </w:p>
        </w:tc>
        <w:tc>
          <w:tcPr>
            <w:tcW w:w="7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8,872</w:t>
            </w:r>
          </w:p>
        </w:tc>
        <w:tc>
          <w:tcPr>
            <w:tcW w:w="5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9,497</w:t>
            </w:r>
          </w:p>
        </w:tc>
      </w:tr>
      <w:tr>
        <w:trPr>
          <w:trHeight w:val="512"/>
        </w:trPr>
        <w:tc>
          <w:tcPr>
            <w:tcW w:w="1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240" w:type="dxa"/>
            <w:vAlign w:val="bottom"/>
          </w:tcPr>
          <w:p>
            <w:pPr>
              <w:jc w:val="right"/>
              <w:ind w:right="2726"/>
              <w:spacing w:after="0"/>
              <w:rPr>
                <w:sz w:val="20"/>
                <w:szCs w:val="20"/>
                <w:color w:val="auto"/>
              </w:rPr>
            </w:pPr>
            <w:r>
              <w:rPr>
                <w:rFonts w:ascii="Courier New" w:cs="Courier New" w:eastAsia="Courier New" w:hAnsi="Courier New"/>
                <w:sz w:val="15"/>
                <w:szCs w:val="15"/>
                <w:color w:val="auto"/>
              </w:rPr>
              <w:t>-4-</w:t>
            </w: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1520"/>
          </w:cols>
          <w:pgMar w:left="240" w:top="628" w:right="139" w:bottom="1440" w:gutter="0" w:footer="0" w:header="0"/>
        </w:sectPr>
      </w:pPr>
    </w:p>
    <w:bookmarkStart w:id="4" w:name="page5"/>
    <w:bookmarkEnd w:id="4"/>
    <w:p>
      <w:pPr>
        <w:jc w:val="center"/>
        <w:ind w:right="3059"/>
        <w:spacing w:after="0"/>
        <w:rPr>
          <w:sz w:val="20"/>
          <w:szCs w:val="20"/>
          <w:color w:val="auto"/>
        </w:rPr>
      </w:pPr>
      <w:r>
        <w:rPr>
          <w:rFonts w:ascii="Courier New" w:cs="Courier New" w:eastAsia="Courier New" w:hAnsi="Courier New"/>
          <w:sz w:val="15"/>
          <w:szCs w:val="15"/>
          <w:color w:val="auto"/>
        </w:rPr>
        <w:t>ABM INDUSTRIES INCORPORATED</w:t>
      </w:r>
    </w:p>
    <w:p>
      <w:pPr>
        <w:spacing w:after="0" w:line="1"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1"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(UNAUDITED)</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FOR THE NINE MONTHS ENDED JULY 31, 1994 AND 1995</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(In Thousands)</w:t>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jc w:val="center"/>
        <w:ind w:left="460"/>
        <w:spacing w:after="0"/>
        <w:tabs>
          <w:tab w:leader="none" w:pos="160" w:val="left"/>
        </w:tabs>
        <w:rPr>
          <w:sz w:val="20"/>
          <w:szCs w:val="20"/>
          <w:color w:val="auto"/>
        </w:rPr>
      </w:pPr>
      <w:r>
        <w:rPr>
          <w:rFonts w:ascii="Courier New" w:cs="Courier New" w:eastAsia="Courier New" w:hAnsi="Courier New"/>
          <w:sz w:val="15"/>
          <w:szCs w:val="15"/>
          <w:color w:val="auto"/>
        </w:rPr>
        <w:t>JULY 31,</w:t>
      </w:r>
      <w:r>
        <w:rPr>
          <w:sz w:val="20"/>
          <w:szCs w:val="20"/>
          <w:color w:val="auto"/>
        </w:rPr>
        <w:tab/>
      </w:r>
      <w:r>
        <w:rPr>
          <w:rFonts w:ascii="Courier New" w:cs="Courier New" w:eastAsia="Courier New" w:hAnsi="Courier New"/>
          <w:sz w:val="14"/>
          <w:szCs w:val="14"/>
          <w:color w:val="auto"/>
        </w:rPr>
        <w:t>JULY 31,</w:t>
      </w:r>
    </w:p>
    <w:p>
      <w:pPr>
        <w:spacing w:after="0" w:line="1" w:lineRule="exact"/>
        <w:rPr>
          <w:sz w:val="20"/>
          <w:szCs w:val="20"/>
          <w:color w:val="auto"/>
        </w:rPr>
      </w:pPr>
    </w:p>
    <w:p>
      <w:pPr>
        <w:jc w:val="center"/>
        <w:ind w:left="900"/>
        <w:spacing w:after="0"/>
        <w:tabs>
          <w:tab w:leader="none" w:pos="500" w:val="left"/>
        </w:tabs>
        <w:rPr>
          <w:sz w:val="20"/>
          <w:szCs w:val="20"/>
          <w:color w:val="auto"/>
        </w:rPr>
      </w:pPr>
      <w:r>
        <w:rPr>
          <w:rFonts w:ascii="Courier New" w:cs="Courier New" w:eastAsia="Courier New" w:hAnsi="Courier New"/>
          <w:sz w:val="15"/>
          <w:szCs w:val="15"/>
          <w:color w:val="auto"/>
        </w:rPr>
        <w:t>1994</w:t>
      </w:r>
      <w:r>
        <w:rPr>
          <w:sz w:val="20"/>
          <w:szCs w:val="20"/>
          <w:color w:val="auto"/>
        </w:rPr>
        <w:tab/>
      </w:r>
      <w:r>
        <w:rPr>
          <w:rFonts w:ascii="Courier New" w:cs="Courier New" w:eastAsia="Courier New" w:hAnsi="Courier New"/>
          <w:sz w:val="15"/>
          <w:szCs w:val="15"/>
          <w:color w:val="auto"/>
        </w:rPr>
        <w:t>1995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20" w:type="dxa"/>
            <w:vAlign w:val="bottom"/>
          </w:tcPr>
          <w:p>
            <w:pPr>
              <w:spacing w:after="0"/>
              <w:rPr>
                <w:sz w:val="20"/>
                <w:szCs w:val="20"/>
                <w:color w:val="auto"/>
              </w:rPr>
            </w:pPr>
            <w:r>
              <w:rPr>
                <w:rFonts w:ascii="Courier New" w:cs="Courier New" w:eastAsia="Courier New" w:hAnsi="Courier New"/>
                <w:sz w:val="15"/>
                <w:szCs w:val="15"/>
                <w:color w:val="auto"/>
              </w:rPr>
              <w:t>CASH FLOWS FROM</w:t>
            </w:r>
          </w:p>
        </w:tc>
        <w:tc>
          <w:tcPr>
            <w:tcW w:w="284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6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42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Cash received from customers</w:t>
            </w:r>
          </w:p>
        </w:tc>
        <w:tc>
          <w:tcPr>
            <w:tcW w:w="16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$638,764</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$699,896</w:t>
            </w:r>
          </w:p>
        </w:tc>
      </w:tr>
      <w:tr>
        <w:trPr>
          <w:trHeight w:val="171"/>
        </w:trPr>
        <w:tc>
          <w:tcPr>
            <w:tcW w:w="42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Other operating cash receipts</w:t>
            </w:r>
          </w:p>
        </w:tc>
        <w:tc>
          <w:tcPr>
            <w:tcW w:w="16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1,440</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2,011</w:t>
            </w:r>
          </w:p>
        </w:tc>
      </w:tr>
      <w:tr>
        <w:trPr>
          <w:trHeight w:val="171"/>
        </w:trPr>
        <w:tc>
          <w:tcPr>
            <w:tcW w:w="42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Interest received</w:t>
            </w:r>
          </w:p>
        </w:tc>
        <w:tc>
          <w:tcPr>
            <w:tcW w:w="16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286</w:t>
            </w:r>
          </w:p>
        </w:tc>
        <w:tc>
          <w:tcPr>
            <w:tcW w:w="9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384</w:t>
            </w:r>
          </w:p>
        </w:tc>
      </w:tr>
      <w:tr>
        <w:trPr>
          <w:trHeight w:val="171"/>
        </w:trPr>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rPr>
              <w:t>Cash paid to</w:t>
            </w:r>
          </w:p>
        </w:tc>
        <w:tc>
          <w:tcPr>
            <w:tcW w:w="2840" w:type="dxa"/>
            <w:vAlign w:val="bottom"/>
          </w:tcPr>
          <w:p>
            <w:pPr>
              <w:spacing w:after="0"/>
              <w:rPr>
                <w:sz w:val="20"/>
                <w:szCs w:val="20"/>
                <w:color w:val="auto"/>
              </w:rPr>
            </w:pPr>
            <w:r>
              <w:rPr>
                <w:rFonts w:ascii="Courier New" w:cs="Courier New" w:eastAsia="Courier New" w:hAnsi="Courier New"/>
                <w:sz w:val="15"/>
                <w:szCs w:val="15"/>
                <w:color w:val="auto"/>
              </w:rPr>
              <w:t>suppliers and employees</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(617,892)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(680,991)</w:t>
            </w:r>
          </w:p>
        </w:tc>
      </w:tr>
      <w:tr>
        <w:trPr>
          <w:trHeight w:val="171"/>
        </w:trPr>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w w:val="97"/>
              </w:rPr>
              <w:t>Interest paid</w:t>
            </w:r>
          </w:p>
        </w:tc>
        <w:tc>
          <w:tcPr>
            <w:tcW w:w="2840" w:type="dxa"/>
            <w:vAlign w:val="bottom"/>
          </w:tcPr>
          <w:p>
            <w:pPr>
              <w:spacing w:after="0"/>
              <w:rPr>
                <w:sz w:val="14"/>
                <w:szCs w:val="14"/>
                <w:color w:val="auto"/>
              </w:rPr>
            </w:pP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(3,120)</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(3,185)</w:t>
            </w:r>
          </w:p>
        </w:tc>
      </w:tr>
      <w:tr>
        <w:trPr>
          <w:trHeight w:val="171"/>
        </w:trPr>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rPr>
              <w:t>Income taxes</w:t>
            </w:r>
          </w:p>
        </w:tc>
        <w:tc>
          <w:tcPr>
            <w:tcW w:w="2840" w:type="dxa"/>
            <w:vAlign w:val="bottom"/>
          </w:tcPr>
          <w:p>
            <w:pPr>
              <w:spacing w:after="0"/>
              <w:rPr>
                <w:sz w:val="20"/>
                <w:szCs w:val="20"/>
                <w:color w:val="auto"/>
              </w:rPr>
            </w:pPr>
            <w:r>
              <w:rPr>
                <w:rFonts w:ascii="Courier New" w:cs="Courier New" w:eastAsia="Courier New" w:hAnsi="Courier New"/>
                <w:sz w:val="15"/>
                <w:szCs w:val="15"/>
                <w:color w:val="auto"/>
              </w:rPr>
              <w:t>paid</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(9,792)</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(11,985)</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4740" w:type="dxa"/>
            <w:vAlign w:val="bottom"/>
          </w:tcPr>
          <w:p>
            <w:pPr>
              <w:spacing w:after="0"/>
              <w:rPr>
                <w:sz w:val="20"/>
                <w:szCs w:val="20"/>
                <w:color w:val="auto"/>
              </w:rPr>
            </w:pPr>
            <w:r>
              <w:rPr>
                <w:rFonts w:ascii="Courier New" w:cs="Courier New" w:eastAsia="Courier New" w:hAnsi="Courier New"/>
                <w:sz w:val="15"/>
                <w:szCs w:val="15"/>
                <w:color w:val="auto"/>
              </w:rPr>
              <w:t>Net cash provided by (used) in operating activites</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9,686</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6,130</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60" w:type="dxa"/>
            <w:vAlign w:val="bottom"/>
          </w:tcPr>
          <w:p>
            <w:pPr>
              <w:jc w:val="right"/>
              <w:spacing w:after="0"/>
              <w:rPr>
                <w:sz w:val="20"/>
                <w:szCs w:val="20"/>
                <w:color w:val="auto"/>
              </w:rPr>
            </w:pPr>
            <w:r>
              <w:rPr>
                <w:rFonts w:ascii="Courier New" w:cs="Courier New" w:eastAsia="Courier New" w:hAnsi="Courier New"/>
                <w:sz w:val="15"/>
                <w:szCs w:val="15"/>
                <w:color w:val="auto"/>
                <w:w w:val="96"/>
              </w:rPr>
              <w:t>CASH FLOWS FROM INVESTING</w:t>
            </w:r>
          </w:p>
        </w:tc>
        <w:tc>
          <w:tcPr>
            <w:tcW w:w="2340" w:type="dxa"/>
            <w:vAlign w:val="bottom"/>
          </w:tcPr>
          <w:p>
            <w:pPr>
              <w:ind w:left="40"/>
              <w:spacing w:after="0"/>
              <w:rPr>
                <w:sz w:val="20"/>
                <w:szCs w:val="20"/>
                <w:color w:val="auto"/>
              </w:rPr>
            </w:pPr>
            <w:r>
              <w:rPr>
                <w:rFonts w:ascii="Courier New" w:cs="Courier New" w:eastAsia="Courier New" w:hAnsi="Courier New"/>
                <w:sz w:val="15"/>
                <w:szCs w:val="15"/>
                <w:color w:val="auto"/>
              </w:rPr>
              <w:t>ACTIVITIES:</w:t>
            </w:r>
          </w:p>
        </w:tc>
        <w:tc>
          <w:tcPr>
            <w:tcW w:w="1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260" w:type="dxa"/>
            <w:vAlign w:val="bottom"/>
          </w:tcPr>
          <w:p>
            <w:pPr>
              <w:jc w:val="right"/>
              <w:spacing w:after="0"/>
              <w:rPr>
                <w:sz w:val="20"/>
                <w:szCs w:val="20"/>
                <w:color w:val="auto"/>
              </w:rPr>
            </w:pPr>
            <w:r>
              <w:rPr>
                <w:rFonts w:ascii="Courier New" w:cs="Courier New" w:eastAsia="Courier New" w:hAnsi="Courier New"/>
                <w:sz w:val="15"/>
                <w:szCs w:val="15"/>
                <w:color w:val="auto"/>
              </w:rPr>
              <w:t>Additions to property,</w:t>
            </w:r>
          </w:p>
        </w:tc>
        <w:tc>
          <w:tcPr>
            <w:tcW w:w="2340" w:type="dxa"/>
            <w:vAlign w:val="bottom"/>
          </w:tcPr>
          <w:p>
            <w:pPr>
              <w:ind w:left="40"/>
              <w:spacing w:after="0"/>
              <w:rPr>
                <w:sz w:val="20"/>
                <w:szCs w:val="20"/>
                <w:color w:val="auto"/>
              </w:rPr>
            </w:pPr>
            <w:r>
              <w:rPr>
                <w:rFonts w:ascii="Courier New" w:cs="Courier New" w:eastAsia="Courier New" w:hAnsi="Courier New"/>
                <w:sz w:val="15"/>
                <w:szCs w:val="15"/>
                <w:color w:val="auto"/>
              </w:rPr>
              <w:t>plant and equipment</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(6,872)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(7,254)</w:t>
            </w:r>
          </w:p>
        </w:tc>
      </w:tr>
      <w:tr>
        <w:trPr>
          <w:trHeight w:val="171"/>
        </w:trPr>
        <w:tc>
          <w:tcPr>
            <w:tcW w:w="46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Proceeds from sale of assets</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414</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337</w:t>
            </w:r>
          </w:p>
        </w:tc>
      </w:tr>
      <w:tr>
        <w:trPr>
          <w:trHeight w:val="171"/>
        </w:trPr>
        <w:tc>
          <w:tcPr>
            <w:tcW w:w="2260" w:type="dxa"/>
            <w:vAlign w:val="bottom"/>
          </w:tcPr>
          <w:p>
            <w:pPr>
              <w:jc w:val="right"/>
              <w:spacing w:after="0"/>
              <w:rPr>
                <w:sz w:val="20"/>
                <w:szCs w:val="20"/>
                <w:color w:val="auto"/>
              </w:rPr>
            </w:pPr>
            <w:r>
              <w:rPr>
                <w:rFonts w:ascii="Courier New" w:cs="Courier New" w:eastAsia="Courier New" w:hAnsi="Courier New"/>
                <w:sz w:val="15"/>
                <w:szCs w:val="15"/>
                <w:color w:val="auto"/>
              </w:rPr>
              <w:t>(Increase) decrease in</w:t>
            </w:r>
          </w:p>
        </w:tc>
        <w:tc>
          <w:tcPr>
            <w:tcW w:w="2340" w:type="dxa"/>
            <w:vAlign w:val="bottom"/>
          </w:tcPr>
          <w:p>
            <w:pPr>
              <w:ind w:left="40"/>
              <w:spacing w:after="0"/>
              <w:rPr>
                <w:sz w:val="20"/>
                <w:szCs w:val="20"/>
                <w:color w:val="auto"/>
              </w:rPr>
            </w:pPr>
            <w:r>
              <w:rPr>
                <w:rFonts w:ascii="Courier New" w:cs="Courier New" w:eastAsia="Courier New" w:hAnsi="Courier New"/>
                <w:sz w:val="15"/>
                <w:szCs w:val="15"/>
                <w:color w:val="auto"/>
              </w:rPr>
              <w:t>investments and</w:t>
            </w:r>
          </w:p>
        </w:tc>
        <w:tc>
          <w:tcPr>
            <w:tcW w:w="13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2260" w:type="dxa"/>
            <w:vAlign w:val="bottom"/>
          </w:tcPr>
          <w:p>
            <w:pPr>
              <w:jc w:val="right"/>
              <w:spacing w:after="0"/>
              <w:rPr>
                <w:sz w:val="20"/>
                <w:szCs w:val="20"/>
                <w:color w:val="auto"/>
              </w:rPr>
            </w:pPr>
            <w:r>
              <w:rPr>
                <w:rFonts w:ascii="Courier New" w:cs="Courier New" w:eastAsia="Courier New" w:hAnsi="Courier New"/>
                <w:sz w:val="15"/>
                <w:szCs w:val="15"/>
                <w:color w:val="auto"/>
              </w:rPr>
              <w:t>long-term receivable</w:t>
            </w:r>
          </w:p>
        </w:tc>
        <w:tc>
          <w:tcPr>
            <w:tcW w:w="2340" w:type="dxa"/>
            <w:vAlign w:val="bottom"/>
          </w:tcPr>
          <w:p>
            <w:pPr>
              <w:spacing w:after="0"/>
              <w:rPr>
                <w:sz w:val="14"/>
                <w:szCs w:val="14"/>
                <w:color w:val="auto"/>
              </w:rPr>
            </w:pP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92</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240</w:t>
            </w:r>
          </w:p>
        </w:tc>
      </w:tr>
      <w:tr>
        <w:trPr>
          <w:trHeight w:val="171"/>
        </w:trPr>
        <w:tc>
          <w:tcPr>
            <w:tcW w:w="46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Intangibles resulting from acquisitions</w:t>
            </w:r>
          </w:p>
        </w:tc>
        <w:tc>
          <w:tcPr>
            <w:tcW w:w="13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(6,468)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(10,958)</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4700" w:type="dxa"/>
            <w:vAlign w:val="bottom"/>
          </w:tcPr>
          <w:p>
            <w:pPr>
              <w:spacing w:after="0"/>
              <w:rPr>
                <w:sz w:val="20"/>
                <w:szCs w:val="20"/>
                <w:color w:val="auto"/>
              </w:rPr>
            </w:pPr>
            <w:r>
              <w:rPr>
                <w:rFonts w:ascii="Courier New" w:cs="Courier New" w:eastAsia="Courier New" w:hAnsi="Courier New"/>
                <w:sz w:val="15"/>
                <w:szCs w:val="15"/>
                <w:color w:val="auto"/>
              </w:rPr>
              <w:t>Net cash provided by (used) in investing activities</w:t>
            </w:r>
          </w:p>
        </w:tc>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rPr>
              <w:t>(12,834)  (17,635)</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6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300" w:type="dxa"/>
            <w:vAlign w:val="bottom"/>
          </w:tcPr>
          <w:p>
            <w:pPr>
              <w:ind w:left="260"/>
              <w:spacing w:after="0"/>
              <w:rPr>
                <w:sz w:val="20"/>
                <w:szCs w:val="20"/>
                <w:color w:val="auto"/>
              </w:rPr>
            </w:pPr>
            <w:r>
              <w:rPr>
                <w:rFonts w:ascii="Courier New" w:cs="Courier New" w:eastAsia="Courier New" w:hAnsi="Courier New"/>
                <w:sz w:val="15"/>
                <w:szCs w:val="15"/>
                <w:color w:val="auto"/>
              </w:rPr>
              <w:t>Common stock issued</w:t>
            </w:r>
          </w:p>
        </w:tc>
        <w:tc>
          <w:tcPr>
            <w:tcW w:w="16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2,998</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3,742</w:t>
            </w:r>
          </w:p>
        </w:tc>
      </w:tr>
      <w:tr>
        <w:trPr>
          <w:trHeight w:val="171"/>
        </w:trPr>
        <w:tc>
          <w:tcPr>
            <w:tcW w:w="4300" w:type="dxa"/>
            <w:vAlign w:val="bottom"/>
          </w:tcPr>
          <w:p>
            <w:pPr>
              <w:ind w:left="260"/>
              <w:spacing w:after="0"/>
              <w:rPr>
                <w:sz w:val="20"/>
                <w:szCs w:val="20"/>
                <w:color w:val="auto"/>
              </w:rPr>
            </w:pPr>
            <w:r>
              <w:rPr>
                <w:rFonts w:ascii="Courier New" w:cs="Courier New" w:eastAsia="Courier New" w:hAnsi="Courier New"/>
                <w:sz w:val="15"/>
                <w:szCs w:val="15"/>
                <w:color w:val="auto"/>
              </w:rPr>
              <w:t>Dividends paid</w:t>
            </w:r>
          </w:p>
        </w:tc>
        <w:tc>
          <w:tcPr>
            <w:tcW w:w="16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(3,814)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(4,528)</w:t>
            </w:r>
          </w:p>
        </w:tc>
      </w:tr>
      <w:tr>
        <w:trPr>
          <w:trHeight w:val="171"/>
        </w:trPr>
        <w:tc>
          <w:tcPr>
            <w:tcW w:w="4300" w:type="dxa"/>
            <w:vAlign w:val="bottom"/>
          </w:tcPr>
          <w:p>
            <w:pPr>
              <w:ind w:left="260"/>
              <w:spacing w:after="0"/>
              <w:rPr>
                <w:sz w:val="20"/>
                <w:szCs w:val="20"/>
                <w:color w:val="auto"/>
              </w:rPr>
            </w:pPr>
            <w:r>
              <w:rPr>
                <w:rFonts w:ascii="Courier New" w:cs="Courier New" w:eastAsia="Courier New" w:hAnsi="Courier New"/>
                <w:sz w:val="15"/>
                <w:szCs w:val="15"/>
                <w:color w:val="auto"/>
              </w:rPr>
              <w:t>Increase(decrease) in cash overdraft</w:t>
            </w:r>
          </w:p>
        </w:tc>
        <w:tc>
          <w:tcPr>
            <w:tcW w:w="16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(4,231)</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w:t>
            </w:r>
          </w:p>
        </w:tc>
      </w:tr>
      <w:tr>
        <w:trPr>
          <w:trHeight w:val="171"/>
        </w:trPr>
        <w:tc>
          <w:tcPr>
            <w:tcW w:w="4300" w:type="dxa"/>
            <w:vAlign w:val="bottom"/>
          </w:tcPr>
          <w:p>
            <w:pPr>
              <w:ind w:left="260"/>
              <w:spacing w:after="0"/>
              <w:rPr>
                <w:sz w:val="20"/>
                <w:szCs w:val="20"/>
                <w:color w:val="auto"/>
              </w:rPr>
            </w:pPr>
            <w:r>
              <w:rPr>
                <w:rFonts w:ascii="Courier New" w:cs="Courier New" w:eastAsia="Courier New" w:hAnsi="Courier New"/>
                <w:sz w:val="15"/>
                <w:szCs w:val="15"/>
                <w:color w:val="auto"/>
              </w:rPr>
              <w:t>Increase(decrease) in notes payable</w:t>
            </w:r>
          </w:p>
        </w:tc>
        <w:tc>
          <w:tcPr>
            <w:tcW w:w="16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4,966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1"/>
        </w:trPr>
        <w:tc>
          <w:tcPr>
            <w:tcW w:w="4300" w:type="dxa"/>
            <w:vAlign w:val="bottom"/>
          </w:tcPr>
          <w:p>
            <w:pPr>
              <w:ind w:left="260"/>
              <w:spacing w:after="0"/>
              <w:rPr>
                <w:sz w:val="20"/>
                <w:szCs w:val="20"/>
                <w:color w:val="auto"/>
              </w:rPr>
            </w:pPr>
            <w:r>
              <w:rPr>
                <w:rFonts w:ascii="Courier New" w:cs="Courier New" w:eastAsia="Courier New" w:hAnsi="Courier New"/>
                <w:sz w:val="15"/>
                <w:szCs w:val="15"/>
                <w:color w:val="auto"/>
              </w:rPr>
              <w:t>Long-term borrowings</w:t>
            </w:r>
          </w:p>
        </w:tc>
        <w:tc>
          <w:tcPr>
            <w:tcW w:w="16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22,000</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57,000</w:t>
            </w:r>
          </w:p>
        </w:tc>
      </w:tr>
      <w:tr>
        <w:trPr>
          <w:trHeight w:val="171"/>
        </w:trPr>
        <w:tc>
          <w:tcPr>
            <w:tcW w:w="4300" w:type="dxa"/>
            <w:vAlign w:val="bottom"/>
          </w:tcPr>
          <w:p>
            <w:pPr>
              <w:ind w:left="260"/>
              <w:spacing w:after="0"/>
              <w:rPr>
                <w:sz w:val="20"/>
                <w:szCs w:val="20"/>
                <w:color w:val="auto"/>
              </w:rPr>
            </w:pPr>
            <w:r>
              <w:rPr>
                <w:rFonts w:ascii="Courier New" w:cs="Courier New" w:eastAsia="Courier New" w:hAnsi="Courier New"/>
                <w:sz w:val="15"/>
                <w:szCs w:val="15"/>
                <w:color w:val="auto"/>
              </w:rPr>
              <w:t>Repayments of long-term borrowings</w:t>
            </w:r>
          </w:p>
        </w:tc>
        <w:tc>
          <w:tcPr>
            <w:tcW w:w="16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(20,000)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(51,031)</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4620" w:type="dxa"/>
            <w:vAlign w:val="bottom"/>
          </w:tcPr>
          <w:p>
            <w:pPr>
              <w:spacing w:after="0"/>
              <w:rPr>
                <w:sz w:val="20"/>
                <w:szCs w:val="20"/>
                <w:color w:val="auto"/>
              </w:rPr>
            </w:pPr>
            <w:r>
              <w:rPr>
                <w:rFonts w:ascii="Courier New" w:cs="Courier New" w:eastAsia="Courier New" w:hAnsi="Courier New"/>
                <w:sz w:val="15"/>
                <w:szCs w:val="15"/>
                <w:color w:val="auto"/>
              </w:rPr>
              <w:t>Net cash provided by (used) financing actvities</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1,919</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5,179</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NET DECREASE IN CASH AND CASH EQUIVALENTS</w:t>
            </w:r>
          </w:p>
        </w:tc>
        <w:tc>
          <w:tcPr>
            <w:tcW w:w="14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(1,229)</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(6,326)</w:t>
            </w:r>
          </w:p>
        </w:tc>
      </w:tr>
      <w:tr>
        <w:trPr>
          <w:trHeight w:val="171"/>
        </w:trPr>
        <w:tc>
          <w:tcPr>
            <w:tcW w:w="4520" w:type="dxa"/>
            <w:vAlign w:val="bottom"/>
          </w:tcPr>
          <w:p>
            <w:pPr>
              <w:spacing w:after="0"/>
              <w:rPr>
                <w:sz w:val="20"/>
                <w:szCs w:val="20"/>
                <w:color w:val="auto"/>
              </w:rPr>
            </w:pPr>
            <w:r>
              <w:rPr>
                <w:rFonts w:ascii="Courier New" w:cs="Courier New" w:eastAsia="Courier New" w:hAnsi="Courier New"/>
                <w:sz w:val="15"/>
                <w:szCs w:val="15"/>
                <w:color w:val="auto"/>
              </w:rPr>
              <w:t>CASH AND CASH EQUIVALENTS BEGINNING OF YEAR</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1,688</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7,368</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pacing w:after="0"/>
        <w:tabs>
          <w:tab w:leader="none" w:pos="5020" w:val="left"/>
          <w:tab w:leader="none" w:pos="5480" w:val="left"/>
          <w:tab w:leader="none" w:pos="5920" w:val="left"/>
          <w:tab w:leader="none" w:pos="6180" w:val="left"/>
        </w:tabs>
        <w:rPr>
          <w:sz w:val="20"/>
          <w:szCs w:val="20"/>
          <w:color w:val="auto"/>
        </w:rPr>
      </w:pPr>
      <w:r>
        <w:rPr>
          <w:rFonts w:ascii="Courier New" w:cs="Courier New" w:eastAsia="Courier New" w:hAnsi="Courier New"/>
          <w:sz w:val="15"/>
          <w:szCs w:val="15"/>
          <w:color w:val="auto"/>
        </w:rPr>
        <w:t>CASH AND CASH EQUIVALENTS END OF PERIOD</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459</w:t>
        <w:tab/>
        <w:t>$</w:t>
      </w:r>
      <w:r>
        <w:rPr>
          <w:sz w:val="20"/>
          <w:szCs w:val="20"/>
          <w:color w:val="auto"/>
        </w:rPr>
        <w:tab/>
      </w:r>
      <w:r>
        <w:rPr>
          <w:rFonts w:ascii="Courier New" w:cs="Courier New" w:eastAsia="Courier New" w:hAnsi="Courier New"/>
          <w:sz w:val="14"/>
          <w:szCs w:val="14"/>
          <w:color w:val="auto"/>
        </w:rPr>
        <w:t>1,042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gridSpan w:val="3"/>
          </w:tcPr>
          <w:p>
            <w:pPr>
              <w:spacing w:after="0"/>
              <w:rPr>
                <w:sz w:val="20"/>
                <w:szCs w:val="20"/>
                <w:color w:val="auto"/>
              </w:rPr>
            </w:pPr>
            <w:r>
              <w:rPr>
                <w:rFonts w:ascii="Courier New" w:cs="Courier New" w:eastAsia="Courier New" w:hAnsi="Courier New"/>
                <w:sz w:val="15"/>
                <w:szCs w:val="15"/>
                <w:color w:val="auto"/>
              </w:rPr>
              <w:t>RECONCILIATION OF NET INCOME TO NET CASH PROVIDED</w:t>
            </w: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2300" w:type="dxa"/>
            <w:vAlign w:val="bottom"/>
            <w:gridSpan w:val="2"/>
          </w:tcPr>
          <w:p>
            <w:pPr>
              <w:spacing w:after="0"/>
              <w:rPr>
                <w:sz w:val="20"/>
                <w:szCs w:val="20"/>
                <w:color w:val="auto"/>
              </w:rPr>
            </w:pPr>
            <w:r>
              <w:rPr>
                <w:rFonts w:ascii="Courier New" w:cs="Courier New" w:eastAsia="Courier New" w:hAnsi="Courier New"/>
                <w:sz w:val="15"/>
                <w:szCs w:val="15"/>
                <w:color w:val="auto"/>
              </w:rPr>
              <w:t>BY OPERATING ACTIVITIES:</w:t>
            </w:r>
          </w:p>
        </w:tc>
        <w:tc>
          <w:tcPr>
            <w:tcW w:w="2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19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3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$ 10,291</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$ 12,340</w:t>
            </w:r>
          </w:p>
        </w:tc>
      </w:tr>
      <w:tr>
        <w:trPr>
          <w:trHeight w:val="171"/>
        </w:trPr>
        <w:tc>
          <w:tcPr>
            <w:tcW w:w="1980" w:type="dxa"/>
            <w:vAlign w:val="bottom"/>
          </w:tcPr>
          <w:p>
            <w:pPr>
              <w:spacing w:after="0"/>
              <w:rPr>
                <w:sz w:val="20"/>
                <w:szCs w:val="20"/>
                <w:color w:val="auto"/>
              </w:rPr>
            </w:pPr>
            <w:r>
              <w:rPr>
                <w:rFonts w:ascii="Courier New" w:cs="Courier New" w:eastAsia="Courier New" w:hAnsi="Courier New"/>
                <w:sz w:val="15"/>
                <w:szCs w:val="15"/>
                <w:color w:val="auto"/>
              </w:rPr>
              <w:t>Adjustments:</w:t>
            </w:r>
          </w:p>
        </w:tc>
        <w:tc>
          <w:tcPr>
            <w:tcW w:w="3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482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Depreciation and amortization</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6,513</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8,331</w:t>
            </w:r>
          </w:p>
        </w:tc>
      </w:tr>
      <w:tr>
        <w:trPr>
          <w:trHeight w:val="171"/>
        </w:trPr>
        <w:tc>
          <w:tcPr>
            <w:tcW w:w="230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7"/>
              </w:rPr>
              <w:t>Provision for bad debts</w:t>
            </w:r>
          </w:p>
        </w:tc>
        <w:tc>
          <w:tcPr>
            <w:tcW w:w="2520" w:type="dxa"/>
            <w:vAlign w:val="bottom"/>
          </w:tcPr>
          <w:p>
            <w:pPr>
              <w:spacing w:after="0"/>
              <w:rPr>
                <w:sz w:val="14"/>
                <w:szCs w:val="14"/>
                <w:color w:val="auto"/>
              </w:rPr>
            </w:pP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1,349</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1,117</w:t>
            </w:r>
          </w:p>
        </w:tc>
      </w:tr>
      <w:tr>
        <w:trPr>
          <w:trHeight w:val="171"/>
        </w:trPr>
        <w:tc>
          <w:tcPr>
            <w:tcW w:w="23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Gain on sale of assets</w:t>
            </w:r>
          </w:p>
        </w:tc>
        <w:tc>
          <w:tcPr>
            <w:tcW w:w="25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(113)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(99)</w:t>
            </w:r>
          </w:p>
        </w:tc>
      </w:tr>
      <w:tr>
        <w:trPr>
          <w:trHeight w:val="171"/>
        </w:trPr>
        <w:tc>
          <w:tcPr>
            <w:tcW w:w="1980" w:type="dxa"/>
            <w:vAlign w:val="bottom"/>
          </w:tcPr>
          <w:p>
            <w:pPr>
              <w:ind w:left="260"/>
              <w:spacing w:after="0"/>
              <w:rPr>
                <w:sz w:val="20"/>
                <w:szCs w:val="20"/>
                <w:color w:val="auto"/>
              </w:rPr>
            </w:pPr>
            <w:r>
              <w:rPr>
                <w:rFonts w:ascii="Courier New" w:cs="Courier New" w:eastAsia="Courier New" w:hAnsi="Courier New"/>
                <w:sz w:val="15"/>
                <w:szCs w:val="15"/>
                <w:color w:val="auto"/>
                <w:w w:val="99"/>
              </w:rPr>
              <w:t>(Increase) decrease</w:t>
            </w:r>
          </w:p>
        </w:tc>
        <w:tc>
          <w:tcPr>
            <w:tcW w:w="320" w:type="dxa"/>
            <w:vAlign w:val="bottom"/>
          </w:tcPr>
          <w:p>
            <w:pPr>
              <w:ind w:left="60"/>
              <w:spacing w:after="0"/>
              <w:rPr>
                <w:sz w:val="20"/>
                <w:szCs w:val="20"/>
                <w:color w:val="auto"/>
              </w:rPr>
            </w:pPr>
            <w:r>
              <w:rPr>
                <w:rFonts w:ascii="Courier New" w:cs="Courier New" w:eastAsia="Courier New" w:hAnsi="Courier New"/>
                <w:sz w:val="15"/>
                <w:szCs w:val="15"/>
                <w:color w:val="auto"/>
              </w:rPr>
              <w:t>in</w:t>
            </w:r>
          </w:p>
        </w:tc>
        <w:tc>
          <w:tcPr>
            <w:tcW w:w="2520" w:type="dxa"/>
            <w:vAlign w:val="bottom"/>
          </w:tcPr>
          <w:p>
            <w:pPr>
              <w:spacing w:after="0"/>
              <w:rPr>
                <w:sz w:val="20"/>
                <w:szCs w:val="20"/>
                <w:color w:val="auto"/>
              </w:rPr>
            </w:pPr>
            <w:r>
              <w:rPr>
                <w:rFonts w:ascii="Courier New" w:cs="Courier New" w:eastAsia="Courier New" w:hAnsi="Courier New"/>
                <w:sz w:val="15"/>
                <w:szCs w:val="15"/>
                <w:color w:val="auto"/>
              </w:rPr>
              <w:t>accounts and other</w:t>
            </w: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1980" w:type="dxa"/>
            <w:vAlign w:val="bottom"/>
          </w:tcPr>
          <w:p>
            <w:pPr>
              <w:ind w:left="440"/>
              <w:spacing w:after="0"/>
              <w:rPr>
                <w:sz w:val="20"/>
                <w:szCs w:val="20"/>
                <w:color w:val="auto"/>
              </w:rPr>
            </w:pPr>
            <w:r>
              <w:rPr>
                <w:rFonts w:ascii="Courier New" w:cs="Courier New" w:eastAsia="Courier New" w:hAnsi="Courier New"/>
                <w:sz w:val="15"/>
                <w:szCs w:val="15"/>
                <w:color w:val="auto"/>
              </w:rPr>
              <w:t>receivables</w:t>
            </w:r>
          </w:p>
        </w:tc>
        <w:tc>
          <w:tcPr>
            <w:tcW w:w="3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(9,724)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(10,284)</w:t>
            </w:r>
          </w:p>
        </w:tc>
      </w:tr>
      <w:tr>
        <w:trPr>
          <w:trHeight w:val="171"/>
        </w:trPr>
        <w:tc>
          <w:tcPr>
            <w:tcW w:w="1980" w:type="dxa"/>
            <w:vAlign w:val="bottom"/>
          </w:tcPr>
          <w:p>
            <w:pPr>
              <w:ind w:left="260"/>
              <w:spacing w:after="0"/>
              <w:rPr>
                <w:sz w:val="20"/>
                <w:szCs w:val="20"/>
                <w:color w:val="auto"/>
              </w:rPr>
            </w:pPr>
            <w:r>
              <w:rPr>
                <w:rFonts w:ascii="Courier New" w:cs="Courier New" w:eastAsia="Courier New" w:hAnsi="Courier New"/>
                <w:sz w:val="15"/>
                <w:szCs w:val="15"/>
                <w:color w:val="auto"/>
                <w:w w:val="99"/>
              </w:rPr>
              <w:t>(Increase) decrease</w:t>
            </w:r>
          </w:p>
        </w:tc>
        <w:tc>
          <w:tcPr>
            <w:tcW w:w="320" w:type="dxa"/>
            <w:vAlign w:val="bottom"/>
          </w:tcPr>
          <w:p>
            <w:pPr>
              <w:ind w:left="60"/>
              <w:spacing w:after="0"/>
              <w:rPr>
                <w:sz w:val="20"/>
                <w:szCs w:val="20"/>
                <w:color w:val="auto"/>
              </w:rPr>
            </w:pPr>
            <w:r>
              <w:rPr>
                <w:rFonts w:ascii="Courier New" w:cs="Courier New" w:eastAsia="Courier New" w:hAnsi="Courier New"/>
                <w:sz w:val="15"/>
                <w:szCs w:val="15"/>
                <w:color w:val="auto"/>
              </w:rPr>
              <w:t>in</w:t>
            </w:r>
          </w:p>
        </w:tc>
        <w:tc>
          <w:tcPr>
            <w:tcW w:w="2520" w:type="dxa"/>
            <w:vAlign w:val="bottom"/>
          </w:tcPr>
          <w:p>
            <w:pPr>
              <w:spacing w:after="0"/>
              <w:rPr>
                <w:sz w:val="20"/>
                <w:szCs w:val="20"/>
                <w:color w:val="auto"/>
              </w:rPr>
            </w:pPr>
            <w:r>
              <w:rPr>
                <w:rFonts w:ascii="Courier New" w:cs="Courier New" w:eastAsia="Courier New" w:hAnsi="Courier New"/>
                <w:sz w:val="15"/>
                <w:szCs w:val="15"/>
                <w:color w:val="auto"/>
              </w:rPr>
              <w:t>inventories and supplies</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683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(2,159)</w:t>
            </w:r>
          </w:p>
        </w:tc>
      </w:tr>
      <w:tr>
        <w:trPr>
          <w:trHeight w:val="171"/>
        </w:trPr>
        <w:tc>
          <w:tcPr>
            <w:tcW w:w="1980" w:type="dxa"/>
            <w:vAlign w:val="bottom"/>
          </w:tcPr>
          <w:p>
            <w:pPr>
              <w:ind w:left="260"/>
              <w:spacing w:after="0"/>
              <w:rPr>
                <w:sz w:val="20"/>
                <w:szCs w:val="20"/>
                <w:color w:val="auto"/>
              </w:rPr>
            </w:pPr>
            <w:r>
              <w:rPr>
                <w:rFonts w:ascii="Courier New" w:cs="Courier New" w:eastAsia="Courier New" w:hAnsi="Courier New"/>
                <w:sz w:val="15"/>
                <w:szCs w:val="15"/>
                <w:color w:val="auto"/>
                <w:w w:val="99"/>
              </w:rPr>
              <w:t>(Increase) decrease</w:t>
            </w:r>
          </w:p>
        </w:tc>
        <w:tc>
          <w:tcPr>
            <w:tcW w:w="320" w:type="dxa"/>
            <w:vAlign w:val="bottom"/>
          </w:tcPr>
          <w:p>
            <w:pPr>
              <w:ind w:left="60"/>
              <w:spacing w:after="0"/>
              <w:rPr>
                <w:sz w:val="20"/>
                <w:szCs w:val="20"/>
                <w:color w:val="auto"/>
              </w:rPr>
            </w:pPr>
            <w:r>
              <w:rPr>
                <w:rFonts w:ascii="Courier New" w:cs="Courier New" w:eastAsia="Courier New" w:hAnsi="Courier New"/>
                <w:sz w:val="15"/>
                <w:szCs w:val="15"/>
                <w:color w:val="auto"/>
              </w:rPr>
              <w:t>in</w:t>
            </w:r>
          </w:p>
        </w:tc>
        <w:tc>
          <w:tcPr>
            <w:tcW w:w="2520" w:type="dxa"/>
            <w:vAlign w:val="bottom"/>
          </w:tcPr>
          <w:p>
            <w:pPr>
              <w:spacing w:after="0"/>
              <w:rPr>
                <w:sz w:val="20"/>
                <w:szCs w:val="20"/>
                <w:color w:val="auto"/>
              </w:rPr>
            </w:pPr>
            <w:r>
              <w:rPr>
                <w:rFonts w:ascii="Courier New" w:cs="Courier New" w:eastAsia="Courier New" w:hAnsi="Courier New"/>
                <w:sz w:val="15"/>
                <w:szCs w:val="15"/>
                <w:color w:val="auto"/>
              </w:rPr>
              <w:t>prepaid expenses</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(2,301)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(3,330)</w:t>
            </w:r>
          </w:p>
        </w:tc>
      </w:tr>
      <w:tr>
        <w:trPr>
          <w:trHeight w:val="171"/>
        </w:trPr>
        <w:tc>
          <w:tcPr>
            <w:tcW w:w="1980" w:type="dxa"/>
            <w:vAlign w:val="bottom"/>
          </w:tcPr>
          <w:p>
            <w:pPr>
              <w:ind w:left="260"/>
              <w:spacing w:after="0"/>
              <w:rPr>
                <w:sz w:val="20"/>
                <w:szCs w:val="20"/>
                <w:color w:val="auto"/>
              </w:rPr>
            </w:pPr>
            <w:r>
              <w:rPr>
                <w:rFonts w:ascii="Courier New" w:cs="Courier New" w:eastAsia="Courier New" w:hAnsi="Courier New"/>
                <w:sz w:val="15"/>
                <w:szCs w:val="15"/>
                <w:color w:val="auto"/>
                <w:w w:val="99"/>
              </w:rPr>
              <w:t>(Increase) decrease</w:t>
            </w:r>
          </w:p>
        </w:tc>
        <w:tc>
          <w:tcPr>
            <w:tcW w:w="320" w:type="dxa"/>
            <w:vAlign w:val="bottom"/>
          </w:tcPr>
          <w:p>
            <w:pPr>
              <w:ind w:left="60"/>
              <w:spacing w:after="0"/>
              <w:rPr>
                <w:sz w:val="20"/>
                <w:szCs w:val="20"/>
                <w:color w:val="auto"/>
              </w:rPr>
            </w:pPr>
            <w:r>
              <w:rPr>
                <w:rFonts w:ascii="Courier New" w:cs="Courier New" w:eastAsia="Courier New" w:hAnsi="Courier New"/>
                <w:sz w:val="15"/>
                <w:szCs w:val="15"/>
                <w:color w:val="auto"/>
              </w:rPr>
              <w:t>in</w:t>
            </w:r>
          </w:p>
        </w:tc>
        <w:tc>
          <w:tcPr>
            <w:tcW w:w="252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(236)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(3,113)</w:t>
            </w:r>
          </w:p>
        </w:tc>
      </w:tr>
      <w:tr>
        <w:trPr>
          <w:trHeight w:val="171"/>
        </w:trPr>
        <w:tc>
          <w:tcPr>
            <w:tcW w:w="1980" w:type="dxa"/>
            <w:vAlign w:val="bottom"/>
          </w:tcPr>
          <w:p>
            <w:pPr>
              <w:ind w:left="260"/>
              <w:spacing w:after="0"/>
              <w:rPr>
                <w:sz w:val="20"/>
                <w:szCs w:val="20"/>
                <w:color w:val="auto"/>
              </w:rPr>
            </w:pPr>
            <w:r>
              <w:rPr>
                <w:rFonts w:ascii="Courier New" w:cs="Courier New" w:eastAsia="Courier New" w:hAnsi="Courier New"/>
                <w:sz w:val="15"/>
                <w:szCs w:val="15"/>
                <w:color w:val="auto"/>
                <w:w w:val="99"/>
              </w:rPr>
              <w:t>Increase (decrease)</w:t>
            </w:r>
          </w:p>
        </w:tc>
        <w:tc>
          <w:tcPr>
            <w:tcW w:w="320" w:type="dxa"/>
            <w:vAlign w:val="bottom"/>
          </w:tcPr>
          <w:p>
            <w:pPr>
              <w:ind w:left="60"/>
              <w:spacing w:after="0"/>
              <w:rPr>
                <w:sz w:val="20"/>
                <w:szCs w:val="20"/>
                <w:color w:val="auto"/>
              </w:rPr>
            </w:pPr>
            <w:r>
              <w:rPr>
                <w:rFonts w:ascii="Courier New" w:cs="Courier New" w:eastAsia="Courier New" w:hAnsi="Courier New"/>
                <w:sz w:val="15"/>
                <w:szCs w:val="15"/>
                <w:color w:val="auto"/>
              </w:rPr>
              <w:t>in</w:t>
            </w:r>
          </w:p>
        </w:tc>
        <w:tc>
          <w:tcPr>
            <w:tcW w:w="252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(1,087)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(3,165)</w:t>
            </w:r>
          </w:p>
        </w:tc>
      </w:tr>
      <w:tr>
        <w:trPr>
          <w:trHeight w:val="171"/>
        </w:trPr>
        <w:tc>
          <w:tcPr>
            <w:tcW w:w="1980" w:type="dxa"/>
            <w:vAlign w:val="bottom"/>
          </w:tcPr>
          <w:p>
            <w:pPr>
              <w:ind w:left="260"/>
              <w:spacing w:after="0"/>
              <w:rPr>
                <w:sz w:val="20"/>
                <w:szCs w:val="20"/>
                <w:color w:val="auto"/>
              </w:rPr>
            </w:pPr>
            <w:r>
              <w:rPr>
                <w:rFonts w:ascii="Courier New" w:cs="Courier New" w:eastAsia="Courier New" w:hAnsi="Courier New"/>
                <w:sz w:val="15"/>
                <w:szCs w:val="15"/>
                <w:color w:val="auto"/>
                <w:w w:val="99"/>
              </w:rPr>
              <w:t>Increase (decrease)</w:t>
            </w:r>
          </w:p>
        </w:tc>
        <w:tc>
          <w:tcPr>
            <w:tcW w:w="320" w:type="dxa"/>
            <w:vAlign w:val="bottom"/>
          </w:tcPr>
          <w:p>
            <w:pPr>
              <w:ind w:left="60"/>
              <w:spacing w:after="0"/>
              <w:rPr>
                <w:sz w:val="20"/>
                <w:szCs w:val="20"/>
                <w:color w:val="auto"/>
              </w:rPr>
            </w:pPr>
            <w:r>
              <w:rPr>
                <w:rFonts w:ascii="Courier New" w:cs="Courier New" w:eastAsia="Courier New" w:hAnsi="Courier New"/>
                <w:sz w:val="15"/>
                <w:szCs w:val="15"/>
                <w:color w:val="auto"/>
              </w:rPr>
              <w:t>in</w:t>
            </w:r>
          </w:p>
        </w:tc>
        <w:tc>
          <w:tcPr>
            <w:tcW w:w="2520" w:type="dxa"/>
            <w:vAlign w:val="bottom"/>
          </w:tcPr>
          <w:p>
            <w:pPr>
              <w:spacing w:after="0"/>
              <w:rPr>
                <w:sz w:val="20"/>
                <w:szCs w:val="20"/>
                <w:color w:val="auto"/>
              </w:rPr>
            </w:pPr>
            <w:r>
              <w:rPr>
                <w:rFonts w:ascii="Courier New" w:cs="Courier New" w:eastAsia="Courier New" w:hAnsi="Courier New"/>
                <w:sz w:val="15"/>
                <w:szCs w:val="15"/>
                <w:color w:val="auto"/>
              </w:rPr>
              <w:t>income taxes payable</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(1,802)</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116</w:t>
            </w:r>
          </w:p>
        </w:tc>
      </w:tr>
      <w:tr>
        <w:trPr>
          <w:trHeight w:val="171"/>
        </w:trPr>
        <w:tc>
          <w:tcPr>
            <w:tcW w:w="1980" w:type="dxa"/>
            <w:vAlign w:val="bottom"/>
          </w:tcPr>
          <w:p>
            <w:pPr>
              <w:ind w:left="260"/>
              <w:spacing w:after="0"/>
              <w:rPr>
                <w:sz w:val="20"/>
                <w:szCs w:val="20"/>
                <w:color w:val="auto"/>
              </w:rPr>
            </w:pPr>
            <w:r>
              <w:rPr>
                <w:rFonts w:ascii="Courier New" w:cs="Courier New" w:eastAsia="Courier New" w:hAnsi="Courier New"/>
                <w:sz w:val="15"/>
                <w:szCs w:val="15"/>
                <w:color w:val="auto"/>
                <w:w w:val="99"/>
              </w:rPr>
              <w:t>Increase (decrease)</w:t>
            </w:r>
          </w:p>
        </w:tc>
        <w:tc>
          <w:tcPr>
            <w:tcW w:w="320" w:type="dxa"/>
            <w:vAlign w:val="bottom"/>
          </w:tcPr>
          <w:p>
            <w:pPr>
              <w:ind w:left="60"/>
              <w:spacing w:after="0"/>
              <w:rPr>
                <w:sz w:val="20"/>
                <w:szCs w:val="20"/>
                <w:color w:val="auto"/>
              </w:rPr>
            </w:pPr>
            <w:r>
              <w:rPr>
                <w:rFonts w:ascii="Courier New" w:cs="Courier New" w:eastAsia="Courier New" w:hAnsi="Courier New"/>
                <w:sz w:val="15"/>
                <w:szCs w:val="15"/>
                <w:color w:val="auto"/>
              </w:rPr>
              <w:t>in</w:t>
            </w:r>
          </w:p>
        </w:tc>
        <w:tc>
          <w:tcPr>
            <w:tcW w:w="2520" w:type="dxa"/>
            <w:vAlign w:val="bottom"/>
          </w:tcPr>
          <w:p>
            <w:pPr>
              <w:spacing w:after="0"/>
              <w:rPr>
                <w:sz w:val="20"/>
                <w:szCs w:val="20"/>
                <w:color w:val="auto"/>
              </w:rPr>
            </w:pPr>
            <w:r>
              <w:rPr>
                <w:rFonts w:ascii="Courier New" w:cs="Courier New" w:eastAsia="Courier New" w:hAnsi="Courier New"/>
                <w:sz w:val="15"/>
                <w:szCs w:val="15"/>
                <w:color w:val="auto"/>
              </w:rPr>
              <w:t>retirement plans accrual</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1,055</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1,145</w:t>
            </w:r>
          </w:p>
        </w:tc>
      </w:tr>
      <w:tr>
        <w:trPr>
          <w:trHeight w:val="171"/>
        </w:trPr>
        <w:tc>
          <w:tcPr>
            <w:tcW w:w="1980" w:type="dxa"/>
            <w:vAlign w:val="bottom"/>
          </w:tcPr>
          <w:p>
            <w:pPr>
              <w:ind w:left="260"/>
              <w:spacing w:after="0"/>
              <w:rPr>
                <w:sz w:val="20"/>
                <w:szCs w:val="20"/>
                <w:color w:val="auto"/>
              </w:rPr>
            </w:pPr>
            <w:r>
              <w:rPr>
                <w:rFonts w:ascii="Courier New" w:cs="Courier New" w:eastAsia="Courier New" w:hAnsi="Courier New"/>
                <w:sz w:val="15"/>
                <w:szCs w:val="15"/>
                <w:color w:val="auto"/>
                <w:w w:val="99"/>
              </w:rPr>
              <w:t>Increase (decrease)</w:t>
            </w:r>
          </w:p>
        </w:tc>
        <w:tc>
          <w:tcPr>
            <w:tcW w:w="320" w:type="dxa"/>
            <w:vAlign w:val="bottom"/>
          </w:tcPr>
          <w:p>
            <w:pPr>
              <w:ind w:left="60"/>
              <w:spacing w:after="0"/>
              <w:rPr>
                <w:sz w:val="20"/>
                <w:szCs w:val="20"/>
                <w:color w:val="auto"/>
              </w:rPr>
            </w:pPr>
            <w:r>
              <w:rPr>
                <w:rFonts w:ascii="Courier New" w:cs="Courier New" w:eastAsia="Courier New" w:hAnsi="Courier New"/>
                <w:sz w:val="15"/>
                <w:szCs w:val="15"/>
                <w:color w:val="auto"/>
              </w:rPr>
              <w:t>in</w:t>
            </w:r>
          </w:p>
        </w:tc>
        <w:tc>
          <w:tcPr>
            <w:tcW w:w="2520" w:type="dxa"/>
            <w:vAlign w:val="bottom"/>
          </w:tcPr>
          <w:p>
            <w:pPr>
              <w:spacing w:after="0"/>
              <w:rPr>
                <w:sz w:val="20"/>
                <w:szCs w:val="20"/>
                <w:color w:val="auto"/>
              </w:rPr>
            </w:pPr>
            <w:r>
              <w:rPr>
                <w:rFonts w:ascii="Courier New" w:cs="Courier New" w:eastAsia="Courier New" w:hAnsi="Courier New"/>
                <w:sz w:val="15"/>
                <w:szCs w:val="15"/>
                <w:color w:val="auto"/>
              </w:rPr>
              <w:t>insurance claims liablilty</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2,589</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5,038</w:t>
            </w:r>
          </w:p>
        </w:tc>
      </w:tr>
      <w:tr>
        <w:trPr>
          <w:trHeight w:val="171"/>
        </w:trPr>
        <w:tc>
          <w:tcPr>
            <w:tcW w:w="1980" w:type="dxa"/>
            <w:vAlign w:val="bottom"/>
          </w:tcPr>
          <w:p>
            <w:pPr>
              <w:ind w:left="260"/>
              <w:spacing w:after="0"/>
              <w:rPr>
                <w:sz w:val="20"/>
                <w:szCs w:val="20"/>
                <w:color w:val="auto"/>
              </w:rPr>
            </w:pPr>
            <w:r>
              <w:rPr>
                <w:rFonts w:ascii="Courier New" w:cs="Courier New" w:eastAsia="Courier New" w:hAnsi="Courier New"/>
                <w:sz w:val="15"/>
                <w:szCs w:val="15"/>
                <w:color w:val="auto"/>
                <w:w w:val="99"/>
              </w:rPr>
              <w:t>Increase (decrease)</w:t>
            </w:r>
          </w:p>
        </w:tc>
        <w:tc>
          <w:tcPr>
            <w:tcW w:w="320" w:type="dxa"/>
            <w:vAlign w:val="bottom"/>
          </w:tcPr>
          <w:p>
            <w:pPr>
              <w:ind w:left="60"/>
              <w:spacing w:after="0"/>
              <w:rPr>
                <w:sz w:val="20"/>
                <w:szCs w:val="20"/>
                <w:color w:val="auto"/>
              </w:rPr>
            </w:pPr>
            <w:r>
              <w:rPr>
                <w:rFonts w:ascii="Courier New" w:cs="Courier New" w:eastAsia="Courier New" w:hAnsi="Courier New"/>
                <w:sz w:val="15"/>
                <w:szCs w:val="15"/>
                <w:color w:val="auto"/>
              </w:rPr>
              <w:t>in</w:t>
            </w:r>
          </w:p>
        </w:tc>
        <w:tc>
          <w:tcPr>
            <w:tcW w:w="2520" w:type="dxa"/>
            <w:vAlign w:val="bottom"/>
          </w:tcPr>
          <w:p>
            <w:pPr>
              <w:spacing w:after="0"/>
              <w:rPr>
                <w:sz w:val="20"/>
                <w:szCs w:val="20"/>
                <w:color w:val="auto"/>
              </w:rPr>
            </w:pPr>
            <w:r>
              <w:rPr>
                <w:rFonts w:ascii="Courier New" w:cs="Courier New" w:eastAsia="Courier New" w:hAnsi="Courier New"/>
                <w:sz w:val="15"/>
                <w:szCs w:val="15"/>
                <w:color w:val="auto"/>
              </w:rPr>
              <w:t>accounts payable</w:t>
            </w:r>
          </w:p>
        </w:tc>
        <w:tc>
          <w:tcPr>
            <w:tcW w:w="10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1980" w:type="dxa"/>
            <w:vAlign w:val="bottom"/>
          </w:tcPr>
          <w:p>
            <w:pPr>
              <w:ind w:left="440"/>
              <w:spacing w:after="0"/>
              <w:rPr>
                <w:sz w:val="20"/>
                <w:szCs w:val="20"/>
                <w:color w:val="auto"/>
              </w:rPr>
            </w:pPr>
            <w:r>
              <w:rPr>
                <w:rFonts w:ascii="Courier New" w:cs="Courier New" w:eastAsia="Courier New" w:hAnsi="Courier New"/>
                <w:sz w:val="15"/>
                <w:szCs w:val="15"/>
                <w:color w:val="auto"/>
                <w:w w:val="99"/>
              </w:rPr>
              <w:t>and other accrued</w:t>
            </w:r>
          </w:p>
        </w:tc>
        <w:tc>
          <w:tcPr>
            <w:tcW w:w="28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liabilities</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2,469</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193</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520" w:type="dxa"/>
        <w:tblCellMar>
          <w:top w:w="0" w:type="dxa"/>
          <w:left w:w="0" w:type="dxa"/>
          <w:bottom w:w="0" w:type="dxa"/>
          <w:right w:w="0" w:type="dxa"/>
        </w:tblCellMar>
      </w:tblP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Total adjustments to net income</w:t>
            </w:r>
          </w:p>
        </w:tc>
        <w:tc>
          <w:tcPr>
            <w:tcW w:w="2400" w:type="dxa"/>
            <w:vAlign w:val="bottom"/>
          </w:tcPr>
          <w:p>
            <w:pPr>
              <w:jc w:val="right"/>
              <w:spacing w:after="0"/>
              <w:rPr>
                <w:sz w:val="20"/>
                <w:szCs w:val="20"/>
                <w:color w:val="auto"/>
              </w:rPr>
            </w:pPr>
            <w:r>
              <w:rPr>
                <w:rFonts w:ascii="Courier New" w:cs="Courier New" w:eastAsia="Courier New" w:hAnsi="Courier New"/>
                <w:sz w:val="15"/>
                <w:szCs w:val="15"/>
                <w:color w:val="auto"/>
              </w:rPr>
              <w:t>(605)   (6,210)</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tcPr>
          <w:p>
            <w:pPr>
              <w:spacing w:after="0"/>
              <w:rPr>
                <w:sz w:val="20"/>
                <w:szCs w:val="20"/>
                <w:color w:val="auto"/>
              </w:rPr>
            </w:pPr>
            <w:r>
              <w:rPr>
                <w:rFonts w:ascii="Courier New" w:cs="Courier New" w:eastAsia="Courier New" w:hAnsi="Courier New"/>
                <w:sz w:val="15"/>
                <w:szCs w:val="15"/>
                <w:color w:val="auto"/>
              </w:rPr>
              <w:t>NET CASH PROVIDED BY (USED) IN OPERATING ACTIVITIES</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  9,686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6,130</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5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28" w:right="1440" w:bottom="1440" w:gutter="0" w:footer="0" w:header="0"/>
        </w:sectPr>
      </w:pPr>
    </w:p>
    <w:bookmarkStart w:id="5" w:name="page6"/>
    <w:bookmarkEnd w:id="5"/>
    <w:p>
      <w:pPr>
        <w:jc w:val="center"/>
        <w:ind w:right="3110"/>
        <w:spacing w:after="0"/>
        <w:rPr>
          <w:sz w:val="20"/>
          <w:szCs w:val="20"/>
          <w:color w:val="auto"/>
        </w:rPr>
      </w:pPr>
      <w:r>
        <w:rPr>
          <w:rFonts w:ascii="Courier New" w:cs="Courier New" w:eastAsia="Courier New" w:hAnsi="Courier New"/>
          <w:sz w:val="15"/>
          <w:szCs w:val="15"/>
          <w:color w:val="auto"/>
        </w:rPr>
        <w:t>ABM INDUSTRIES INCORPORATED AND SUBSIDIARIES</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color w:val="auto"/>
        </w:rPr>
        <w:t>(Unaudited)</w:t>
      </w:r>
    </w:p>
    <w:p>
      <w:pPr>
        <w:spacing w:after="0" w:line="171" w:lineRule="exact"/>
        <w:rPr>
          <w:sz w:val="20"/>
          <w:szCs w:val="20"/>
          <w:color w:val="auto"/>
        </w:rPr>
      </w:pPr>
    </w:p>
    <w:p>
      <w:pPr>
        <w:ind w:left="449" w:hanging="449"/>
        <w:spacing w:after="0"/>
        <w:tabs>
          <w:tab w:leader="none" w:pos="44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w:t>
      </w:r>
    </w:p>
    <w:p>
      <w:pPr>
        <w:spacing w:after="0" w:line="174" w:lineRule="exact"/>
        <w:rPr>
          <w:sz w:val="20"/>
          <w:szCs w:val="20"/>
          <w:color w:val="auto"/>
        </w:rPr>
      </w:pPr>
    </w:p>
    <w:p>
      <w:pPr>
        <w:ind w:left="9" w:right="3479" w:firstLine="444"/>
        <w:spacing w:after="0" w:line="262" w:lineRule="auto"/>
        <w:rPr>
          <w:sz w:val="20"/>
          <w:szCs w:val="20"/>
          <w:color w:val="auto"/>
        </w:rPr>
      </w:pPr>
      <w:r>
        <w:rPr>
          <w:rFonts w:ascii="Courier New" w:cs="Courier New" w:eastAsia="Courier New" w:hAnsi="Courier New"/>
          <w:sz w:val="14"/>
          <w:szCs w:val="14"/>
          <w:color w:val="auto"/>
        </w:rPr>
        <w:t>In the opinion of management, the accompanying unaudited consolidated financial statements contain all material adjustments which are necessary to present fairly the financial position as of July 31, 1995 and the results of operations and cash flows for the three months and nine months then ended.</w:t>
      </w:r>
    </w:p>
    <w:p>
      <w:pPr>
        <w:spacing w:after="0" w:line="161"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It is suggested that these financial statements be read in conjunction with the financial statements and the notes thereto included in the Company's 1994 Form 10K filed with the Securities and Exchange Commission.</w:t>
      </w:r>
    </w:p>
    <w:p>
      <w:pPr>
        <w:spacing w:after="0" w:line="172" w:lineRule="exact"/>
        <w:rPr>
          <w:sz w:val="20"/>
          <w:szCs w:val="20"/>
          <w:color w:val="auto"/>
        </w:rPr>
      </w:pPr>
    </w:p>
    <w:p>
      <w:pPr>
        <w:ind w:left="449" w:hanging="449"/>
        <w:spacing w:after="0"/>
        <w:tabs>
          <w:tab w:leader="none" w:pos="44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SHARE</w:t>
      </w:r>
    </w:p>
    <w:p>
      <w:pPr>
        <w:spacing w:after="0" w:line="171" w:lineRule="exact"/>
        <w:rPr>
          <w:sz w:val="20"/>
          <w:szCs w:val="20"/>
          <w:color w:val="auto"/>
        </w:rPr>
      </w:pPr>
    </w:p>
    <w:p>
      <w:pPr>
        <w:ind w:left="449"/>
        <w:spacing w:after="0"/>
        <w:tabs>
          <w:tab w:leader="none" w:pos="3089" w:val="left"/>
        </w:tabs>
        <w:rPr>
          <w:sz w:val="20"/>
          <w:szCs w:val="20"/>
          <w:color w:val="auto"/>
        </w:rPr>
      </w:pPr>
      <w:r>
        <w:rPr>
          <w:rFonts w:ascii="Courier New" w:cs="Courier New" w:eastAsia="Courier New" w:hAnsi="Courier New"/>
          <w:sz w:val="15"/>
          <w:szCs w:val="15"/>
          <w:color w:val="auto"/>
        </w:rPr>
        <w:t>NET INCOME PER COMMON SHARE:</w:t>
      </w:r>
      <w:r>
        <w:rPr>
          <w:sz w:val="20"/>
          <w:szCs w:val="20"/>
          <w:color w:val="auto"/>
        </w:rPr>
        <w:tab/>
      </w:r>
      <w:r>
        <w:rPr>
          <w:rFonts w:ascii="Courier New" w:cs="Courier New" w:eastAsia="Courier New" w:hAnsi="Courier New"/>
          <w:sz w:val="14"/>
          <w:szCs w:val="14"/>
          <w:color w:val="auto"/>
        </w:rPr>
        <w:t>Net income per common and common equivalent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share, after the reduction for preferred stock dividends in the amount of</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$384,000 during the nine months ended July 31, 1995, is based on the weighted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average number of shares outstanding during the year and the common stock</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equivalents that have a dilutive effect. Net income per common share assuming</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full dilution is not significantly different than net income per share as shown.</w:t>
      </w:r>
    </w:p>
    <w:p>
      <w:pPr>
        <w:spacing w:after="0" w:line="353" w:lineRule="exact"/>
        <w:rPr>
          <w:sz w:val="20"/>
          <w:szCs w:val="20"/>
          <w:color w:val="auto"/>
        </w:rPr>
      </w:pPr>
    </w:p>
    <w:p>
      <w:pPr>
        <w:ind w:left="9" w:right="3119"/>
        <w:spacing w:after="0" w:line="238" w:lineRule="auto"/>
        <w:rPr>
          <w:sz w:val="20"/>
          <w:szCs w:val="20"/>
          <w:color w:val="auto"/>
        </w:rPr>
      </w:pPr>
      <w:r>
        <w:rPr>
          <w:rFonts w:ascii="Courier New" w:cs="Courier New" w:eastAsia="Courier New" w:hAnsi="Courier New"/>
          <w:sz w:val="15"/>
          <w:szCs w:val="15"/>
          <w:color w:val="auto"/>
        </w:rPr>
        <w:t>ITEM 2. MANAGEMENT'S DISCUSSION AND ANALYSIS OF FINANCIAL CONDITION AND RESULTS OF OPERATIONS</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FINANCIAL CONDITION</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Funds provided from operations and bank borrowings have historically been the sources for meeting working capital requirements, financing capital expenditures, acquisitions, and paying cash dividends. Management believes that funds from these sources will remain available and adequately serve the Company's liquidity needs. On September 22, 1994, the Company signed a $100 million unsecured revolving credit agreement with a syndicate of U.S. banks, and on May 1, 1995, this credit line was increased to $125 million. This agreement expires September 22, 1998, and at the Company's</w:t>
      </w:r>
    </w:p>
    <w:p>
      <w:pPr>
        <w:spacing w:after="0" w:line="174"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8"/>
          </w:cols>
          <w:pgMar w:left="231" w:top="799" w:right="1440" w:bottom="1440" w:gutter="0" w:footer="0" w:header="0"/>
        </w:sectPr>
      </w:pPr>
    </w:p>
    <w:bookmarkStart w:id="6" w:name="page7"/>
    <w:bookmarkEnd w:id="6"/>
    <w:p>
      <w:pPr>
        <w:ind w:right="3119"/>
        <w:spacing w:after="0"/>
        <w:rPr>
          <w:sz w:val="20"/>
          <w:szCs w:val="20"/>
          <w:color w:val="auto"/>
        </w:rPr>
      </w:pPr>
      <w:r>
        <w:rPr>
          <w:rFonts w:ascii="Courier New" w:cs="Courier New" w:eastAsia="Courier New" w:hAnsi="Courier New"/>
          <w:sz w:val="15"/>
          <w:szCs w:val="15"/>
          <w:color w:val="auto"/>
        </w:rPr>
        <w:t>option, may be extended one year. The credit facility provides, at the Company's option, interest at the prime rate or IBOR +.45%. As of July 31, 1995, the total amount considered utilized under this facility was approximately $97.8 million which was comprised of loans in the amount of $29 million and standby letters of credit of $68.8 million. The effective interest rate on bank borrowings for the nine months ended July 31, 1995 was approximately 7.29%. This agreement requires the Company to meet certain financial ratios and places some limitations on dividend payments and outside borrowing. The Company is prohibited from declaring or paying cash dividends exceeding 50% of its net income for any fiscal year.</w:t>
      </w:r>
    </w:p>
    <w:p>
      <w:pPr>
        <w:spacing w:after="0" w:line="178"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connection with the acquisition of System Parking, the Company assumed a note payable in the amount of $3,818,000. Interest on this note is payable at an annual rate of 9.35% with principal amounts of $636,000 due annually through October 1, 1998. At July 31, 1995, the balance remaining on this note was $2,545,000.</w:t>
      </w:r>
    </w:p>
    <w:p>
      <w:pPr>
        <w:spacing w:after="0" w:line="174"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At July 31, 1995, working capital was $96.9 million, as compared to $90.2 million at October 31, 1994.</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 OF INFLATION</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low rates of inflation experienced in recent years had no material impact on the financial statements of the Company. The Company attempts to recover inflationary costs by increasing sales prices to the extent permitted by contracts and competition.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MATTERS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Company's operations are subject to various federal, state and/or local laws regulating the discharge of materials into the environment or otherwise relating to the protection of the environment, such as discharge into soil, water and air, and the generation, handling, storage, transportation and disposal of waste and hazardous substances.</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These laws have the effect of increasing costs and potential liabilities associated with the conduct of the Company's operations, although historically they have not had a material adverse effect on the Company's financial position or its results of operations.</w:t>
      </w:r>
    </w:p>
    <w:p>
      <w:pPr>
        <w:spacing w:after="0" w:line="176" w:lineRule="exact"/>
        <w:rPr>
          <w:sz w:val="20"/>
          <w:szCs w:val="20"/>
          <w:color w:val="auto"/>
        </w:rPr>
      </w:pPr>
    </w:p>
    <w:p>
      <w:pPr>
        <w:ind w:right="3759" w:firstLine="444"/>
        <w:spacing w:after="0" w:line="238" w:lineRule="auto"/>
        <w:rPr>
          <w:sz w:val="20"/>
          <w:szCs w:val="20"/>
          <w:color w:val="auto"/>
        </w:rPr>
      </w:pPr>
      <w:r>
        <w:rPr>
          <w:rFonts w:ascii="Courier New" w:cs="Courier New" w:eastAsia="Courier New" w:hAnsi="Courier New"/>
          <w:sz w:val="15"/>
          <w:szCs w:val="15"/>
          <w:color w:val="auto"/>
        </w:rPr>
        <w:t>The Company is currently involved in various stages of environmental investigation and/or remediation relating to</w:t>
      </w:r>
    </w:p>
    <w:p>
      <w:pPr>
        <w:spacing w:after="0" w:line="17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1" w:right="1440" w:bottom="1440" w:gutter="0" w:footer="0" w:header="0"/>
        </w:sectPr>
      </w:pPr>
    </w:p>
    <w:bookmarkStart w:id="7" w:name="page8"/>
    <w:bookmarkEnd w:id="7"/>
    <w:p>
      <w:pPr>
        <w:ind w:right="3119"/>
        <w:spacing w:after="0"/>
        <w:rPr>
          <w:sz w:val="20"/>
          <w:szCs w:val="20"/>
          <w:color w:val="auto"/>
        </w:rPr>
      </w:pPr>
      <w:r>
        <w:rPr>
          <w:rFonts w:ascii="Courier New" w:cs="Courier New" w:eastAsia="Courier New" w:hAnsi="Courier New"/>
          <w:sz w:val="15"/>
          <w:szCs w:val="15"/>
          <w:color w:val="auto"/>
        </w:rPr>
        <w:t>certain current and former Company facilities. While it is difficult to predict the ultimate outcome of these investigations, or to assess the likelihood and scope of further investigation and remediation activities, based on information currently available, management believes that the costs of these matters are not reasonably likely to have a material adverse affect on the Company's financial position or its results of operations.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Effective November 1, 1994, the Company's ABM Janitorial Services Division acquired substantially all of the maintenance services contracts from Quality Building Maintenance, Inc. of Seattle for a cash downpayment made at the time of closing plus annual contingent payments based upon gross profit of acquired contracts to be made over a four-year period. Management estimates that annual revenues from this acquisition will be approximately $3.5 million.</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As of January 1, 1995, the Company's Ampco System Parking Division acquired the parking operations of Pansini Corporation for a cash downpayment made at the time of the closing plus annual contingent payments based upon gross profit of acquired contracts to be made over a five-year period. The parking contracts obtained as a result of this acquisition are expected to add approximately 100 facilities in California and Hawaii and approximately $10 million in annual revenues.</w:t>
      </w:r>
    </w:p>
    <w:p>
      <w:pPr>
        <w:spacing w:after="0" w:line="176"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On July 1, 1995, the Company's Janitorial Services Division acquired the janitorial operations of United Cleaning Specialists Corp. in Atlanta, Georgia. United Cleaning provides janitorial services to major commercial buildings and institutions in Alabama, Florida, Georgia, North Carolina, South Carolina, Tennessee, and Virginia. At the time of acquisition by the Company, United Cleaning reported annual revenues of approximately $10.6 million. In addition to the amount paid at closing, annual contingent payments based upon gross profit of acquired contracts will be made over the next five years.</w:t>
      </w:r>
    </w:p>
    <w:p>
      <w:pPr>
        <w:spacing w:after="0" w:line="16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On September 1, 1995, the Company acquired the janitorial maintenance contracts of Allied Janitorial Services of Spokane, Washington, for a cash downpayment made at the time of closing plus annual contingent payments based on gross profits of acquired contacts over a five-year period. The expected annual revenues from this acquisition will be approximately $4.7 million.</w:t>
      </w:r>
    </w:p>
    <w:p>
      <w:pPr>
        <w:spacing w:after="0" w:line="200" w:lineRule="exact"/>
        <w:rPr>
          <w:sz w:val="20"/>
          <w:szCs w:val="20"/>
          <w:color w:val="auto"/>
        </w:rPr>
      </w:pPr>
    </w:p>
    <w:p>
      <w:pPr>
        <w:spacing w:after="0" w:line="31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1"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RESULTS OF OPERATIONS</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The following discussion should be read in conjunction with the consolidated financial statements of the Company. All information in the discussion and references to the years and quarters are based on the Company's fiscal year and third quarter which ended on October 31 and July 31, respectively.</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NINE MONTHS ENDED JULY 31, 1995 VS. NINE MONTHS ENDED JULY 31, 1994</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Revenues and other income (hereafter called revenues) for the first nine months of fiscal year 1995 were $712 million compared to $652 million in 1994, a 9% increase over the same period of the prior year. The 9% increase in revenues was attributed to volume and price increases as well as revenues generated from acquisitions. As a percentage of revenues, operating expenses and cost of goods sold were 86.1% during the nine months of fiscal year 1995 compared to 86.0% for the same period in 1994. Consequently, as a percentage of revenues, gross profit (revenue minus operating expenses and cost of goods sold) was 13.9% for the nine months ended July 31, 1995, as compared to 14.0% for the same period of fiscal year 1994. The principal factors which contributed to the slight decline of gross profit margin were competitive market conditions and pricing pressures experienced by some of the operating divisions of the Company, as well as the impact from certain larger Ampco System Parking Division contracts whose gross profit percentage is much lower. The Company expects this competitive environment to continue throughout 1995.</w:t>
      </w:r>
    </w:p>
    <w:p>
      <w:pPr>
        <w:spacing w:after="0" w:line="182"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Selling and administrative expense for the nine months of fiscal year 1995 was $74.7 million compared to $71.2 million, up $3.5 million or 5%, for the corresponding nine months of fiscal year 1994. As a percentage of revenues, selling and administrative expense decreased from 10.9% for the nine months ended July 31, 1994 to 10.5% for the same period in 1995. The increase in the dollar amount of selling and administrative expense for the nine months ended July 31, 1995, compared to the same period in 1994, is due to revenue growth, expenses associated with acquisitions, and an increase in the profit sharing expense.</w:t>
      </w:r>
    </w:p>
    <w:p>
      <w:pPr>
        <w:spacing w:after="0" w:line="200" w:lineRule="exact"/>
        <w:rPr>
          <w:sz w:val="20"/>
          <w:szCs w:val="20"/>
          <w:color w:val="auto"/>
        </w:rPr>
      </w:pPr>
    </w:p>
    <w:p>
      <w:pPr>
        <w:spacing w:after="0" w:line="316"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28" w:right="1440" w:bottom="1440" w:gutter="0" w:footer="0" w:header="0"/>
        </w:sectPr>
      </w:pPr>
    </w:p>
    <w:bookmarkStart w:id="9" w:name="page10"/>
    <w:bookmarkEnd w:id="9"/>
    <w:p>
      <w:pPr>
        <w:ind w:right="3399" w:firstLine="444"/>
        <w:spacing w:after="0" w:line="261" w:lineRule="auto"/>
        <w:rPr>
          <w:sz w:val="20"/>
          <w:szCs w:val="20"/>
          <w:color w:val="auto"/>
        </w:rPr>
      </w:pPr>
      <w:r>
        <w:rPr>
          <w:rFonts w:ascii="Courier New" w:cs="Courier New" w:eastAsia="Courier New" w:hAnsi="Courier New"/>
          <w:sz w:val="14"/>
          <w:szCs w:val="14"/>
          <w:color w:val="auto"/>
        </w:rPr>
        <w:t>Interest expense was $2,904,000 for the first nine months of fiscal year 1995 compared to $2,763,000 in 1994, an increase of $141,000 over the same period of the prior fiscal year. The increase in interest expense was due to higher bank borrowings in 1995 primarily necessitated by acquisitions and interest assessed on fully accrued state and federal income taxes.</w:t>
      </w:r>
    </w:p>
    <w:p>
      <w:pPr>
        <w:spacing w:after="0" w:line="162"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effective income tax rate for the first nine months of fiscal year 1994 was 40.1% compared to 42% for 1995. The effective income tax for the first nine months of the fiscal year 1995 is higher than the same period of the prior year primarily due to unavailability of certain tax credits in 1995 which were available previously.</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Net income for the first nine months of fiscal year 1995 was $12,340,000, an increase of 20%, compared to the prior year's net income of $10,291,000. However, due to the increase in average shares outstanding and the deduction of a preferred stock dividend of $384,000 in the calculation of earnings per share, per common share earnings increased 13% to $1.26 for the first nine months of 1995 compared to $1.12 for the same period in 1994.</w:t>
      </w:r>
    </w:p>
    <w:p>
      <w:pPr>
        <w:spacing w:after="0" w:line="175" w:lineRule="exact"/>
        <w:rPr>
          <w:sz w:val="20"/>
          <w:szCs w:val="20"/>
          <w:color w:val="auto"/>
        </w:rPr>
      </w:pPr>
    </w:p>
    <w:p>
      <w:pPr>
        <w:ind w:right="3219" w:firstLine="444"/>
        <w:spacing w:after="0" w:line="264" w:lineRule="auto"/>
        <w:rPr>
          <w:sz w:val="20"/>
          <w:szCs w:val="20"/>
          <w:color w:val="auto"/>
        </w:rPr>
      </w:pPr>
      <w:r>
        <w:rPr>
          <w:rFonts w:ascii="Courier New" w:cs="Courier New" w:eastAsia="Courier New" w:hAnsi="Courier New"/>
          <w:sz w:val="14"/>
          <w:szCs w:val="14"/>
          <w:color w:val="auto"/>
        </w:rPr>
        <w:t>The results of operations from the Company's three industry segments and its eight operating divisions for the nine months ended July 31, 1995 as compared to the nine months ended July 31, 1994 are more fully described below:</w:t>
      </w:r>
    </w:p>
    <w:p>
      <w:pPr>
        <w:spacing w:after="0" w:line="159" w:lineRule="exact"/>
        <w:rPr>
          <w:sz w:val="20"/>
          <w:szCs w:val="20"/>
          <w:color w:val="auto"/>
        </w:rPr>
      </w:pPr>
    </w:p>
    <w:p>
      <w:pPr>
        <w:ind w:left="880" w:right="3119"/>
        <w:spacing w:after="0"/>
        <w:rPr>
          <w:sz w:val="20"/>
          <w:szCs w:val="20"/>
          <w:color w:val="auto"/>
        </w:rPr>
      </w:pPr>
      <w:r>
        <w:rPr>
          <w:rFonts w:ascii="Courier New" w:cs="Courier New" w:eastAsia="Courier New" w:hAnsi="Courier New"/>
          <w:sz w:val="15"/>
          <w:szCs w:val="15"/>
          <w:color w:val="auto"/>
        </w:rPr>
        <w:t>Revenues of the Janitorial Services segment for the first nine months of fiscal year 1995 were $378 million, an increase of $21 million or 5.9%, over the first nine months of fiscal 1994, while its operating profits increased by 2.3% over the comparable period of 1994. The Janitorial Services segment accounted for approximately 53% of the Company's consolidated revenues for the nine months of fiscal year 1995. The Janitorial Division's revenues increased by 5.6% during the first nine months of fiscal year 1995 as compared to the same period of 1994 primarily resulting from acquisitions as well as volume increases recorded by all regions of this Division except for the Southwest and Canadian Regions. This Division's operating profits increased 2% when compared to the same period last year. Labor and labor-related expenses and other direct expenses were slightly higher during the first nine months of the fiscal year 1995 over the same period of the prior year primarily due to start-up expenses associated with new contracts. The Division's selling and</w:t>
      </w:r>
    </w:p>
    <w:p>
      <w:pPr>
        <w:spacing w:after="0" w:line="18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1" w:right="1440" w:bottom="1440" w:gutter="0" w:footer="0" w:header="0"/>
        </w:sectPr>
      </w:pPr>
    </w:p>
    <w:bookmarkStart w:id="10" w:name="page11"/>
    <w:bookmarkEnd w:id="10"/>
    <w:p>
      <w:pPr>
        <w:ind w:right="3119"/>
        <w:spacing w:after="0"/>
        <w:rPr>
          <w:sz w:val="20"/>
          <w:szCs w:val="20"/>
          <w:color w:val="auto"/>
        </w:rPr>
      </w:pPr>
      <w:r>
        <w:rPr>
          <w:rFonts w:ascii="Courier New" w:cs="Courier New" w:eastAsia="Courier New" w:hAnsi="Courier New"/>
          <w:sz w:val="15"/>
          <w:szCs w:val="15"/>
          <w:color w:val="auto"/>
        </w:rPr>
        <w:t>administrative expenses also impacted the operating results negatively because of increased marketing and acquisition expenses. The Janitorial Supply Division's revenue for the first nine months increased by approximately 13% compared to the same period in 1994 generally due to increased sales from new customers in Northern California. An increase of 15% in operating profits was a result of a larger sales volume as well as the Division's efforts to control its selling and administrative expenses which was partially offset by lower margins resulting from increased material costs.</w:t>
      </w:r>
    </w:p>
    <w:p>
      <w:pPr>
        <w:spacing w:after="0" w:line="177"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Amtech Services reported revenues of $183 million, which represent approximately 26% of the Company's consolidated revenues for the first nine months of 1995, an increase of approximately 10% over the same period of last year. Amtech Services' profit increased 47% compared to the first nine months of fiscal year 1994 as all its divisions posted higher operating profits for the nine months ended July 31, 1995. The Mechanical Division's revenues and operating profits for the first nine months of 1995 increased by 6% and 33%, respectively. Although the margins for some job categories decreased, this Division's successful efforts in reducing its overhead expenses enabled it to increase its operating profits. The Lighting Division's revenues were up 28% largely due to increased sales volume posted by the majority of its branches by obtaining additional time and material contracts and supplemented by increased business from existing national customers. Operating profits increased by 13% during the first nine months of fiscal year 1995. The increase in operating profits did not parallel the increase in revenues because it was somewhat negatively impacted by lower margin retrofit contracts and other larger jobs. Revenues for the Elevator Division were down by 9% for the first nine months of fiscal year 1995 over the same period of 1994 generally due to decreased construction business. The Division is down-sizing this type of business since it remains highly competitive and contributes lower margins. However, the Division increased its operating profits by 135% for the nine months of 1995. The improved operating results are due to a fundamental change in management's strategy to emphasize services related to maintenance and repair business; this change has enabled the Division to improve its gross profits. In addition, this Division's reduction of its selling and</w:t>
      </w:r>
    </w:p>
    <w:p>
      <w:pPr>
        <w:spacing w:after="0" w:line="190"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339"/>
          </w:cols>
          <w:pgMar w:left="1120" w:top="631" w:right="1440" w:bottom="1440" w:gutter="0" w:footer="0" w:header="0"/>
        </w:sectPr>
      </w:pPr>
    </w:p>
    <w:bookmarkStart w:id="11" w:name="page12"/>
    <w:bookmarkEnd w:id="11"/>
    <w:p>
      <w:pPr>
        <w:ind w:right="3219"/>
        <w:spacing w:after="0"/>
        <w:rPr>
          <w:sz w:val="20"/>
          <w:szCs w:val="20"/>
          <w:color w:val="auto"/>
        </w:rPr>
      </w:pPr>
      <w:r>
        <w:rPr>
          <w:rFonts w:ascii="Courier New" w:cs="Courier New" w:eastAsia="Courier New" w:hAnsi="Courier New"/>
          <w:sz w:val="15"/>
          <w:szCs w:val="15"/>
          <w:color w:val="auto"/>
        </w:rPr>
        <w:t>administrative expenses were offset by currency translation losses arising from its Mexican subsidiary. The Engineering Division's revenues increased by 24% and reported a 50% increase in operating profits in the first nine months of 1995 compared to the same period in 1994. Revenues increased generally from the start-up of the Midwest and Northeast Regions, obtaining several new contracts, and price increases to its existing customers. The increase in operating profit resulted from increased business and reductions in insurance and other direct expenses, as well as containing its selling and administrative expenses.</w:t>
      </w:r>
    </w:p>
    <w:p>
      <w:pPr>
        <w:spacing w:after="0" w:line="178"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Revenues of the Other Services segment for the first nine months of 1995 were approximately $151 million, a 19% increase over the same period of fiscal year 1995. Other Services accounted for approximately 21% of the Company's consolidated revenues. The operating profits of Other Services were up by 17% primarily due to profit improvement by both its Parking and Security Divisions. The Parking Division's revenues increased by 19% and its profits increased by 27% during the first nine months of fiscal year 1995 compared to 1994. The increase in revenues is primarily due to the acquisition in January 1995 of a parking business based in Northern California with operations in California and Hawaii and from obtaining contracts to manage parking operations at several major U.S. airports. Several factors contributed to the increase in operating profits: the acquisition of a parking business discussed above; improved business conditions in its Southern California Region; and income derived from its airport operations. The Security Division reported an increase in revenues of 19% compared to 1994, and its profits increased by 6% in the first nine months of 1995 compared to the same period of 1994. The increase in revenues resulted from obtaining several new contracts during the latter part of fiscal year 1994 and during the fiscal year 1995. However, the operating profit increase was below management's expectations mainly due to lower margins necessitated by competitive bidding in order to obtain larger contracts. Operating profits were also impacted negatively by higher selling and administrative expenses because of the increased level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339"/>
          </w:cols>
          <w:pgMar w:left="1120" w:top="631"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THREE MONTHS ENDED JULY 31, 1995 VS. THREE MONTHS ENDED JULY 31, 1994</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Revenues and other income for the third quarter of fiscal year 1995 were $246 million compared to $225 million in 1994, a 9% increase over the same quarter of the prior year. The growth in revenues for the third quarter of 1995 over the same quarter of the prior year was attributable to volume and price increases as well as revenues generated from acquisitions. As a percentage of revenues, operating expenses and cost of goods sold remained constant at 86.4 % for both 1995 and 1994. Consequently, as a percentage of revenues, the Company's gross profit also remained at 13.6%.</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Selling and administrative expense for the third quarter of fiscal year 1995 was $23.8 million compared to $22.7 million, an increase of approximately $1.1 million or 5%, compared to the corresponding three months of fiscal year 1994. As a percentage of revenues, selling and administrative expense decreased from 10.1% for the three months ended July 31, 1994, to 9.7% for the same period in 1995 primarily as a result of management's continued efforts to contain expenses. The increase in the dollar amount of selling and administrative expense for the three months ended July 31, 1995, compared to the same period in 1994,was in line with the Company's revenue growth.</w:t>
      </w:r>
    </w:p>
    <w:p>
      <w:pPr>
        <w:spacing w:after="0" w:line="177"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Interest expense was $870,000 for the third quarter of fiscal year 1995 compared to $1,303,000 in 1994, a decrease of $433,000 over the same period of the prior fiscal year. Interest expense decreased primarily due to interest related to a foreign income tax assessment during 1994.</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effective income tax rate for the third quarter of fiscal year 1995 was 42% while the third quarter of the prior year was 37.2%. The effective income tax for the third quarter of the fiscal year 1995 is higher than the prior year quarter primarily due to unavailability of certain tax credits in 1995 which were available previously.</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Net income for the third quarter of 1995 was $5,010,000, an increase of 21%, compared to the net income of $4,146,000 for the third quarter of 1994. Cost controls, coupled with the revenue growth, enabled the Company to realize improved earnings. However, due to the increase in the average number of common and common equivalent shares outstanding, earnings per share rose 13% to 51 cents for the third quarter of 1995 compared to 45 cents for the same period in 1994.</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28" w:right="1440" w:bottom="1440" w:gutter="0" w:footer="0" w:header="0"/>
        </w:sectPr>
      </w:pPr>
    </w:p>
    <w:bookmarkStart w:id="13" w:name="page14"/>
    <w:bookmarkEnd w:id="13"/>
    <w:p>
      <w:pPr>
        <w:ind w:right="3399" w:firstLine="444"/>
        <w:spacing w:after="0" w:line="239" w:lineRule="auto"/>
        <w:rPr>
          <w:sz w:val="20"/>
          <w:szCs w:val="20"/>
          <w:color w:val="auto"/>
        </w:rPr>
      </w:pPr>
      <w:r>
        <w:rPr>
          <w:rFonts w:ascii="Courier New" w:cs="Courier New" w:eastAsia="Courier New" w:hAnsi="Courier New"/>
          <w:sz w:val="15"/>
          <w:szCs w:val="15"/>
          <w:color w:val="auto"/>
        </w:rPr>
        <w:t>The results of operations from the Company's three industry segments and its eight operating divisions for the three months ended July 31, 1995, as compared to the three months ended July 31, 1994, are more fully described below:</w:t>
      </w:r>
    </w:p>
    <w:p>
      <w:pPr>
        <w:spacing w:after="0" w:line="176" w:lineRule="exact"/>
        <w:rPr>
          <w:sz w:val="20"/>
          <w:szCs w:val="20"/>
          <w:color w:val="auto"/>
        </w:rPr>
      </w:pPr>
    </w:p>
    <w:p>
      <w:pPr>
        <w:ind w:left="440" w:right="3119"/>
        <w:spacing w:after="0"/>
        <w:rPr>
          <w:sz w:val="20"/>
          <w:szCs w:val="20"/>
          <w:color w:val="auto"/>
        </w:rPr>
      </w:pPr>
      <w:r>
        <w:rPr>
          <w:rFonts w:ascii="Courier New" w:cs="Courier New" w:eastAsia="Courier New" w:hAnsi="Courier New"/>
          <w:sz w:val="15"/>
          <w:szCs w:val="15"/>
          <w:color w:val="auto"/>
        </w:rPr>
        <w:t>Revenues of the Janitorial Services segment of the third quarter of fiscal year 1995 were $129 million, an increase of approximately $5 million or 4%, over the third quarter of fiscal 1994, while its operating profits decreased by 4% over the comparable quarter of 1994. The Janitorial Services segment accounted for approximately 53% of the Company's revenues for the current quarter. The Janitorial Division's revenues increased by 4% during the third quarter of fiscal year 1995 as compared to the same quarter of 1994 as a result of acquisitions made during the latter part of fiscal year 1994 and earlier in fiscal year 1995 as well as revenue growth throughout the majority of its regions except for its Midwest Region. However, the Division's operating profits decreased 4% when compared to the same period last year. In comparison with the 4% revenue increase, the lower than expected operating profit is principally due to higher selling and administrative expenses associated with marketing efforts to increase its revenues and costs associated with acquisitions. Easterday Janitorial Supply Division's third quarter revenues increased by approximately 21% compared to the same quarter in 1994 generally due to an increase in new customers. The increase in operating profit was not in line with sales volumes principally due to competitive bidding whereby several large sales contracts were obtained at a lower than normal gross margin. Operating profits were also partially offset by higher than expected selling and administrative expenses and higher paper products and plastic liners material expenses.</w:t>
      </w:r>
    </w:p>
    <w:p>
      <w:pPr>
        <w:spacing w:after="0" w:line="188" w:lineRule="exact"/>
        <w:rPr>
          <w:sz w:val="20"/>
          <w:szCs w:val="20"/>
          <w:color w:val="auto"/>
        </w:rPr>
      </w:pPr>
    </w:p>
    <w:p>
      <w:pPr>
        <w:ind w:left="440" w:right="3119"/>
        <w:spacing w:after="0"/>
        <w:rPr>
          <w:sz w:val="20"/>
          <w:szCs w:val="20"/>
          <w:color w:val="auto"/>
        </w:rPr>
      </w:pPr>
      <w:r>
        <w:rPr>
          <w:rFonts w:ascii="Courier New" w:cs="Courier New" w:eastAsia="Courier New" w:hAnsi="Courier New"/>
          <w:sz w:val="15"/>
          <w:szCs w:val="15"/>
          <w:color w:val="auto"/>
        </w:rPr>
        <w:t>Amtech Divisions reported revenues of $63 million, which represent approximately 26% of the Company's revenues for the third quarter of fiscal year 1995, an increase of approximately 11% over the same quarter of last year. Amtech Divisions' profit increased 32% for the third quarter of 1995 when compared to the third quarter of fiscal year 1994. CommAir Mechanical Services Division's operating profits for the third quarter of 1995 increased by 36% on a revenue increase of 23%. Revenues from project oriented type of contracts increased during the third quarter of 1995. Increased revenues and a reduction in selling and administrative expenses primarily accounted for the</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31" w:right="1440" w:bottom="1440" w:gutter="0" w:footer="0" w:header="0"/>
        </w:sectPr>
      </w:pPr>
    </w:p>
    <w:bookmarkStart w:id="14" w:name="page15"/>
    <w:bookmarkEnd w:id="14"/>
    <w:p>
      <w:pPr>
        <w:ind w:right="3119"/>
        <w:spacing w:after="0"/>
        <w:rPr>
          <w:sz w:val="20"/>
          <w:szCs w:val="20"/>
          <w:color w:val="auto"/>
        </w:rPr>
      </w:pPr>
      <w:r>
        <w:rPr>
          <w:rFonts w:ascii="Courier New" w:cs="Courier New" w:eastAsia="Courier New" w:hAnsi="Courier New"/>
          <w:sz w:val="15"/>
          <w:szCs w:val="15"/>
          <w:color w:val="auto"/>
        </w:rPr>
        <w:t>profit increase. Amtech Lighting Services Division reported a 26% revenue increase benefiting from a continued expansion in the Southeast and an expanded customer contract base from existing national customers, but its operating profits decreased by 2%. A decline in gross profit as a percentage of revenues was caused primarily by increases in material expenses. Costs associated with market expansion in newer territories also caused this Division's profit decline. Revenues for the Amtech Elevator Services Division were down by 12% for the third quarter of fiscal year 1995 over the same quarter of 1994 largely due to management's decision to allocate the Division's resources to its repair and service maintenance business rather than obtaining lower margin construction contracts. The Division nearly doubled its operating profit for the third quarter compared to the corresponding quarter of fiscal year 1994 primarily due to higher gross margins from its maintenance and repair jobs and, as discussed above, from management's decision to de-emphasize the construction business where margins are historically lower. This decision also helped to reduce selling and administrative expenses significantly. ABM Engineering Services Division's revenues increased by 25% and it reported a 32% increase in operating profits for the third quarter of 1995 compared to the same period in 1994. Revenue increases generally were recorded by all its regions primarily reflecting increased penetration into new markets as well as from price increases to existing customers. The increase in operating profits resulted from increased revenues, reductions in payroll related costs including insurance expenses, and containment of selling and administrative expenses.</w:t>
      </w:r>
    </w:p>
    <w:p>
      <w:pPr>
        <w:spacing w:after="0" w:line="189"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Revenues of the Other Divisions for the third quarter of 1995 were approximately $54 million, a 21% increase over the same quarter of fiscal year 1994. Other Divisions accounted for approximately 21% of the Company's revenues. The operating profits of Other Divisions were up by 37% due to improved operating profits reported by both its Ampco System Parking Division and ASI Security Services. Ampco System Parking Division's revenues increased by 17% while its profits increased 48% during the third quarter of fiscal year 1995. The increase in revenues resulted from an acquisition made in January 1995, as previously discussed, as well as procuring parking management contracts of several major airports. Operating profits were up primarily due to the recent acquisition,</w:t>
      </w:r>
    </w:p>
    <w:p>
      <w:pPr>
        <w:spacing w:after="0" w:line="163"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9779"/>
          </w:cols>
          <w:pgMar w:left="680" w:top="631" w:right="1440" w:bottom="1440" w:gutter="0" w:footer="0" w:header="0"/>
        </w:sectPr>
      </w:pPr>
    </w:p>
    <w:bookmarkStart w:id="15" w:name="page16"/>
    <w:bookmarkEnd w:id="15"/>
    <w:p>
      <w:pPr>
        <w:ind w:right="3119"/>
        <w:spacing w:after="0"/>
        <w:rPr>
          <w:sz w:val="20"/>
          <w:szCs w:val="20"/>
          <w:color w:val="auto"/>
        </w:rPr>
      </w:pPr>
      <w:r>
        <w:rPr>
          <w:rFonts w:ascii="Courier New" w:cs="Courier New" w:eastAsia="Courier New" w:hAnsi="Courier New"/>
          <w:sz w:val="15"/>
          <w:szCs w:val="15"/>
          <w:color w:val="auto"/>
        </w:rPr>
        <w:t>airport contracts, and improved economic conditions in the Division's Southern California Region. ASI Security Services reported an increase in revenues of 28% and its profits were up 24% in the third quarter of 1995 compared to the same period of 1994. The revenue growth was largely due to obtaining several large customers and increases posted by all regions. Revenue increases during the third quarter as compared to the prior year contributed to the increase in operating profits; however, competitive market conditions eroded the gross margins historically realized by this Division.</w:t>
      </w:r>
    </w:p>
    <w:p>
      <w:pPr>
        <w:spacing w:after="0" w:line="175"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9779"/>
          </w:cols>
          <w:pgMar w:left="680" w:top="631"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5"/>
          <w:szCs w:val="15"/>
          <w:color w:val="auto"/>
        </w:rPr>
        <w:t>PART II. OTHER INFORMATION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Legal Proceedings - not applicable.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5. Other Information</w:t>
      </w:r>
    </w:p>
    <w:p>
      <w:pPr>
        <w:spacing w:after="0" w:line="345" w:lineRule="exact"/>
        <w:rPr>
          <w:sz w:val="20"/>
          <w:szCs w:val="20"/>
          <w:color w:val="auto"/>
        </w:rPr>
      </w:pPr>
    </w:p>
    <w:p>
      <w:pPr>
        <w:ind w:left="440" w:right="3219"/>
        <w:spacing w:after="0"/>
        <w:rPr>
          <w:sz w:val="20"/>
          <w:szCs w:val="20"/>
          <w:color w:val="auto"/>
        </w:rPr>
      </w:pPr>
      <w:r>
        <w:rPr>
          <w:rFonts w:ascii="Courier New" w:cs="Courier New" w:eastAsia="Courier New" w:hAnsi="Courier New"/>
          <w:sz w:val="15"/>
          <w:szCs w:val="15"/>
          <w:color w:val="auto"/>
        </w:rPr>
        <w:t>Robert S. Dickerman retired from the Board of Directors on August 2, 1995. Mr. Dickerman had been a director of the Company since 1967. The Nominating Committee is in the process of recommending a nominee to fill Mr. Dickerman's vacant seat. The person chosen by the Board will complete Mr. Dickerman's unexpired term which ends in March 1998.</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6. Exhibits and Reports on Form 8-K</w:t>
      </w:r>
    </w:p>
    <w:p>
      <w:pPr>
        <w:spacing w:after="0" w:line="171" w:lineRule="exact"/>
        <w:rPr>
          <w:sz w:val="20"/>
          <w:szCs w:val="20"/>
          <w:color w:val="auto"/>
        </w:rPr>
      </w:pPr>
    </w:p>
    <w:p>
      <w:pPr>
        <w:ind w:left="880" w:hanging="445"/>
        <w:spacing w:after="0"/>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71"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Exhibit 27.1 - Financial Data Schedule.</w:t>
      </w:r>
    </w:p>
    <w:p>
      <w:pPr>
        <w:spacing w:after="0" w:line="174" w:lineRule="exact"/>
        <w:rPr>
          <w:rFonts w:ascii="Courier New" w:cs="Courier New" w:eastAsia="Courier New" w:hAnsi="Courier New"/>
          <w:sz w:val="15"/>
          <w:szCs w:val="15"/>
          <w:color w:val="auto"/>
        </w:rPr>
      </w:pPr>
    </w:p>
    <w:p>
      <w:pPr>
        <w:ind w:right="3479" w:firstLine="435"/>
        <w:spacing w:after="0" w:line="238" w:lineRule="auto"/>
        <w:tabs>
          <w:tab w:leader="none" w:pos="88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 No reports on Form 8-K were filed during the quarter ended July 31, 1995.</w:t>
      </w:r>
    </w:p>
    <w:p>
      <w:pPr>
        <w:spacing w:after="0" w:line="200" w:lineRule="exact"/>
        <w:rPr>
          <w:sz w:val="20"/>
          <w:szCs w:val="20"/>
          <w:color w:val="auto"/>
        </w:rPr>
      </w:pPr>
    </w:p>
    <w:p>
      <w:pPr>
        <w:spacing w:after="0" w:line="31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28" w:right="1440" w:bottom="1440" w:gutter="0" w:footer="0" w:header="0"/>
        </w:sectPr>
      </w:pPr>
    </w:p>
    <w:bookmarkStart w:id="17" w:name="page18"/>
    <w:bookmarkEnd w:id="17"/>
    <w:p>
      <w:pPr>
        <w:ind w:left="3100"/>
        <w:spacing w:after="0"/>
        <w:rPr>
          <w:sz w:val="20"/>
          <w:szCs w:val="20"/>
          <w:color w:val="auto"/>
        </w:rPr>
      </w:pPr>
      <w:r>
        <w:rPr>
          <w:rFonts w:ascii="Courier New" w:cs="Courier New" w:eastAsia="Courier New" w:hAnsi="Courier New"/>
          <w:sz w:val="15"/>
          <w:szCs w:val="15"/>
          <w:color w:val="auto"/>
        </w:rPr>
        <w:t>SIGNATURES</w:t>
      </w:r>
    </w:p>
    <w:p>
      <w:pPr>
        <w:spacing w:after="0" w:line="345" w:lineRule="exact"/>
        <w:rPr>
          <w:sz w:val="20"/>
          <w:szCs w:val="20"/>
          <w:color w:val="auto"/>
        </w:rPr>
      </w:pPr>
    </w:p>
    <w:p>
      <w:pPr>
        <w:jc w:val="both"/>
        <w:ind w:right="3839"/>
        <w:spacing w:after="0" w:line="239"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ABM Industries Incorporated</w:t>
      </w:r>
    </w:p>
    <w:p>
      <w:pPr>
        <w:sectPr>
          <w:pgSz w:w="11900" w:h="16838" w:orient="portrait"/>
          <w:cols w:equalWidth="0" w:num="1">
            <w:col w:w="10219"/>
          </w:cols>
          <w:pgMar w:left="240" w:top="628" w:right="1440" w:bottom="1440" w:gutter="0" w:footer="0" w:header="0"/>
        </w:sectPr>
      </w:pP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13, 1995</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 David H. Hebble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and Principal</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Financial Officer</w:t>
      </w:r>
    </w:p>
    <w:p>
      <w:pPr>
        <w:spacing w:after="0" w:line="200" w:lineRule="exact"/>
        <w:rPr>
          <w:sz w:val="20"/>
          <w:szCs w:val="20"/>
          <w:color w:val="auto"/>
        </w:rPr>
      </w:pPr>
    </w:p>
    <w:p>
      <w:pPr>
        <w:sectPr>
          <w:pgSz w:w="11900" w:h="16838" w:orient="portrait"/>
          <w:cols w:equalWidth="0" w:num="2">
            <w:col w:w="2820" w:space="720"/>
            <w:col w:w="6679"/>
          </w:cols>
          <w:pgMar w:left="240" w:top="62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18</w:t>
      </w:r>
    </w:p>
    <w:p>
      <w:pPr>
        <w:sectPr>
          <w:pgSz w:w="11900" w:h="16838" w:orient="portrait"/>
          <w:cols w:equalWidth="0" w:num="1">
            <w:col w:w="10219"/>
          </w:cols>
          <w:pgMar w:left="240" w:top="628" w:right="1440" w:bottom="1440" w:gutter="0" w:footer="0" w:header="0"/>
          <w:type w:val="continuous"/>
        </w:sectPr>
      </w:pPr>
    </w:p>
    <w:bookmarkStart w:id="18" w:name="page19"/>
    <w:bookmarkEnd w:id="1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rFonts w:ascii="Courier New" w:cs="Courier New" w:eastAsia="Courier New" w:hAnsi="Courier New"/>
          <w:sz w:val="15"/>
          <w:szCs w:val="15"/>
          <w:color w:val="auto"/>
        </w:rPr>
        <w:t>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w:t>
      </w:r>
    </w:p>
    <w:p>
      <w:pPr>
        <w:spacing w:after="0" w:line="34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9-MOS</w:t>
      </w:r>
    </w:p>
    <w:p>
      <w:pPr>
        <w:spacing w:after="0" w:line="1"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OCT-31-1995</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JUL-31-1995</w:t>
      </w:r>
    </w:p>
    <w:p>
      <w:pPr>
        <w:spacing w:after="0" w:line="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1,042</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149,955</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19,579</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198,988</w:t>
      </w:r>
    </w:p>
    <w:p>
      <w:pPr>
        <w:spacing w:after="0" w:line="1" w:lineRule="exact"/>
        <w:rPr>
          <w:sz w:val="20"/>
          <w:szCs w:val="20"/>
          <w:color w:val="auto"/>
        </w:rPr>
      </w:pPr>
    </w:p>
    <w:p>
      <w:pPr>
        <w:ind w:left="3640"/>
        <w:spacing w:after="0"/>
        <w:rPr>
          <w:sz w:val="20"/>
          <w:szCs w:val="20"/>
          <w:color w:val="auto"/>
        </w:rPr>
      </w:pPr>
      <w:r>
        <w:rPr>
          <w:rFonts w:ascii="Courier New" w:cs="Courier New" w:eastAsia="Courier New" w:hAnsi="Courier New"/>
          <w:sz w:val="15"/>
          <w:szCs w:val="15"/>
          <w:color w:val="auto"/>
        </w:rPr>
        <w:t>60,454</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38,584</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323,481</w:t>
      </w:r>
    </w:p>
    <w:p>
      <w:pPr>
        <w:spacing w:after="0" w:line="1"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102,115</w:t>
      </w:r>
    </w:p>
    <w:p>
      <w:pPr>
        <w:spacing w:after="0" w:line="1"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93</w:t>
      </w:r>
    </w:p>
    <w:p>
      <w:pPr>
        <w:spacing w:after="0" w:line="1"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6,400</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135,792</w:t>
      </w:r>
    </w:p>
    <w:p>
      <w:pPr>
        <w:spacing w:after="0" w:line="1"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323,481</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712,250</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712,450</w:t>
      </w:r>
    </w:p>
    <w:p>
      <w:pPr>
        <w:spacing w:after="0" w:line="1" w:lineRule="exact"/>
        <w:rPr>
          <w:sz w:val="20"/>
          <w:szCs w:val="20"/>
          <w:color w:val="auto"/>
        </w:rPr>
      </w:pPr>
    </w:p>
    <w:p>
      <w:pPr>
        <w:jc w:val="right"/>
        <w:ind w:right="5879"/>
        <w:spacing w:after="0"/>
        <w:rPr>
          <w:sz w:val="20"/>
          <w:szCs w:val="20"/>
          <w:color w:val="auto"/>
        </w:rPr>
      </w:pPr>
      <w:r>
        <w:rPr>
          <w:rFonts w:ascii="Courier New" w:cs="Courier New" w:eastAsia="Courier New" w:hAnsi="Courier New"/>
          <w:sz w:val="15"/>
          <w:szCs w:val="15"/>
          <w:color w:val="auto"/>
        </w:rPr>
        <w:t>613,379</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613,379</w:t>
      </w:r>
    </w:p>
    <w:p>
      <w:pPr>
        <w:spacing w:after="0" w:line="1"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74,691</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2,904</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21,276</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8,936</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12,340</w:t>
      </w:r>
    </w:p>
    <w:p>
      <w:pPr>
        <w:spacing w:after="0" w:line="1"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12,340</w:t>
      </w:r>
    </w:p>
    <w:p>
      <w:pPr>
        <w:spacing w:after="0" w:line="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1.26</w:t>
      </w:r>
    </w:p>
    <w:p>
      <w:pPr>
        <w:spacing w:after="0" w:line="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1.26</w:t>
      </w:r>
    </w:p>
    <w:sectPr>
      <w:pgSz w:w="11900" w:h="16838" w:orient="portrait"/>
      <w:cols w:equalWidth="0" w:num="1">
        <w:col w:w="10139"/>
      </w:cols>
      <w:pgMar w:left="320" w:top="1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X"/>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2019-12-12T08:02:00Z</dcterms:created>
  <dcterms:modified xsi:type="dcterms:W3CDTF">2019-12-12T08:02:00Z</dcterms:modified>
</cp:coreProperties>
</file>