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1306830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1221105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40"/>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July 31, 2016</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91"/>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17"/>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89"/>
              </w:rPr>
              <w:t>__________________________</w:t>
            </w:r>
          </w:p>
        </w:tc>
      </w:tr>
      <w:tr>
        <w:trPr>
          <w:trHeight w:val="301"/>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2760" w:type="dxa"/>
            <w:vAlign w:val="bottom"/>
          </w:tcPr>
          <w:p>
            <w:pPr>
              <w:spacing w:after="0"/>
              <w:rPr>
                <w:sz w:val="20"/>
                <w:szCs w:val="20"/>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716"/>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(212)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99"/>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756"/>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551 Fifth Avenue, Suite 300</w:t>
            </w:r>
          </w:p>
        </w:tc>
      </w:tr>
      <w:tr>
        <w:trPr>
          <w:trHeight w:val="378"/>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10176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-2846705</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440" w:right="27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440" w:right="239" w:bottom="1440" w:gutter="0" w:footer="0" w:header="0"/>
        </w:sectPr>
      </w:pPr>
    </w:p>
    <w:p>
      <w:pPr>
        <w:spacing w:after="0" w:line="100" w:lineRule="exact"/>
        <w:rPr>
          <w:sz w:val="20"/>
          <w:szCs w:val="20"/>
          <w:color w:val="auto"/>
        </w:rPr>
      </w:pPr>
    </w:p>
    <w:p>
      <w:pPr>
        <w:ind w:left="2280"/>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18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8" w:lineRule="exact"/>
        <w:rPr>
          <w:sz w:val="20"/>
          <w:szCs w:val="20"/>
          <w:color w:val="auto"/>
        </w:rPr>
      </w:pPr>
    </w:p>
    <w:p>
      <w:pPr>
        <w:sectPr>
          <w:pgSz w:w="11900" w:h="16838" w:orient="portrait"/>
          <w:cols w:equalWidth="0" w:num="4">
            <w:col w:w="4320" w:space="720"/>
            <w:col w:w="2000" w:space="720"/>
            <w:col w:w="2680" w:space="720"/>
            <w:col w:w="260"/>
          </w:cols>
          <w:pgMar w:left="240" w:top="1440" w:right="239" w:bottom="1440" w:gutter="0" w:footer="0" w:header="0"/>
          <w:type w:val="continuous"/>
        </w:sectPr>
      </w:pPr>
    </w:p>
    <w:p>
      <w:pPr>
        <w:ind w:left="2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145" w:lineRule="exact"/>
        <w:rPr>
          <w:sz w:val="20"/>
          <w:szCs w:val="20"/>
          <w:color w:val="auto"/>
        </w:rPr>
      </w:pPr>
    </w:p>
    <w:p>
      <w:pPr>
        <w:sectPr>
          <w:pgSz w:w="11900" w:h="16838" w:orient="portrait"/>
          <w:cols w:equalWidth="0" w:num="4">
            <w:col w:w="2400" w:space="720"/>
            <w:col w:w="1820" w:space="720"/>
            <w:col w:w="2120" w:space="720"/>
            <w:col w:w="2920"/>
          </w:cols>
          <w:pgMar w:left="240" w:top="1440" w:right="239" w:bottom="1440" w:gutter="0" w:footer="0" w:header="0"/>
          <w:type w:val="continuous"/>
        </w:sectPr>
      </w:pPr>
    </w:p>
    <w:p>
      <w:pPr>
        <w:ind w:right="120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the registrant’s common stock outstanding as of September 1, 2016: 55,756,099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Balance Sheets at July 31, 2016 and October 31,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Comprehensive Income for the Three and Nine Months Ended July 31, 2016 and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Cash Flows for the Nine Months Ended July 31, 2016 and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4</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8">
              <w:r>
                <w:rPr>
                  <w:rFonts w:ascii="Arial" w:cs="Arial" w:eastAsia="Arial" w:hAnsi="Arial"/>
                  <w:sz w:val="15"/>
                  <w:szCs w:val="15"/>
                  <w:color w:val="0000EE"/>
                  <w:w w:val="95"/>
                </w:rPr>
                <w:t>5</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1">
              <w:r>
                <w:rPr>
                  <w:rFonts w:ascii="Arial" w:cs="Arial" w:eastAsia="Arial" w:hAnsi="Arial"/>
                  <w:sz w:val="15"/>
                  <w:szCs w:val="15"/>
                  <w:color w:val="0000EE"/>
                  <w:w w:val="95"/>
                </w:rPr>
                <w:t>18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2">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2">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2">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2">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40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4">
              <w:r>
                <w:rPr>
                  <w:rFonts w:ascii="Arial" w:cs="Arial" w:eastAsia="Arial" w:hAnsi="Arial"/>
                  <w:sz w:val="15"/>
                  <w:szCs w:val="15"/>
                  <w:color w:val="0000EE"/>
                  <w:w w:val="95"/>
                </w:rPr>
                <w:t>41</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w:t>
      </w:r>
    </w:p>
    <w:p>
      <w:pPr>
        <w:spacing w:after="0" w:line="45" w:lineRule="exact"/>
        <w:rPr>
          <w:sz w:val="20"/>
          <w:szCs w:val="20"/>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changes to our business, operating structure, capital structure, or personnel relating to the implementation of our 2020 Vision strategic transformation initiative are successful;</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and safety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changes in estimates of ultimate insurance losses could result in a material charge against our earnings;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preserve long-term client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and senior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identifying, acquiring, and integrating synergistic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gain business despite competitive pressures;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costs that we cannot pass through to clients;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negative or unexpected tax consequences;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expected benefits from our captive insurance company;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losses from accidents or other incidents at facilities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energy prices and government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failure of our joint venture partners to perform their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changes to federal health care reform legislation;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cyber-security breaches, information technology interruptions, data loss, or business continuity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managing operations in areas of military conflict;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general reductions in commercial office building occupancy;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deterioration in general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client-specific developments, such as financial difficulties or bankruptcy;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increases in the level of our debt or in 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our operations and pay our debt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liabilities associated with participation in multiemployer pension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our business through the actions of activist investors;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catastrophic events and disasters, and terrorist attacks.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2015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0" w:type="dxa"/>
            <w:vAlign w:val="bottom"/>
            <w:vMerge w:val="restart"/>
          </w:tcPr>
          <w:p>
            <w:pPr>
              <w:spacing w:after="0"/>
              <w:rPr>
                <w:sz w:val="15"/>
                <w:szCs w:val="15"/>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(in millions, except share and per share amounts)</w:t>
            </w:r>
          </w:p>
        </w:tc>
        <w:tc>
          <w:tcPr>
            <w:tcW w:w="466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July 31, 2016</w:t>
            </w:r>
          </w:p>
        </w:tc>
        <w:tc>
          <w:tcPr>
            <w:tcW w:w="220" w:type="dxa"/>
            <w:vAlign w:val="bottom"/>
          </w:tcPr>
          <w:p>
            <w:pPr>
              <w:spacing w:after="0"/>
              <w:rPr>
                <w:sz w:val="15"/>
                <w:szCs w:val="15"/>
                <w:color w:val="auto"/>
              </w:rPr>
            </w:pPr>
          </w:p>
        </w:tc>
        <w:tc>
          <w:tcPr>
            <w:tcW w:w="17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82"/>
        </w:trPr>
        <w:tc>
          <w:tcPr>
            <w:tcW w:w="20" w:type="dxa"/>
            <w:vAlign w:val="bottom"/>
            <w:vMerge w:val="continue"/>
          </w:tcPr>
          <w:p>
            <w:pPr>
              <w:spacing w:after="0"/>
              <w:rPr>
                <w:sz w:val="7"/>
                <w:szCs w:val="7"/>
                <w:color w:val="auto"/>
              </w:rPr>
            </w:pPr>
          </w:p>
        </w:tc>
        <w:tc>
          <w:tcPr>
            <w:tcW w:w="2860" w:type="dxa"/>
            <w:vAlign w:val="bottom"/>
          </w:tcPr>
          <w:p>
            <w:pPr>
              <w:spacing w:after="0"/>
              <w:rPr>
                <w:sz w:val="7"/>
                <w:szCs w:val="7"/>
                <w:color w:val="auto"/>
              </w:rPr>
            </w:pPr>
          </w:p>
        </w:tc>
        <w:tc>
          <w:tcPr>
            <w:tcW w:w="4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Trade accounts receivable, net of allowances of $17.3</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480"/>
              <w:spacing w:after="0"/>
              <w:rPr>
                <w:sz w:val="20"/>
                <w:szCs w:val="20"/>
                <w:color w:val="auto"/>
              </w:rPr>
            </w:pPr>
            <w:r>
              <w:rPr>
                <w:rFonts w:ascii="Arial" w:cs="Arial" w:eastAsia="Arial" w:hAnsi="Arial"/>
                <w:sz w:val="16"/>
                <w:szCs w:val="16"/>
                <w:color w:val="auto"/>
              </w:rPr>
              <w:t>and $8.6 at July 31, 2016 and October 31, 2015, respectively</w:t>
            </w:r>
          </w:p>
        </w:tc>
        <w:tc>
          <w:tcPr>
            <w:tcW w:w="2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774.1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Prepaid expenses</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946.0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247"/>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Other investments</w:t>
            </w:r>
          </w:p>
        </w:tc>
        <w:tc>
          <w:tcPr>
            <w:tcW w:w="26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2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 of accumulated depreciation of $170.9</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and $148.7 at July 31, 2016 and October 31, 2015, respectively</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8"/>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Other intangible assets, net of accumulated amortization of $168.2</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140"/>
              <w:spacing w:after="0"/>
              <w:rPr>
                <w:sz w:val="20"/>
                <w:szCs w:val="20"/>
                <w:color w:val="auto"/>
              </w:rPr>
            </w:pPr>
            <w:r>
              <w:rPr>
                <w:rFonts w:ascii="Arial" w:cs="Arial" w:eastAsia="Arial" w:hAnsi="Arial"/>
                <w:sz w:val="16"/>
                <w:szCs w:val="16"/>
                <w:color w:val="auto"/>
              </w:rPr>
              <w:t>and $149.4 at July 31, 2016 and October 31, 2015, respectively</w:t>
            </w:r>
          </w:p>
        </w:tc>
        <w:tc>
          <w:tcPr>
            <w:tcW w:w="2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8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Deferred income taxes, net</w:t>
            </w:r>
          </w:p>
        </w:tc>
        <w:tc>
          <w:tcPr>
            <w:tcW w:w="26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80"/>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2,239.4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2,130.7</w:t>
            </w:r>
          </w:p>
        </w:tc>
        <w:tc>
          <w:tcPr>
            <w:tcW w:w="0" w:type="dxa"/>
            <w:vAlign w:val="bottom"/>
          </w:tcPr>
          <w:p>
            <w:pPr>
              <w:spacing w:after="0"/>
              <w:rPr>
                <w:sz w:val="1"/>
                <w:szCs w:val="1"/>
                <w:color w:val="auto"/>
              </w:rPr>
            </w:pPr>
          </w:p>
        </w:tc>
      </w:tr>
      <w:tr>
        <w:trPr>
          <w:trHeight w:val="25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Trade 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Accrued taxes—other than income</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Insurance claims</w:t>
            </w:r>
          </w:p>
        </w:tc>
        <w:tc>
          <w:tcPr>
            <w:tcW w:w="26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588.0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247"/>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Noncurrent income taxes payable</w:t>
            </w:r>
          </w:p>
        </w:tc>
        <w:tc>
          <w:tcPr>
            <w:tcW w:w="26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8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Line of credit</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Noncurrent insurance claims</w:t>
            </w:r>
          </w:p>
        </w:tc>
        <w:tc>
          <w:tcPr>
            <w:tcW w:w="26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1,241.5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1,123.2</w:t>
            </w:r>
          </w:p>
        </w:tc>
        <w:tc>
          <w:tcPr>
            <w:tcW w:w="0" w:type="dxa"/>
            <w:vAlign w:val="bottom"/>
          </w:tcPr>
          <w:p>
            <w:pPr>
              <w:spacing w:after="0"/>
              <w:rPr>
                <w:sz w:val="1"/>
                <w:szCs w:val="1"/>
                <w:color w:val="auto"/>
              </w:rPr>
            </w:pPr>
          </w:p>
        </w:tc>
      </w:tr>
      <w:tr>
        <w:trPr>
          <w:trHeight w:val="25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 shares authorized; none issued</w:t>
            </w:r>
          </w:p>
        </w:tc>
        <w:tc>
          <w:tcPr>
            <w:tcW w:w="2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Common stock, $0.01 par value; 100,000,000 shares authorized;</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55,804,814 and 56,105,761 shares issued and outstanding at</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July 31, 2016 and October 31, 2015, respectively</w:t>
            </w:r>
          </w:p>
        </w:tc>
        <w:tc>
          <w:tcPr>
            <w:tcW w:w="2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275.5</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Accumulated other comprehensive loss, net of taxes</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736.5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997.9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1,007.5</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46" w:right="2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July 31,</w:t>
            </w:r>
          </w:p>
        </w:tc>
        <w:tc>
          <w:tcPr>
            <w:tcW w:w="240" w:type="dxa"/>
            <w:vAlign w:val="bottom"/>
          </w:tcPr>
          <w:p>
            <w:pPr>
              <w:spacing w:after="0"/>
              <w:rPr>
                <w:sz w:val="18"/>
                <w:szCs w:val="18"/>
                <w:color w:val="auto"/>
              </w:rPr>
            </w:pPr>
          </w:p>
        </w:tc>
        <w:tc>
          <w:tcPr>
            <w:tcW w:w="2600" w:type="dxa"/>
            <w:vAlign w:val="bottom"/>
            <w:gridSpan w:val="4"/>
          </w:tcPr>
          <w:p>
            <w:pPr>
              <w:jc w:val="right"/>
              <w:ind w:right="281"/>
              <w:spacing w:after="0"/>
              <w:rPr>
                <w:sz w:val="20"/>
                <w:szCs w:val="20"/>
                <w:color w:val="auto"/>
              </w:rPr>
            </w:pPr>
            <w:r>
              <w:rPr>
                <w:rFonts w:ascii="Arial" w:cs="Arial" w:eastAsia="Arial" w:hAnsi="Arial"/>
                <w:sz w:val="16"/>
                <w:szCs w:val="16"/>
                <w:b w:val="1"/>
                <w:bCs w:val="1"/>
                <w:color w:val="auto"/>
              </w:rPr>
              <w:t>Nine Months Ended July 31,</w:t>
            </w:r>
          </w:p>
        </w:tc>
        <w:tc>
          <w:tcPr>
            <w:tcW w:w="0" w:type="dxa"/>
            <w:vAlign w:val="bottom"/>
          </w:tcPr>
          <w:p>
            <w:pPr>
              <w:spacing w:after="0"/>
              <w:rPr>
                <w:sz w:val="1"/>
                <w:szCs w:val="1"/>
                <w:color w:val="auto"/>
              </w:rPr>
            </w:pPr>
          </w:p>
        </w:tc>
      </w:tr>
      <w:tr>
        <w:trPr>
          <w:trHeight w:val="227"/>
        </w:trPr>
        <w:tc>
          <w:tcPr>
            <w:tcW w:w="56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1,249.9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3,822.4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3,620.8</w:t>
            </w:r>
          </w:p>
        </w:tc>
        <w:tc>
          <w:tcPr>
            <w:tcW w:w="0" w:type="dxa"/>
            <w:vAlign w:val="bottom"/>
          </w:tcPr>
          <w:p>
            <w:pPr>
              <w:spacing w:after="0"/>
              <w:rPr>
                <w:sz w:val="1"/>
                <w:szCs w:val="1"/>
                <w:color w:val="auto"/>
              </w:rPr>
            </w:pPr>
          </w:p>
        </w:tc>
      </w:tr>
      <w:tr>
        <w:trPr>
          <w:trHeight w:val="266"/>
        </w:trPr>
        <w:tc>
          <w:tcPr>
            <w:tcW w:w="5600" w:type="dxa"/>
            <w:vAlign w:val="bottom"/>
            <w:gridSpan w:val="3"/>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1,156.3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3,445.2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3,281.9</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8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295.1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Restructuring and related</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558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1,278.4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1,257.5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3,778.4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3,584.4</w:t>
            </w:r>
          </w:p>
        </w:tc>
        <w:tc>
          <w:tcPr>
            <w:tcW w:w="0" w:type="dxa"/>
            <w:vAlign w:val="bottom"/>
          </w:tcPr>
          <w:p>
            <w:pPr>
              <w:spacing w:after="0"/>
              <w:rPr>
                <w:sz w:val="1"/>
                <w:szCs w:val="1"/>
                <w:color w:val="auto"/>
              </w:rPr>
            </w:pPr>
          </w:p>
        </w:tc>
      </w:tr>
      <w:tr>
        <w:trPr>
          <w:trHeight w:val="250"/>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Operating profit (loss)</w:t>
            </w:r>
          </w:p>
        </w:tc>
        <w:tc>
          <w:tcPr>
            <w:tcW w:w="22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74"/>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6"/>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4"/>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66"/>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Income tax benefit (provision)</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54"/>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66"/>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54"/>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60"/>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Foreign currency translation</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558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income per common share — Basic: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0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558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(Loss) income from discontinued operations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income per common share — Diluted: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0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558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(Loss) income from discontinued operations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20"/>
              <w:spacing w:after="0" w:line="181" w:lineRule="exact"/>
              <w:rPr>
                <w:sz w:val="20"/>
                <w:szCs w:val="20"/>
                <w:color w:val="auto"/>
              </w:rPr>
            </w:pPr>
            <w:r>
              <w:rPr>
                <w:rFonts w:ascii="Arial" w:cs="Arial" w:eastAsia="Arial" w:hAnsi="Arial"/>
                <w:sz w:val="16"/>
                <w:szCs w:val="16"/>
                <w:b w:val="1"/>
                <w:bCs w:val="1"/>
                <w:color w:val="auto"/>
              </w:rPr>
              <w:t>Weighted-average common and common</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6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600" w:type="dxa"/>
            <w:vAlign w:val="bottom"/>
            <w:gridSpan w:val="3"/>
          </w:tcPr>
          <w:p>
            <w:pPr>
              <w:ind w:left="20"/>
              <w:spacing w:after="0"/>
              <w:rPr>
                <w:sz w:val="20"/>
                <w:szCs w:val="20"/>
                <w:color w:val="auto"/>
              </w:rPr>
            </w:pPr>
            <w:r>
              <w:rPr>
                <w:rFonts w:ascii="Arial" w:cs="Arial" w:eastAsia="Arial" w:hAnsi="Arial"/>
                <w:sz w:val="16"/>
                <w:szCs w:val="16"/>
                <w:b w:val="1"/>
                <w:bCs w:val="1"/>
                <w:color w:val="auto"/>
              </w:rPr>
              <w:t>equivalent shares outstanding</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80" w:type="dxa"/>
            <w:vAlign w:val="bottom"/>
            <w:gridSpan w:val="2"/>
          </w:tcPr>
          <w:p>
            <w:pPr>
              <w:ind w:left="36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74"/>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0.480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45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 July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9"/>
                <w:szCs w:val="19"/>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(income) from discontinued operations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 activities of</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continuing operations: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income taxes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bad debt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Discount accretion on insurance claims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Gain on sale of assets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Income from unconsolidated affiliates, net</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Distributions from unconsolidated affiliates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Trade accounts receivable</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noncurrent assets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Trade accounts payable and other accrued liabilities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Insurance claims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Income taxes payable</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noncurrent liabilities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Total adjustments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53"/>
        </w:trPr>
        <w:tc>
          <w:tcPr>
            <w:tcW w:w="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7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 of discontinued operations</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60"/>
        </w:trPr>
        <w:tc>
          <w:tcPr>
            <w:tcW w:w="20" w:type="dxa"/>
            <w:vAlign w:val="bottom"/>
            <w:tcBorders>
              <w:bottom w:val="single" w:sz="8" w:color="CCEEFF"/>
            </w:tcBorders>
          </w:tcPr>
          <w:p>
            <w:pPr>
              <w:spacing w:after="0"/>
              <w:rPr>
                <w:sz w:val="5"/>
                <w:szCs w:val="5"/>
                <w:color w:val="auto"/>
              </w:rPr>
            </w:pPr>
          </w:p>
        </w:tc>
        <w:tc>
          <w:tcPr>
            <w:tcW w:w="7840" w:type="dxa"/>
            <w:vAlign w:val="bottom"/>
            <w:tcBorders>
              <w:bottom w:val="single" w:sz="8" w:color="CCEEFF"/>
            </w:tcBorders>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Additions to property, plant and equipment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Proceeds from sale of assets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Purchase of businesses, net of cash acquired</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Proceeds from redemption of auction rate security</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Investments in unconsolidated affiliates</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 of continuing operations</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investing activities of discontinued operations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Proceeds from issuance of share-based compensation awards, net of taxes withheld</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Incremental tax benefit from share-based compensation awards</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Repurchases of common stock</w:t>
            </w:r>
          </w:p>
        </w:tc>
        <w:tc>
          <w:tcPr>
            <w:tcW w:w="400" w:type="dxa"/>
            <w:vAlign w:val="bottom"/>
          </w:tcPr>
          <w:p>
            <w:pPr>
              <w:spacing w:after="0"/>
              <w:rPr>
                <w:sz w:val="17"/>
                <w:szCs w:val="17"/>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Dividends paid</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Deferred financing costs paid</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Borrowings from line of credit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729.3</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Repayment of borrowings from line of credit</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(713.0)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(744.0)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Financing of energy savings performance contracts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Changes in book cash overdrafts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Repayment of capital lease obligations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1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(decrease) increase in cash and cash equivalents</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year</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66"/>
        </w:trPr>
        <w:tc>
          <w:tcPr>
            <w:tcW w:w="2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7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380"/>
          </w:cols>
          <w:pgMar w:left="260" w:top="522" w:right="259" w:bottom="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60" w:top="522" w:right="25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Industries Incorporated, which operates through its subsidiaries (collectively referred to as “ABM,” “we,” “us,” “our,” or the “Company”), is a leading provider of integrated facility solutions, customized by industry, that enable our clients to deliver exceptional facilities experiences. ABM’s comprehensive capabilities include airport operation support services, commercial cleaning, electrical and lighting maintenance, energy solutions, facilities engineering, HVAC and mechanical maintenance services, landscaping, and parking. We provide custom facility solutions in urban, suburban, and rural areas to properties of all sizes—from schools and commercial buildings to airports, hospitals, and manufacturing plants.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Accordingly, such financial statements do not include all of the information and footnotes required by U.S. GAAP for complete financial statements.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the results for the full year. The Financial Statements should be read in conjunction with our audited consolidated financial statements (and notes thereto) in our Annual Report on Form 10-K for the fiscal year ended October 31, 2015 (“Annual Report”). Unless otherwise noted, all references to years are to our fiscal year, which ends on October 31.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3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As a result, certain amounts may not foot, crossfoot, or recalculate based on reported numbers due to rounding.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Adopted During the Quarter</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Effective November 1, 2015, we early adopted Accounting Standards Update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Prior to the adoption of this guidance, we recognized the income tax effects of vested or settled awards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paid-in capital. This ASU requires prospective recognition of these excess tax benefits and deficiencies in the income statement. As a result, for the three and nine months ended July 31, 2016, we recognized a $ 1.8 million benefit within our income tax provision, or $ 0.03 per diluted share, related to excess tax benefits that occurred between November 1, 2015 and July 31, 2016. The activity related to the first and second quarter was not material. As required by this ASU, we have classified these excess tax benefits as cash flows from operating activities for the nine months ended July 31, 2016, rather than cash flows from financing activities. Pursuant to the new guidance, we elected not to adjust the prior period cash flows from operating activities for the nine months ended July 31, 2015. In regards to this ASU’s forfeiture policy election, we will continue to estimate the number of awards expected to vest, rather than electing to account for forfeitures as they occur.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Adopted During the Year</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During the first quarter of 2016, we early adopted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on a retrospective basis. As a result, all deferred tax assets and liabilities are now classified as noncurrent on our consolidated balance sheets.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Year Reclassifications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Previously Reported</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ind w:right="610"/>
              <w:spacing w:after="0"/>
              <w:rPr>
                <w:sz w:val="20"/>
                <w:szCs w:val="20"/>
                <w:color w:val="auto"/>
              </w:rPr>
            </w:pPr>
            <w:r>
              <w:rPr>
                <w:rFonts w:ascii="Arial" w:cs="Arial" w:eastAsia="Arial" w:hAnsi="Arial"/>
                <w:sz w:val="18"/>
                <w:szCs w:val="18"/>
                <w:b w:val="1"/>
                <w:bCs w:val="1"/>
                <w:color w:val="auto"/>
              </w:rPr>
              <w:t>Revised</w:t>
            </w:r>
          </w:p>
        </w:tc>
      </w:tr>
      <w:tr>
        <w:trPr>
          <w:trHeight w:val="212"/>
        </w:trPr>
        <w:tc>
          <w:tcPr>
            <w:tcW w:w="49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October 31, 2015</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Adjustment</w:t>
            </w:r>
          </w:p>
        </w:tc>
        <w:tc>
          <w:tcPr>
            <w:tcW w:w="200" w:type="dxa"/>
            <w:vAlign w:val="bottom"/>
          </w:tcPr>
          <w:p>
            <w:pPr>
              <w:spacing w:after="0"/>
              <w:rPr>
                <w:sz w:val="18"/>
                <w:szCs w:val="18"/>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income tax asset, net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Deferred income tax liability, net (noncurrent)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income tax asset, net (noncurrent)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r>
      <w:tr>
        <w:trPr>
          <w:trHeight w:val="4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jc w:val="right"/>
              <w:ind w:right="12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346" w:right="239" w:bottom="1440" w:gutter="0" w:footer="0" w:header="0"/>
        </w:sectPr>
      </w:pPr>
    </w:p>
    <w:bookmarkStart w:id="8" w:name="page9"/>
    <w:bookmarkEnd w:id="8"/>
    <w:p>
      <w:pPr>
        <w:jc w:val="both"/>
        <w:ind w:firstLine="648"/>
        <w:spacing w:after="0" w:line="262" w:lineRule="auto"/>
        <w:rPr>
          <w:sz w:val="20"/>
          <w:szCs w:val="20"/>
          <w:color w:val="auto"/>
        </w:rPr>
      </w:pPr>
      <w:r>
        <w:rPr>
          <w:rFonts w:ascii="Arial" w:cs="Arial" w:eastAsia="Arial" w:hAnsi="Arial"/>
          <w:sz w:val="18"/>
          <w:szCs w:val="18"/>
          <w:color w:val="auto"/>
        </w:rPr>
        <w:t>In addition, we reclassified prior year amounts throughout the Financial Statements to conform to the current year presentation of discontinued operations. See Note 4, “Discontinued Operations,”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Parking Revenue Presentation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Parking business operates certain parking facilities under managed location arrangements. Under these arrangements, we manage the parking facility for a management fee and pass through the revenue and expenses associated with the facility to the owner. These revenues and expenses are reported in equal amounts for costs reimbursed from our managed locations.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Reimbursement 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July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6"/>
                <w:szCs w:val="16"/>
                <w:b w:val="1"/>
                <w:bCs w:val="1"/>
                <w:color w:val="auto"/>
              </w:rPr>
              <w:t>Nine Months Ended July 31,</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4"/>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Management reimbursement revenues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243.8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230.6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 2015, our Board of Directors approved a comprehensive strategy intended to have a positive transformative effect on ABM (the “2020 Vision”). As part of the 2020 Vision, we identified a number of key priorities to differentiate ABM in the marketplace, improve our margin profile, and accelerate revenue growth for certain industry groups. We also reviewed all service lines and investments to assess whether ABM was positioned to continue to competitively offer value-added services to clients over the long term.</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From the inception of our 2020 Vision in the fourth quarter of 2015, we have incurred cumulative restructuring and related charges of $31.9 million, consisting of external support fees of $ 14.3 million, employee severance costs of $12.0 million, lease exit and other costs of $3.1 million, and asset impairment costs of $2.6 million. The results by segment exclude these costs, consistent with the manner in which our management evaluates the performance of each reportable segment based on its respective operating profit results. As such, restructuring and related costs are included within Corporate expenses. See Note 15, “Segment Information,” for more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Restructuring and Related Cost Accrual</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External Support</w:t>
            </w:r>
          </w:p>
        </w:tc>
        <w:tc>
          <w:tcPr>
            <w:tcW w:w="2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Employee</w:t>
            </w:r>
          </w:p>
        </w:tc>
        <w:tc>
          <w:tcPr>
            <w:tcW w:w="14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Lease Exit and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4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7"/>
              </w:rPr>
              <w:t>Fees</w:t>
            </w:r>
          </w:p>
        </w:tc>
        <w:tc>
          <w:tcPr>
            <w:tcW w:w="24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34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November 1, 2015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63"/>
        </w:trPr>
        <w:tc>
          <w:tcPr>
            <w:tcW w:w="2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Costs recognized</w:t>
            </w:r>
          </w:p>
        </w:tc>
        <w:tc>
          <w:tcPr>
            <w:tcW w:w="36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19.3</w:t>
            </w:r>
          </w:p>
        </w:tc>
      </w:tr>
      <w:tr>
        <w:trPr>
          <w:trHeight w:val="277"/>
        </w:trPr>
        <w:tc>
          <w:tcPr>
            <w:tcW w:w="2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50"/>
        </w:trPr>
        <w:tc>
          <w:tcPr>
            <w:tcW w:w="464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July 31, 2016</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49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DISCONTINUED OPERATIONS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26, 2015, in connection with our 2020 Vision, we sold substantially all of the assets of our Security business to Universal Protection Service, LP (“UPS”) for cash proceeds of $131.0 million, subject to a working capital adjustment. In the second quarter of 2016, the working capital adjustment related to the sale was finalized, resulting in a payment to UPS of $3.1 million. We reduced the gain on sale recorded in the fourth quarter of 2015 by the amount of this adjustment.</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discontinued operations is comprised of amounts that were directly related to the operations of this former business, including certain costs that were previously recorded in Corporate expenses. In addition, certain general corporate expenses that were previously allocated to the former Security business are now allocated to Corporate expenses and to the Janitorial segment. Discontinued operations also includes both costs related to ongoing legal cases and insurance reserves associated with the former Security business. We will continue to reflect these types of costs within discontinued operations in future periods. Refer to Note 15, “Segment Information,” for further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Results of Operations and Cash Flows from Discontinued Operations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July 31,</w:t>
            </w:r>
          </w:p>
        </w:tc>
        <w:tc>
          <w:tcPr>
            <w:tcW w:w="220" w:type="dxa"/>
            <w:vAlign w:val="bottom"/>
          </w:tcPr>
          <w:p>
            <w:pPr>
              <w:spacing w:after="0"/>
              <w:rPr>
                <w:sz w:val="17"/>
                <w:szCs w:val="17"/>
                <w:color w:val="auto"/>
              </w:rPr>
            </w:pPr>
          </w:p>
        </w:tc>
        <w:tc>
          <w:tcPr>
            <w:tcW w:w="2380" w:type="dxa"/>
            <w:vAlign w:val="bottom"/>
            <w:gridSpan w:val="4"/>
          </w:tcPr>
          <w:p>
            <w:pPr>
              <w:jc w:val="right"/>
              <w:ind w:right="222"/>
              <w:spacing w:after="0"/>
              <w:rPr>
                <w:sz w:val="20"/>
                <w:szCs w:val="20"/>
                <w:color w:val="auto"/>
              </w:rPr>
            </w:pPr>
            <w:r>
              <w:rPr>
                <w:rFonts w:ascii="Arial" w:cs="Arial" w:eastAsia="Arial" w:hAnsi="Arial"/>
                <w:sz w:val="15"/>
                <w:szCs w:val="15"/>
                <w:b w:val="1"/>
                <w:bCs w:val="1"/>
                <w:color w:val="auto"/>
              </w:rPr>
              <w:t>Nine Months Ended July 31,</w:t>
            </w:r>
          </w:p>
        </w:tc>
      </w:tr>
      <w:tr>
        <w:trPr>
          <w:trHeight w:val="228"/>
        </w:trPr>
        <w:tc>
          <w:tcPr>
            <w:tcW w:w="58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2016</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42"/>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82"/>
              <w:spacing w:after="0"/>
              <w:rPr>
                <w:sz w:val="20"/>
                <w:szCs w:val="20"/>
                <w:color w:val="auto"/>
              </w:rPr>
            </w:pPr>
            <w:r>
              <w:rPr>
                <w:rFonts w:ascii="Arial" w:cs="Arial" w:eastAsia="Arial" w:hAnsi="Arial"/>
                <w:sz w:val="15"/>
                <w:szCs w:val="15"/>
                <w:b w:val="1"/>
                <w:bCs w:val="1"/>
                <w:color w:val="auto"/>
              </w:rPr>
              <w:t>2016</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82"/>
              <w:spacing w:after="0"/>
              <w:rPr>
                <w:sz w:val="20"/>
                <w:szCs w:val="20"/>
                <w:color w:val="auto"/>
              </w:rPr>
            </w:pPr>
            <w:r>
              <w:rPr>
                <w:rFonts w:ascii="Arial" w:cs="Arial" w:eastAsia="Arial" w:hAnsi="Arial"/>
                <w:sz w:val="15"/>
                <w:szCs w:val="15"/>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287.5</w:t>
            </w:r>
          </w:p>
        </w:tc>
      </w:tr>
      <w:tr>
        <w:trPr>
          <w:trHeight w:val="266"/>
        </w:trPr>
        <w:tc>
          <w:tcPr>
            <w:tcW w:w="5820" w:type="dxa"/>
            <w:vAlign w:val="bottom"/>
            <w:gridSpan w:val="3"/>
          </w:tcPr>
          <w:p>
            <w:pPr>
              <w:ind w:left="2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281.2</w:t>
            </w:r>
          </w:p>
        </w:tc>
      </w:tr>
      <w:tr>
        <w:trPr>
          <w:trHeight w:val="27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Working capital adjustment to previously recorded gain</w:t>
            </w:r>
          </w:p>
        </w:tc>
        <w:tc>
          <w:tcPr>
            <w:tcW w:w="2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50"/>
        </w:trPr>
        <w:tc>
          <w:tcPr>
            <w:tcW w:w="5820" w:type="dxa"/>
            <w:vAlign w:val="bottom"/>
            <w:gridSpan w:val="3"/>
          </w:tcPr>
          <w:p>
            <w:pPr>
              <w:ind w:left="20"/>
              <w:spacing w:after="0"/>
              <w:rPr>
                <w:sz w:val="20"/>
                <w:szCs w:val="20"/>
                <w:color w:val="auto"/>
              </w:rPr>
            </w:pPr>
            <w:r>
              <w:rPr>
                <w:rFonts w:ascii="Arial" w:cs="Arial" w:eastAsia="Arial" w:hAnsi="Arial"/>
                <w:sz w:val="15"/>
                <w:szCs w:val="15"/>
                <w:color w:val="auto"/>
              </w:rPr>
              <w:t>(Loss) income from discontinued operations before income taxes</w:t>
            </w: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6.3</w:t>
            </w:r>
          </w:p>
        </w:tc>
      </w:tr>
      <w:tr>
        <w:trPr>
          <w:trHeight w:val="274"/>
        </w:trPr>
        <w:tc>
          <w:tcPr>
            <w:tcW w:w="5820" w:type="dxa"/>
            <w:vAlign w:val="bottom"/>
            <w:gridSpan w:val="3"/>
            <w:shd w:val="clear" w:color="auto" w:fill="CCEEFF"/>
          </w:tcPr>
          <w:p>
            <w:pPr>
              <w:ind w:left="20"/>
              <w:spacing w:after="0" w:line="275" w:lineRule="exact"/>
              <w:rPr>
                <w:sz w:val="20"/>
                <w:szCs w:val="20"/>
                <w:color w:val="auto"/>
              </w:rPr>
            </w:pPr>
            <w:r>
              <w:rPr>
                <w:rFonts w:ascii="Arial" w:cs="Arial" w:eastAsia="Arial" w:hAnsi="Arial"/>
                <w:sz w:val="16"/>
                <w:szCs w:val="16"/>
                <w:color w:val="auto"/>
              </w:rPr>
              <w:t>Income tax benefit (provision)</w:t>
            </w:r>
            <w:r>
              <w:rPr>
                <w:rFonts w:ascii="Arial" w:cs="Arial" w:eastAsia="Arial" w:hAnsi="Arial"/>
                <w:sz w:val="26"/>
                <w:szCs w:val="26"/>
                <w:color w:val="auto"/>
                <w:vertAlign w:val="superscript"/>
              </w:rPr>
              <w:t>(1)</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6"/>
        </w:trPr>
        <w:tc>
          <w:tcPr>
            <w:tcW w:w="5820" w:type="dxa"/>
            <w:vAlign w:val="bottom"/>
            <w:gridSpan w:val="3"/>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6.0</w:t>
            </w:r>
          </w:p>
        </w:tc>
      </w:tr>
      <w:tr>
        <w:trPr>
          <w:trHeight w:val="301"/>
        </w:trPr>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404"/>
        </w:trPr>
        <w:tc>
          <w:tcPr>
            <w:tcW w:w="5820" w:type="dxa"/>
            <w:vAlign w:val="bottom"/>
            <w:gridSpan w:val="3"/>
          </w:tcPr>
          <w:p>
            <w:pPr>
              <w:ind w:left="20"/>
              <w:spacing w:after="0"/>
              <w:rPr>
                <w:sz w:val="20"/>
                <w:szCs w:val="20"/>
                <w:color w:val="auto"/>
              </w:rPr>
            </w:pPr>
            <w:r>
              <w:rPr>
                <w:rFonts w:ascii="Arial" w:cs="Arial" w:eastAsia="Arial" w:hAnsi="Arial"/>
                <w:sz w:val="16"/>
                <w:szCs w:val="16"/>
                <w:color w:val="auto"/>
              </w:rPr>
              <w:t>Net cash used in operating activities of discontinued operations</w:t>
            </w:r>
            <w:r>
              <w:rPr>
                <w:rFonts w:ascii="Arial" w:cs="Arial" w:eastAsia="Arial" w:hAnsi="Arial"/>
                <w:sz w:val="26"/>
                <w:szCs w:val="26"/>
                <w:color w:val="auto"/>
                <w:vertAlign w:val="superscript"/>
              </w:rPr>
              <w:t>(2)</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r>
    </w:tbl>
    <w:p>
      <w:pPr>
        <w:spacing w:after="0" w:line="243" w:lineRule="exact"/>
        <w:rPr>
          <w:sz w:val="20"/>
          <w:szCs w:val="20"/>
          <w:color w:val="auto"/>
        </w:rPr>
      </w:pPr>
    </w:p>
    <w:p>
      <w:pPr>
        <w:ind w:firstLine="8"/>
        <w:spacing w:after="0" w:line="225" w:lineRule="auto"/>
        <w:tabs>
          <w:tab w:leader="none" w:pos="189"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For the nine months ended July 31, 2016, the income tax benefit includes the retroactive reinstatement of the Work Opportunity Tax Credits (“WOTC”).</w:t>
      </w:r>
    </w:p>
    <w:p>
      <w:pPr>
        <w:spacing w:after="0" w:line="138"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7"/>
          <w:szCs w:val="17"/>
          <w:color w:val="auto"/>
        </w:rPr>
        <w:t>During the first quarter of 2016, we paid $20.6 million in taxes in connection with the sale of our Security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engineering services to clients in the United Kingdom, for a purchase price of $ 81.0 million. This acquisition allowed us to expand our higher margin technical services business to new and existing clients in the United Kingdom, resulting in the allocation of a significant portion of the purchase price to goodwill. As such, we recorded goodwill and intangible assets of $50.0 million and $22.2 million, respectively, which are subject to adjustments within one year from the acquisition date. The goodwill associated with this acquisition is not deductible for tax purposes. As of December 1, 2015, the operations of Westway are included in our Building &amp; Energy Solutions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May 1, 2015, we acquired certain assets and assumed certain liabilities of CTS Services/Facility Support Services (“CTS”), a provider of HVAC services and energy solutions in government, commercial, and industrial buildings, for a purchase price of $18.8 million. The purchase price includes $3.8 million of contingent consideration that is based on the expected achievement of certain pre-established revenue goals. See Note 7, “Fair Value of Financial Instruments,” regarding the valuation of the contingent consideration liability. As of May 1, 2015, the operations of CTS are included in our Building &amp; Energy Solutions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Other Supplemental Financial Information</w:t>
      </w:r>
    </w:p>
    <w:p>
      <w:pPr>
        <w:spacing w:after="0" w:line="193" w:lineRule="exact"/>
        <w:rPr>
          <w:sz w:val="20"/>
          <w:szCs w:val="20"/>
          <w:color w:val="auto"/>
        </w:rPr>
      </w:pPr>
    </w:p>
    <w:p>
      <w:pPr>
        <w:ind w:right="400" w:firstLine="648"/>
        <w:spacing w:after="0" w:line="262" w:lineRule="auto"/>
        <w:rPr>
          <w:sz w:val="20"/>
          <w:szCs w:val="20"/>
          <w:color w:val="auto"/>
        </w:rPr>
      </w:pPr>
      <w:r>
        <w:rPr>
          <w:rFonts w:ascii="Arial" w:cs="Arial" w:eastAsia="Arial" w:hAnsi="Arial"/>
          <w:sz w:val="18"/>
          <w:szCs w:val="18"/>
          <w:color w:val="auto"/>
        </w:rPr>
        <w:t>Pro forma and other supplemental financial information is not presented for these acquisitions, as they are not considered material business combinations.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60" w:type="dxa"/>
            <w:vAlign w:val="bottom"/>
            <w:gridSpan w:val="8"/>
          </w:tcPr>
          <w:p>
            <w:pPr>
              <w:ind w:left="160"/>
              <w:spacing w:after="0"/>
              <w:rPr>
                <w:sz w:val="20"/>
                <w:szCs w:val="20"/>
                <w:color w:val="auto"/>
              </w:rPr>
            </w:pPr>
            <w:r>
              <w:rPr>
                <w:rFonts w:ascii="Arial" w:cs="Arial" w:eastAsia="Arial" w:hAnsi="Arial"/>
                <w:sz w:val="18"/>
                <w:szCs w:val="18"/>
                <w:b w:val="1"/>
                <w:bCs w:val="1"/>
                <w:color w:val="auto"/>
              </w:rPr>
              <w:t>Three Months Ended July 31,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Nine Months Ended July 31,</w:t>
            </w: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Borders>
              <w:right w:val="single" w:sz="8" w:color="CCEEFF"/>
            </w:tcBorders>
            <w:shd w:val="clear" w:color="auto" w:fill="CCEEFF"/>
          </w:tcPr>
          <w:p>
            <w:pPr>
              <w:spacing w:after="0"/>
              <w:rPr>
                <w:sz w:val="21"/>
                <w:szCs w:val="21"/>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64"/>
        </w:trPr>
        <w:tc>
          <w:tcPr>
            <w:tcW w:w="40" w:type="dxa"/>
            <w:vAlign w:val="bottom"/>
            <w:tcBorders>
              <w:bottom w:val="single" w:sz="8" w:color="CCEEFF"/>
            </w:tcBorders>
          </w:tcPr>
          <w:p>
            <w:pPr>
              <w:spacing w:after="0"/>
              <w:rPr>
                <w:sz w:val="22"/>
                <w:szCs w:val="22"/>
                <w:color w:val="auto"/>
              </w:rPr>
            </w:pPr>
          </w:p>
        </w:tc>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(loss) income from discontinued operations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r>
      <w:tr>
        <w:trPr>
          <w:trHeight w:val="257"/>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7"/>
        </w:trPr>
        <w:tc>
          <w:tcPr>
            <w:tcW w:w="40" w:type="dxa"/>
            <w:vAlign w:val="bottom"/>
            <w:tcBorders>
              <w:right w:val="single" w:sz="8" w:color="CCEEFF"/>
            </w:tcBorders>
            <w:shd w:val="clear" w:color="auto" w:fill="CCEEFF"/>
          </w:tcPr>
          <w:p>
            <w:pPr>
              <w:spacing w:after="0"/>
              <w:rPr>
                <w:sz w:val="17"/>
                <w:szCs w:val="17"/>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Weighted-average common and common equivalent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52"/>
        </w:trPr>
        <w:tc>
          <w:tcPr>
            <w:tcW w:w="40" w:type="dxa"/>
            <w:vAlign w:val="bottom"/>
            <w:tcBorders>
              <w:right w:val="single" w:sz="8" w:color="CCEEFF"/>
            </w:tcBorders>
            <w:shd w:val="clear" w:color="auto" w:fill="CCEEFF"/>
          </w:tcPr>
          <w:p>
            <w:pPr>
              <w:spacing w:after="0"/>
              <w:rPr>
                <w:sz w:val="21"/>
                <w:szCs w:val="21"/>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 — Basic</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63"/>
        </w:trPr>
        <w:tc>
          <w:tcPr>
            <w:tcW w:w="40" w:type="dxa"/>
            <w:vAlign w:val="bottom"/>
          </w:tcPr>
          <w:p>
            <w:pPr>
              <w:spacing w:after="0"/>
              <w:rPr>
                <w:sz w:val="22"/>
                <w:szCs w:val="22"/>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40" w:type="dxa"/>
            <w:vAlign w:val="bottom"/>
            <w:tcBorders>
              <w:right w:val="single" w:sz="8" w:color="CCEEFF"/>
            </w:tcBorders>
            <w:shd w:val="clear" w:color="auto" w:fill="CCEEFF"/>
          </w:tcPr>
          <w:p>
            <w:pPr>
              <w:spacing w:after="0"/>
              <w:rPr>
                <w:sz w:val="24"/>
                <w:szCs w:val="24"/>
                <w:color w:val="auto"/>
              </w:rPr>
            </w:pPr>
          </w:p>
        </w:tc>
        <w:tc>
          <w:tcPr>
            <w:tcW w:w="4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63"/>
        </w:trPr>
        <w:tc>
          <w:tcPr>
            <w:tcW w:w="40" w:type="dxa"/>
            <w:vAlign w:val="bottom"/>
          </w:tcPr>
          <w:p>
            <w:pPr>
              <w:spacing w:after="0"/>
              <w:rPr>
                <w:sz w:val="22"/>
                <w:szCs w:val="22"/>
                <w:color w:val="auto"/>
              </w:rPr>
            </w:pPr>
          </w:p>
        </w:tc>
        <w:tc>
          <w:tcPr>
            <w:tcW w:w="4880" w:type="dxa"/>
            <w:vAlign w:val="bottom"/>
            <w:gridSpan w:val="3"/>
          </w:tcPr>
          <w:p>
            <w:pPr>
              <w:ind w:left="34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7"/>
        </w:trPr>
        <w:tc>
          <w:tcPr>
            <w:tcW w:w="40" w:type="dxa"/>
            <w:vAlign w:val="bottom"/>
            <w:tcBorders>
              <w:right w:val="single" w:sz="8" w:color="CCEEFF"/>
            </w:tcBorders>
            <w:shd w:val="clear" w:color="auto" w:fill="CCEEFF"/>
          </w:tcPr>
          <w:p>
            <w:pPr>
              <w:spacing w:after="0"/>
              <w:rPr>
                <w:sz w:val="24"/>
                <w:szCs w:val="24"/>
                <w:color w:val="auto"/>
              </w:rPr>
            </w:pPr>
          </w:p>
        </w:tc>
        <w:tc>
          <w:tcPr>
            <w:tcW w:w="4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Performance shares</w:t>
            </w: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187"/>
        </w:trPr>
        <w:tc>
          <w:tcPr>
            <w:tcW w:w="40" w:type="dxa"/>
            <w:vAlign w:val="bottom"/>
          </w:tcPr>
          <w:p>
            <w:pPr>
              <w:spacing w:after="0"/>
              <w:rPr>
                <w:sz w:val="16"/>
                <w:szCs w:val="16"/>
                <w:color w:val="auto"/>
              </w:rPr>
            </w:pPr>
          </w:p>
        </w:tc>
        <w:tc>
          <w:tcPr>
            <w:tcW w:w="4880" w:type="dxa"/>
            <w:vAlign w:val="bottom"/>
            <w:gridSpan w:val="3"/>
          </w:tcPr>
          <w:p>
            <w:pPr>
              <w:spacing w:after="0" w:line="187" w:lineRule="exact"/>
              <w:rPr>
                <w:sz w:val="20"/>
                <w:szCs w:val="20"/>
                <w:color w:val="auto"/>
              </w:rPr>
            </w:pPr>
            <w:r>
              <w:rPr>
                <w:rFonts w:ascii="Arial" w:cs="Arial" w:eastAsia="Arial" w:hAnsi="Arial"/>
                <w:sz w:val="18"/>
                <w:szCs w:val="18"/>
                <w:b w:val="1"/>
                <w:bCs w:val="1"/>
                <w:color w:val="auto"/>
              </w:rPr>
              <w:t>Weighted-average common and common equivalent</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9"/>
        </w:trPr>
        <w:tc>
          <w:tcPr>
            <w:tcW w:w="40" w:type="dxa"/>
            <w:vAlign w:val="bottom"/>
            <w:tcBorders>
              <w:bottom w:val="single" w:sz="8" w:color="CCEEFF"/>
            </w:tcBorders>
          </w:tcPr>
          <w:p>
            <w:pPr>
              <w:spacing w:after="0"/>
              <w:rPr>
                <w:sz w:val="24"/>
                <w:szCs w:val="24"/>
                <w:color w:val="auto"/>
              </w:rPr>
            </w:pPr>
          </w:p>
        </w:tc>
        <w:tc>
          <w:tcPr>
            <w:tcW w:w="48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b w:val="1"/>
                <w:bCs w:val="1"/>
                <w:color w:val="auto"/>
              </w:rPr>
              <w:t>shares outstanding — Diluted</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57.4</w:t>
            </w:r>
          </w:p>
        </w:tc>
      </w:tr>
      <w:tr>
        <w:trPr>
          <w:trHeight w:val="278"/>
        </w:trPr>
        <w:tc>
          <w:tcPr>
            <w:tcW w:w="4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40" w:type="dxa"/>
            <w:vAlign w:val="bottom"/>
            <w:tcBorders>
              <w:right w:val="single" w:sz="8" w:color="CCEEFF"/>
            </w:tcBorders>
            <w:shd w:val="clear" w:color="auto" w:fill="CCEEFF"/>
          </w:tcPr>
          <w:p>
            <w:pPr>
              <w:spacing w:after="0"/>
              <w:rPr>
                <w:sz w:val="24"/>
                <w:szCs w:val="24"/>
                <w:color w:val="auto"/>
              </w:rPr>
            </w:pPr>
          </w:p>
        </w:tc>
        <w:tc>
          <w:tcPr>
            <w:tcW w:w="4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r>
      <w:tr>
        <w:trPr>
          <w:trHeight w:val="264"/>
        </w:trPr>
        <w:tc>
          <w:tcPr>
            <w:tcW w:w="40" w:type="dxa"/>
            <w:vAlign w:val="bottom"/>
            <w:tcBorders>
              <w:bottom w:val="single" w:sz="8" w:color="CCEEFF"/>
            </w:tcBorders>
          </w:tcPr>
          <w:p>
            <w:pPr>
              <w:spacing w:after="0"/>
              <w:rPr>
                <w:sz w:val="22"/>
                <w:szCs w:val="22"/>
                <w:color w:val="auto"/>
              </w:rPr>
            </w:pPr>
          </w:p>
        </w:tc>
        <w:tc>
          <w:tcPr>
            <w:tcW w:w="48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r>
      <w:tr>
        <w:trPr>
          <w:trHeight w:val="257"/>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0" w:type="dxa"/>
            <w:vAlign w:val="bottom"/>
            <w:tcBorders>
              <w:right w:val="single" w:sz="8" w:color="CCEEFF"/>
            </w:tcBorders>
            <w:shd w:val="clear" w:color="auto" w:fill="CCEEFF"/>
          </w:tcPr>
          <w:p>
            <w:pPr>
              <w:spacing w:after="0"/>
              <w:rPr>
                <w:sz w:val="23"/>
                <w:szCs w:val="23"/>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4880" w:type="dxa"/>
            <w:vAlign w:val="bottom"/>
            <w:gridSpan w:val="3"/>
          </w:tcPr>
          <w:p>
            <w:pPr>
              <w:ind w:left="3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0.55</w:t>
            </w:r>
          </w:p>
        </w:tc>
      </w:tr>
      <w:tr>
        <w:trPr>
          <w:trHeight w:val="270"/>
        </w:trPr>
        <w:tc>
          <w:tcPr>
            <w:tcW w:w="40" w:type="dxa"/>
            <w:vAlign w:val="bottom"/>
            <w:tcBorders>
              <w:right w:val="single" w:sz="8" w:color="CCEEFF"/>
            </w:tcBorders>
            <w:shd w:val="clear" w:color="auto" w:fill="CCEEFF"/>
          </w:tcPr>
          <w:p>
            <w:pPr>
              <w:spacing w:after="0"/>
              <w:rPr>
                <w:sz w:val="23"/>
                <w:szCs w:val="23"/>
                <w:color w:val="auto"/>
              </w:rPr>
            </w:pPr>
          </w:p>
        </w:tc>
        <w:tc>
          <w:tcPr>
            <w:tcW w:w="4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257"/>
        </w:trPr>
        <w:tc>
          <w:tcPr>
            <w:tcW w:w="40" w:type="dxa"/>
            <w:vAlign w:val="bottom"/>
          </w:tcPr>
          <w:p>
            <w:pPr>
              <w:spacing w:after="0"/>
              <w:rPr>
                <w:sz w:val="22"/>
                <w:szCs w:val="22"/>
                <w:color w:val="auto"/>
              </w:rPr>
            </w:pPr>
          </w:p>
        </w:tc>
        <w:tc>
          <w:tcPr>
            <w:tcW w:w="488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0.65</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59"/>
        </w:trPr>
        <w:tc>
          <w:tcPr>
            <w:tcW w:w="8340" w:type="dxa"/>
            <w:vAlign w:val="bottom"/>
            <w:gridSpan w:val="13"/>
          </w:tcPr>
          <w:p>
            <w:pPr>
              <w:spacing w:after="0"/>
              <w:rPr>
                <w:sz w:val="20"/>
                <w:szCs w:val="20"/>
                <w:color w:val="auto"/>
              </w:rPr>
            </w:pPr>
            <w:r>
              <w:rPr>
                <w:rFonts w:ascii="Arial" w:cs="Arial" w:eastAsia="Arial" w:hAnsi="Arial"/>
                <w:sz w:val="18"/>
                <w:szCs w:val="18"/>
                <w:b w:val="1"/>
                <w:bCs w:val="1"/>
                <w:color w:val="auto"/>
              </w:rPr>
              <w:t>Anti-Dilutive Outstanding Stock Awards Issued Under Share-Based Compensation Plans: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8"/>
          </w:tcPr>
          <w:p>
            <w:pPr>
              <w:ind w:left="180"/>
              <w:spacing w:after="0"/>
              <w:rPr>
                <w:sz w:val="20"/>
                <w:szCs w:val="20"/>
                <w:color w:val="auto"/>
              </w:rPr>
            </w:pPr>
            <w:r>
              <w:rPr>
                <w:rFonts w:ascii="Arial" w:cs="Arial" w:eastAsia="Arial" w:hAnsi="Arial"/>
                <w:sz w:val="18"/>
                <w:szCs w:val="18"/>
                <w:b w:val="1"/>
                <w:bCs w:val="1"/>
                <w:color w:val="auto"/>
              </w:rPr>
              <w:t>Three Months Ended July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Nine Months Ended July 31,</w:t>
            </w:r>
          </w:p>
        </w:tc>
      </w:tr>
      <w:tr>
        <w:trPr>
          <w:trHeight w:val="230"/>
        </w:trPr>
        <w:tc>
          <w:tcPr>
            <w:tcW w:w="4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Anti-dilutive</w:t>
            </w:r>
          </w:p>
        </w:tc>
        <w:tc>
          <w:tcPr>
            <w:tcW w:w="2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45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67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 of Our Financial Instruments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399"/>
              <w:spacing w:after="0"/>
              <w:rPr>
                <w:sz w:val="20"/>
                <w:szCs w:val="20"/>
                <w:color w:val="auto"/>
              </w:rPr>
            </w:pPr>
            <w:r>
              <w:rPr>
                <w:rFonts w:ascii="Arial" w:cs="Arial" w:eastAsia="Arial" w:hAnsi="Arial"/>
                <w:sz w:val="16"/>
                <w:szCs w:val="16"/>
                <w:b w:val="1"/>
                <w:bCs w:val="1"/>
                <w:color w:val="auto"/>
              </w:rPr>
              <w:t>Fair Value</w:t>
            </w:r>
          </w:p>
        </w:tc>
      </w:tr>
      <w:tr>
        <w:trPr>
          <w:trHeight w:val="184"/>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2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31, 2016</w:t>
            </w:r>
          </w:p>
        </w:tc>
        <w:tc>
          <w:tcPr>
            <w:tcW w:w="200" w:type="dxa"/>
            <w:vAlign w:val="bottom"/>
          </w:tcPr>
          <w:p>
            <w:pPr>
              <w:spacing w:after="0"/>
              <w:rPr>
                <w:sz w:val="16"/>
                <w:szCs w:val="16"/>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Financial assets measured at fair value on a recurring basis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(2)</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60"/>
        </w:trPr>
        <w:tc>
          <w:tcPr>
            <w:tcW w:w="628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Other select financial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(3)</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9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628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Financial liabilities measured at fair value on a recurring basis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(5)</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Other select financial liability</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327"/>
        </w:trPr>
        <w:tc>
          <w:tcPr>
            <w:tcW w:w="40" w:type="dxa"/>
            <w:vAlign w:val="bottom"/>
          </w:tcPr>
          <w:p>
            <w:pPr>
              <w:spacing w:after="0"/>
              <w:rPr>
                <w:sz w:val="24"/>
                <w:szCs w:val="24"/>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Line of credit</w:t>
            </w:r>
            <w:r>
              <w:rPr>
                <w:rFonts w:ascii="Arial" w:cs="Arial" w:eastAsia="Arial" w:hAnsi="Arial"/>
                <w:sz w:val="21"/>
                <w:szCs w:val="21"/>
                <w:color w:val="auto"/>
                <w:vertAlign w:val="superscript"/>
              </w:rPr>
              <w:t>(7)</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158.0</w:t>
            </w:r>
          </w:p>
        </w:tc>
      </w:tr>
    </w:tbl>
    <w:p>
      <w:pPr>
        <w:spacing w:after="0" w:line="104" w:lineRule="exact"/>
        <w:rPr>
          <w:sz w:val="20"/>
          <w:szCs w:val="20"/>
          <w:color w:val="auto"/>
        </w:rPr>
      </w:pPr>
    </w:p>
    <w:p>
      <w:pPr>
        <w:jc w:val="both"/>
        <w:ind w:firstLine="8"/>
        <w:spacing w:after="0" w:line="314"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313" w:lineRule="exact"/>
        <w:rPr>
          <w:rFonts w:ascii="Arial" w:cs="Arial" w:eastAsia="Arial" w:hAnsi="Arial"/>
          <w:sz w:val="18"/>
          <w:szCs w:val="18"/>
          <w:color w:val="auto"/>
          <w:vertAlign w:val="superscript"/>
        </w:rPr>
      </w:pPr>
    </w:p>
    <w:p>
      <w:pPr>
        <w:jc w:val="both"/>
        <w:ind w:firstLine="8"/>
        <w:spacing w:after="0" w:line="314"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5"/>
          <w:szCs w:val="15"/>
          <w:color w:val="auto"/>
        </w:rPr>
        <w:t>For investments in auction rate securities, the fair value was based on discounted cash flow valuation models, primarily utilizing unobservable inputs. These amounts are included in “Other investments” on the accompanying unaudited consolidated balance sheets. See Note 9, “Auction Rate Securities,” for further information.</w:t>
      </w:r>
    </w:p>
    <w:p>
      <w:pPr>
        <w:spacing w:after="0" w:line="289"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color w:val="auto"/>
        </w:rPr>
        <w:t>Cash and cash equivalents are stated at nominal value, which equals fair value.</w:t>
      </w:r>
    </w:p>
    <w:p>
      <w:pPr>
        <w:spacing w:after="0" w:line="161" w:lineRule="exact"/>
        <w:rPr>
          <w:rFonts w:ascii="Arial" w:cs="Arial" w:eastAsia="Arial" w:hAnsi="Arial"/>
          <w:sz w:val="21"/>
          <w:szCs w:val="21"/>
          <w:color w:val="auto"/>
          <w:vertAlign w:val="superscript"/>
        </w:rPr>
      </w:pPr>
    </w:p>
    <w:p>
      <w:pPr>
        <w:jc w:val="both"/>
        <w:ind w:firstLine="8"/>
        <w:spacing w:after="0" w:line="233" w:lineRule="auto"/>
        <w:tabs>
          <w:tab w:leader="none" w:pos="189"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Represents restricted insurance deposits that are used to collateralize our insurance obligations and are stated at nominal value, which equals fair value. These insurance deposits are included in “Other noncurrent assets” on the accompanying unaudited consolidated balance sheets. See Note 10, “Insurance,” for further information.</w:t>
      </w:r>
    </w:p>
    <w:p>
      <w:pPr>
        <w:spacing w:after="0" w:line="162" w:lineRule="exact"/>
        <w:rPr>
          <w:rFonts w:ascii="Arial" w:cs="Arial" w:eastAsia="Arial" w:hAnsi="Arial"/>
          <w:sz w:val="22"/>
          <w:szCs w:val="22"/>
          <w:color w:val="auto"/>
          <w:vertAlign w:val="superscript"/>
        </w:rPr>
      </w:pPr>
    </w:p>
    <w:p>
      <w:pPr>
        <w:jc w:val="both"/>
        <w:ind w:firstLine="8"/>
        <w:spacing w:after="0" w:line="301"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For 2016 the interest rate swaps were included in “Other noncurrent liabilities,” and for 2015 the interest rate swaps were included in “Other accrued liabilities” on the accompanying unaudited consolidated balance sheets. See Note 11, “Line of Credit,” for more information.</w:t>
      </w:r>
    </w:p>
    <w:p>
      <w:pPr>
        <w:spacing w:after="0" w:line="333" w:lineRule="exact"/>
        <w:rPr>
          <w:rFonts w:ascii="Arial" w:cs="Arial" w:eastAsia="Arial" w:hAnsi="Arial"/>
          <w:sz w:val="18"/>
          <w:szCs w:val="18"/>
          <w:color w:val="auto"/>
          <w:vertAlign w:val="superscript"/>
        </w:rPr>
      </w:pPr>
    </w:p>
    <w:p>
      <w:pPr>
        <w:jc w:val="both"/>
        <w:ind w:firstLine="8"/>
        <w:spacing w:after="0" w:line="237" w:lineRule="auto"/>
        <w:tabs>
          <w:tab w:leader="none" w:pos="189"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Certain of our acquisitions involve the payment of contingent consideration. Depending on the structure of the contingent consideration arrangement, the fair value of the liability is based on either (i) the expected achievement of certain pre-established revenue goals or (ii) pre-defined forecasted adjusted income from operations using a probability weighted income approach. Our contingent consideration liabilities are included in “Other accrued liabilities” on the accompanying unaudited consolidated balance sheets.</w:t>
      </w:r>
    </w:p>
    <w:p>
      <w:pPr>
        <w:spacing w:after="0" w:line="163" w:lineRule="exact"/>
        <w:rPr>
          <w:rFonts w:ascii="Arial" w:cs="Arial" w:eastAsia="Arial" w:hAnsi="Arial"/>
          <w:sz w:val="22"/>
          <w:szCs w:val="22"/>
          <w:color w:val="auto"/>
          <w:vertAlign w:val="superscript"/>
        </w:rPr>
      </w:pPr>
    </w:p>
    <w:p>
      <w:pPr>
        <w:ind w:right="20" w:firstLine="8"/>
        <w:spacing w:after="0" w:line="225" w:lineRule="auto"/>
        <w:tabs>
          <w:tab w:leader="none" w:pos="189"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borrowings under our syndicated line of credit. Due to variable interest rates, the carrying value of outstanding borrowings under our line of credit approximates the fair value. See Note 11, “Line of Credit,” for further information.</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non-financial assets, which include goodwill and long-lived assets held and used, are not required to be measured at fair value on a recurring basis. However, if certain triggering events occur, or if an annual impairment test is required, we would evaluate the non-financial assets for impairment. If an impairment were to occur, the asset would be recorded at the estimated fair value, which is determined using discounted future cash flows for goodwill or undiscounted future cash flows for long-lived assets.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2"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During the nine months ended July 31, 2016,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ADVANCES TO JOINT VENTURES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make various advances to our unconsolidated joint ventures to provide working capital for the joint ventures’ operations, which are not collateralized, do not carry interest, and have no specific repayment terms. At each of July 31, 2016 and October 31, 2015, the aggregate amount of these advances were $1.1 million. These amounts are included in “Other noncurrent assets” on the accompanying unaudited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AUCTION RATE SECURITIES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2015, we held investments in auction rate securities from three different issuers that had an aggregate original principal amount of $15.0 million and an amortized cost and fair value of $13.0 million. During the second quarter of 2016, one of our auction rate securities was redeemed by the issuer at its par value of $5.0 million. No gain or loss was recognized upon its redemption.</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July 31, 2016, the two remaining auction rate securities had an aggregate original principal amount of $10.0 million and an amortized cost and fair value of $8.0 million. These two auction rate securities are debt instruments with stated maturities in 2036 and 2050. The interest rates for these securities are designed to be reset through Dutch auctions approximately every thirty days, but auctions for these securities have not occurred since August 2007.</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July 31, 2016 and October 31, 2015, there were no unrealized gains or losses on our auction rate securities included in accumulated other comprehensive loss, net of taxes (“AOCL”), and the total amount of other-than-temporary impairment credit loss on our auction rate security investments included in our retained earnings was $2.0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July 31, 2016</w:t>
            </w:r>
          </w:p>
        </w:tc>
        <w:tc>
          <w:tcPr>
            <w:tcW w:w="120" w:type="dxa"/>
            <w:vAlign w:val="bottom"/>
            <w:tcBorders>
              <w:bottom w:val="single" w:sz="8" w:color="CCEEFF"/>
            </w:tcBorders>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2015</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+ 0.53% and L + 1.44%</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 + 0.38% – L + 2.13%</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2.15%, L + 2.00%</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 – 10 years</w:t>
            </w: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color w:val="auto"/>
              </w:rPr>
              <w:t>L – One Month LIBOR</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jc w:val="right"/>
              <w:ind w:right="16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10. INSURANCE</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retain up to $0.4 million of exposure on a per participant per-year basis with respect to claims under our medical plan.</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 During 2016, we performed both our annual actuarial evaluation and an actuarial review. As a result of these studies, we increased our reserves for claims related to prior periods by $31.8 million during the nine months ended July 31, 2016,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Actuarial Evaluations Performed During the Third Quarter of 2016</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July 31, 2016, annual actuarial evaluations were performed for the majority of our casualty insurance programs. These evaluations excluded claims relating to certain previously acquired businesses. We expect to complete the evaluation of those claims in the fourth quarter of 2016. These evaluations considered all changes made to claims reserves and claim payment activity for the period commencing May 1, 2015 and ending April 30, 2016 (the “Evaluation Period”). We performed these evaluations for all policy years in which open claims existed.</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annual actuarial evaluations completed to date show unfavorable developments in our estimate of ultimate losses related to general liability, workers’ compensation, and automobile liability claims, as explained below. While we have made significant improvements in our risk management programs, the actuarial evaluation demonstrates these improvements have had a modest impact on prior years and that the impact is not occurring at the pace originally forecasted by the actuaries.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actuarial evaluations related to our general liability program showed that the total number of claims has remained relatively stable for prior years. However, we experienced adverse developments in prior year claims, which are largely attributable to adjustments on certain property damage claims, in addition to losses for alleged bodily injuries. These fact patterns developed subsequent to the actuarial review performed in the first quarter of 2016 and resulted in increases to our estimate of ultimate losses. Also contributing to the increase in projected cost estimates was a higher than expected average incurred cost for our less severe claims observed during the Evaluation Period.</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workers’ compensation estimate of ultimate losses was negatively impacted by increases in projected costs for a significant number of prior year claims in California and New York. These claims have been impacted by statutory, regulatory, and legal implications. In California, we also experienced increases in severity of claims and in frequency of claims beyond that previously projected in the actuarial review performed in the first quarter of 2016.</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automobile liability program covers our fleet of passenger vehicles, service vans, and shuttle buses, which are associated with our various transportation service contracts. Claim frequency and severity associated with our fleet operations developed unfavorably versus actuarial expectations. The adverse development was primarily attributable to claims in 2013 through 2015.</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After analyzing the recent loss development patterns, comparing the loss development against benchmarks, and applying actuarial projection methods to determine the estimate of ultimate losses, we increased our total reserves by $19.8 million during the third quarter of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Actuarial Review Performed During the First Quarter of 2016</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January 31, 2016, an actuarial review was performed for the majority of our casualty insurance programs that indicated unfavorable developments in our estimates of ultimate losses related to certain general liability, workers’ compensation, and automobile liability claims, as described below. This review considered all changes made to claims reserves and claim payment activity for the period commencing May 1, 2015 and ending October 31, 2015 (the “Review Period”). We performed this review for all policy years in which open claims existed.</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our general liability program, claim frequency was generally consistent with our expectations. However, the actuarial review identified adverse developments in prior year claims. The adverse developments can be largely attributed to increases in the projected costs to resolve several high exposure claims within our retained limits. Also contributing to the increase in projected cost estimates was a higher than expected average incurred cost for our less severe claims observed during the Review Period.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workers’ compensation estimate of ultimate losses was negatively impacted by increases in projected costs for a significant number of prior year claims in New York. These claims have been impacted by increases in statutory benefits and a slowing of claims closures observed during the Review Period. In California, we experienced increases in severity of claims and in frequency of claims beyond that previously projected.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our automobile liability program, the increase in the projected cost estimates was primarily associated with significant claim reserve adjustments for a small population of high exposure claims within the 2013 policy year. Also contributing to the increase in projected estimates was an increase in claims frequency in the 2015 policy year observed during the Review Period.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result of these developments in our casualty insurance programs, we increased our reserves for known claims as well as our estimate of the loss amounts associated with incurred but not reported claims. As a result of this actuarial review, we increased our reserves for claims related to prior periods by $6.0 million at January 31, 2016. As we continued to see a similar trend in adverse developments, we increased our reserves by an additional $6.0 million, resulting in a total increase to our reserves for claims related to prior periods of $12.0 million at April 30, 2016.</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July 31, 2016 and October 31, 2015, we had insurance claim reserves totaling $422.6 million and $387.4 million, respectively, which included $6.7 million and $ 8.1 million in reserves, respectively, related to our medical and dental self-insured plans. At July 31, 2016 and October 31, 2015, we also had insurance recoverables, which we include in “Other current assets” and “Other noncurrent assets” on the accompanying unaudited consolidated balance sheets, totaling $69.9 million and $65.9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Used to Collateralize Our Insurance Obligations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0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31, 2016</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3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63"/>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Surety bonds</w:t>
            </w:r>
          </w:p>
        </w:tc>
        <w:tc>
          <w:tcPr>
            <w:tcW w:w="3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Restricted insurance deposits</w:t>
            </w:r>
          </w:p>
        </w:tc>
        <w:tc>
          <w:tcPr>
            <w:tcW w:w="34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0" w:type="dxa"/>
            <w:vAlign w:val="bottom"/>
            <w:vMerge w:val="restart"/>
          </w:tcPr>
          <w:p>
            <w:pPr>
              <w:jc w:val="right"/>
              <w:ind w:right="153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11. LINE OF CREDIT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30, 2010, we entered into a syndicated credit agreement pursuant to which we obtained an unsecured revolving credit facility (the “Facility”). This credit agreement, as amended from time to time, is referred to as the “Credit Agreement.” We can borrow up to $800.0 million under our Credit Agreement, and we have the option to increase the size of the Facility to $1.0 billion at any time prior to the December 11, 2018 expiration date (subject to receipt of commitments for the increased amount from existing and new lenders).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 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Credit Agreement contains certain financial covenants that include a maximum leverage ratio of 3.25 to 1.0 (except as described below) and a minimum fixed charge coverage ratio of 1.50 to 1.0. In addition, we are required to maintain a consolidated net worth in an amount not less than the sum of (i) $570.0 million, (ii) 50% of our consolidated net income (with no deduction for net loss), and (iii) 100% of our aggregate increases in stockholders’ equity beginning on November 30, 2010. In the event of a material acquisition, as defined in the Credit Agreement, we may elect to increase the leverage ratio to 3.50 to 1.0 for a total of four fiscal quarters. As of July 31, 2016, we were in compliance with these covenants.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the lenders can terminate or suspend our access to the Facility, declare all amounts outstanding under the Facility (including all accrued interest and unpaid fees) to be immediately due and payable, and require that we cash collateralize the outstanding standby letters of credit.</w:t>
      </w:r>
    </w:p>
    <w:p>
      <w:pPr>
        <w:spacing w:after="0" w:line="1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The a</w:t>
      </w:r>
      <w:r>
        <w:rPr>
          <w:rFonts w:ascii="Arial" w:cs="Arial" w:eastAsia="Arial" w:hAnsi="Arial"/>
          <w:sz w:val="17"/>
          <w:szCs w:val="17"/>
          <w:color w:val="auto"/>
        </w:rPr>
        <w:t>vailability of our</w:t>
      </w:r>
      <w:r>
        <w:rPr>
          <w:rFonts w:ascii="Arial" w:cs="Arial" w:eastAsia="Arial" w:hAnsi="Arial"/>
          <w:sz w:val="18"/>
          <w:szCs w:val="18"/>
          <w:color w:val="auto"/>
        </w:rPr>
        <w:t xml:space="preserve"> </w:t>
      </w:r>
      <w:r>
        <w:rPr>
          <w:rFonts w:ascii="Arial" w:cs="Arial" w:eastAsia="Arial" w:hAnsi="Arial"/>
          <w:sz w:val="17"/>
          <w:szCs w:val="17"/>
          <w:color w:val="auto"/>
        </w:rPr>
        <w:t>borrowing capacity is subject to, and limited by, compliance with the covenants described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2016</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borrowings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63"/>
        </w:trPr>
        <w:tc>
          <w:tcPr>
            <w:tcW w:w="7120" w:type="dxa"/>
            <w:vAlign w:val="bottom"/>
            <w:gridSpan w:val="3"/>
          </w:tcPr>
          <w:p>
            <w:pPr>
              <w:ind w:left="40"/>
              <w:spacing w:after="0"/>
              <w:rPr>
                <w:sz w:val="20"/>
                <w:szCs w:val="20"/>
                <w:color w:val="auto"/>
              </w:rPr>
            </w:pPr>
            <w:r>
              <w:rPr>
                <w:rFonts w:ascii="Arial" w:cs="Arial" w:eastAsia="Arial" w:hAnsi="Arial"/>
                <w:sz w:val="18"/>
                <w:szCs w:val="18"/>
                <w:color w:val="auto"/>
              </w:rPr>
              <w:t>Standby letters of credit</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112.9</w:t>
            </w:r>
          </w:p>
        </w:tc>
      </w:tr>
      <w:tr>
        <w:trPr>
          <w:trHeight w:val="277"/>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Borrowing capacity</w:t>
            </w:r>
          </w:p>
        </w:tc>
        <w:tc>
          <w:tcPr>
            <w:tcW w:w="3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Facility. Under these arrangements, we typically pay a fixed interest rate in exchange for LIBOR-based variable interest throughout the life of the agreement.</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second quarter of 2016, several interest rate swaps matured that had an underlying aggregate notional amount of $155.0 million. During April and May 2016, we entered into three new interest rate swap agreements with an underlying aggregate notional amount of $105.0 million, a fixed interest rate of 1.05%, and effective dates of April 7, 2016 and May 11, 2016. These swaps were designated and accounted for as cash flow hedges from inception and mature on April 7, 2021 and May 11, 2021.</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recognize interest rate swaps on the accompanying unaudited consolidated balance sheets at fair value. The fair value of our interest rate swaps are estimated based on the present value of the difference between expected cash flows calculated at the contracted interest rates and the expected cash flows at current market interest rates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color w:val="auto"/>
        </w:rPr>
        <w:t>using observable benchmarks for LIBOR forward rates at the end of the period. See Note 7, “Fair Value of Financial Instruments,” for more information.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July 31, 2016 and October 31, 2015, the amounts recorded in AOCL were $0.5 million and $0.1 million, respectively. At July 31, 2016, the amount expected to be reclassified from AOCL to earnings during the next twelve months was $0.2 million.</w:t>
      </w:r>
    </w:p>
    <w:p>
      <w:pPr>
        <w:spacing w:after="0" w:line="120" w:lineRule="exact"/>
        <w:rPr>
          <w:sz w:val="20"/>
          <w:szCs w:val="20"/>
          <w:color w:val="auto"/>
        </w:rPr>
      </w:pPr>
    </w:p>
    <w:p>
      <w:pPr>
        <w:ind w:right="7760" w:firstLine="8"/>
        <w:spacing w:after="0" w:line="451" w:lineRule="auto"/>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Letters of Credit and Surety Bonds</w:t>
      </w:r>
    </w:p>
    <w:p>
      <w:pPr>
        <w:jc w:val="both"/>
        <w:ind w:firstLine="648"/>
        <w:spacing w:after="0" w:line="262"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July 31, 2016, these letters of credit and surety bonds totaled $132.7 million and $392.8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At July 31, 2016 and October 31, 2015, total guarantees were $ 91.9 million and $90.5 million, respectively, and these guarantees extend through 2031 and 2030,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2018. Annual revenues relating to the underlying contracts are approximately $35.0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July 31, 2016, the total amount accrued for all probable litigation losses where a reasonable estimate of the loss could be made was $9.2 million. This $9.2 million includes the accrual of $4.8 million in connection with the settlement of certain cases alleging wage and hour violations. Litigation outcomes are difficult to predict and the estimation of probable losses requires the analysis of multiple possible outcomes that often depend on judgments about potential actions by third parties. There is the potential for a material adverse effect on our financial statements if one or more matters are resolved in a particular period in an amount materially in excess of what we anticipated.</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$15 million, which excludes the Augustus and Bucio cases discussed below.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44" w:right="239" w:bottom="1440" w:gutter="0" w:footer="0" w:header="0"/>
        </w:sectPr>
      </w:pPr>
    </w:p>
    <w:bookmarkStart w:id="17" w:name="page18"/>
    <w:bookmarkEnd w:id="17"/>
    <w:p>
      <w:pPr>
        <w:jc w:val="both"/>
        <w:ind w:firstLine="648"/>
        <w:spacing w:after="0" w:line="256" w:lineRule="auto"/>
        <w:rPr>
          <w:sz w:val="20"/>
          <w:szCs w:val="20"/>
          <w:color w:val="auto"/>
        </w:rPr>
      </w:pPr>
      <w:r>
        <w:rPr>
          <w:rFonts w:ascii="Arial" w:cs="Arial" w:eastAsia="Arial" w:hAnsi="Arial"/>
          <w:sz w:val="18"/>
          <w:szCs w:val="18"/>
          <w:color w:val="auto"/>
        </w:rPr>
        <w:t>While the results of these proceedings, claims, and inquiries cannot be predicted with any certainty, our management believes that the final outcome of these matters will not have a material adverse effect on our consolidated financial statements,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8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Augustus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 approximately 30% of the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 Section 226.7 proscribes only work on a rest break.” The plaintiffs filed a petition for review with the California Supreme</w:t>
      </w:r>
    </w:p>
    <w:p>
      <w:pPr>
        <w:spacing w:after="0" w:line="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Court on March 4, 2015, and on April 29, 2015, the California Supreme Court granted the plaintiffs’ petition. Oral argument has been scheduled for September 29, 2016. We believe that the Appeals Court correctly ruled in our favor, and we look forward to presenting our arguments to the California Supreme Court.</w:t>
      </w:r>
    </w:p>
    <w:p>
      <w:pPr>
        <w:spacing w:after="0" w:line="143"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3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Securities and Exchange Commission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position, results of operations, or cash flows.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4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13. 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 At July 31, 2016, authorization for $157.3 million of repurchases remained under our share repurchase program.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Nine Months Ended July 31,</w:t>
            </w:r>
          </w:p>
        </w:tc>
      </w:tr>
      <w:tr>
        <w:trPr>
          <w:trHeight w:val="230"/>
        </w:trPr>
        <w:tc>
          <w:tcPr>
            <w:tcW w:w="60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620" w:type="dxa"/>
            <w:vAlign w:val="bottom"/>
          </w:tcPr>
          <w:p>
            <w:pPr>
              <w:spacing w:after="0"/>
              <w:rPr>
                <w:sz w:val="19"/>
                <w:szCs w:val="19"/>
                <w:color w:val="auto"/>
              </w:rPr>
            </w:pPr>
          </w:p>
        </w:tc>
        <w:tc>
          <w:tcPr>
            <w:tcW w:w="202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2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50"/>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number of shares repurchased</w:t>
            </w:r>
          </w:p>
        </w:tc>
        <w:tc>
          <w:tcPr>
            <w:tcW w:w="62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6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Average price paid per share</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32.23</w:t>
            </w:r>
          </w:p>
        </w:tc>
      </w:tr>
      <w:tr>
        <w:trPr>
          <w:trHeight w:val="277"/>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paid for share repurchases</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quarterly provision for income taxes is calculated using an estimated annual effective income tax rate, which is adjusted for discrete items that occur during the reporting period.</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income taxes for the three and nine months ended July 31, 2016 were favorably impacted by a benefit of $19.0 million, including interest of $1.0 million, related to expiring statutes of limitations, $ 1.8 million in benefits resulting from the adoption of ASU 2016-09, and the positive impact of the 2016 WOTC. In addition, the nine months ended July 31, 2016 also benefited from $4.9 million of WOTC from the retroactive reinstatement of the WOTC for calendar year 2015 and $1.2 million of tax deductions for energy efficient government buildings.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income taxes for the three and nine months ended July 31, 2015 were favorably impacted by a benefit of $3.4 million related to expiring statutes of limitations and $1.8 million of tax deductions for energy efficient government buildings. In addition, the nine months ended July 31, 2015 also benefited from $3.6 million of WOTC from the retroactive reinstatement of the WOTC for calendar year 2014 and $1.8 million of state employment-based tax credits.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15. SEGMENT INFORMATION</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fourth quarter of 2015, we sold our Security business, which was previously a separate reportable segment. This business is now included within discontinued operations for all periods presented, and we have revised our segment results accordingly. Refer to Note 4, “Discontinued Operations,” for further information. We currently have five reportable segments: Janitorial, Facility Services, Parking, Building &amp; Energy Solutions, and Other.</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w:t>
      </w:r>
    </w:p>
    <w:p>
      <w:pPr>
        <w:spacing w:after="0" w:line="4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and related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adjustments resulting from actuarial developments of self-insurance reserves;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July 31,</w:t>
            </w:r>
          </w:p>
        </w:tc>
        <w:tc>
          <w:tcPr>
            <w:tcW w:w="240" w:type="dxa"/>
            <w:vAlign w:val="bottom"/>
          </w:tcPr>
          <w:p>
            <w:pPr>
              <w:spacing w:after="0"/>
              <w:rPr>
                <w:sz w:val="18"/>
                <w:szCs w:val="18"/>
                <w:color w:val="auto"/>
              </w:rPr>
            </w:pPr>
          </w:p>
        </w:tc>
        <w:tc>
          <w:tcPr>
            <w:tcW w:w="2580" w:type="dxa"/>
            <w:vAlign w:val="bottom"/>
            <w:gridSpan w:val="4"/>
          </w:tcPr>
          <w:p>
            <w:pPr>
              <w:jc w:val="right"/>
              <w:ind w:right="261"/>
              <w:spacing w:after="0"/>
              <w:rPr>
                <w:sz w:val="20"/>
                <w:szCs w:val="20"/>
                <w:color w:val="auto"/>
              </w:rPr>
            </w:pPr>
            <w:r>
              <w:rPr>
                <w:rFonts w:ascii="Arial" w:cs="Arial" w:eastAsia="Arial" w:hAnsi="Arial"/>
                <w:sz w:val="16"/>
                <w:szCs w:val="16"/>
                <w:b w:val="1"/>
                <w:bCs w:val="1"/>
                <w:color w:val="auto"/>
              </w:rPr>
              <w:t>Nine Months Ended July 31,</w:t>
            </w:r>
          </w:p>
        </w:tc>
        <w:tc>
          <w:tcPr>
            <w:tcW w:w="0" w:type="dxa"/>
            <w:vAlign w:val="bottom"/>
          </w:tcPr>
          <w:p>
            <w:pPr>
              <w:spacing w:after="0"/>
              <w:rPr>
                <w:sz w:val="1"/>
                <w:szCs w:val="1"/>
                <w:color w:val="auto"/>
              </w:rPr>
            </w:pPr>
          </w:p>
        </w:tc>
      </w:tr>
      <w:tr>
        <w:trPr>
          <w:trHeight w:val="227"/>
        </w:trPr>
        <w:tc>
          <w:tcPr>
            <w:tcW w:w="56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600" w:type="dxa"/>
            <w:vAlign w:val="bottom"/>
            <w:gridSpan w:val="3"/>
          </w:tcPr>
          <w:p>
            <w:pPr>
              <w:ind w:left="40"/>
              <w:spacing w:after="0"/>
              <w:rPr>
                <w:sz w:val="20"/>
                <w:szCs w:val="20"/>
                <w:color w:val="auto"/>
              </w:rPr>
            </w:pPr>
            <w:r>
              <w:rPr>
                <w:rFonts w:ascii="Arial" w:cs="Arial" w:eastAsia="Arial" w:hAnsi="Arial"/>
                <w:sz w:val="16"/>
                <w:szCs w:val="16"/>
                <w:color w:val="auto"/>
              </w:rPr>
              <w:t>Janitorial</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691.8</w:t>
            </w:r>
          </w:p>
        </w:tc>
        <w:tc>
          <w:tcPr>
            <w:tcW w:w="10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678.5</w:t>
            </w:r>
          </w:p>
        </w:tc>
        <w:tc>
          <w:tcPr>
            <w:tcW w:w="120" w:type="dxa"/>
            <w:vAlign w:val="bottom"/>
          </w:tcPr>
          <w:p>
            <w:pPr>
              <w:spacing w:after="0"/>
              <w:rPr>
                <w:sz w:val="23"/>
                <w:szCs w:val="23"/>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2,063.9</w:t>
            </w:r>
          </w:p>
        </w:tc>
        <w:tc>
          <w:tcPr>
            <w:tcW w:w="100" w:type="dxa"/>
            <w:vAlign w:val="bottom"/>
          </w:tcPr>
          <w:p>
            <w:pPr>
              <w:spacing w:after="0"/>
              <w:rPr>
                <w:sz w:val="23"/>
                <w:szCs w:val="23"/>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2,004.0</w:t>
            </w:r>
          </w:p>
        </w:tc>
        <w:tc>
          <w:tcPr>
            <w:tcW w:w="0" w:type="dxa"/>
            <w:vAlign w:val="bottom"/>
          </w:tcPr>
          <w:p>
            <w:pPr>
              <w:spacing w:after="0"/>
              <w:rPr>
                <w:sz w:val="1"/>
                <w:szCs w:val="1"/>
                <w:color w:val="auto"/>
              </w:rPr>
            </w:pPr>
          </w:p>
        </w:tc>
      </w:tr>
      <w:tr>
        <w:trPr>
          <w:trHeight w:val="274"/>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Facility Services</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447.6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266"/>
        </w:trPr>
        <w:tc>
          <w:tcPr>
            <w:tcW w:w="5600" w:type="dxa"/>
            <w:vAlign w:val="bottom"/>
            <w:gridSpan w:val="3"/>
          </w:tcPr>
          <w:p>
            <w:pPr>
              <w:ind w:left="40"/>
              <w:spacing w:after="0"/>
              <w:rPr>
                <w:sz w:val="20"/>
                <w:szCs w:val="20"/>
                <w:color w:val="auto"/>
              </w:rPr>
            </w:pPr>
            <w:r>
              <w:rPr>
                <w:rFonts w:ascii="Arial" w:cs="Arial" w:eastAsia="Arial" w:hAnsi="Arial"/>
                <w:sz w:val="16"/>
                <w:szCs w:val="16"/>
                <w:color w:val="auto"/>
              </w:rPr>
              <w:t>Parking</w:t>
            </w:r>
          </w:p>
        </w:tc>
        <w:tc>
          <w:tcPr>
            <w:tcW w:w="24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494.4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274"/>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Building &amp; Energy Solutions</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149.1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470.7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390.0</w:t>
            </w:r>
          </w:p>
        </w:tc>
        <w:tc>
          <w:tcPr>
            <w:tcW w:w="0" w:type="dxa"/>
            <w:vAlign w:val="bottom"/>
          </w:tcPr>
          <w:p>
            <w:pPr>
              <w:spacing w:after="0"/>
              <w:rPr>
                <w:sz w:val="1"/>
                <w:szCs w:val="1"/>
                <w:color w:val="auto"/>
              </w:rPr>
            </w:pPr>
          </w:p>
        </w:tc>
      </w:tr>
      <w:tr>
        <w:trPr>
          <w:trHeight w:val="266"/>
        </w:trPr>
        <w:tc>
          <w:tcPr>
            <w:tcW w:w="56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113.0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345.8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1,296.9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1,249.9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3,822.4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3,620.8</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40"/>
              <w:spacing w:after="0" w:line="295" w:lineRule="exact"/>
              <w:rPr>
                <w:sz w:val="20"/>
                <w:szCs w:val="20"/>
                <w:color w:val="auto"/>
              </w:rPr>
            </w:pPr>
            <w:r>
              <w:rPr>
                <w:rFonts w:ascii="Arial" w:cs="Arial" w:eastAsia="Arial" w:hAnsi="Arial"/>
                <w:sz w:val="16"/>
                <w:szCs w:val="16"/>
                <w:b w:val="1"/>
                <w:bCs w:val="1"/>
                <w:color w:val="auto"/>
              </w:rPr>
              <w:t>Operating profit (loss):</w:t>
            </w:r>
            <w:r>
              <w:rPr>
                <w:rFonts w:ascii="Arial" w:cs="Arial" w:eastAsia="Arial" w:hAnsi="Arial"/>
                <w:sz w:val="26"/>
                <w:szCs w:val="26"/>
                <w:b w:val="1"/>
                <w:bCs w:val="1"/>
                <w:color w:val="auto"/>
                <w:vertAlign w:val="superscript"/>
              </w:rPr>
              <w:t>(1)</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60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Janitorial</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66"/>
        </w:trPr>
        <w:tc>
          <w:tcPr>
            <w:tcW w:w="5600" w:type="dxa"/>
            <w:vAlign w:val="bottom"/>
            <w:gridSpan w:val="3"/>
          </w:tcPr>
          <w:p>
            <w:pPr>
              <w:ind w:left="40"/>
              <w:spacing w:after="0"/>
              <w:rPr>
                <w:sz w:val="20"/>
                <w:szCs w:val="20"/>
                <w:color w:val="auto"/>
              </w:rPr>
            </w:pPr>
            <w:r>
              <w:rPr>
                <w:rFonts w:ascii="Arial" w:cs="Arial" w:eastAsia="Arial" w:hAnsi="Arial"/>
                <w:sz w:val="16"/>
                <w:szCs w:val="16"/>
                <w:color w:val="auto"/>
              </w:rPr>
              <w:t>Facility Services</w:t>
            </w:r>
          </w:p>
        </w:tc>
        <w:tc>
          <w:tcPr>
            <w:tcW w:w="24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74"/>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Parking</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66"/>
        </w:trPr>
        <w:tc>
          <w:tcPr>
            <w:tcW w:w="5600" w:type="dxa"/>
            <w:vAlign w:val="bottom"/>
            <w:gridSpan w:val="3"/>
          </w:tcPr>
          <w:p>
            <w:pPr>
              <w:ind w:left="40"/>
              <w:spacing w:after="0"/>
              <w:rPr>
                <w:sz w:val="20"/>
                <w:szCs w:val="20"/>
                <w:color w:val="auto"/>
              </w:rPr>
            </w:pPr>
            <w:r>
              <w:rPr>
                <w:rFonts w:ascii="Arial" w:cs="Arial" w:eastAsia="Arial" w:hAnsi="Arial"/>
                <w:sz w:val="16"/>
                <w:szCs w:val="16"/>
                <w:color w:val="auto"/>
              </w:rPr>
              <w:t>Building &amp; Energy Solutions</w:t>
            </w:r>
          </w:p>
        </w:tc>
        <w:tc>
          <w:tcPr>
            <w:tcW w:w="24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74"/>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66"/>
        </w:trPr>
        <w:tc>
          <w:tcPr>
            <w:tcW w:w="560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2"/>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 Building</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&amp; Energy Solutions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8"/>
        </w:trPr>
        <w:tc>
          <w:tcPr>
            <w:tcW w:w="560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Borders>
              <w:bottom w:val="single" w:sz="8" w:color="CCEEFF"/>
            </w:tcBorders>
          </w:tcPr>
          <w:p>
            <w:pPr>
              <w:spacing w:after="0"/>
              <w:rPr>
                <w:sz w:val="16"/>
                <w:szCs w:val="16"/>
                <w:color w:val="auto"/>
              </w:rPr>
            </w:pPr>
          </w:p>
        </w:tc>
        <w:tc>
          <w:tcPr>
            <w:tcW w:w="5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included in Building &amp; Energy Solutions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50"/>
        </w:trPr>
        <w:tc>
          <w:tcPr>
            <w:tcW w:w="560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24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1"/>
        </w:trPr>
        <w:tc>
          <w:tcPr>
            <w:tcW w:w="5600" w:type="dxa"/>
            <w:vAlign w:val="bottom"/>
            <w:gridSpan w:val="3"/>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8"/>
        <w:spacing w:after="0" w:line="301"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sale of our Security business, certain general corporate expenses that were previously allocated to Security are now allocated to Corporate expenses and to the Janitorial segment. In addition, certain Corporate expenses that were directly related to the operations of our former Security business have been allocated to discontinued operations. The net impact of these changes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July 31,</w:t>
            </w:r>
          </w:p>
        </w:tc>
        <w:tc>
          <w:tcPr>
            <w:tcW w:w="2260" w:type="dxa"/>
            <w:vAlign w:val="bottom"/>
          </w:tcPr>
          <w:p>
            <w:pPr>
              <w:jc w:val="right"/>
              <w:ind w:right="301"/>
              <w:spacing w:after="0"/>
              <w:rPr>
                <w:sz w:val="20"/>
                <w:szCs w:val="20"/>
                <w:color w:val="auto"/>
              </w:rPr>
            </w:pPr>
            <w:r>
              <w:rPr>
                <w:rFonts w:ascii="Arial" w:cs="Arial" w:eastAsia="Arial" w:hAnsi="Arial"/>
                <w:sz w:val="16"/>
                <w:szCs w:val="16"/>
                <w:b w:val="1"/>
                <w:bCs w:val="1"/>
                <w:color w:val="auto"/>
              </w:rPr>
              <w:t>Nine Months Ended</w:t>
            </w:r>
          </w:p>
        </w:tc>
      </w:tr>
      <w:tr>
        <w:trPr>
          <w:trHeight w:val="177"/>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80" w:type="dxa"/>
            <w:vAlign w:val="bottom"/>
          </w:tcPr>
          <w:p>
            <w:pPr>
              <w:jc w:val="right"/>
              <w:ind w:right="881"/>
              <w:spacing w:after="0" w:line="177" w:lineRule="exact"/>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5"/>
                <w:szCs w:val="15"/>
                <w:color w:val="auto"/>
              </w:rPr>
            </w:pPr>
          </w:p>
        </w:tc>
        <w:tc>
          <w:tcPr>
            <w:tcW w:w="2260" w:type="dxa"/>
            <w:vAlign w:val="bottom"/>
          </w:tcPr>
          <w:p>
            <w:pPr>
              <w:jc w:val="right"/>
              <w:ind w:right="561"/>
              <w:spacing w:after="0" w:line="177" w:lineRule="exact"/>
              <w:rPr>
                <w:sz w:val="20"/>
                <w:szCs w:val="20"/>
                <w:color w:val="auto"/>
              </w:rPr>
            </w:pPr>
            <w:r>
              <w:rPr>
                <w:rFonts w:ascii="Arial" w:cs="Arial" w:eastAsia="Arial" w:hAnsi="Arial"/>
                <w:sz w:val="16"/>
                <w:szCs w:val="16"/>
                <w:b w:val="1"/>
                <w:bCs w:val="1"/>
                <w:color w:val="auto"/>
              </w:rPr>
              <w:t>July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5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Janitorial</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2"/>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28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2260" w:type="dxa"/>
            <w:vAlign w:val="bottom"/>
          </w:tcPr>
          <w:p>
            <w:pPr>
              <w:jc w:val="right"/>
              <w:ind w:right="21"/>
              <w:spacing w:after="0"/>
              <w:rPr>
                <w:sz w:val="20"/>
                <w:szCs w:val="20"/>
                <w:color w:val="auto"/>
              </w:rPr>
            </w:pPr>
            <w:r>
              <w:rPr>
                <w:rFonts w:ascii="Arial" w:cs="Arial" w:eastAsia="Arial" w:hAnsi="Arial"/>
                <w:sz w:val="16"/>
                <w:szCs w:val="16"/>
                <w:color w:val="auto"/>
              </w:rPr>
              <w:t>2.8</w:t>
            </w:r>
          </w:p>
        </w:tc>
      </w:tr>
    </w:tbl>
    <w:p>
      <w:pPr>
        <w:spacing w:after="0" w:line="200" w:lineRule="exact"/>
        <w:rPr>
          <w:sz w:val="20"/>
          <w:szCs w:val="20"/>
          <w:color w:val="auto"/>
        </w:rPr>
      </w:pPr>
    </w:p>
    <w:p>
      <w:pPr>
        <w:sectPr>
          <w:pgSz w:w="11900" w:h="16838" w:orient="portrait"/>
          <w:cols w:equalWidth="0" w:num="1">
            <w:col w:w="11420"/>
          </w:cols>
          <w:pgMar w:left="240" w:top="522" w:right="239" w:bottom="1440" w:gutter="0" w:footer="0" w:header="0"/>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22"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2015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 Throughout the MD&amp;A, amounts and percentages may not recalculate due to rounding. Unless otherwise noted, all information in the MD&amp;A and references to years are based on our fiscal year, which ends on October 31. Our MD&amp;A is comprised of the following sections:</w:t>
      </w:r>
    </w:p>
    <w:p>
      <w:pPr>
        <w:spacing w:after="0" w:line="1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is a leading provider of integrated facility solutions, customized by industry, that enable our clients to deliver exceptional facilities experiences. In September 2015, following a comprehensive strategic review, we announced a transformation initiative (our “2020 Vision”)</w:t>
      </w:r>
      <w:r>
        <w:rPr>
          <w:rFonts w:ascii="Arial" w:cs="Arial" w:eastAsia="Arial" w:hAnsi="Arial"/>
          <w:sz w:val="18"/>
          <w:szCs w:val="18"/>
          <w:i w:val="1"/>
          <w:iCs w:val="1"/>
          <w:color w:val="auto"/>
        </w:rPr>
        <w:t>,</w:t>
      </w:r>
      <w:r>
        <w:rPr>
          <w:rFonts w:ascii="Arial" w:cs="Arial" w:eastAsia="Arial" w:hAnsi="Arial"/>
          <w:sz w:val="18"/>
          <w:szCs w:val="18"/>
          <w:color w:val="auto"/>
        </w:rPr>
        <w:t xml:space="preserve"> which we expect will drive long-term profitable growth and enhance shareholder value. During the fourth quarter of 2015, we launched our 2020 Vision and began to reorganize how we deliver services. We are pursuing an industry-based, go-to-market strategy that focuses on five groups: Aviation, Business and Industry, Education, Healthcare, and High Tech. Our technical services business complements these industry groups and supports our initiative to deliver value-added solutions through the ability to supply mechanical, electrical, and core services. In addition, we divested our Security business during the fourth quarter of 2015. The Security business is now included within discontinued operations for all periods presented, and we have revised our segment results accordingly.</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2016, we will continue to execute our multi-phased 2020 Vision by focusing on organizational realignment, consistent excellence, cost optimization, and talent development. The elements of this strategy are described below.</w:t>
      </w:r>
    </w:p>
    <w:p>
      <w:pPr>
        <w:spacing w:after="0" w:line="142"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u w:val="single" w:color="auto"/>
          <w:color w:val="auto"/>
        </w:rPr>
        <w:t>Organizational Realignment</w:t>
      </w:r>
      <w:r>
        <w:rPr>
          <w:rFonts w:ascii="Arial" w:cs="Arial" w:eastAsia="Arial" w:hAnsi="Arial"/>
          <w:sz w:val="18"/>
          <w:szCs w:val="18"/>
          <w:color w:val="auto"/>
        </w:rPr>
        <w:t>: Aligning our business operations for specific industries and developing custom client solutions will transform us into an integrated, industry-focused company, with a simplified organizational structure and a consolidated shared services model.</w:t>
      </w:r>
    </w:p>
    <w:p>
      <w:pPr>
        <w:spacing w:after="0" w:line="147" w:lineRule="exact"/>
        <w:rPr>
          <w:rFonts w:ascii="Arial" w:cs="Arial" w:eastAsia="Arial" w:hAnsi="Arial"/>
          <w:sz w:val="18"/>
          <w:szCs w:val="18"/>
          <w:i w:val="1"/>
          <w:iCs w:val="1"/>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Consistent Excellence</w:t>
      </w:r>
      <w:r>
        <w:rPr>
          <w:rFonts w:ascii="Arial" w:cs="Arial" w:eastAsia="Arial" w:hAnsi="Arial"/>
          <w:sz w:val="18"/>
          <w:szCs w:val="18"/>
          <w:color w:val="auto"/>
        </w:rPr>
        <w:t>: Implementing best practices in account management and labor management across the organization, and developing a more integrated approach for continuous improvement in our risk and safety programs.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Cost Optimization</w:t>
      </w:r>
      <w:r>
        <w:rPr>
          <w:rFonts w:ascii="Arial" w:cs="Arial" w:eastAsia="Arial" w:hAnsi="Arial"/>
          <w:sz w:val="18"/>
          <w:szCs w:val="18"/>
          <w:color w:val="auto"/>
        </w:rPr>
        <w:t>: Leveraging our scale to manage costs more efficiently and effectively through enhanced procurement management.</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Talent Development</w:t>
      </w:r>
      <w:r>
        <w:rPr>
          <w:rFonts w:ascii="Arial" w:cs="Arial" w:eastAsia="Arial" w:hAnsi="Arial"/>
          <w:sz w:val="18"/>
          <w:szCs w:val="18"/>
          <w:color w:val="auto"/>
        </w:rPr>
        <w:t>: Creating greater opportunities and career paths for our employees, thereby laying the foundation for our future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2016 Highlights—2020 Vision Restructuring</w:t>
      </w:r>
      <w:r>
        <w:rPr>
          <w:rFonts w:ascii="Arial" w:cs="Arial" w:eastAsia="Arial" w:hAnsi="Arial"/>
          <w:sz w:val="18"/>
          <w:szCs w:val="18"/>
          <w:color w:val="auto"/>
        </w:rPr>
        <w:t>” below for additional details on these initiatives.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2016 Highlights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Vision Restructuring</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execution of our 2020 Vision, we anticipate total pre-tax restructuring and related charges will range from $45 million to $60 million. We expect these costs to consist of employee severance from $17 million to $20 million, external support fees from $14 million to $19 million, other project fees from $7 million to $8 million, lease exit costs related to real estate consolidation from $ 5 million to $10 million, and the write-down of certain investments from $2 million to $3 million. We anticipate that the majority of these charges will be incurred through the end of 2016. The following table represents costs incurred during the three and nine months ended July 31, 2016, and cumulative costs incurred from inception of our 2020 Vision in the fourth quarter of 2015.</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b w:val="1"/>
                <w:bCs w:val="1"/>
                <w:color w:val="auto"/>
              </w:rPr>
              <w:t>Three Months Ended July</w:t>
            </w:r>
          </w:p>
        </w:tc>
        <w:tc>
          <w:tcPr>
            <w:tcW w:w="140" w:type="dxa"/>
            <w:vAlign w:val="bottom"/>
          </w:tcPr>
          <w:p>
            <w:pPr>
              <w:spacing w:after="0"/>
              <w:rPr>
                <w:sz w:val="17"/>
                <w:szCs w:val="17"/>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Nine Months Ended July</w:t>
            </w: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2"/>
        </w:trPr>
        <w:tc>
          <w:tcPr>
            <w:tcW w:w="39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8"/>
                <w:szCs w:val="18"/>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b w:val="1"/>
                <w:bCs w:val="1"/>
                <w:color w:val="auto"/>
              </w:rPr>
              <w:t>31, 2016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77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External Support Fees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r>
      <w:tr>
        <w:trPr>
          <w:trHeight w:val="263"/>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Employee Severance</w:t>
            </w:r>
          </w:p>
        </w:tc>
        <w:tc>
          <w:tcPr>
            <w:tcW w:w="480" w:type="dxa"/>
            <w:vAlign w:val="bottom"/>
          </w:tcPr>
          <w:p>
            <w:pPr>
              <w:spacing w:after="0"/>
              <w:rPr>
                <w:sz w:val="22"/>
                <w:szCs w:val="22"/>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12.0</w:t>
            </w:r>
          </w:p>
        </w:tc>
      </w:tr>
      <w:tr>
        <w:trPr>
          <w:trHeight w:val="277"/>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 Exit and Other</w:t>
            </w:r>
          </w:p>
        </w:tc>
        <w:tc>
          <w:tcPr>
            <w:tcW w:w="48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64"/>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Asset Impairment</w:t>
            </w:r>
          </w:p>
        </w:tc>
        <w:tc>
          <w:tcPr>
            <w:tcW w:w="480" w:type="dxa"/>
            <w:vAlign w:val="bottom"/>
          </w:tcPr>
          <w:p>
            <w:pPr>
              <w:spacing w:after="0"/>
              <w:rPr>
                <w:sz w:val="22"/>
                <w:szCs w:val="22"/>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50"/>
        </w:trPr>
        <w:tc>
          <w:tcPr>
            <w:tcW w:w="39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w:t>
            </w: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2020 Vision is expected to be fully implemented by the second half of 2017. We are anticipating an annualized run-rate for operational benefits in the range of $ 40 million to $50 million by the end of 2017. During the nine months ended July 31, 2016, we realized $12.9 million of savings in connection with this initiative.</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our 2020 Vision, we are aligning our business operations to support specific industries through the creation of a new organizational structure. As part of this reorganization, we have eliminated several of our traditional personnel roles that existed under our service line structure, and we are in the process of selecting talent to fill newly created roles under our new organization. As such, we are benefiting from the timing of several investments in headcount that have not yet been made. While we expect to incur these personnel-related expenses in the future as these open positions are filled, it is difficult to predict the timing of when these hirings will occur. As such, we may continue to see this benefit in future months.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2016, we performed both our annual actuarial evaluation and an actuarial review, as described below. As a result of these studies, we increased our reserves for claims related to prior periods by $31.8 million during the nine months ended July 31, 2016. Due to the actuarial evaluation completed during 2015, we increased our reserves for claims related to prior periods by $35.8 million during the three and nine months ended July 31, 2015. As such, on a year-over-year basis, there was a decrease in self-insurance expense related to prior year claims.</w:t>
      </w:r>
    </w:p>
    <w:p>
      <w:pPr>
        <w:spacing w:after="0" w:line="1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Annual Actuarial Evaluations Performed During the Third Quarter of 2016. </w:t>
      </w:r>
      <w:r>
        <w:rPr>
          <w:rFonts w:ascii="Arial" w:cs="Arial" w:eastAsia="Arial" w:hAnsi="Arial"/>
          <w:sz w:val="18"/>
          <w:szCs w:val="18"/>
          <w:color w:val="auto"/>
        </w:rPr>
        <w:t>During the three months ended July 31, 2016,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actuarial evaluations were performed for the majority of our casualty insurance programs. These evaluations excluded claims relating to certain previously acquired businesses. We expect to complete the evaluation of those claims in the fourth quarter of 2016. These evaluations considered all changes made to claims reserves and claim payment activity for the period commencing May 1, 2015 and ending April 30, 2016 (the “Evaluation Period”). We performed these evaluations for all policy years in which open claims existed.</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have made significant improvements in our risk management programs, the actuarial evaluation demonstrates these improvements have had a modest impact on prior years and that the impact is not occurring at the pace originally forecasted by the actuaries. The average claim cost was also unfavorably impacted by increases in legal fees, medical costs, and other claim management expenses necessary to adjudicate the claims with dates of loss prior to 2016.</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actuarial evaluations related to our general liability program showed that the total number of claims has remained relatively stable for prior years. However, we experienced adverse developments in prior year claims, which are largely attributable to adjustments on certain property damage claims, in addition to losses for alleged bodily injuries. These fact patterns developed subsequent to the actuarial review performed in the first quarter of 2016 and resulted in increases to our estimate of ultimate losses. Also contributing to the increase in projected cost estimates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8"/>
          <w:szCs w:val="18"/>
          <w:color w:val="auto"/>
        </w:rPr>
        <w:t>was a higher than expected average incurred cost for our less severe claims observed during the Evaluation Period. The actuarial analysis also showed the total number of general liability claims improved in 2016. However, this trend data is not yet fully mature, therefore the ultimate claim and severity projections are subject to significant volatility.</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workers’ compensation estimate of ultimate losses was negatively impacted by increases in projected costs for a significant number of prior year claims in California and New York. These claims have been impacted by statutory, regulatory, and legal implications. In California, we also experienced increases in severity of claims and in frequency of claims beyond that previously projected in the actuarial review performed in the first quarter of 2016. Our claims data in 2016 is showing improvements with a reduction in the number of lost time cases, however ultimate claim count and severity projections are subject to volatility.</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automobile liability program covers our fleet of passenger vehicles, service vans, and shuttle buses, which are associated with our various transportation service contracts. Claim frequency and severity associated with our fleet operations developed unfavorably versus actuarial expectations. The adverse development was primarily attributable to claims in 2013 through 2015.</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After analyzing the recent loss development patterns, comparing the loss development against benchmarks, and applying actuarial projection methods to determine the estimate of ultimate losses, we increased our total reserves by $19.8 million during the third quarter of 2016.</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Actuarial Review Performed During the First Quarter of 2016. </w:t>
      </w:r>
      <w:r>
        <w:rPr>
          <w:rFonts w:ascii="Arial" w:cs="Arial" w:eastAsia="Arial" w:hAnsi="Arial"/>
          <w:sz w:val="18"/>
          <w:szCs w:val="18"/>
          <w:color w:val="auto"/>
        </w:rPr>
        <w:t>During the three months ended January 31, 2016, an actuarial review</w:t>
      </w:r>
      <w:r>
        <w:rPr>
          <w:rFonts w:ascii="Arial" w:cs="Arial" w:eastAsia="Arial" w:hAnsi="Arial"/>
          <w:sz w:val="18"/>
          <w:szCs w:val="18"/>
          <w:i w:val="1"/>
          <w:iCs w:val="1"/>
          <w:color w:val="auto"/>
        </w:rPr>
        <w:t xml:space="preserve"> </w:t>
      </w:r>
      <w:r>
        <w:rPr>
          <w:rFonts w:ascii="Arial" w:cs="Arial" w:eastAsia="Arial" w:hAnsi="Arial"/>
          <w:sz w:val="18"/>
          <w:szCs w:val="18"/>
          <w:color w:val="auto"/>
        </w:rPr>
        <w:t>was performed for the majority of our casualty insurance programs that indicated unfavorable developments in our estimates of ultimate losses related to certain general liability, workers’ compensation, and automobile liability claims, as described below. This review considered all changes made to claims reserves and claim payment activity for the period commencing May 1, 2015 and ending October 31, 2015 (the “Review Period”). We performed this review for all policy years in which open claims existed</w:t>
      </w:r>
      <w:r>
        <w:rPr>
          <w:rFonts w:ascii="Arial" w:cs="Arial" w:eastAsia="Arial" w:hAnsi="Arial"/>
          <w:sz w:val="19"/>
          <w:szCs w:val="19"/>
          <w:color w:val="auto"/>
        </w:rPr>
        <w:t>.</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our general liability program, claim frequency was generally consistent with our expectations. However, the actuarial review identified adverse developments in prior year claims. The adverse developments can be largely attributed to increases in the projected costs to resolve several high exposure claims within our retained limits. Also contributing to the increase in projected cost estimates was a higher than expected average incurred cost for our less severe claims observed during the Review Period.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workers’ compensation estimate of ultimate losses was negatively impacted by increases in projected costs for a significant number of prior year claims in New York. These claims have been impacted by increases in statutory benefits and a slowing of claims closures observed during the Review Period. In California, we experienced increases in severity of claims and in frequency of claims beyond that previously projected.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our automobile liability program, the increase in the projected cost estimates was primarily associated with significant claim reserve adjustments for a small population of high exposure claims within the 2013 policy year. Also contributing to the increase in projected estimates was an increase in claims frequency in the 2015 policy year observed during the Review Period.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result of these developments in our casualty insurance programs, we increased our reserves for known claims as well as our estimate of the loss amounts associated with incurred but not reported claims. As a result of this actuarial review, we increased our reserves for claims related to prior periods by $6.0 million at January 31, 2016. As we continued to see a similar trend in adverse developments, we increased our reserves by an additional $6.0 million, resulting in a total increase to our reserves for claims related to prior periods of $12.0 million at April 30, 2016.</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Annual Actuarial Evaluations Performed During the Third Quarter of 2015. </w:t>
      </w:r>
      <w:r>
        <w:rPr>
          <w:rFonts w:ascii="Arial" w:cs="Arial" w:eastAsia="Arial" w:hAnsi="Arial"/>
          <w:sz w:val="18"/>
          <w:szCs w:val="18"/>
          <w:color w:val="auto"/>
        </w:rPr>
        <w:t>During the third quarter of 2015, our actuarial evaluations</w:t>
      </w:r>
      <w:r>
        <w:rPr>
          <w:rFonts w:ascii="Arial" w:cs="Arial" w:eastAsia="Arial" w:hAnsi="Arial"/>
          <w:sz w:val="18"/>
          <w:szCs w:val="18"/>
          <w:i w:val="1"/>
          <w:iCs w:val="1"/>
          <w:color w:val="auto"/>
        </w:rPr>
        <w:t xml:space="preserve"> </w:t>
      </w:r>
      <w:r>
        <w:rPr>
          <w:rFonts w:ascii="Arial" w:cs="Arial" w:eastAsia="Arial" w:hAnsi="Arial"/>
          <w:sz w:val="18"/>
          <w:szCs w:val="18"/>
          <w:color w:val="auto"/>
        </w:rPr>
        <w:t>showed unfavorable developments in our estimate of ultimate losses related to certain general liability, workers’ compensation, and automobile liability claims. These evaluations indicated that previously estimated decreases in our average claim cost and the anticipated reduction in the total number of claims had not occurred at the pace contemplated in the 2014 actuarial evaluations. As a result, in the third quarter of 2015, we increased our insurance reserves for years prior to 2015 by $35.8 million. In addition, we increased the rate used to record our insurance reserves in 2016, which resulted in higher insurance expense related to current year claims for the nine months ended July 31, 2016.</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4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i w:val="1"/>
          <w:iCs w:val="1"/>
          <w:color w:val="auto"/>
        </w:rPr>
        <w:t>Taxes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income taxes for the three and nine months ended July 31, 2016 were favorably impacted by a benefit of $19.0 million, including interest of $1.0 million, related to expiring statutes of limitations and the Work Opportunity Tax Credits (“WOTC”). The WOTC program is a federal tax credit that provides financial incentives to hire individuals from certain target groups who have faced significant barriers to employment. In December 2015, the U.S. Congress retroactively reinstated and extended WOTC for the five-year period commencing January 1, 2015 and extending through December 31, 2019. During the first quarter of 2016, we benefited from the retroactive reinstatement for ten months of our fiscal year 2015, as it reduced our tax expense by $4.9 million for continuing operations. The WOTC benefit related to new hires during 2016 is expected to result in a reduction of tax expense of approximately $7 million during the fiscal year.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Westway Acquisition</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2016, we acquired Westway Services Holdings (2014) Ltd. (“Westway”), a provider of technical engineering services to clients in the United Kingdom. This acquisition complements ABM’s existing technical services business and supports our initiative to deliver value-added solutions through the ability to supply mechanical, electrical, and core service lines to our current client base in the United Kingdom. In addition, this acquisition provides the opportunity to cross sell ABM’s services to existing Westway clients. Further, this acquisition is in line with our long-term strategic vision as we believe we can achieve higher margins and deliver greater value to our shareholders through our technical services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193" w:lineRule="exact"/>
        <w:rPr>
          <w:sz w:val="20"/>
          <w:szCs w:val="20"/>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 increased by $47.0 million, or 3.8%, during the three months ended July 31, 2016, as compared to the three months ended July 31, 2015. Organic revenue increased 2.2%.</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increased by $26.1 million during the three months ended July 31, 2016, as compared to the three months ended July 31, 2015. The increase in operating profit is primarily attributable to a lower self-insurance adjustment. Also benefiting the quarter were higher margin revenues, savings from our 2020 Vision initiatives, and one less working day.</w:t>
      </w:r>
    </w:p>
    <w:p>
      <w:pPr>
        <w:spacing w:after="0" w:line="14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income from continuing operations for the three and nine months ended July 31, 2016 were favorably impacted by a tax benefit of $19.0 million related to expiring statutes of limitations, including $1.0 million of related interest.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$98.5 million during the nine months ended July 31, 2016.</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three months ended July 31, 2016, we purchased 0.3 million shares of our common stock at an average price of $35.62 per share for a total of $9.7 million.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of $27.7 million were paid to shareholders, and dividends totaling $0.495 per common share were declared during the nine months ended July 31, 2016.</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July 31, 2016, total outstanding borrowings under our line of credit were $224.3 million, and we had up to $443.0 million borrowing capacity under our line of credit, subject to covenant restrictions.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3820"/>
        <w:spacing w:after="0" w:line="475" w:lineRule="auto"/>
        <w:rPr>
          <w:sz w:val="20"/>
          <w:szCs w:val="20"/>
          <w:color w:val="auto"/>
        </w:rPr>
      </w:pPr>
      <w:r>
        <w:rPr>
          <w:rFonts w:ascii="Arial" w:cs="Arial" w:eastAsia="Arial" w:hAnsi="Arial"/>
          <w:sz w:val="18"/>
          <w:szCs w:val="18"/>
          <w:b w:val="1"/>
          <w:bCs w:val="1"/>
          <w:i w:val="1"/>
          <w:iCs w:val="1"/>
          <w:color w:val="auto"/>
        </w:rPr>
        <w:t>Three Months Ended July 31, 2016 Compared with the Three Months Ended July 31, 2015 Consolidated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July 31,</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1,296.9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1,249.9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47.0</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3.8%</w:t>
            </w:r>
          </w:p>
        </w:tc>
      </w:tr>
      <w:tr>
        <w:trPr>
          <w:trHeight w:val="260"/>
        </w:trPr>
        <w:tc>
          <w:tcPr>
            <w:tcW w:w="5740" w:type="dxa"/>
            <w:vAlign w:val="bottom"/>
            <w:gridSpan w:val="3"/>
          </w:tcPr>
          <w:p>
            <w:pPr>
              <w:ind w:left="2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20" w:type="dxa"/>
            <w:vAlign w:val="bottom"/>
            <w:shd w:val="clear" w:color="auto" w:fill="CCEEFF"/>
          </w:tcPr>
          <w:p>
            <w:pPr>
              <w:spacing w:after="0"/>
              <w:rPr>
                <w:sz w:val="24"/>
                <w:szCs w:val="24"/>
                <w:color w:val="auto"/>
              </w:rPr>
            </w:pPr>
          </w:p>
        </w:tc>
        <w:tc>
          <w:tcPr>
            <w:tcW w:w="57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1,166.5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1,156.3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10.2</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0.9%</w:t>
            </w:r>
          </w:p>
        </w:tc>
      </w:tr>
      <w:tr>
        <w:trPr>
          <w:trHeight w:val="262"/>
        </w:trPr>
        <w:tc>
          <w:tcPr>
            <w:tcW w:w="20" w:type="dxa"/>
            <w:vAlign w:val="bottom"/>
          </w:tcPr>
          <w:p>
            <w:pPr>
              <w:spacing w:after="0"/>
              <w:rPr>
                <w:sz w:val="22"/>
                <w:szCs w:val="22"/>
                <w:color w:val="auto"/>
              </w:rPr>
            </w:pPr>
          </w:p>
        </w:tc>
        <w:tc>
          <w:tcPr>
            <w:tcW w:w="5720" w:type="dxa"/>
            <w:vAlign w:val="bottom"/>
            <w:gridSpan w:val="2"/>
          </w:tcPr>
          <w:p>
            <w:pPr>
              <w:ind w:left="460"/>
              <w:spacing w:after="0"/>
              <w:rPr>
                <w:sz w:val="20"/>
                <w:szCs w:val="20"/>
                <w:color w:val="auto"/>
              </w:rPr>
            </w:pPr>
            <w:r>
              <w:rPr>
                <w:rFonts w:ascii="Arial" w:cs="Arial" w:eastAsia="Arial" w:hAnsi="Arial"/>
                <w:sz w:val="13"/>
                <w:szCs w:val="13"/>
                <w:i w:val="1"/>
                <w:iCs w:val="1"/>
                <w:color w:val="auto"/>
              </w:rPr>
              <w:t>Gross margin</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3"/>
                <w:szCs w:val="13"/>
                <w:i w:val="1"/>
                <w:iCs w:val="1"/>
                <w:color w:val="auto"/>
              </w:rPr>
              <w:t>10.1%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i w:val="1"/>
                <w:iCs w:val="1"/>
                <w:color w:val="auto"/>
              </w:rPr>
              <w:t>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i w:val="1"/>
                <w:iCs w:val="1"/>
                <w:color w:val="auto"/>
              </w:rPr>
              <w:t>2.6%</w:t>
            </w:r>
          </w:p>
        </w:tc>
        <w:tc>
          <w:tcPr>
            <w:tcW w:w="1240" w:type="dxa"/>
            <w:vAlign w:val="bottom"/>
          </w:tcPr>
          <w:p>
            <w:pPr>
              <w:spacing w:after="0"/>
              <w:rPr>
                <w:sz w:val="22"/>
                <w:szCs w:val="22"/>
                <w:color w:val="auto"/>
              </w:rPr>
            </w:pPr>
          </w:p>
        </w:tc>
      </w:tr>
      <w:tr>
        <w:trPr>
          <w:trHeight w:val="278"/>
        </w:trPr>
        <w:tc>
          <w:tcPr>
            <w:tcW w:w="20" w:type="dxa"/>
            <w:vAlign w:val="bottom"/>
            <w:shd w:val="clear" w:color="auto" w:fill="CCEEFF"/>
          </w:tcPr>
          <w:p>
            <w:pPr>
              <w:spacing w:after="0"/>
              <w:rPr>
                <w:sz w:val="24"/>
                <w:szCs w:val="24"/>
                <w:color w:val="auto"/>
              </w:rPr>
            </w:pPr>
          </w:p>
        </w:tc>
        <w:tc>
          <w:tcPr>
            <w:tcW w:w="57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10.7%</w:t>
            </w:r>
          </w:p>
        </w:tc>
      </w:tr>
      <w:tr>
        <w:trPr>
          <w:trHeight w:val="260"/>
        </w:trPr>
        <w:tc>
          <w:tcPr>
            <w:tcW w:w="20" w:type="dxa"/>
            <w:vAlign w:val="bottom"/>
          </w:tcPr>
          <w:p>
            <w:pPr>
              <w:spacing w:after="0"/>
              <w:rPr>
                <w:sz w:val="22"/>
                <w:szCs w:val="22"/>
                <w:color w:val="auto"/>
              </w:rPr>
            </w:pPr>
          </w:p>
        </w:tc>
        <w:tc>
          <w:tcPr>
            <w:tcW w:w="5720" w:type="dxa"/>
            <w:vAlign w:val="bottom"/>
            <w:gridSpan w:val="2"/>
          </w:tcPr>
          <w:p>
            <w:pPr>
              <w:ind w:left="360"/>
              <w:spacing w:after="0"/>
              <w:rPr>
                <w:sz w:val="20"/>
                <w:szCs w:val="20"/>
                <w:color w:val="auto"/>
              </w:rPr>
            </w:pPr>
            <w:r>
              <w:rPr>
                <w:rFonts w:ascii="Arial" w:cs="Arial" w:eastAsia="Arial" w:hAnsi="Arial"/>
                <w:sz w:val="16"/>
                <w:szCs w:val="16"/>
                <w:color w:val="auto"/>
              </w:rPr>
              <w:t>Restructuring and related</w:t>
            </w:r>
          </w:p>
        </w:tc>
        <w:tc>
          <w:tcPr>
            <w:tcW w:w="280" w:type="dxa"/>
            <w:vAlign w:val="bottom"/>
          </w:tcPr>
          <w:p>
            <w:pPr>
              <w:spacing w:after="0"/>
              <w:rPr>
                <w:sz w:val="22"/>
                <w:szCs w:val="22"/>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51.0%</w:t>
            </w:r>
          </w:p>
        </w:tc>
      </w:tr>
      <w:tr>
        <w:trPr>
          <w:trHeight w:val="273"/>
        </w:trPr>
        <w:tc>
          <w:tcPr>
            <w:tcW w:w="20" w:type="dxa"/>
            <w:vAlign w:val="bottom"/>
            <w:shd w:val="clear" w:color="auto" w:fill="CCEEFF"/>
          </w:tcPr>
          <w:p>
            <w:pPr>
              <w:spacing w:after="0"/>
              <w:rPr>
                <w:sz w:val="23"/>
                <w:szCs w:val="23"/>
                <w:color w:val="auto"/>
              </w:rPr>
            </w:pPr>
          </w:p>
        </w:tc>
        <w:tc>
          <w:tcPr>
            <w:tcW w:w="57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w:t>
            </w:r>
          </w:p>
        </w:tc>
      </w:tr>
      <w:tr>
        <w:trPr>
          <w:trHeight w:val="250"/>
        </w:trPr>
        <w:tc>
          <w:tcPr>
            <w:tcW w:w="20" w:type="dxa"/>
            <w:vAlign w:val="bottom"/>
            <w:tcBorders>
              <w:bottom w:val="single" w:sz="8" w:color="CCEEFF"/>
            </w:tcBorders>
          </w:tcPr>
          <w:p>
            <w:pPr>
              <w:spacing w:after="0"/>
              <w:rPr>
                <w:sz w:val="21"/>
                <w:szCs w:val="21"/>
                <w:color w:val="auto"/>
              </w:rPr>
            </w:pPr>
          </w:p>
        </w:tc>
        <w:tc>
          <w:tcPr>
            <w:tcW w:w="572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expenses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1,278.4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1,257.5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20.9</w:t>
            </w:r>
          </w:p>
        </w:tc>
        <w:tc>
          <w:tcPr>
            <w:tcW w:w="1240" w:type="dxa"/>
            <w:vAlign w:val="bottom"/>
            <w:tcBorders>
              <w:bottom w:val="single" w:sz="8" w:color="CCEEFF"/>
            </w:tcBorders>
          </w:tcPr>
          <w:p>
            <w:pPr>
              <w:jc w:val="center"/>
              <w:ind w:left="19"/>
              <w:spacing w:after="0"/>
              <w:rPr>
                <w:sz w:val="20"/>
                <w:szCs w:val="20"/>
                <w:color w:val="auto"/>
              </w:rPr>
            </w:pPr>
            <w:r>
              <w:rPr>
                <w:rFonts w:ascii="Arial" w:cs="Arial" w:eastAsia="Arial" w:hAnsi="Arial"/>
                <w:sz w:val="16"/>
                <w:szCs w:val="16"/>
                <w:color w:val="auto"/>
              </w:rPr>
              <w:t>1.7%</w:t>
            </w:r>
          </w:p>
        </w:tc>
      </w:tr>
      <w:tr>
        <w:trPr>
          <w:trHeight w:val="257"/>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profit (loss)</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26.1</w:t>
            </w:r>
          </w:p>
        </w:tc>
        <w:tc>
          <w:tcPr>
            <w:tcW w:w="1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NM*</w:t>
            </w:r>
          </w:p>
        </w:tc>
      </w:tr>
      <w:tr>
        <w:trPr>
          <w:trHeight w:val="260"/>
        </w:trPr>
        <w:tc>
          <w:tcPr>
            <w:tcW w:w="5740" w:type="dxa"/>
            <w:vAlign w:val="bottom"/>
            <w:gridSpan w:val="3"/>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280" w:type="dxa"/>
            <w:vAlign w:val="bottom"/>
          </w:tcPr>
          <w:p>
            <w:pPr>
              <w:spacing w:after="0"/>
              <w:rPr>
                <w:sz w:val="22"/>
                <w:szCs w:val="22"/>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(22.0)%</w:t>
            </w:r>
          </w:p>
        </w:tc>
      </w:tr>
      <w:tr>
        <w:trPr>
          <w:trHeight w:val="273"/>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w:t>
            </w:r>
          </w:p>
        </w:tc>
      </w:tr>
      <w:tr>
        <w:trPr>
          <w:trHeight w:val="247"/>
        </w:trPr>
        <w:tc>
          <w:tcPr>
            <w:tcW w:w="5740" w:type="dxa"/>
            <w:vAlign w:val="bottom"/>
            <w:gridSpan w:val="3"/>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8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25.4</w:t>
            </w:r>
          </w:p>
        </w:tc>
        <w:tc>
          <w:tcPr>
            <w:tcW w:w="1240" w:type="dxa"/>
            <w:vAlign w:val="bottom"/>
          </w:tcPr>
          <w:p>
            <w:pPr>
              <w:ind w:left="500"/>
              <w:spacing w:after="0"/>
              <w:rPr>
                <w:sz w:val="20"/>
                <w:szCs w:val="20"/>
                <w:color w:val="auto"/>
              </w:rPr>
            </w:pPr>
            <w:r>
              <w:rPr>
                <w:rFonts w:ascii="Arial" w:cs="Arial" w:eastAsia="Arial" w:hAnsi="Arial"/>
                <w:sz w:val="16"/>
                <w:szCs w:val="16"/>
                <w:color w:val="auto"/>
              </w:rPr>
              <w:t>NM*</w:t>
            </w:r>
          </w:p>
        </w:tc>
      </w:tr>
      <w:tr>
        <w:trPr>
          <w:trHeight w:val="273"/>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73.8%</w:t>
            </w:r>
          </w:p>
        </w:tc>
      </w:tr>
      <w:tr>
        <w:trPr>
          <w:trHeight w:val="247"/>
        </w:trPr>
        <w:tc>
          <w:tcPr>
            <w:tcW w:w="574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31.7</w:t>
            </w:r>
          </w:p>
        </w:tc>
        <w:tc>
          <w:tcPr>
            <w:tcW w:w="1240" w:type="dxa"/>
            <w:vAlign w:val="bottom"/>
          </w:tcPr>
          <w:p>
            <w:pPr>
              <w:ind w:left="500"/>
              <w:spacing w:after="0"/>
              <w:rPr>
                <w:sz w:val="20"/>
                <w:szCs w:val="20"/>
                <w:color w:val="auto"/>
              </w:rPr>
            </w:pPr>
            <w:r>
              <w:rPr>
                <w:rFonts w:ascii="Arial" w:cs="Arial" w:eastAsia="Arial" w:hAnsi="Arial"/>
                <w:sz w:val="16"/>
                <w:szCs w:val="16"/>
                <w:color w:val="auto"/>
              </w:rPr>
              <w:t>NM*</w:t>
            </w:r>
          </w:p>
        </w:tc>
      </w:tr>
      <w:tr>
        <w:trPr>
          <w:trHeight w:val="280"/>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NM*</w:t>
            </w:r>
          </w:p>
        </w:tc>
      </w:tr>
      <w:tr>
        <w:trPr>
          <w:trHeight w:val="234"/>
        </w:trPr>
        <w:tc>
          <w:tcPr>
            <w:tcW w:w="57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29.6</w:t>
            </w:r>
          </w:p>
        </w:tc>
        <w:tc>
          <w:tcPr>
            <w:tcW w:w="1240" w:type="dxa"/>
            <w:vAlign w:val="bottom"/>
          </w:tcPr>
          <w:p>
            <w:pPr>
              <w:ind w:left="500"/>
              <w:spacing w:after="0"/>
              <w:rPr>
                <w:sz w:val="20"/>
                <w:szCs w:val="20"/>
                <w:color w:val="auto"/>
              </w:rPr>
            </w:pPr>
            <w:r>
              <w:rPr>
                <w:rFonts w:ascii="Arial" w:cs="Arial" w:eastAsia="Arial" w:hAnsi="Arial"/>
                <w:sz w:val="16"/>
                <w:szCs w:val="16"/>
                <w:color w:val="auto"/>
              </w:rPr>
              <w:t>NM*</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Revenues increased by $47.0 million, or 3.8%, during the three months ended July 31, 2016, as compared to the three months ended July 31, 2015. The increase in revenues was primarily attributable to: (i) organic growth within our Janitorial segment, (ii) higher technical services revenues within our Building &amp; Energy Solutions segment, (iii) contract expansion within our Air Serv U.S. operations, and (iv) $19.3 million of incremental revenues from the Westway acquisition. This increase was partially offset by lower government services and healthcare revenues within our Building &amp; Energy Solutions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$ 10.2 million, or 0.9%, during the three months ended July 31, 2016, as compared to the three months ended July 31, 2015. Gross margin increased by 2.6% to 10.1% in the three months ended July 31, 2016 from 7.5% in the three months ended July 31, 2015. The increase in gross margin was primarily attributable to a lower self-insurance adjustment, higher margin revenue within our Janitorial segment, including additional tag revenue, and higher revenue contribution from our technical services business. We also benefited from lower payroll and related expenses as a result of one less working day and savings from our 2020 Vision initiatives, including the timing of open positions.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$10.0 million, or 10.7%, during the three months ended July 31, 2016, as compared to the three months ended July 31, 2015. The increase in selling, general and administrative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$6.1 million increase in legal fees and settlement costs, primarily related to the settlement of certain cases alleging wage and hour violations;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 million of incremental selling, general and administrative expenses related to the Westway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$1.6 million increase in bad debt primarily related to specific reserves established for client receivables;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$1.5 million increase in share-based compensation expense primarily related to the absence of a reversal of previously recorded share-based compensation expense in the three months ended July 31, 2015.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$4.6 million in savings from our 2020 Vision.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Restructuring and related costs increased by $1.1 million, or 51.0%, during the three months ended July 31, 2016, as compared to the three months ended July 31, 2015, in connection with our 2020 Vision. Refer to “</w:t>
      </w:r>
      <w:r>
        <w:rPr>
          <w:rFonts w:ascii="Arial" w:cs="Arial" w:eastAsia="Arial" w:hAnsi="Arial"/>
          <w:sz w:val="18"/>
          <w:szCs w:val="18"/>
          <w:i w:val="1"/>
          <w:iCs w:val="1"/>
          <w:color w:val="auto"/>
        </w:rPr>
        <w:t>2016 Highlights—2020 Vision Restructuring</w:t>
      </w:r>
      <w:r>
        <w:rPr>
          <w:rFonts w:ascii="Arial" w:cs="Arial" w:eastAsia="Arial" w:hAnsi="Arial"/>
          <w:sz w:val="18"/>
          <w:szCs w:val="18"/>
          <w:color w:val="auto"/>
        </w:rPr>
        <w:t>” above for additional details on this initiative.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income taxes for the three months ended July 31, 2016 were favorably impacted by a benefit of $19.0 million, including interest of $1.0 million, related to expiring statutes of limitations and the positive impact of the 2016 WOTC. Additionally, income taxes in the quarter reflect a $1.8 million benefit resulting from the adoption of Accounting Standards Update (“ASU”) 2016-09. Refer to “</w:t>
      </w:r>
      <w:r>
        <w:rPr>
          <w:rFonts w:ascii="Arial" w:cs="Arial" w:eastAsia="Arial" w:hAnsi="Arial"/>
          <w:sz w:val="18"/>
          <w:szCs w:val="18"/>
          <w:i w:val="1"/>
          <w:iCs w:val="1"/>
          <w:color w:val="auto"/>
        </w:rPr>
        <w:t>2016 Highlights—Taxes”</w:t>
      </w:r>
      <w:r>
        <w:rPr>
          <w:rFonts w:ascii="Arial" w:cs="Arial" w:eastAsia="Arial" w:hAnsi="Arial"/>
          <w:sz w:val="18"/>
          <w:szCs w:val="18"/>
          <w:color w:val="auto"/>
        </w:rPr>
        <w:t xml:space="preserve"> above and Note 2, “Basis of Presentation and Significant Accounting Policies,” in the Financial Statements for additional details on these benefits.</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income taxes for the three months ended July 31, 2015 were favorably impacted by a benefit of $3.4 million related to expiring statutes of limitations and $1.8 million of tax deductions for energy efficient government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consist of: Janitorial, Facility Services, Parking, Building &amp; Energy Solutions, and Other.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July 31,</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Janitorial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691.8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13.3</w:t>
            </w:r>
          </w:p>
        </w:tc>
        <w:tc>
          <w:tcPr>
            <w:tcW w:w="1220" w:type="dxa"/>
            <w:vAlign w:val="bottom"/>
          </w:tcPr>
          <w:p>
            <w:pPr>
              <w:jc w:val="center"/>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Facility Services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6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Parking</w:t>
            </w:r>
          </w:p>
        </w:tc>
        <w:tc>
          <w:tcPr>
            <w:tcW w:w="2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5.7</w:t>
            </w:r>
          </w:p>
        </w:tc>
        <w:tc>
          <w:tcPr>
            <w:tcW w:w="1220" w:type="dxa"/>
            <w:vAlign w:val="bottom"/>
          </w:tcPr>
          <w:p>
            <w:pPr>
              <w:jc w:val="center"/>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Building &amp; Energy Solutions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167.8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12.5%</w:t>
            </w: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10.5</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1,296.9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47.0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Operating profit (loss):</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Janitorial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i w:val="1"/>
                <w:iCs w:val="1"/>
                <w:color w:val="auto"/>
              </w:rPr>
              <w:t>1.5%</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Facility Services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31.7%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i w:val="1"/>
                <w:iCs w:val="1"/>
                <w:color w:val="auto"/>
              </w:rPr>
              <w:t>1.3%</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Parking</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(0.3)%</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Building &amp; Energy Solutions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29.6%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i w:val="1"/>
                <w:iCs w:val="1"/>
                <w:color w:val="auto"/>
              </w:rPr>
              <w:t>0.8%</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27.8%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i w:val="1"/>
                <w:iCs w:val="1"/>
                <w:color w:val="auto"/>
              </w:rPr>
              <w:t>0.7%</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10.8%</w:t>
            </w:r>
          </w:p>
        </w:tc>
        <w:tc>
          <w:tcPr>
            <w:tcW w:w="0" w:type="dxa"/>
            <w:vAlign w:val="bottom"/>
          </w:tcPr>
          <w:p>
            <w:pPr>
              <w:spacing w:after="0"/>
              <w:rPr>
                <w:sz w:val="1"/>
                <w:szCs w:val="1"/>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Adjustment for income from unconsolidated affiliates, net, included</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in Building &amp; Energy Solutions</w:t>
            </w:r>
          </w:p>
        </w:tc>
        <w:tc>
          <w:tcPr>
            <w:tcW w:w="28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1.3</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50.5%</w:t>
            </w:r>
          </w:p>
        </w:tc>
        <w:tc>
          <w:tcPr>
            <w:tcW w:w="0" w:type="dxa"/>
            <w:vAlign w:val="bottom"/>
          </w:tcPr>
          <w:p>
            <w:pPr>
              <w:spacing w:after="0"/>
              <w:rPr>
                <w:sz w:val="1"/>
                <w:szCs w:val="1"/>
                <w:color w:val="auto"/>
              </w:rPr>
            </w:pPr>
          </w:p>
        </w:tc>
      </w:tr>
      <w:tr>
        <w:trPr>
          <w:trHeight w:val="235"/>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Adjustment for tax deductions for energy efficient government</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buildings, included in Building &amp; Energy Solutions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26.1</w:t>
            </w:r>
          </w:p>
        </w:tc>
        <w:tc>
          <w:tcPr>
            <w:tcW w:w="1220" w:type="dxa"/>
            <w:vAlign w:val="bottom"/>
          </w:tcPr>
          <w:p>
            <w:pPr>
              <w:ind w:left="4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jc w:val="both"/>
        <w:ind w:firstLine="8"/>
        <w:spacing w:after="0" w:line="301" w:lineRule="auto"/>
        <w:tabs>
          <w:tab w:leader="none" w:pos="162" w:val="left"/>
        </w:tabs>
        <w:numPr>
          <w:ilvl w:val="0"/>
          <w:numId w:val="13"/>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sale of our Security business, certain general corporate expenses that were previously allocated to Security are now allocated to Corporate expenses and to the Janitorial segment. In addition, certain Corporate expenses that were directly related to the operations of our former Security business have been allocated to discontinued operations. The net impact of these changes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b w:val="1"/>
                <w:bCs w:val="1"/>
                <w:color w:val="auto"/>
              </w:rPr>
              <w:t>Three Months Ended July</w:t>
            </w:r>
          </w:p>
        </w:tc>
      </w:tr>
      <w:tr>
        <w:trPr>
          <w:trHeight w:val="212"/>
        </w:trPr>
        <w:tc>
          <w:tcPr>
            <w:tcW w:w="32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82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50"/>
        </w:trPr>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8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8200" w:type="dxa"/>
            <w:vAlign w:val="bottom"/>
            <w:gridSpan w:val="2"/>
          </w:tcPr>
          <w:p>
            <w:pPr>
              <w:jc w:val="right"/>
              <w:ind w:right="10"/>
              <w:spacing w:after="0"/>
              <w:rPr>
                <w:sz w:val="20"/>
                <w:szCs w:val="20"/>
                <w:color w:val="auto"/>
              </w:rPr>
            </w:pPr>
            <w:r>
              <w:rPr>
                <w:rFonts w:ascii="Arial" w:cs="Arial" w:eastAsia="Arial" w:hAnsi="Arial"/>
                <w:sz w:val="18"/>
                <w:szCs w:val="18"/>
                <w:color w:val="auto"/>
              </w:rPr>
              <w:t>3.2</w:t>
            </w:r>
          </w:p>
        </w:tc>
      </w:tr>
      <w:tr>
        <w:trPr>
          <w:trHeight w:val="473"/>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00" w:type="dxa"/>
            <w:vAlign w:val="bottom"/>
          </w:tcPr>
          <w:p>
            <w:pPr>
              <w:jc w:val="right"/>
              <w:ind w:right="3130"/>
              <w:spacing w:after="0"/>
              <w:rPr>
                <w:sz w:val="20"/>
                <w:szCs w:val="20"/>
                <w:color w:val="auto"/>
              </w:rPr>
            </w:pPr>
            <w:r>
              <w:rPr>
                <w:rFonts w:ascii="Arial" w:cs="Arial" w:eastAsia="Arial" w:hAnsi="Arial"/>
                <w:sz w:val="18"/>
                <w:szCs w:val="18"/>
                <w:color w:val="auto"/>
              </w:rPr>
              <w:t>24</w:t>
            </w:r>
          </w:p>
        </w:tc>
        <w:tc>
          <w:tcPr>
            <w:tcW w:w="240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27" w:name="page28"/>
    <w:bookmarkEnd w:id="2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Janitorial</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691.8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678.5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13.3</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10.9</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33.3%</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1.5%</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$13.3 million, or 2.0%, during the three months ended July 31, 2016, as compared to the three months ended July 31, 2015. The increase was primarily attributable to organic growth related to the expansion of existing accounts, including additional tag revenue.</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$10.9 million, or 33.3%, during the three months ended July 31, 2016, as compared to the three months ended July 31, 2015. Operating profit margin increased by 1.5% to 6.3% in the three months ended July 31, 2016 from 4.8% in the three months ended July 31, 2015. The increase in operating profit margin was primarily attributable to higher margin revenue, including additional tag revenue. We also benefited from lower payroll and related expenses as a result of one less working day and savings from our 2020 Vision initiatives, including the timing of open positions. This increase in operating profit margin was partially offset by higher legal fees and settlement costs.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(1.1)</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(0.8)%</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1.9</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31.7%</w:t>
            </w:r>
          </w:p>
        </w:tc>
      </w:tr>
      <w:tr>
        <w:trPr>
          <w:trHeight w:val="277"/>
        </w:trPr>
        <w:tc>
          <w:tcPr>
            <w:tcW w:w="4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74"/>
              <w:spacing w:after="0"/>
              <w:rPr>
                <w:sz w:val="20"/>
                <w:szCs w:val="20"/>
                <w:color w:val="auto"/>
              </w:rPr>
            </w:pPr>
            <w:r>
              <w:rPr>
                <w:rFonts w:ascii="Arial" w:cs="Arial" w:eastAsia="Arial" w:hAnsi="Arial"/>
                <w:sz w:val="14"/>
                <w:szCs w:val="14"/>
                <w:i w:val="1"/>
                <w:iCs w:val="1"/>
                <w:color w:val="auto"/>
              </w:rPr>
              <w:t>1.3%</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Facility Services revenues decreased by $1.1 million, or 0.8%, during the three months ended July 31, 2016, as compared to the three months ended July 31, 2015. The decrease was primarily attributable to contract losses in excess of new business.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$1.9 million, or 31.7%, during the three months ended July 31, 2016, as compared to the three months ended July 31, 2015. Operating profit margin increased by 1.3% to 5.4% in the three months ended July 31, 2016 from 4.1% in the three months ended July 31, 2015. The increase in operating profit margin was primarily attributable to the impact of higher margin revenue, savings from our 2020 Vision initiatives, including the timing of open positions, and lower legal fees and settlement costs.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Parking</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5.7</w:t>
            </w:r>
          </w:p>
        </w:tc>
        <w:tc>
          <w:tcPr>
            <w:tcW w:w="15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3.5%</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80" w:type="dxa"/>
            <w:vAlign w:val="bottom"/>
          </w:tcPr>
          <w:p>
            <w:pPr>
              <w:jc w:val="right"/>
              <w:ind w:right="414"/>
              <w:spacing w:after="0"/>
              <w:rPr>
                <w:sz w:val="20"/>
                <w:szCs w:val="20"/>
                <w:color w:val="auto"/>
              </w:rPr>
            </w:pPr>
            <w:r>
              <w:rPr>
                <w:rFonts w:ascii="Arial" w:cs="Arial" w:eastAsia="Arial" w:hAnsi="Arial"/>
                <w:sz w:val="18"/>
                <w:szCs w:val="18"/>
                <w:color w:val="auto"/>
              </w:rPr>
              <w:t>(0.2)</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(2.1)%</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(0.3)%</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Management reimbursement revenues totaled $81.3 million and $78.5 million for the three months ended July 31, 2016 and 2015, respectively.</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Parking revenues increased by $5.7 million, or 3.5%, during the three months ended July 31, 2016, as compared to the three months ended July 31, 2015. The increase was primarily related to net new business and increased scope of work from existing clients.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$0.2 million, or 2.1%, during the three months ended July 31, 2016, as compared to the three months ended July 31, 2015. Operating profit margin decreased by 0.3% to 4.6% in the three months ended July 31, 2016 from 4.8% in the three months ended July 31, 2015. The decrease in operating profit margin was primarily attributable to higher costs at new locations until the labor management and operations normalize and a legal settlement during the quarter. This decrease in operating profit margin was partially offset by savings from our 2020 Vision initiatives, including the timing of open positions.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18.7</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12.5%</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2.4</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29.6%</w:t>
            </w:r>
          </w:p>
        </w:tc>
      </w:tr>
      <w:tr>
        <w:trPr>
          <w:trHeight w:val="277"/>
        </w:trPr>
        <w:tc>
          <w:tcPr>
            <w:tcW w:w="4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0.8%</w:t>
            </w:r>
          </w:p>
        </w:tc>
        <w:tc>
          <w:tcPr>
            <w:tcW w:w="13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Building &amp; Energy Solutions revenues increased by $18.7 million, or 12.5%, during the three months ended July 31, 2016, as compared to the three months ended July 31, 2015. This increase was primarily attributable to incremental revenues from the Westway acquisition of $19.3 million and higher technical services revenue associated with energy savings performance contracts and a strong backlog. This increase was partially offset by lower government services and healthcare revenues.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$2.4 million, or 29.6%, during the three months ended July 31, 2016, as compared to the three months ended July 31, 2015. Operating profit margin increased by 0.8% to 6.3% in the three months ended July 31, 2016 from 5.4% in the three months ended July 31, 2015. The increase in operating profit margin was primarily attributable to higher revenue contribution from technical services and savings from our 2020 Vision initiatives, including the timing of open positions.</w:t>
      </w:r>
    </w:p>
    <w:p>
      <w:pPr>
        <w:spacing w:after="0" w:line="15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This increase was partially offset by higher legal fees and settlement costs, lower operational tax deductions for energy efficient government building projects, lower equity earnings in unconsolidated affiliates, and a specific reserve established for a client receivable during the third quarter of 2016.</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10.5</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9.3%</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1.3</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27.8%</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0.7%</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$10.5 million, or 9.3%, during the three months ended July 31, 2016, as compared to the three months ended July 31, 2015. The increase was primarily driven by higher cabin cleaning and passenger services revenue in our U.S. operations.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$1.3 million, or 27.8%, during the three months ended July 31, 2016, as compared to the three months ended July 31, 2015. Operating profit margin increased by 0.7% to 4.7% in the three months ended July 31, 2016 from 4.0% in the three months ended July 31, 2015. The increase in operating profit margin was primarily attributable to lower amortization expense of intangible assets.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July 31,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tcPr>
          <w:p>
            <w:pPr>
              <w:ind w:left="660"/>
              <w:spacing w:after="0"/>
              <w:rPr>
                <w:sz w:val="20"/>
                <w:szCs w:val="20"/>
                <w:color w:val="auto"/>
              </w:rPr>
            </w:pPr>
            <w:r>
              <w:rPr>
                <w:rFonts w:ascii="Arial" w:cs="Arial" w:eastAsia="Arial" w:hAnsi="Arial"/>
                <w:sz w:val="18"/>
                <w:szCs w:val="18"/>
                <w:b w:val="1"/>
                <w:bCs w:val="1"/>
                <w:color w:val="auto"/>
              </w:rPr>
              <w:t>(Decrease)</w:t>
            </w:r>
          </w:p>
        </w:tc>
        <w:tc>
          <w:tcPr>
            <w:tcW w:w="132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(6.7)</w:t>
            </w:r>
          </w:p>
        </w:tc>
        <w:tc>
          <w:tcPr>
            <w:tcW w:w="1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(10.8)%</w:t>
            </w: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Corporate expenses decreased by $6.7 million, or 10.8%, during the three months ended July 31, 2016, as compared to the three months ended July 31, 2015. The decrease in corporate expenses was primarily related to a $15.9 million year-over-year decrease in self-insurance expense related to prior year claims as a result of an actuarial evaluation completed in the three months ended July 31, 2016.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$3.0 million increase in legal settlement costs, primarily related to the settlement of certain cases alleging wage and hour violations;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$1.6 million increase in restructuring and related costs in connection with our 2020 Vision; 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7" w:right="239" w:bottom="1440" w:gutter="0" w:footer="0" w:header="0"/>
        </w:sectPr>
      </w:pPr>
    </w:p>
    <w:bookmarkStart w:id="29" w:name="page30"/>
    <w:bookmarkEnd w:id="29"/>
    <w:p>
      <w:pPr>
        <w:ind w:left="328" w:hanging="328"/>
        <w:spacing w:after="0" w:line="262"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$1.5 million increase in share-based compensation expense primarily related to the absence of a reversal of previously recorded share-based compensation expense in the three months ended July 31, 2015.</w:t>
      </w:r>
    </w:p>
    <w:p>
      <w:pPr>
        <w:spacing w:after="0" w:line="2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8"/>
          </w:cols>
          <w:pgMar w:left="572" w:top="54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4020"/>
        <w:spacing w:after="0" w:line="475" w:lineRule="auto"/>
        <w:rPr>
          <w:sz w:val="20"/>
          <w:szCs w:val="20"/>
          <w:color w:val="auto"/>
        </w:rPr>
      </w:pPr>
      <w:r>
        <w:rPr>
          <w:rFonts w:ascii="Arial" w:cs="Arial" w:eastAsia="Arial" w:hAnsi="Arial"/>
          <w:sz w:val="18"/>
          <w:szCs w:val="18"/>
          <w:b w:val="1"/>
          <w:bCs w:val="1"/>
          <w:i w:val="1"/>
          <w:iCs w:val="1"/>
          <w:color w:val="auto"/>
        </w:rPr>
        <w:t>Nine Months Ended July 31, 2016 Compared with the Nine Months Ended July 31, 2015 Consolidated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20" w:type="dxa"/>
            <w:vAlign w:val="bottom"/>
            <w:gridSpan w:val="5"/>
          </w:tcPr>
          <w:p>
            <w:pPr>
              <w:ind w:left="220"/>
              <w:spacing w:after="0"/>
              <w:rPr>
                <w:sz w:val="20"/>
                <w:szCs w:val="20"/>
                <w:color w:val="auto"/>
              </w:rPr>
            </w:pPr>
            <w:r>
              <w:rPr>
                <w:rFonts w:ascii="Arial" w:cs="Arial" w:eastAsia="Arial" w:hAnsi="Arial"/>
                <w:sz w:val="16"/>
                <w:szCs w:val="16"/>
                <w:b w:val="1"/>
                <w:bCs w:val="1"/>
                <w:color w:val="auto"/>
              </w:rPr>
              <w:t>Nine Months Ended July 31,</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3,822.4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3,620.8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201.6</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5.6%</w:t>
            </w:r>
          </w:p>
        </w:tc>
      </w:tr>
      <w:tr>
        <w:trPr>
          <w:trHeight w:val="260"/>
        </w:trPr>
        <w:tc>
          <w:tcPr>
            <w:tcW w:w="5620" w:type="dxa"/>
            <w:vAlign w:val="bottom"/>
            <w:gridSpan w:val="3"/>
          </w:tcPr>
          <w:p>
            <w:pPr>
              <w:ind w:left="20"/>
              <w:spacing w:after="0"/>
              <w:rPr>
                <w:sz w:val="20"/>
                <w:szCs w:val="20"/>
                <w:color w:val="auto"/>
              </w:rPr>
            </w:pPr>
            <w:r>
              <w:rPr>
                <w:rFonts w:ascii="Arial" w:cs="Arial" w:eastAsia="Arial" w:hAnsi="Arial"/>
                <w:sz w:val="16"/>
                <w:szCs w:val="16"/>
                <w:b w:val="1"/>
                <w:bCs w:val="1"/>
                <w:color w:val="auto"/>
              </w:rPr>
              <w:t>Expenses</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20" w:type="dxa"/>
            <w:vAlign w:val="bottom"/>
            <w:shd w:val="clear" w:color="auto" w:fill="CCEEFF"/>
          </w:tcPr>
          <w:p>
            <w:pPr>
              <w:spacing w:after="0"/>
              <w:rPr>
                <w:sz w:val="24"/>
                <w:szCs w:val="24"/>
                <w:color w:val="auto"/>
              </w:rPr>
            </w:pPr>
          </w:p>
        </w:tc>
        <w:tc>
          <w:tcPr>
            <w:tcW w:w="56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3,445.2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3,281.9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163.3</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5.0%</w:t>
            </w:r>
          </w:p>
        </w:tc>
      </w:tr>
      <w:tr>
        <w:trPr>
          <w:trHeight w:val="262"/>
        </w:trPr>
        <w:tc>
          <w:tcPr>
            <w:tcW w:w="20" w:type="dxa"/>
            <w:vAlign w:val="bottom"/>
          </w:tcPr>
          <w:p>
            <w:pPr>
              <w:spacing w:after="0"/>
              <w:rPr>
                <w:sz w:val="22"/>
                <w:szCs w:val="22"/>
                <w:color w:val="auto"/>
              </w:rPr>
            </w:pPr>
          </w:p>
        </w:tc>
        <w:tc>
          <w:tcPr>
            <w:tcW w:w="5600" w:type="dxa"/>
            <w:vAlign w:val="bottom"/>
            <w:gridSpan w:val="2"/>
          </w:tcPr>
          <w:p>
            <w:pPr>
              <w:ind w:left="460"/>
              <w:spacing w:after="0"/>
              <w:rPr>
                <w:sz w:val="20"/>
                <w:szCs w:val="20"/>
                <w:color w:val="auto"/>
              </w:rPr>
            </w:pPr>
            <w:r>
              <w:rPr>
                <w:rFonts w:ascii="Arial" w:cs="Arial" w:eastAsia="Arial" w:hAnsi="Arial"/>
                <w:sz w:val="13"/>
                <w:szCs w:val="13"/>
                <w:i w:val="1"/>
                <w:iCs w:val="1"/>
                <w:color w:val="auto"/>
              </w:rPr>
              <w:t>Gross margin</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3"/>
                <w:szCs w:val="13"/>
                <w:i w:val="1"/>
                <w:iCs w:val="1"/>
                <w:color w:val="auto"/>
              </w:rPr>
              <w:t>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i w:val="1"/>
                <w:iCs w:val="1"/>
                <w:color w:val="auto"/>
              </w:rPr>
              <w:t>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i w:val="1"/>
                <w:iCs w:val="1"/>
                <w:color w:val="auto"/>
              </w:rPr>
              <w:t>0.5%</w:t>
            </w:r>
          </w:p>
        </w:tc>
        <w:tc>
          <w:tcPr>
            <w:tcW w:w="1240" w:type="dxa"/>
            <w:vAlign w:val="bottom"/>
          </w:tcPr>
          <w:p>
            <w:pPr>
              <w:spacing w:after="0"/>
              <w:rPr>
                <w:sz w:val="22"/>
                <w:szCs w:val="22"/>
                <w:color w:val="auto"/>
              </w:rPr>
            </w:pPr>
          </w:p>
        </w:tc>
      </w:tr>
      <w:tr>
        <w:trPr>
          <w:trHeight w:val="278"/>
        </w:trPr>
        <w:tc>
          <w:tcPr>
            <w:tcW w:w="20" w:type="dxa"/>
            <w:vAlign w:val="bottom"/>
            <w:shd w:val="clear" w:color="auto" w:fill="CCEEFF"/>
          </w:tcPr>
          <w:p>
            <w:pPr>
              <w:spacing w:after="0"/>
              <w:rPr>
                <w:sz w:val="24"/>
                <w:szCs w:val="24"/>
                <w:color w:val="auto"/>
              </w:rPr>
            </w:pPr>
          </w:p>
        </w:tc>
        <w:tc>
          <w:tcPr>
            <w:tcW w:w="56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4.6%</w:t>
            </w:r>
          </w:p>
        </w:tc>
      </w:tr>
      <w:tr>
        <w:trPr>
          <w:trHeight w:val="260"/>
        </w:trPr>
        <w:tc>
          <w:tcPr>
            <w:tcW w:w="20" w:type="dxa"/>
            <w:vAlign w:val="bottom"/>
          </w:tcPr>
          <w:p>
            <w:pPr>
              <w:spacing w:after="0"/>
              <w:rPr>
                <w:sz w:val="22"/>
                <w:szCs w:val="22"/>
                <w:color w:val="auto"/>
              </w:rPr>
            </w:pPr>
          </w:p>
        </w:tc>
        <w:tc>
          <w:tcPr>
            <w:tcW w:w="5600" w:type="dxa"/>
            <w:vAlign w:val="bottom"/>
            <w:gridSpan w:val="2"/>
          </w:tcPr>
          <w:p>
            <w:pPr>
              <w:ind w:left="360"/>
              <w:spacing w:after="0"/>
              <w:rPr>
                <w:sz w:val="20"/>
                <w:szCs w:val="20"/>
                <w:color w:val="auto"/>
              </w:rPr>
            </w:pPr>
            <w:r>
              <w:rPr>
                <w:rFonts w:ascii="Arial" w:cs="Arial" w:eastAsia="Arial" w:hAnsi="Arial"/>
                <w:sz w:val="16"/>
                <w:szCs w:val="16"/>
                <w:color w:val="auto"/>
              </w:rPr>
              <w:t>Restructuring and related</w:t>
            </w:r>
          </w:p>
        </w:tc>
        <w:tc>
          <w:tcPr>
            <w:tcW w:w="340" w:type="dxa"/>
            <w:vAlign w:val="bottom"/>
          </w:tcPr>
          <w:p>
            <w:pPr>
              <w:spacing w:after="0"/>
              <w:rPr>
                <w:sz w:val="22"/>
                <w:szCs w:val="22"/>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17.1</w:t>
            </w:r>
          </w:p>
        </w:tc>
        <w:tc>
          <w:tcPr>
            <w:tcW w:w="1240" w:type="dxa"/>
            <w:vAlign w:val="bottom"/>
          </w:tcPr>
          <w:p>
            <w:pPr>
              <w:ind w:left="500"/>
              <w:spacing w:after="0"/>
              <w:rPr>
                <w:sz w:val="20"/>
                <w:szCs w:val="20"/>
                <w:color w:val="auto"/>
              </w:rPr>
            </w:pPr>
            <w:r>
              <w:rPr>
                <w:rFonts w:ascii="Arial" w:cs="Arial" w:eastAsia="Arial" w:hAnsi="Arial"/>
                <w:sz w:val="16"/>
                <w:szCs w:val="16"/>
                <w:color w:val="auto"/>
              </w:rPr>
              <w:t>NM*</w:t>
            </w:r>
          </w:p>
        </w:tc>
      </w:tr>
      <w:tr>
        <w:trPr>
          <w:trHeight w:val="273"/>
        </w:trPr>
        <w:tc>
          <w:tcPr>
            <w:tcW w:w="20" w:type="dxa"/>
            <w:vAlign w:val="bottom"/>
            <w:shd w:val="clear" w:color="auto" w:fill="CCEEFF"/>
          </w:tcPr>
          <w:p>
            <w:pPr>
              <w:spacing w:after="0"/>
              <w:rPr>
                <w:sz w:val="23"/>
                <w:szCs w:val="23"/>
                <w:color w:val="auto"/>
              </w:rPr>
            </w:pPr>
          </w:p>
        </w:tc>
        <w:tc>
          <w:tcPr>
            <w:tcW w:w="56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3.2%</w:t>
            </w:r>
          </w:p>
        </w:tc>
      </w:tr>
      <w:tr>
        <w:trPr>
          <w:trHeight w:val="250"/>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expenses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3,778.4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3,584.4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194.0</w:t>
            </w:r>
          </w:p>
        </w:tc>
        <w:tc>
          <w:tcPr>
            <w:tcW w:w="1240" w:type="dxa"/>
            <w:vAlign w:val="bottom"/>
            <w:tcBorders>
              <w:bottom w:val="single" w:sz="8" w:color="CCEEFF"/>
            </w:tcBorders>
          </w:tcPr>
          <w:p>
            <w:pPr>
              <w:jc w:val="center"/>
              <w:ind w:left="19"/>
              <w:spacing w:after="0"/>
              <w:rPr>
                <w:sz w:val="20"/>
                <w:szCs w:val="20"/>
                <w:color w:val="auto"/>
              </w:rPr>
            </w:pPr>
            <w:r>
              <w:rPr>
                <w:rFonts w:ascii="Arial" w:cs="Arial" w:eastAsia="Arial" w:hAnsi="Arial"/>
                <w:sz w:val="16"/>
                <w:szCs w:val="16"/>
                <w:color w:val="auto"/>
              </w:rPr>
              <w:t>5.4%</w:t>
            </w:r>
          </w:p>
        </w:tc>
      </w:tr>
      <w:tr>
        <w:trPr>
          <w:trHeight w:val="25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7.6</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20.7%</w:t>
            </w:r>
          </w:p>
        </w:tc>
      </w:tr>
      <w:tr>
        <w:trPr>
          <w:trHeight w:val="260"/>
        </w:trPr>
        <w:tc>
          <w:tcPr>
            <w:tcW w:w="5620" w:type="dxa"/>
            <w:vAlign w:val="bottom"/>
            <w:gridSpan w:val="3"/>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340" w:type="dxa"/>
            <w:vAlign w:val="bottom"/>
          </w:tcPr>
          <w:p>
            <w:pPr>
              <w:spacing w:after="0"/>
              <w:rPr>
                <w:sz w:val="22"/>
                <w:szCs w:val="22"/>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(15.8)%</w:t>
            </w:r>
          </w:p>
        </w:tc>
      </w:tr>
      <w:tr>
        <w:trPr>
          <w:trHeight w:val="273"/>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w:t>
            </w:r>
          </w:p>
        </w:tc>
      </w:tr>
      <w:tr>
        <w:trPr>
          <w:trHeight w:val="247"/>
        </w:trPr>
        <w:tc>
          <w:tcPr>
            <w:tcW w:w="562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6.5</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18.3%</w:t>
            </w:r>
          </w:p>
        </w:tc>
      </w:tr>
      <w:tr>
        <w:trPr>
          <w:trHeight w:val="273"/>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15.3</w:t>
            </w:r>
          </w:p>
        </w:tc>
        <w:tc>
          <w:tcPr>
            <w:tcW w:w="1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NM*</w:t>
            </w:r>
          </w:p>
        </w:tc>
      </w:tr>
      <w:tr>
        <w:trPr>
          <w:trHeight w:val="247"/>
        </w:trPr>
        <w:tc>
          <w:tcPr>
            <w:tcW w:w="562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21.8</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69.0%</w:t>
            </w:r>
          </w:p>
        </w:tc>
      </w:tr>
      <w:tr>
        <w:trPr>
          <w:trHeight w:val="28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3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NM*</w:t>
            </w:r>
          </w:p>
        </w:tc>
      </w:tr>
      <w:tr>
        <w:trPr>
          <w:trHeight w:val="234"/>
        </w:trPr>
        <w:tc>
          <w:tcPr>
            <w:tcW w:w="562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11.9</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31.8%</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Revenues increased by $201.6 million, or 5.6%, during the nine months ended July 31, 2016, as compared to the nine months ended July 31, 2015. The increase in revenues was primarily attributable to: (i) organic growth within our Janitorial segment, (ii) higher technical services revenues within our Building &amp; Energy Solutions segment,(iii) contract expansion within our Air Serv U.S. operations, and (iv) $82.5 million of incremental revenues from acquisitions. This increase was partially offset by lower government services and healthcare revenues within our Building &amp; Energy Solutions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expenses increased by $163.3 million, or 5.0%, during the nine months ended July 31, 2016, as compared to the nine months ended July 31, 2015. Gross margin increased by 0.5% to 9.9% in the nine months ended July 31, 2016 from 9.4% in the nine months ended July 31, 2015. The increase in gross margin was primarily attributable to higher margin revenue within our Janitorial segment, including additional tag revenue and higher revenue contribution from our technical services business. We also benefited from savings from our 2020 Vision initiatives, including the timing of open positions. This increase was partially offset by the unfavorable impact of insurance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$13.0 million, or 4.6%, during the nine months ended July 31, 2016, as compared to the nine months ended July 31, 2015.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$11.4 million increase in bad debt expense primarily associated with specific reserves established for client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$10.2 million of incremental selling, general and administrative expenses related to acquisitions;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1" w:name="page32"/>
    <w:bookmarkEnd w:id="31"/>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$3.1 million increase in legal fees and settlement costs, primarily related to the settlement of certain cases alleging wage and hour violations;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 $1.4 million gain from a property sale that occurred in the three months ended April 30, 2015; and</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 million higher compensation and related expenses due to hiring additional personnel to support selling and marketing initiatives during the second half of 2015 within our Janitorial segment.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$9.5 million in savings from our 2020 Vision;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$4.6 million in severance expense related to the departures of our former CEO and CFO;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Restructuring and related costs increased by $17.1 million during the nine months ended July 31, 2016, as compared to the nine months ended July 31, 2015, in connection with our 2020 Vision.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income taxes for the nine months ended July 31, 2016 were favorably impacted by (i) a benefit of $19.0 million, including interest of $1.0 million, related to expiring statutes of limitations, (ii) $4.9 million of WOTC from the retroactive reinstatement of the WOTC for calendar year 2015, (iii) $1.8 million in benefits resulting from the adoption of ASU 2016-09, (iv) $1.2 million of tax deductions for energy efficient government buildings, and (v) the positive impact of the 2016 WOTC.</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income taxes for the nine months ended July 31, 2015 were favorably impacted by (i) $3.6 million of WOTC from the retroactive reinstatement of the WOTC for calendar year 2014, (ii) a benefit of $3.4 million related to expiring statutes of limitations, (iii) $1.8 million of state employment-based tax credits, and (iv) $1.8 million of tax deductions for energy efficient government buildings.</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2016 Highlights—Taxes</w:t>
      </w:r>
      <w:r>
        <w:rPr>
          <w:rFonts w:ascii="Arial" w:cs="Arial" w:eastAsia="Arial" w:hAnsi="Arial"/>
          <w:sz w:val="18"/>
          <w:szCs w:val="18"/>
          <w:color w:val="auto"/>
        </w:rPr>
        <w:t>” above and Note 2, “Basis of Presentation and Significant Accounting Policies,” in the Financial Statements for additional details on these benefits.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8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 July 31,</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2,063.9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2,004.0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59.9</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w:t>
            </w:r>
          </w:p>
        </w:tc>
        <w:tc>
          <w:tcPr>
            <w:tcW w:w="12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20" w:type="dxa"/>
            <w:vAlign w:val="bottom"/>
          </w:tcPr>
          <w:p>
            <w:pPr>
              <w:spacing w:after="0"/>
              <w:rPr>
                <w:sz w:val="22"/>
                <w:szCs w:val="22"/>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23.2</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7"/>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80.7</w:t>
            </w:r>
          </w:p>
        </w:tc>
        <w:tc>
          <w:tcPr>
            <w:tcW w:w="12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7"/>
              </w:rPr>
              <w:t>20.7%</w:t>
            </w: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39.5</w:t>
            </w:r>
          </w:p>
        </w:tc>
        <w:tc>
          <w:tcPr>
            <w:tcW w:w="1220" w:type="dxa"/>
            <w:vAlign w:val="bottom"/>
            <w:tcBorders>
              <w:bottom w:val="single" w:sz="8" w:color="CCEEFF"/>
            </w:tcBorders>
          </w:tcPr>
          <w:p>
            <w:pPr>
              <w:jc w:val="center"/>
              <w:ind w:left="32"/>
              <w:spacing w:after="0"/>
              <w:rPr>
                <w:sz w:val="20"/>
                <w:szCs w:val="20"/>
                <w:color w:val="auto"/>
              </w:rPr>
            </w:pPr>
            <w:r>
              <w:rPr>
                <w:rFonts w:ascii="Arial" w:cs="Arial" w:eastAsia="Arial" w:hAnsi="Arial"/>
                <w:sz w:val="18"/>
                <w:szCs w:val="18"/>
                <w:color w:val="auto"/>
                <w:w w:val="97"/>
              </w:rPr>
              <w:t>12.9%</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3,822.4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3,620.8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201.6</w:t>
            </w:r>
          </w:p>
        </w:tc>
        <w:tc>
          <w:tcPr>
            <w:tcW w:w="12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4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5.7</w:t>
            </w:r>
          </w:p>
        </w:tc>
        <w:tc>
          <w:tcPr>
            <w:tcW w:w="1220" w:type="dxa"/>
            <w:vAlign w:val="bottom"/>
            <w:shd w:val="clear" w:color="auto" w:fill="CCEEFF"/>
          </w:tcPr>
          <w:p>
            <w:pPr>
              <w:jc w:val="center"/>
              <w:ind w:left="32"/>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i w:val="1"/>
                <w:iCs w:val="1"/>
                <w:color w:val="auto"/>
              </w:rPr>
              <w:t>0.1%</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CEEFF"/>
          </w:tcPr>
          <w:p>
            <w:pPr>
              <w:jc w:val="center"/>
              <w:ind w:left="32"/>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i w:val="1"/>
                <w:iCs w:val="1"/>
                <w:color w:val="auto"/>
              </w:rPr>
              <w:t>0.3%</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1220" w:type="dxa"/>
            <w:vAlign w:val="bottom"/>
            <w:shd w:val="clear" w:color="auto" w:fill="CCEEFF"/>
          </w:tcPr>
          <w:p>
            <w:pPr>
              <w:jc w:val="center"/>
              <w:ind w:left="12"/>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(0.6)%</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7.4</w:t>
            </w:r>
          </w:p>
        </w:tc>
        <w:tc>
          <w:tcPr>
            <w:tcW w:w="12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7"/>
              </w:rPr>
              <w:t>59.3%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i w:val="1"/>
                <w:iCs w:val="1"/>
                <w:color w:val="auto"/>
              </w:rPr>
              <w:t>1.0%</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(0.1)%</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w:t>
            </w:r>
          </w:p>
        </w:tc>
        <w:tc>
          <w:tcPr>
            <w:tcW w:w="12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 affiliates, net, included</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in Building &amp; Energy Solutions</w:t>
            </w:r>
          </w:p>
        </w:tc>
        <w:tc>
          <w:tcPr>
            <w:tcW w:w="3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7"/>
              </w:rPr>
              <w:t>27.5%</w:t>
            </w:r>
          </w:p>
        </w:tc>
        <w:tc>
          <w:tcPr>
            <w:tcW w:w="0" w:type="dxa"/>
            <w:vAlign w:val="bottom"/>
          </w:tcPr>
          <w:p>
            <w:pPr>
              <w:spacing w:after="0"/>
              <w:rPr>
                <w:sz w:val="1"/>
                <w:szCs w:val="1"/>
                <w:color w:val="auto"/>
              </w:rPr>
            </w:pPr>
          </w:p>
        </w:tc>
      </w:tr>
      <w:tr>
        <w:trPr>
          <w:trHeight w:val="235"/>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tax deductions for energy efficient government</w:t>
            </w: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buildings, included in Building &amp; Energy Solutions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c>
          <w:tcPr>
            <w:tcW w:w="12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7"/>
              </w:rPr>
              <w:t>31.8%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7.6</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7"/>
              </w:rPr>
              <w:t>20.7%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301" w:lineRule="auto"/>
        <w:tabs>
          <w:tab w:leader="none" w:pos="162" w:val="left"/>
        </w:tabs>
        <w:numPr>
          <w:ilvl w:val="0"/>
          <w:numId w:val="19"/>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sale of our Security business, certain general corporate expenses that were previously allocated to Security are now allocated to Corporate expenses and to the Janitorial segment. In addition, certain Corporate expenses that were directly related to the operations of our former Security business have been allocated to discontinued operations. The net impact of these changes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400" w:type="dxa"/>
            <w:vAlign w:val="bottom"/>
          </w:tcPr>
          <w:p>
            <w:pPr>
              <w:jc w:val="right"/>
              <w:ind w:right="70"/>
              <w:spacing w:after="0"/>
              <w:rPr>
                <w:sz w:val="20"/>
                <w:szCs w:val="20"/>
                <w:color w:val="auto"/>
              </w:rPr>
            </w:pPr>
            <w:r>
              <w:rPr>
                <w:rFonts w:ascii="Arial" w:cs="Arial" w:eastAsia="Arial" w:hAnsi="Arial"/>
                <w:sz w:val="18"/>
                <w:szCs w:val="18"/>
                <w:b w:val="1"/>
                <w:bCs w:val="1"/>
                <w:color w:val="auto"/>
              </w:rPr>
              <w:t>Nine Months Ended July</w:t>
            </w:r>
          </w:p>
        </w:tc>
      </w:tr>
      <w:tr>
        <w:trPr>
          <w:trHeight w:val="212"/>
        </w:trPr>
        <w:tc>
          <w:tcPr>
            <w:tcW w:w="32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82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50"/>
        </w:trPr>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8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8200" w:type="dxa"/>
            <w:vAlign w:val="bottom"/>
            <w:gridSpan w:val="2"/>
          </w:tcPr>
          <w:p>
            <w:pPr>
              <w:jc w:val="right"/>
              <w:ind w:right="10"/>
              <w:spacing w:after="0"/>
              <w:rPr>
                <w:sz w:val="20"/>
                <w:szCs w:val="20"/>
                <w:color w:val="auto"/>
              </w:rPr>
            </w:pPr>
            <w:r>
              <w:rPr>
                <w:rFonts w:ascii="Arial" w:cs="Arial" w:eastAsia="Arial" w:hAnsi="Arial"/>
                <w:sz w:val="18"/>
                <w:szCs w:val="18"/>
                <w:color w:val="auto"/>
              </w:rPr>
              <w:t>2.8</w:t>
            </w:r>
          </w:p>
        </w:tc>
      </w:tr>
      <w:tr>
        <w:trPr>
          <w:trHeight w:val="85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00" w:type="dxa"/>
            <w:vAlign w:val="bottom"/>
          </w:tcPr>
          <w:p>
            <w:pPr>
              <w:jc w:val="right"/>
              <w:ind w:right="3130"/>
              <w:spacing w:after="0"/>
              <w:rPr>
                <w:sz w:val="20"/>
                <w:szCs w:val="20"/>
                <w:color w:val="auto"/>
              </w:rPr>
            </w:pPr>
            <w:r>
              <w:rPr>
                <w:rFonts w:ascii="Arial" w:cs="Arial" w:eastAsia="Arial" w:hAnsi="Arial"/>
                <w:sz w:val="18"/>
                <w:szCs w:val="18"/>
                <w:color w:val="auto"/>
              </w:rPr>
              <w:t>30</w:t>
            </w:r>
          </w:p>
        </w:tc>
        <w:tc>
          <w:tcPr>
            <w:tcW w:w="240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3" w:name="page34"/>
    <w:bookmarkEnd w:id="3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Janitorial</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jc w:val="right"/>
              <w:ind w:right="114"/>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2,063.9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2,004.0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59.9</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3.0%</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00" w:type="dxa"/>
            <w:vAlign w:val="bottom"/>
          </w:tcPr>
          <w:p>
            <w:pPr>
              <w:jc w:val="right"/>
              <w:ind w:right="654"/>
              <w:spacing w:after="0"/>
              <w:rPr>
                <w:sz w:val="20"/>
                <w:szCs w:val="20"/>
                <w:color w:val="auto"/>
              </w:rPr>
            </w:pPr>
            <w:r>
              <w:rPr>
                <w:rFonts w:ascii="Arial" w:cs="Arial" w:eastAsia="Arial" w:hAnsi="Arial"/>
                <w:sz w:val="18"/>
                <w:szCs w:val="18"/>
                <w:color w:val="auto"/>
              </w:rPr>
              <w:t>5.7</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5.4%</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4"/>
                <w:szCs w:val="14"/>
                <w:i w:val="1"/>
                <w:iCs w:val="1"/>
                <w:color w:val="auto"/>
              </w:rPr>
              <w:t>0.1%</w:t>
            </w:r>
          </w:p>
        </w:tc>
        <w:tc>
          <w:tcPr>
            <w:tcW w:w="130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$59.9 million, or 3.0%, during the nine months ended July 31, 2016, as compared to the nine months ended July 31, 2015. The increase was primarily attributable to organic growth driven by expansion of existing accounts, including additional tag revenue.</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$5.7 million, or 5.4%, during the nine months ended July 31, 2016, as compared to the nine months ended July 31, 2015. Operating profit margin increased by 0.1% to 5.4% in the nine months ended July 31, 2016 from 5.3% in the nine months ended July 31, 2015. The increase in operating profit margin was primarily attributable to higher margin revenue, including additional tag revenue and savings from our 2020 Vision initiatives, including the timing of open positions. This increase was partially offset by the unfavorable impact of insurance expense, the absence of a gain from a property sale that occurred in the three months ended April 30, 2015, higher compensation and related expenses due to hiring additional personnel to support selling and marketing initiatives during the second half of 2015, and higher legal settlement costs.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(0.4)%</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1.4</w:t>
            </w: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7.5%</w:t>
            </w:r>
          </w:p>
        </w:tc>
      </w:tr>
      <w:tr>
        <w:trPr>
          <w:trHeight w:val="277"/>
        </w:trPr>
        <w:tc>
          <w:tcPr>
            <w:tcW w:w="4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74"/>
              <w:spacing w:after="0"/>
              <w:rPr>
                <w:sz w:val="20"/>
                <w:szCs w:val="20"/>
                <w:color w:val="auto"/>
              </w:rPr>
            </w:pPr>
            <w:r>
              <w:rPr>
                <w:rFonts w:ascii="Arial" w:cs="Arial" w:eastAsia="Arial" w:hAnsi="Arial"/>
                <w:sz w:val="14"/>
                <w:szCs w:val="14"/>
                <w:i w:val="1"/>
                <w:iCs w:val="1"/>
                <w:color w:val="auto"/>
              </w:rPr>
              <w:t>0.3%</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Facility Services revenues decreased by $1.7 million, or 0.4%, during the nine months ended July 31, 2016, as compared to the nine months ended July 31, 2015. The decrease was primarily attributable to contract losses in excess of new business. This decrease was partially offset by additional tag revenue and the timing of a biannual contractual performance-based award.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$1.4 million, or 7.5%, during the nine months ended July 31, 2016, as compared to the nine months ended July 31, 2015. Operating profit margin increased by 0.3% to 4.4% in the nine months ended July 31, 2016 from 4.1% in the nine months ended July 31, 2015. The increase in operating profit margin was primarily attributable to the impact of higher margin revenue, savings from our 2020 Vision initiatives, including the timing of open positions, and the timing of a biannual contractual performance-based award. These benefits were partially offset by the unfavorable impact of insurance expense and a specific reserve established for a client receivable.</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Parking</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494.4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471.2</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23.2</w:t>
            </w:r>
          </w:p>
        </w:tc>
        <w:tc>
          <w:tcPr>
            <w:tcW w:w="15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4.9%</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(2.0)</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(9.9)%</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(0.6)%</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Management reimbursement revenues totaled $243.8 million and $230.6 million for the nine months ended July 31, 2016 and 2015, respectively.</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Parking revenues increased by $23.2 million, or 4.9%, during the nine months ended July 31, 2016, as compared to the nine months ended July 31, 2015. The increase was primarily related to net new business and increased scope of work from existing clients.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4" w:name="page35"/>
    <w:bookmarkEnd w:id="34"/>
    <w:p>
      <w:pPr>
        <w:jc w:val="both"/>
        <w:ind w:firstLine="648"/>
        <w:spacing w:after="0" w:line="252" w:lineRule="auto"/>
        <w:rPr>
          <w:sz w:val="20"/>
          <w:szCs w:val="20"/>
          <w:color w:val="auto"/>
        </w:rPr>
      </w:pPr>
      <w:r>
        <w:rPr>
          <w:rFonts w:ascii="Arial" w:cs="Arial" w:eastAsia="Arial" w:hAnsi="Arial"/>
          <w:sz w:val="18"/>
          <w:szCs w:val="18"/>
          <w:color w:val="auto"/>
        </w:rPr>
        <w:t>Operating profit decreased by $2.0 million, or 9.9%, during the nine months ended July 31, 2016, as compared to the nine months ended July 31, 2015. Operating profit margin decreased by 0.6% to 3.8% in the nine months ended July 31, 2016 from 4.5% in the nine months ended July 31, 2015. The decrease in operating profit margin was primarily attributable to higher costs relating to operational issues with certain accounts, the conversion of some contracts from managed to leased location arrangements, and higher expenses at new locations until the labor management and operations normalize. In addition, we were negatively impacted by a legal settlement, a state tax audit, and a specific reserve established for a client receivable. This decrease in operating profit margin was partially offset by savings from our 2020 Vision initiatives, including the timing of open positions.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80.7</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20.7%</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7.4</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59.3%</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1.0%</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Building &amp; Energy Solutions revenues increased by $80.7 million, or 20.7%, during the nine months ended July 31, 2016, as compared to the nine months ended July 31, 2015. This increase was primarily attributable to incremental revenues from acquisitions of $78.1 million and higher technical services revenue associated with a strong backlog and energy savings performance contracts. This increase was partially offset by lower government services and healthcare revenues.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$7.4 million, or 59.3%, during the nine months ended July 31, 2016, as compared to the nine months ended July 31, 2015. Operating profit margin increased by 1.0% to 4.2% in the nine months ended July 31, 2016 from 3.2% in the nine months ended July 31, 2015. The increase in operating profit margin was primarily attributable to higher revenue contribution from technical services and savings from our 2020 Vision initiatives, including the timing of open positions. In addition, the prior year period was negatively impacted by non-recurring items at certain healthcare clients. This increase was partially offset by specific reserves established for client receivables, higher legal fees and settlement costs, and lower equity earnings in unconsolidated affiliates.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39.5</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12.9%</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474"/>
              <w:spacing w:after="0"/>
              <w:rPr>
                <w:sz w:val="20"/>
                <w:szCs w:val="20"/>
                <w:color w:val="auto"/>
              </w:rPr>
            </w:pPr>
            <w:r>
              <w:rPr>
                <w:rFonts w:ascii="Arial" w:cs="Arial" w:eastAsia="Arial" w:hAnsi="Arial"/>
                <w:sz w:val="18"/>
                <w:szCs w:val="18"/>
                <w:color w:val="auto"/>
              </w:rPr>
              <w:t>1.0</w:t>
            </w: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9.1%</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(0.1)%</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$39.5 million, or 12.9%, during the nine months ended July 31, 2016, as compared to the nine months ended July 31, 2015. The increase was primarily driven by higher passenger services and cabin cleaning revenues in our U.S. operations.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$1.0 million, or 9.1%, during the nine months ended July 31, 2016, as compared to the nine months ended July 31, 2015. Operating profit margin decreased by 0.1% to 3.2% in the nine months ended July 31, 2016 from 3.3% in the nine months ended July 31, 2015. The decrease in operating profit margin was primarily attributable to the unfavorable impact of insurance expense and a penalty imposed by a regulatory agency. Also negatively impacting operating profit margin was the operations in one region of a large multi-regional contract during the three months ended January 31, 2016. Through corrective steps, we improved the profitability of this contract within the impacted region. This decrease was partially offset by lower amortization expense of intangible assets.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44" w:right="2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6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Nine Months Ended July 31,</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00" w:type="dxa"/>
            <w:vAlign w:val="bottom"/>
          </w:tcPr>
          <w:p>
            <w:pPr>
              <w:ind w:left="72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8.2</w:t>
            </w:r>
          </w:p>
        </w:tc>
        <w:tc>
          <w:tcPr>
            <w:tcW w:w="13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6.6%</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increased by $8.2 million, or 6.6%, during the nine months ended July 31, 2016, as compared to the nine months ended July 31, 2015. The increase in corporate expenses was primarily related to:</w:t>
      </w:r>
    </w:p>
    <w:p>
      <w:pPr>
        <w:spacing w:after="0" w:line="142" w:lineRule="exact"/>
        <w:rPr>
          <w:sz w:val="20"/>
          <w:szCs w:val="20"/>
          <w:color w:val="auto"/>
        </w:rPr>
      </w:pPr>
    </w:p>
    <w:p>
      <w:pPr>
        <w:ind w:left="660" w:right="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$17.2 million increase in restructuring and related costs, net of the reversal of share-based compensation expense, in connection with our 2020 Vision; and</w:t>
      </w:r>
    </w:p>
    <w:p>
      <w:pPr>
        <w:spacing w:after="0" w:line="142"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$5.2 million increase in bad debt expense related to a specific reserve established for a client receivable that is being litigated and for which, based on recent unfavorable developments, a significant portion of the outstanding receivable amount is no longer deemed collectible.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of $4.6 million in severance expense related to the departures of our former CEO and CFO;</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$3.9 million year-over-year decrease in self-insurance expense related to prior year claims as a result of an actuarial evaluation completed in the three months ended July 31, 2016;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$2.5 million decrease in compensation and related expenses primarily due to savings from our 2020 Vision and a bonus reversal for certain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line of credit.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Other than normal working capital requirements, we anticipate that our short- and long-term cash requirements will include costs associated with our 2020 Vision, share repurchases, dividend payments, and legal settlements. In addition, our management continues to evaluate strategic opportunities to acquire new businesses, which may impact our future cash requirements.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line of credit are sufficient to fund our cash requirements for the next twelve months. In the event that our plans change or our cash requirements are greater than we anticipate, we may access the capital markets to finance future cash requirements. However, there can be no assurance that such financing will be available to us when we need it or, if available, that the terms will be satisfactory to us and not dilutive to existing shareholders.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 long-term basis, we will continue to rely on our line of credit for any necessary long-term funding not provided by operating cash flows. In addition, we anticipate that future cash generated from operations will be augmented by working capital improvements driven by our 2020 Vision, such as the management of costs through consolidated procurement.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Reinvestment of Foreign Earnings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permanently reinvest our foreign earnings. As a result, we have not provided for federal and state income taxes or foreign withholding taxes that may result if such earnings of our foreign subsidiaries are remitted to the United States. We believe that our cash on hand in the United States, along with available lines of credit and future domestic cash flows, are sufficient to satisfy our domestic liquidity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July 31, 2016, the total outstanding amounts under our $800.0 million line of credit in the form of cash borrowings and standby letters of credit were $224.3 million and $132.7 million, respectively. At July 31, 2016, we had up to $443.0 million borrowing capacity under our line of credit.</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ability to draw down available capacity under our line of credit is subject to, and limited by, compliance with certain financial covenants, including covenants relating to a fixed charge coverage ratio, a leverage ratio, and consolidated net worth. Other covenants under our line of credit include limitations on liens, dispositions, fundamental changes, investments, and certain transactions and payments. As of July 31, 2016, we were in compliance with these covenants and expect to be in compliance in the foreseeable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Captive Insurance Company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first quarter of 2015, we formed IFM Assurance Company (“IFM”), a wholly-owned captive insurance company.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2016, we expect that cash tax savings related to coverage provided by IFM will range between $15 million and $20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 At July 31, 2016, authorization for $157.3 million of repurchases remained under our share repurchase program.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Repurchase Activity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Nine Months Ended July 31,</w:t>
            </w:r>
          </w:p>
        </w:tc>
      </w:tr>
      <w:tr>
        <w:trPr>
          <w:trHeight w:val="230"/>
        </w:trPr>
        <w:tc>
          <w:tcPr>
            <w:tcW w:w="60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620" w:type="dxa"/>
            <w:vAlign w:val="bottom"/>
          </w:tcPr>
          <w:p>
            <w:pPr>
              <w:spacing w:after="0"/>
              <w:rPr>
                <w:sz w:val="19"/>
                <w:szCs w:val="19"/>
                <w:color w:val="auto"/>
              </w:rPr>
            </w:pPr>
          </w:p>
        </w:tc>
        <w:tc>
          <w:tcPr>
            <w:tcW w:w="200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6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repurchased</w:t>
            </w:r>
          </w:p>
        </w:tc>
        <w:tc>
          <w:tcPr>
            <w:tcW w:w="6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63"/>
        </w:trPr>
        <w:tc>
          <w:tcPr>
            <w:tcW w:w="604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32.23</w:t>
            </w:r>
          </w:p>
        </w:tc>
      </w:tr>
      <w:tr>
        <w:trPr>
          <w:trHeight w:val="277"/>
        </w:trPr>
        <w:tc>
          <w:tcPr>
            <w:tcW w:w="6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$98.5 million during the nine months ended July 31, 2016.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 The table below summarizes our cash and cash equivalents activity.</w:t>
      </w:r>
    </w:p>
    <w:p>
      <w:pPr>
        <w:spacing w:after="0" w:line="313"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31750</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r>
      <w:tr>
        <w:trPr>
          <w:trHeight w:val="264"/>
        </w:trPr>
        <w:tc>
          <w:tcPr>
            <w:tcW w:w="78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cash used in operating activities of discontinued operations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 of continuing operations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64"/>
        </w:trPr>
        <w:tc>
          <w:tcPr>
            <w:tcW w:w="78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cash used in investing activities of discontinued operations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5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decreased by $6.4 million during the nine months ended July 31, 2016, as compared to the nine months ended July 31, 2015. This decrease was primarily related to the timing of energy savings performance contract (“ESPC”) receivable collections and the timing of vendor payments. This decrease was partially offset by the timing of tax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Net cash used in operating activities of discontinued operations increased by $22.1 million during the nine months ended July 31, 2016, as compared to the nine months ended July 31, 2015. This increase was primarily attributable to $20.6 million in taxes paid in connection with the sale of our Security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of continuing operations increased by $67.1 million during the nine months ended July 31, 2016, as compared to the nine months ended July 31, 2015. The increase was primarily related to a $61.8 million year-over-year increase in cash paid, net of cash acquired, for acquisitions.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6"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Investing Activities of Discontinued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of discontinued operations increased by $2.9 million during the nine months ended July 31, 2016, as compared to the nine months ended July 31, 2015. The increase was primarily due to the payment of $3.1 million in settlement of the final working capital adjustment from the sale of the Security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increased by $80.1 million during the nine months ended July 31, 2016, as compared to the nine months ended July 31, 2015. The increase was primarily related to an $81.0 million increase in net borrowings from our line of credit and $15.3 million in proceeds from ESPC projects. This increase was partially offset by an $11.2 million increase in cash used for common stock repurchases.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July 31, 2016, the total amount accrued for all probable litigation losses where a reasonable estimate of the loss could be made was $9.2 million. This $9.2 million includes the accrual of $4.8 million in connection with the settlement of certain cases alleging wage and hour violations. Litigation outcomes are difficult to predict and the estimation of probable losses requires the analysis of multiple possible outcomes that often depend on judgments about potential actions by third parties. There is the potential for a material adverse effect on our financial statements if one or more matters are resolved in a particular period in an amount materially in excess of what we anticipated.</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$15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ind w:right="500" w:firstLine="648"/>
        <w:spacing w:after="0" w:line="438" w:lineRule="auto"/>
        <w:rPr>
          <w:sz w:val="20"/>
          <w:szCs w:val="20"/>
          <w:color w:val="auto"/>
        </w:rPr>
      </w:pPr>
      <w:r>
        <w:rPr>
          <w:rFonts w:ascii="Arial" w:cs="Arial" w:eastAsia="Arial" w:hAnsi="Arial"/>
          <w:sz w:val="18"/>
          <w:szCs w:val="18"/>
          <w:color w:val="auto"/>
        </w:rPr>
        <w:t xml:space="preserve">For additional information about our contingencies, see Note 12, “Commitments and Contingencies,” in the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accompanying Financial Statements are prepared in accordance with United States generally accepted accounting principles, which require us to make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26"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Recent Accounting Pronouncements</w:t>
      </w:r>
    </w:p>
    <w:p>
      <w:pPr>
        <w:sectPr>
          <w:pgSz w:w="11900" w:h="16838" w:orient="portrait"/>
          <w:cols w:equalWidth="0" w:num="1">
            <w:col w:w="11060"/>
          </w:cols>
          <w:pgMar w:left="240" w:top="522" w:right="599" w:bottom="1440" w:gutter="0" w:footer="0" w:header="0"/>
        </w:sect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73" w:lineRule="exact"/>
        <w:rPr>
          <w:sz w:val="20"/>
          <w:szCs w:val="20"/>
          <w:color w:val="auto"/>
        </w:rPr>
      </w:pPr>
    </w:p>
    <w:p>
      <w:pPr>
        <w:ind w:left="40" w:right="80"/>
        <w:spacing w:after="0" w:line="249" w:lineRule="auto"/>
        <w:rPr>
          <w:sz w:val="20"/>
          <w:szCs w:val="20"/>
          <w:color w:val="auto"/>
        </w:rPr>
      </w:pPr>
      <w:r>
        <w:rPr>
          <w:rFonts w:ascii="Arial" w:cs="Arial" w:eastAsia="Arial" w:hAnsi="Arial"/>
          <w:sz w:val="16"/>
          <w:szCs w:val="16"/>
          <w:color w:val="auto"/>
        </w:rPr>
        <w:t xml:space="preserve">In August 2016, the Financial Accounting Standards Board (“FASB”) issued ASU 2016-15, </w:t>
      </w:r>
      <w:r>
        <w:rPr>
          <w:rFonts w:ascii="Arial" w:cs="Arial" w:eastAsia="Arial" w:hAnsi="Arial"/>
          <w:sz w:val="16"/>
          <w:szCs w:val="16"/>
          <w:i w:val="1"/>
          <w:iCs w:val="1"/>
          <w:color w:val="auto"/>
        </w:rPr>
        <w:t>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Cash Flows (Topic 230)</w:t>
      </w:r>
      <w:r>
        <w:rPr>
          <w:rFonts w:ascii="Arial" w:cs="Arial" w:eastAsia="Arial" w:hAnsi="Arial"/>
          <w:sz w:val="16"/>
          <w:szCs w:val="16"/>
          <w:color w:val="auto"/>
        </w:rPr>
        <w:t>:</w:t>
      </w:r>
      <w:r>
        <w:rPr>
          <w:rFonts w:ascii="Arial" w:cs="Arial" w:eastAsia="Arial" w:hAnsi="Arial"/>
          <w:sz w:val="16"/>
          <w:szCs w:val="16"/>
          <w:i w:val="1"/>
          <w:iCs w:val="1"/>
          <w:color w:val="auto"/>
        </w:rPr>
        <w:t xml:space="preserve"> Classification of Certain Cash Receipts and Cash Payments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7" w:lineRule="exact"/>
        <w:rPr>
          <w:sz w:val="20"/>
          <w:szCs w:val="20"/>
          <w:color w:val="auto"/>
        </w:rPr>
      </w:pPr>
    </w:p>
    <w:p>
      <w:pPr>
        <w:ind w:left="40"/>
        <w:spacing w:after="0" w:line="25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Statements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672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3"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This ASU provides eight targeted changes to how cash receipts and cash payments are presented and classified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127635</wp:posOffset>
            </wp:positionV>
            <wp:extent cx="1672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2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ASU replaces the existing incurred loss impairment model with a methodology that incorporates all expected credit loss estimates, resulting in more timely recognition of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489585</wp:posOffset>
            </wp:positionV>
            <wp:extent cx="1672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120"/>
        <w:spacing w:after="0" w:line="374" w:lineRule="auto"/>
        <w:rPr>
          <w:sz w:val="20"/>
          <w:szCs w:val="20"/>
          <w:color w:val="auto"/>
        </w:rPr>
      </w:pPr>
      <w:r>
        <w:rPr>
          <w:rFonts w:ascii="Arial" w:cs="Arial" w:eastAsia="Arial" w:hAnsi="Arial"/>
          <w:sz w:val="16"/>
          <w:szCs w:val="16"/>
          <w:b w:val="1"/>
          <w:bCs w:val="1"/>
          <w:color w:val="auto"/>
        </w:rPr>
        <w:t xml:space="preserve">Effective Date/Method of Adoption </w:t>
      </w:r>
      <w:r>
        <w:rPr>
          <w:rFonts w:ascii="Arial" w:cs="Arial" w:eastAsia="Arial" w:hAnsi="Arial"/>
          <w:sz w:val="16"/>
          <w:szCs w:val="16"/>
          <w:i w:val="1"/>
          <w:iCs w:val="1"/>
          <w:color w:val="auto"/>
        </w:rPr>
        <w:t>November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-214630</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Adoption of this standard will be applied using a retrospective transition method to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2020</w:t>
      </w:r>
    </w:p>
    <w:p>
      <w:pPr>
        <w:spacing w:after="0" w:line="21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This standard will be applied using a modified retrospective adoption approach with a cumulative-effect adjustment to retained earnings as of the beginning of the year of adoption, except for certain provisions that are required to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131445</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247650</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139" w:lineRule="exact"/>
        <w:rPr>
          <w:sz w:val="20"/>
          <w:szCs w:val="20"/>
          <w:color w:val="auto"/>
        </w:rPr>
      </w:pPr>
    </w:p>
    <w:p>
      <w:pPr>
        <w:sectPr>
          <w:pgSz w:w="11900" w:h="16838" w:orient="portrait"/>
          <w:cols w:equalWidth="0" w:num="4">
            <w:col w:w="2860" w:space="260"/>
            <w:col w:w="2580" w:space="160"/>
            <w:col w:w="2780" w:space="180"/>
            <w:col w:w="2240"/>
          </w:cols>
          <w:pgMar w:left="240" w:top="522" w:right="599" w:bottom="1440" w:gutter="0" w:footer="0" w:header="0"/>
          <w:type w:val="continuous"/>
        </w:sectPr>
      </w:pPr>
    </w:p>
    <w:p>
      <w:pPr>
        <w:spacing w:after="0" w:line="49"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 xml:space="preserve">In March, April, and May 2016, the FASB issued three ASUs related to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2016-08, </w:t>
      </w:r>
      <w:r>
        <w:rPr>
          <w:rFonts w:ascii="Arial" w:cs="Arial" w:eastAsia="Arial" w:hAnsi="Arial"/>
          <w:sz w:val="16"/>
          <w:szCs w:val="16"/>
          <w:i w:val="1"/>
          <w:iCs w:val="1"/>
          <w:color w:val="auto"/>
        </w:rPr>
        <w:t>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(Reporting Revenue Gross versus Net)</w:t>
      </w:r>
      <w:r>
        <w:rPr>
          <w:rFonts w:ascii="Arial" w:cs="Arial" w:eastAsia="Arial" w:hAnsi="Arial"/>
          <w:sz w:val="16"/>
          <w:szCs w:val="16"/>
          <w:color w:val="auto"/>
        </w:rPr>
        <w:t>; ASU 2016-10,</w:t>
      </w:r>
      <w:r>
        <w:rPr>
          <w:rFonts w:ascii="Arial" w:cs="Arial" w:eastAsia="Arial" w:hAnsi="Arial"/>
          <w:sz w:val="16"/>
          <w:szCs w:val="16"/>
          <w:i w:val="1"/>
          <w:iCs w:val="1"/>
          <w:color w:val="auto"/>
        </w:rPr>
        <w:t xml:space="preserve"> 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Narrow-Scope Improvements and Practical Expedients.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Together, these ASUs provide supplemental adoption guidance and clarification to previously issued ASU 2014-09,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 (Topic 606)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609600</wp:posOffset>
            </wp:positionV>
            <wp:extent cx="1672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2018</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standard will be applied as a full retrospective adoption to all periods presented or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251460</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847725</wp:posOffset>
            </wp:positionV>
            <wp:extent cx="1663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331" w:lineRule="exact"/>
        <w:rPr>
          <w:sz w:val="20"/>
          <w:szCs w:val="20"/>
          <w:color w:val="auto"/>
        </w:rPr>
      </w:pPr>
    </w:p>
    <w:p>
      <w:pPr>
        <w:sectPr>
          <w:pgSz w:w="11900" w:h="16838" w:orient="portrait"/>
          <w:cols w:equalWidth="0" w:num="4">
            <w:col w:w="2920" w:space="200"/>
            <w:col w:w="2340" w:space="400"/>
            <w:col w:w="2720" w:space="240"/>
            <w:col w:w="2240"/>
          </w:cols>
          <w:pgMar w:left="240" w:top="522" w:right="599" w:bottom="1440" w:gutter="0" w:footer="0" w:header="0"/>
          <w:type w:val="continuous"/>
        </w:sectPr>
      </w:pPr>
    </w:p>
    <w:p>
      <w:pPr>
        <w:spacing w:after="0" w:line="46"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603250</wp:posOffset>
            </wp:positionV>
            <wp:extent cx="1886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line="25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825-10)</w:t>
      </w:r>
      <w:r>
        <w:rPr>
          <w:rFonts w:ascii="Arial" w:cs="Arial" w:eastAsia="Arial" w:hAnsi="Arial"/>
          <w:sz w:val="16"/>
          <w:szCs w:val="16"/>
          <w:color w:val="auto"/>
        </w:rPr>
        <w:t>:</w:t>
      </w:r>
      <w:r>
        <w:rPr>
          <w:rFonts w:ascii="Arial" w:cs="Arial" w:eastAsia="Arial" w:hAnsi="Arial"/>
          <w:sz w:val="16"/>
          <w:szCs w:val="16"/>
          <w:i w:val="1"/>
          <w:iCs w:val="1"/>
          <w:color w:val="auto"/>
        </w:rPr>
        <w:t xml:space="preserve"> Recognition and Measurement of Financial Assets and Financial Liabilities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ASU improves transparency and comparability among organizations by requiring lessees to recognize lease assets and lease liabilities on the balance sheet and to disclose key information about leasing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wp:posOffset>
            </wp:positionV>
            <wp:extent cx="1672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40"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This ASU enhances the reporting model for financial instruments, which includes amendments to address aspects of recognition, measurement, presentation,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609600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2019</w:t>
      </w:r>
    </w:p>
    <w:p>
      <w:pPr>
        <w:spacing w:after="0" w:line="21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When transitioning to the new standard, we are required to recognize and measure leases at the beginning of the earliest period presented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2018</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Adoption of this amendment must be applied by means of a cumulative-effect adjustment to the balance sheet as of the beginning of the year of adoption, except for amendments related to equity instruments that do not have readily available determinable fair values that should be applied prospectively.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367665</wp:posOffset>
            </wp:positionV>
            <wp:extent cx="1663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1519" w:lineRule="exact"/>
        <w:rPr>
          <w:sz w:val="20"/>
          <w:szCs w:val="20"/>
          <w:color w:val="auto"/>
        </w:rPr>
      </w:pPr>
    </w:p>
    <w:p>
      <w:pPr>
        <w:sectPr>
          <w:pgSz w:w="11900" w:h="16838" w:orient="portrait"/>
          <w:cols w:equalWidth="0" w:num="4">
            <w:col w:w="2940" w:space="180"/>
            <w:col w:w="2580" w:space="160"/>
            <w:col w:w="2800" w:space="160"/>
            <w:col w:w="2240"/>
          </w:cols>
          <w:pgMar w:left="240" w:top="522" w:right="599" w:bottom="1440" w:gutter="0" w:footer="0" w:header="0"/>
          <w:type w:val="continuous"/>
        </w:sectPr>
      </w:pPr>
    </w:p>
    <w:p>
      <w:pPr>
        <w:spacing w:after="0" w:line="5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60"/>
          </w:cols>
          <w:pgMar w:left="240" w:top="522" w:right="5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560" w:firstLine="648"/>
        <w:spacing w:after="0" w:line="26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currently migrating many of our financial reporting and processes to our shared services center as part of our 2020 Vision strategic initiative. We plan to continue to migrate such processes during fiscal year 2017.</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other changes in our internal control over financial reporting during the third quarter of 2016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12,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2015, in response to Item 1A., “Risk Factors,” of Part I of the Annual Report.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that May Yet Be</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00" w:type="dxa"/>
            <w:vAlign w:val="bottom"/>
          </w:tcPr>
          <w:p>
            <w:pPr>
              <w:spacing w:after="0"/>
              <w:rPr>
                <w:sz w:val="17"/>
                <w:szCs w:val="17"/>
                <w:color w:val="auto"/>
              </w:rPr>
            </w:pPr>
          </w:p>
        </w:tc>
        <w:tc>
          <w:tcPr>
            <w:tcW w:w="172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Purchased Under</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the Plans or</w:t>
            </w:r>
          </w:p>
        </w:tc>
      </w:tr>
      <w:tr>
        <w:trPr>
          <w:trHeight w:val="212"/>
        </w:trPr>
        <w:tc>
          <w:tcPr>
            <w:tcW w:w="45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6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5/1/2016 - 5/31/2016</w:t>
            </w:r>
          </w:p>
        </w:tc>
        <w:tc>
          <w:tcPr>
            <w:tcW w:w="230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165.8</w:t>
            </w:r>
          </w:p>
        </w:tc>
      </w:tr>
      <w:tr>
        <w:trPr>
          <w:trHeight w:val="277"/>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6/1/2016 - 6/30/2016</w:t>
            </w:r>
          </w:p>
        </w:tc>
        <w:tc>
          <w:tcPr>
            <w:tcW w:w="23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36.14</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r>
      <w:tr>
        <w:trPr>
          <w:trHeight w:val="264"/>
        </w:trPr>
        <w:tc>
          <w:tcPr>
            <w:tcW w:w="2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7/1/2016 - 7/31/2016</w:t>
            </w:r>
          </w:p>
        </w:tc>
        <w:tc>
          <w:tcPr>
            <w:tcW w:w="23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157.3</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9"/>
        </w:trPr>
        <w:tc>
          <w:tcPr>
            <w:tcW w:w="10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r>
      <w:tr>
        <w:trPr>
          <w:trHeight w:val="378"/>
        </w:trPr>
        <w:tc>
          <w:tcPr>
            <w:tcW w:w="10860" w:type="dxa"/>
            <w:vAlign w:val="bottom"/>
            <w:gridSpan w:val="4"/>
          </w:tcPr>
          <w:p>
            <w:pPr>
              <w:ind w:left="660"/>
              <w:spacing w:after="0"/>
              <w:rPr>
                <w:sz w:val="20"/>
                <w:szCs w:val="20"/>
                <w:color w:val="auto"/>
              </w:rPr>
            </w:pPr>
            <w:r>
              <w:rPr>
                <w:rFonts w:ascii="Arial" w:cs="Arial" w:eastAsia="Arial" w:hAnsi="Arial"/>
                <w:sz w:val="18"/>
                <w:szCs w:val="18"/>
                <w:color w:val="auto"/>
              </w:rPr>
              <w:t>(a) Exhibits</w:t>
            </w:r>
          </w:p>
        </w:tc>
      </w:tr>
      <w:tr>
        <w:trPr>
          <w:trHeight w:val="338"/>
        </w:trPr>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78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Description</w:t>
            </w:r>
          </w:p>
        </w:tc>
      </w:tr>
      <w:tr>
        <w:trPr>
          <w:trHeight w:val="291"/>
        </w:trPr>
        <w:tc>
          <w:tcPr>
            <w:tcW w:w="1080" w:type="dxa"/>
            <w:vAlign w:val="bottom"/>
          </w:tcPr>
          <w:p>
            <w:pPr>
              <w:ind w:left="440"/>
              <w:spacing w:after="0"/>
              <w:rPr>
                <w:sz w:val="20"/>
                <w:szCs w:val="20"/>
                <w:color w:val="auto"/>
              </w:rPr>
            </w:pPr>
            <w:r>
              <w:rPr>
                <w:rFonts w:ascii="Arial" w:cs="Arial" w:eastAsia="Arial" w:hAnsi="Arial"/>
                <w:sz w:val="18"/>
                <w:szCs w:val="18"/>
                <w:b w:val="1"/>
                <w:bCs w:val="1"/>
                <w:color w:val="auto"/>
              </w:rPr>
              <w:t>No.</w:t>
            </w:r>
          </w:p>
        </w:tc>
        <w:tc>
          <w:tcPr>
            <w:tcW w:w="444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31.1‡</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31.2‡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Presentation Linkbase Document</w:t>
            </w:r>
          </w:p>
        </w:tc>
      </w:tr>
    </w:tbl>
    <w:p>
      <w:pPr>
        <w:spacing w:after="0" w:line="188" w:lineRule="exact"/>
        <w:rPr>
          <w:sz w:val="20"/>
          <w:szCs w:val="20"/>
          <w:color w:val="auto"/>
        </w:rPr>
      </w:pPr>
    </w:p>
    <w:p>
      <w:pPr>
        <w:ind w:left="740" w:hanging="698"/>
        <w:spacing w:after="0"/>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84" w:lineRule="exact"/>
        <w:rPr>
          <w:rFonts w:ascii="Arial" w:cs="Arial" w:eastAsia="Arial" w:hAnsi="Arial"/>
          <w:sz w:val="18"/>
          <w:szCs w:val="18"/>
          <w:color w:val="auto"/>
        </w:rPr>
      </w:pPr>
    </w:p>
    <w:p>
      <w:pPr>
        <w:ind w:left="720" w:hanging="68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60"/>
          </w:cols>
          <w:pgMar w:left="240" w:top="522" w:right="7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September 8, 2016</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September 8, 2016</w:t>
      </w:r>
      <w:r>
        <w:rPr>
          <w:sz w:val="20"/>
          <w:szCs w:val="20"/>
          <w:color w:val="auto"/>
        </w:rPr>
        <w:tab/>
      </w:r>
      <w:r>
        <w:rPr>
          <w:rFonts w:ascii="Arial" w:cs="Arial" w:eastAsia="Arial" w:hAnsi="Arial"/>
          <w:sz w:val="18"/>
          <w:szCs w:val="18"/>
          <w:u w:val="single" w:color="auto"/>
          <w:color w:val="auto"/>
        </w:rPr>
        <w:t>/s/ Dean A. Chin</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Chief Accounting Officer,</w:t>
      </w:r>
    </w:p>
    <w:p>
      <w:pPr>
        <w:ind w:left="6540"/>
        <w:spacing w:after="0" w:line="235"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22"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8, 2016</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4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8, 2016</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July 31, 2016,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8, 2016</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8, 2016</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2"/>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2019-12-29T10:29:33Z</dcterms:created>
  <dcterms:modified xsi:type="dcterms:W3CDTF">2019-12-29T10:29:33Z</dcterms:modified>
</cp:coreProperties>
</file>