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02/06/2017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vertAlign w:val="subscript"/>
              </w:rPr>
              <w:t>78</w:t>
            </w:r>
            <w:r>
              <w:rPr>
                <w:rFonts w:ascii="Arial" w:cs="Arial" w:eastAsia="Arial" w:hAnsi="Arial"/>
                <w:sz w:val="11"/>
                <w:szCs w:val="11"/>
                <w:color w:val="008000"/>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57"/>
              <w:spacing w:after="0"/>
              <w:rPr>
                <w:sz w:val="20"/>
                <w:szCs w:val="20"/>
                <w:color w:val="auto"/>
              </w:rPr>
            </w:pPr>
            <w:r>
              <w:rPr>
                <w:rFonts w:ascii="Arial" w:cs="Arial" w:eastAsia="Arial" w:hAnsi="Arial"/>
                <w:sz w:val="18"/>
                <w:szCs w:val="18"/>
                <w:color w:val="0000FF"/>
                <w:w w:val="83"/>
              </w:rPr>
              <w:t>28,871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02/06/2017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jc w:val="right"/>
              <w:ind w:right="96"/>
              <w:spacing w:after="0"/>
              <w:rPr>
                <w:sz w:val="20"/>
                <w:szCs w:val="20"/>
                <w:color w:val="auto"/>
              </w:rPr>
            </w:pPr>
            <w:r>
              <w:rPr>
                <w:rFonts w:ascii="Arial" w:cs="Arial" w:eastAsia="Arial" w:hAnsi="Arial"/>
                <w:sz w:val="18"/>
                <w:szCs w:val="18"/>
                <w:color w:val="0000FF"/>
              </w:rPr>
              <w:t>5</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w:t>
            </w:r>
          </w:p>
        </w:tc>
        <w:tc>
          <w:tcPr>
            <w:tcW w:w="126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28,866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1"/>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12,460 unvested RSUs, 1,408 vested RSUs, the receipt of which has been deferred and DERS relating to the RSUs, adjusted to reflect the cumulative effect of fractional shares, 1,546 performance shares earned but not vested with respect to TSR performance shares granted on 9/8/2014, 394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2019-12-23T21:46:24Z</dcterms:created>
  <dcterms:modified xsi:type="dcterms:W3CDTF">2019-12-23T21:46:24Z</dcterms:modified>
</cp:coreProperties>
</file>