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161290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248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ind w:left="5140"/>
        <w:spacing w:after="0"/>
        <w:rPr>
          <w:sz w:val="20"/>
          <w:szCs w:val="20"/>
          <w:color w:val="auto"/>
        </w:rPr>
      </w:pPr>
      <w:r>
        <w:rPr>
          <w:rFonts w:ascii="Arial" w:cs="Arial" w:eastAsia="Arial" w:hAnsi="Arial"/>
          <w:sz w:val="22"/>
          <w:szCs w:val="22"/>
          <w:b w:val="1"/>
          <w:bCs w:val="1"/>
          <w:color w:val="auto"/>
        </w:rPr>
        <w:t>June 6, 2016</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Report</w:t>
      </w:r>
    </w:p>
    <w:p>
      <w:pPr>
        <w:jc w:val="center"/>
        <w:ind w:right="-119"/>
        <w:spacing w:after="0"/>
        <w:rPr>
          <w:sz w:val="20"/>
          <w:szCs w:val="20"/>
          <w:color w:val="auto"/>
        </w:rPr>
      </w:pPr>
      <w:r>
        <w:rPr>
          <w:rFonts w:ascii="Arial" w:cs="Arial" w:eastAsia="Arial" w:hAnsi="Arial"/>
          <w:sz w:val="22"/>
          <w:szCs w:val="22"/>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8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ABM Industries Incorporated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Delaware</w:t>
            </w:r>
          </w:p>
        </w:tc>
        <w:tc>
          <w:tcPr>
            <w:tcW w:w="5060" w:type="dxa"/>
            <w:vAlign w:val="bottom"/>
          </w:tcPr>
          <w:p>
            <w:pPr>
              <w:jc w:val="center"/>
              <w:ind w:right="557"/>
              <w:spacing w:after="0"/>
              <w:rPr>
                <w:sz w:val="20"/>
                <w:szCs w:val="20"/>
                <w:color w:val="auto"/>
              </w:rPr>
            </w:pPr>
            <w:r>
              <w:rPr>
                <w:rFonts w:ascii="Arial" w:cs="Arial" w:eastAsia="Arial" w:hAnsi="Arial"/>
                <w:sz w:val="18"/>
                <w:szCs w:val="18"/>
                <w:b w:val="1"/>
                <w:bCs w:val="1"/>
                <w:color w:val="auto"/>
                <w:w w:val="89"/>
              </w:rPr>
              <w:t>1-8929</w:t>
            </w:r>
          </w:p>
        </w:tc>
        <w:tc>
          <w:tcPr>
            <w:tcW w:w="2000" w:type="dxa"/>
            <w:vAlign w:val="bottom"/>
          </w:tcPr>
          <w:p>
            <w:pPr>
              <w:jc w:val="right"/>
              <w:ind w:right="459"/>
              <w:spacing w:after="0"/>
              <w:rPr>
                <w:sz w:val="20"/>
                <w:szCs w:val="20"/>
                <w:color w:val="auto"/>
              </w:rPr>
            </w:pPr>
            <w:r>
              <w:rPr>
                <w:rFonts w:ascii="Arial" w:cs="Arial" w:eastAsia="Arial" w:hAnsi="Arial"/>
                <w:sz w:val="18"/>
                <w:szCs w:val="18"/>
                <w:b w:val="1"/>
                <w:bCs w:val="1"/>
                <w:color w:val="auto"/>
              </w:rPr>
              <w:t>94-1369354</w:t>
            </w:r>
          </w:p>
        </w:tc>
      </w:tr>
      <w:tr>
        <w:trPr>
          <w:trHeight w:val="182"/>
        </w:trPr>
        <w:tc>
          <w:tcPr>
            <w:tcW w:w="294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(State or other jurisdiction of incorporation)</w:t>
            </w:r>
          </w:p>
        </w:tc>
        <w:tc>
          <w:tcPr>
            <w:tcW w:w="5060" w:type="dxa"/>
            <w:vAlign w:val="bottom"/>
          </w:tcPr>
          <w:p>
            <w:pPr>
              <w:jc w:val="center"/>
              <w:ind w:right="557"/>
              <w:spacing w:after="0"/>
              <w:rPr>
                <w:sz w:val="20"/>
                <w:szCs w:val="20"/>
                <w:color w:val="auto"/>
              </w:rPr>
            </w:pPr>
            <w:r>
              <w:rPr>
                <w:rFonts w:ascii="Arial" w:cs="Arial" w:eastAsia="Arial" w:hAnsi="Arial"/>
                <w:sz w:val="14"/>
                <w:szCs w:val="14"/>
                <w:color w:val="auto"/>
                <w:w w:val="94"/>
              </w:rPr>
              <w:t>(Commission File Number)</w:t>
            </w:r>
          </w:p>
        </w:tc>
        <w:tc>
          <w:tcPr>
            <w:tcW w:w="200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60" w:type="dxa"/>
            <w:vAlign w:val="bottom"/>
          </w:tcPr>
          <w:p>
            <w:pPr>
              <w:jc w:val="center"/>
              <w:ind w:right="597"/>
              <w:spacing w:after="0"/>
              <w:rPr>
                <w:sz w:val="20"/>
                <w:szCs w:val="20"/>
                <w:color w:val="auto"/>
              </w:rPr>
            </w:pPr>
            <w:r>
              <w:rPr>
                <w:rFonts w:ascii="Arial" w:cs="Arial" w:eastAsia="Arial" w:hAnsi="Arial"/>
                <w:sz w:val="18"/>
                <w:szCs w:val="18"/>
                <w:b w:val="1"/>
                <w:bCs w:val="1"/>
                <w:color w:val="auto"/>
                <w:w w:val="90"/>
              </w:rPr>
              <w:t>551 Fifth Avenue, Suite 300</w:t>
            </w:r>
          </w:p>
        </w:tc>
        <w:tc>
          <w:tcPr>
            <w:tcW w:w="200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60" w:type="dxa"/>
            <w:vAlign w:val="bottom"/>
          </w:tcPr>
          <w:p>
            <w:pPr>
              <w:jc w:val="center"/>
              <w:ind w:right="597"/>
              <w:spacing w:after="0"/>
              <w:rPr>
                <w:sz w:val="20"/>
                <w:szCs w:val="20"/>
                <w:color w:val="auto"/>
              </w:rPr>
            </w:pPr>
            <w:r>
              <w:rPr>
                <w:rFonts w:ascii="Arial" w:cs="Arial" w:eastAsia="Arial" w:hAnsi="Arial"/>
                <w:sz w:val="18"/>
                <w:szCs w:val="18"/>
                <w:b w:val="1"/>
                <w:bCs w:val="1"/>
                <w:color w:val="auto"/>
                <w:w w:val="93"/>
              </w:rPr>
              <w:t>New York, New York</w:t>
            </w:r>
          </w:p>
        </w:tc>
        <w:tc>
          <w:tcPr>
            <w:tcW w:w="20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60" w:type="dxa"/>
            <w:vAlign w:val="bottom"/>
          </w:tcPr>
          <w:p>
            <w:pPr>
              <w:jc w:val="right"/>
              <w:ind w:right="2557"/>
              <w:spacing w:after="0"/>
              <w:rPr>
                <w:sz w:val="20"/>
                <w:szCs w:val="20"/>
                <w:color w:val="auto"/>
              </w:rPr>
            </w:pPr>
            <w:r>
              <w:rPr>
                <w:rFonts w:ascii="Arial" w:cs="Arial" w:eastAsia="Arial" w:hAnsi="Arial"/>
                <w:sz w:val="18"/>
                <w:szCs w:val="18"/>
                <w:b w:val="1"/>
                <w:bCs w:val="1"/>
                <w:color w:val="auto"/>
              </w:rPr>
              <w:t>10176</w:t>
            </w:r>
          </w:p>
        </w:tc>
        <w:tc>
          <w:tcPr>
            <w:tcW w:w="2000" w:type="dxa"/>
            <w:vAlign w:val="bottom"/>
          </w:tcPr>
          <w:p>
            <w:pPr>
              <w:spacing w:after="0"/>
              <w:rPr>
                <w:sz w:val="18"/>
                <w:szCs w:val="18"/>
                <w:color w:val="auto"/>
              </w:rPr>
            </w:pPr>
          </w:p>
        </w:tc>
      </w:tr>
      <w:tr>
        <w:trPr>
          <w:trHeight w:val="182"/>
        </w:trPr>
        <w:tc>
          <w:tcPr>
            <w:tcW w:w="2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60" w:type="dxa"/>
            <w:vAlign w:val="bottom"/>
          </w:tcPr>
          <w:p>
            <w:pPr>
              <w:jc w:val="center"/>
              <w:ind w:right="597"/>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2000" w:type="dxa"/>
            <w:vAlign w:val="bottom"/>
          </w:tcPr>
          <w:p>
            <w:pPr>
              <w:spacing w:after="0"/>
              <w:rPr>
                <w:sz w:val="15"/>
                <w:szCs w:val="15"/>
                <w:color w:val="auto"/>
              </w:rPr>
            </w:pPr>
          </w:p>
        </w:tc>
      </w:tr>
      <w:tr>
        <w:trPr>
          <w:trHeight w:val="398"/>
        </w:trPr>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60" w:type="dxa"/>
            <w:vAlign w:val="bottom"/>
          </w:tcPr>
          <w:p>
            <w:pPr>
              <w:jc w:val="right"/>
              <w:ind w:right="2217"/>
              <w:spacing w:after="0"/>
              <w:rPr>
                <w:sz w:val="20"/>
                <w:szCs w:val="20"/>
                <w:color w:val="auto"/>
              </w:rPr>
            </w:pPr>
            <w:r>
              <w:rPr>
                <w:rFonts w:ascii="Arial" w:cs="Arial" w:eastAsia="Arial" w:hAnsi="Arial"/>
                <w:sz w:val="18"/>
                <w:szCs w:val="18"/>
                <w:b w:val="1"/>
                <w:bCs w:val="1"/>
                <w:color w:val="auto"/>
              </w:rPr>
              <w:t>(212) 297-0200</w:t>
            </w:r>
          </w:p>
        </w:tc>
        <w:tc>
          <w:tcPr>
            <w:tcW w:w="2000" w:type="dxa"/>
            <w:vAlign w:val="bottom"/>
          </w:tcPr>
          <w:p>
            <w:pPr>
              <w:spacing w:after="0"/>
              <w:rPr>
                <w:sz w:val="24"/>
                <w:szCs w:val="24"/>
                <w:color w:val="auto"/>
              </w:rPr>
            </w:pPr>
          </w:p>
        </w:tc>
      </w:tr>
      <w:tr>
        <w:trPr>
          <w:trHeight w:val="182"/>
        </w:trPr>
        <w:tc>
          <w:tcPr>
            <w:tcW w:w="2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60" w:type="dxa"/>
            <w:vAlign w:val="bottom"/>
          </w:tcPr>
          <w:p>
            <w:pPr>
              <w:jc w:val="center"/>
              <w:ind w:right="577"/>
              <w:spacing w:after="0"/>
              <w:rPr>
                <w:sz w:val="20"/>
                <w:szCs w:val="20"/>
                <w:color w:val="auto"/>
              </w:rPr>
            </w:pPr>
            <w:r>
              <w:rPr>
                <w:rFonts w:ascii="Arial" w:cs="Arial" w:eastAsia="Arial" w:hAnsi="Arial"/>
                <w:sz w:val="14"/>
                <w:szCs w:val="14"/>
                <w:color w:val="auto"/>
                <w:w w:val="92"/>
              </w:rPr>
              <w:t>(Registrant's telephone number, including area code)</w:t>
            </w:r>
          </w:p>
        </w:tc>
        <w:tc>
          <w:tcPr>
            <w:tcW w:w="2000" w:type="dxa"/>
            <w:vAlign w:val="bottom"/>
          </w:tcPr>
          <w:p>
            <w:pPr>
              <w:spacing w:after="0"/>
              <w:rPr>
                <w:sz w:val="15"/>
                <w:szCs w:val="15"/>
                <w:color w:val="auto"/>
              </w:rPr>
            </w:pPr>
          </w:p>
        </w:tc>
      </w:tr>
      <w:tr>
        <w:trPr>
          <w:trHeight w:val="398"/>
        </w:trPr>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60" w:type="dxa"/>
            <w:vAlign w:val="bottom"/>
          </w:tcPr>
          <w:p>
            <w:pPr>
              <w:jc w:val="center"/>
              <w:ind w:right="577"/>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2"/>
        </w:trPr>
        <w:tc>
          <w:tcPr>
            <w:tcW w:w="2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60" w:type="dxa"/>
            <w:vAlign w:val="bottom"/>
          </w:tcPr>
          <w:p>
            <w:pPr>
              <w:jc w:val="center"/>
              <w:ind w:right="597"/>
              <w:spacing w:after="0"/>
              <w:rPr>
                <w:sz w:val="20"/>
                <w:szCs w:val="20"/>
                <w:color w:val="auto"/>
              </w:rPr>
            </w:pPr>
            <w:r>
              <w:rPr>
                <w:rFonts w:ascii="Arial" w:cs="Arial" w:eastAsia="Arial" w:hAnsi="Arial"/>
                <w:sz w:val="14"/>
                <w:szCs w:val="14"/>
                <w:color w:val="auto"/>
                <w:w w:val="92"/>
              </w:rPr>
              <w:t>(Former name or former address, if changed since last report)</w:t>
            </w:r>
          </w:p>
        </w:tc>
        <w:tc>
          <w:tcPr>
            <w:tcW w:w="2000" w:type="dxa"/>
            <w:vAlign w:val="bottom"/>
          </w:tcPr>
          <w:p>
            <w:pPr>
              <w:spacing w:after="0"/>
              <w:rPr>
                <w:sz w:val="15"/>
                <w:szCs w:val="15"/>
                <w:color w:val="auto"/>
              </w:rPr>
            </w:pPr>
          </w:p>
        </w:tc>
      </w:tr>
      <w:tr>
        <w:trPr>
          <w:trHeight w:val="201"/>
        </w:trPr>
        <w:tc>
          <w:tcPr>
            <w:tcW w:w="2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spacing w:after="0"/>
              <w:rPr>
                <w:sz w:val="17"/>
                <w:szCs w:val="17"/>
                <w:color w:val="auto"/>
              </w:rPr>
            </w:pPr>
          </w:p>
        </w:tc>
        <w:tc>
          <w:tcPr>
            <w:tcW w:w="2000" w:type="dxa"/>
            <w:vAlign w:val="bottom"/>
          </w:tcPr>
          <w:p>
            <w:pPr>
              <w:spacing w:after="0"/>
              <w:rPr>
                <w:sz w:val="17"/>
                <w:szCs w:val="17"/>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760" w:right="359" w:bottom="1440" w:gutter="0" w:footer="0" w:header="0"/>
        </w:sectPr>
      </w:pPr>
    </w:p>
    <w:bookmarkStart w:id="1" w:name="page2"/>
    <w:bookmarkEnd w:id="1"/>
    <w:p>
      <w:pPr>
        <w:ind w:left="1300" w:right="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June 6, 2016, the Compensation Committee of the Company approved an equity grant of 61,855 performance share units to James P. McClure. The grant was approved in recognition of Mr. McClure’s new responsibilities as Chief Operating Officer and to reflect his role in leading the implementation of the Company’s 2020 Vision, which have resulted in numerous and significant changes to the Company’s business and operations since its announcement in September 2015 and which changes will continue through fiscal year 2017. As a result, the Committee rescinded and cancelled the performance share units that were granted to Mr. McClure in January 2015 prior to the announcement of the 2020 Vision and Mr. McClure’s change in position.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new performance share unit award will vest on October 31, 2017 if the Company achieves income from continuing operations before taxes of at least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$100 million in fiscal year 2017, as adjusted in accordance with pre-specified provisions. The performance share units granted to Mr. McClure do not contain accelerated vesting in the event of retirement or involuntary termination prior to the vesting date. In the event his employment ends earlier due to his death or disability, unvested performance share units may vest on a prorated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ABM INDUSTRIES INCORPORATED</w:t>
      </w:r>
    </w:p>
    <w:p>
      <w:pPr>
        <w:spacing w:after="0" w:line="229"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Sarah H. McConnell</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Sarah H. McConnell</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June 10,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40"/>
      </w:cols>
      <w:pgMar w:left="240" w:top="90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2019-12-05T18:05:03Z</dcterms:created>
  <dcterms:modified xsi:type="dcterms:W3CDTF">2019-12-05T18:05:03Z</dcterms:modified>
</cp:coreProperties>
</file>