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0" w:lineRule="exact"/>
        <w:rPr>
          <w:sz w:val="20"/>
          <w:szCs w:val="20"/>
          <w:color w:val="auto"/>
        </w:rPr>
      </w:pPr>
    </w:p>
    <w:p>
      <w:pPr>
        <w:spacing w:after="0" w:line="2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(Mark One)</w:t>
      </w:r>
    </w:p>
    <w:p>
      <w:pPr>
        <w:ind w:left="4620" w:right="3720" w:hanging="3680"/>
        <w:spacing w:after="0" w:line="262" w:lineRule="auto"/>
        <w:tabs>
          <w:tab w:leader="none" w:pos="171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3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Fiscal Year Ended October 31, 2005</w:t>
      </w:r>
    </w:p>
    <w:p>
      <w:pPr>
        <w:spacing w:after="0" w:line="13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TRANSITION REPORT PURSUANT TO SECTION 13 OR 15(d) OF THE SECURITIES</w:t>
      </w:r>
    </w:p>
    <w:tbl>
      <w:tblPr>
        <w:tblLayout w:type="fixed"/>
        <w:tblInd w:w="820" w:type="dxa"/>
        <w:tblCellMar>
          <w:top w:w="0" w:type="dxa"/>
          <w:left w:w="0" w:type="dxa"/>
          <w:bottom w:w="0" w:type="dxa"/>
          <w:right w:w="0" w:type="dxa"/>
        </w:tblCellMar>
      </w:tblPr>
      <w:tr>
        <w:trPr>
          <w:trHeight w:val="203"/>
        </w:trPr>
        <w:tc>
          <w:tcPr>
            <w:tcW w:w="6000" w:type="dxa"/>
            <w:vAlign w:val="bottom"/>
            <w:gridSpan w:val="3"/>
          </w:tcPr>
          <w:p>
            <w:pPr>
              <w:jc w:val="center"/>
              <w:ind w:left="3684"/>
              <w:spacing w:after="0" w:line="202" w:lineRule="exact"/>
              <w:rPr>
                <w:sz w:val="20"/>
                <w:szCs w:val="20"/>
                <w:color w:val="auto"/>
              </w:rPr>
            </w:pPr>
            <w:r>
              <w:rPr>
                <w:rFonts w:ascii="Arial" w:cs="Arial" w:eastAsia="Arial" w:hAnsi="Arial"/>
                <w:sz w:val="18"/>
                <w:szCs w:val="18"/>
                <w:color w:val="auto"/>
              </w:rPr>
              <w:t>EXCHANGE ACT OF 1934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76"/>
        </w:trPr>
        <w:tc>
          <w:tcPr>
            <w:tcW w:w="4460" w:type="dxa"/>
            <w:vAlign w:val="bottom"/>
          </w:tcPr>
          <w:p>
            <w:pPr>
              <w:ind w:left="2020"/>
              <w:spacing w:after="0" w:line="176" w:lineRule="exact"/>
              <w:rPr>
                <w:sz w:val="20"/>
                <w:szCs w:val="20"/>
                <w:color w:val="auto"/>
              </w:rPr>
            </w:pPr>
            <w:r>
              <w:rPr>
                <w:rFonts w:ascii="Arial" w:cs="Arial" w:eastAsia="Arial" w:hAnsi="Arial"/>
                <w:sz w:val="18"/>
                <w:szCs w:val="18"/>
                <w:color w:val="auto"/>
              </w:rPr>
              <w:t>For the Transition Period from</w:t>
            </w: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20"/>
              <w:spacing w:after="0" w:line="176" w:lineRule="exact"/>
              <w:rPr>
                <w:sz w:val="20"/>
                <w:szCs w:val="20"/>
                <w:color w:val="auto"/>
              </w:rPr>
            </w:pPr>
            <w:r>
              <w:rPr>
                <w:rFonts w:ascii="Arial" w:cs="Arial" w:eastAsia="Arial" w:hAnsi="Arial"/>
                <w:sz w:val="18"/>
                <w:szCs w:val="18"/>
                <w:color w:val="auto"/>
              </w:rPr>
              <w:t>to</w:t>
            </w:r>
          </w:p>
        </w:tc>
        <w:tc>
          <w:tcPr>
            <w:tcW w:w="480" w:type="dxa"/>
            <w:vAlign w:val="bottom"/>
          </w:tcPr>
          <w:p>
            <w:pPr>
              <w:spacing w:after="0"/>
              <w:rPr>
                <w:sz w:val="15"/>
                <w:szCs w:val="15"/>
                <w:color w:val="auto"/>
              </w:rPr>
            </w:pPr>
          </w:p>
        </w:tc>
        <w:tc>
          <w:tcPr>
            <w:tcW w:w="2940" w:type="dxa"/>
            <w:vAlign w:val="bottom"/>
            <w:gridSpan w:val="2"/>
          </w:tcPr>
          <w:p>
            <w:pPr>
              <w:jc w:val="right"/>
              <w:ind w:right="1790"/>
              <w:spacing w:after="0" w:line="176" w:lineRule="exact"/>
              <w:rPr>
                <w:sz w:val="20"/>
                <w:szCs w:val="20"/>
                <w:color w:val="auto"/>
              </w:rPr>
            </w:pPr>
            <w:r>
              <w:rPr>
                <w:rFonts w:ascii="Arial" w:cs="Arial" w:eastAsia="Arial" w:hAnsi="Arial"/>
                <w:sz w:val="18"/>
                <w:szCs w:val="18"/>
                <w:color w:val="auto"/>
              </w:rPr>
              <w:t>.</w:t>
            </w:r>
          </w:p>
        </w:tc>
      </w:tr>
      <w:tr>
        <w:trPr>
          <w:trHeight w:val="20"/>
        </w:trPr>
        <w:tc>
          <w:tcPr>
            <w:tcW w:w="44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547"/>
        </w:trPr>
        <w:tc>
          <w:tcPr>
            <w:tcW w:w="6700" w:type="dxa"/>
            <w:vAlign w:val="bottom"/>
            <w:gridSpan w:val="5"/>
          </w:tcPr>
          <w:p>
            <w:pPr>
              <w:jc w:val="center"/>
              <w:ind w:left="3004"/>
              <w:spacing w:after="0"/>
              <w:rPr>
                <w:sz w:val="20"/>
                <w:szCs w:val="20"/>
                <w:color w:val="auto"/>
              </w:rPr>
            </w:pPr>
            <w:r>
              <w:rPr>
                <w:rFonts w:ascii="Arial" w:cs="Arial" w:eastAsia="Arial" w:hAnsi="Arial"/>
                <w:sz w:val="18"/>
                <w:szCs w:val="18"/>
                <w:color w:val="auto"/>
                <w:w w:val="99"/>
              </w:rPr>
              <w:t>Commission File Number: 1-8929</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31"/>
        </w:trPr>
        <w:tc>
          <w:tcPr>
            <w:tcW w:w="9640" w:type="dxa"/>
            <w:vAlign w:val="bottom"/>
            <w:gridSpan w:val="7"/>
          </w:tcPr>
          <w:p>
            <w:pPr>
              <w:jc w:val="center"/>
              <w:ind w:left="64"/>
              <w:spacing w:after="0"/>
              <w:rPr>
                <w:sz w:val="20"/>
                <w:szCs w:val="20"/>
                <w:color w:val="auto"/>
              </w:rPr>
            </w:pPr>
            <w:r>
              <w:rPr>
                <w:rFonts w:ascii="Arial" w:cs="Arial" w:eastAsia="Arial" w:hAnsi="Arial"/>
                <w:sz w:val="32"/>
                <w:szCs w:val="32"/>
                <w:b w:val="1"/>
                <w:bCs w:val="1"/>
                <w:color w:val="auto"/>
              </w:rPr>
              <w:t>ABM INDUSTRIES INCORPORATED</w:t>
            </w:r>
          </w:p>
        </w:tc>
      </w:tr>
      <w:tr>
        <w:trPr>
          <w:trHeight w:val="172"/>
        </w:trPr>
        <w:tc>
          <w:tcPr>
            <w:tcW w:w="6700" w:type="dxa"/>
            <w:vAlign w:val="bottom"/>
            <w:gridSpan w:val="5"/>
          </w:tcPr>
          <w:p>
            <w:pPr>
              <w:jc w:val="center"/>
              <w:ind w:left="3004"/>
              <w:spacing w:after="0"/>
              <w:rPr>
                <w:sz w:val="20"/>
                <w:szCs w:val="20"/>
                <w:color w:val="auto"/>
              </w:rPr>
            </w:pPr>
            <w:r>
              <w:rPr>
                <w:rFonts w:ascii="Arial" w:cs="Arial" w:eastAsia="Arial" w:hAnsi="Arial"/>
                <w:sz w:val="14"/>
                <w:szCs w:val="14"/>
                <w:color w:val="auto"/>
              </w:rPr>
              <w:t>(Exact name of registrant as specified in its charter)</w:t>
            </w: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76"/>
        </w:trPr>
        <w:tc>
          <w:tcPr>
            <w:tcW w:w="600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8"/>
              </w:rPr>
              <w:t>Delaware</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94-1369354</w:t>
            </w:r>
          </w:p>
        </w:tc>
      </w:tr>
      <w:tr>
        <w:trPr>
          <w:trHeight w:val="217"/>
        </w:trPr>
        <w:tc>
          <w:tcPr>
            <w:tcW w:w="600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(State of Incorporation)</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(I.R.S. Employer Identification No.)</w:t>
            </w:r>
          </w:p>
        </w:tc>
      </w:tr>
      <w:tr>
        <w:trPr>
          <w:trHeight w:val="431"/>
        </w:trPr>
        <w:tc>
          <w:tcPr>
            <w:tcW w:w="600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9"/>
              </w:rPr>
              <w:t>160 Pacific Avenue, Suite 222, San Francisco, California</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94111</w:t>
            </w:r>
          </w:p>
        </w:tc>
      </w:tr>
      <w:tr>
        <w:trPr>
          <w:trHeight w:val="217"/>
        </w:trPr>
        <w:tc>
          <w:tcPr>
            <w:tcW w:w="600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(Address of principal executive offices)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jc w:val="center"/>
              <w:ind w:right="750"/>
              <w:spacing w:after="0"/>
              <w:rPr>
                <w:sz w:val="20"/>
                <w:szCs w:val="20"/>
                <w:color w:val="auto"/>
              </w:rPr>
            </w:pPr>
            <w:r>
              <w:rPr>
                <w:rFonts w:ascii="Arial" w:cs="Arial" w:eastAsia="Arial" w:hAnsi="Arial"/>
                <w:sz w:val="18"/>
                <w:szCs w:val="18"/>
                <w:color w:val="auto"/>
                <w:w w:val="98"/>
              </w:rPr>
              <w:t>(Zip Code)</w:t>
            </w: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415/ 733-4000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00"/>
          </w:cols>
          <w:pgMar w:left="240" w:top="122" w:right="2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0000CA"/>
        </w:rPr>
        <w:t>Title of Each Class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0000CA"/>
        </w:rPr>
        <w:t>Name of Each Exchange on Which Registered</w:t>
      </w:r>
    </w:p>
    <w:p>
      <w:pPr>
        <w:spacing w:after="0" w:line="37" w:lineRule="exact"/>
        <w:rPr>
          <w:sz w:val="20"/>
          <w:szCs w:val="20"/>
          <w:color w:val="auto"/>
        </w:rPr>
      </w:pPr>
    </w:p>
    <w:p>
      <w:pPr>
        <w:sectPr>
          <w:pgSz w:w="11900" w:h="16838" w:orient="portrait"/>
          <w:cols w:equalWidth="0" w:num="2">
            <w:col w:w="5340" w:space="720"/>
            <w:col w:w="5340"/>
          </w:cols>
          <w:pgMar w:left="240" w:top="122" w:right="259" w:bottom="1440" w:gutter="0" w:footer="0" w:header="0"/>
          <w:type w:val="continuous"/>
        </w:sectPr>
      </w:pPr>
    </w:p>
    <w:p>
      <w:pPr>
        <w:jc w:val="center"/>
        <w:ind w:right="1180"/>
        <w:spacing w:after="0"/>
        <w:rPr>
          <w:sz w:val="20"/>
          <w:szCs w:val="20"/>
          <w:color w:val="auto"/>
        </w:rPr>
      </w:pPr>
      <w:r>
        <w:rPr>
          <w:rFonts w:ascii="Arial" w:cs="Arial" w:eastAsia="Arial" w:hAnsi="Arial"/>
          <w:sz w:val="18"/>
          <w:szCs w:val="18"/>
          <w:b w:val="1"/>
          <w:bCs w:val="1"/>
          <w:color w:val="auto"/>
        </w:rPr>
        <w:t>Common Stock, $.01 par value</w:t>
      </w:r>
    </w:p>
    <w:p>
      <w:pPr>
        <w:jc w:val="center"/>
        <w:ind w:right="1180"/>
        <w:spacing w:after="0"/>
        <w:rPr>
          <w:sz w:val="20"/>
          <w:szCs w:val="20"/>
          <w:color w:val="auto"/>
        </w:rPr>
      </w:pPr>
      <w:r>
        <w:rPr>
          <w:rFonts w:ascii="Arial" w:cs="Arial" w:eastAsia="Arial" w:hAnsi="Arial"/>
          <w:sz w:val="17"/>
          <w:szCs w:val="17"/>
          <w:b w:val="1"/>
          <w:bCs w:val="1"/>
          <w:color w:val="auto"/>
        </w:rPr>
        <w:t>Preferred Stock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New York Stock Exchange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York Stock Exchange</w:t>
      </w:r>
    </w:p>
    <w:p>
      <w:pPr>
        <w:spacing w:after="0" w:line="183" w:lineRule="exact"/>
        <w:rPr>
          <w:sz w:val="20"/>
          <w:szCs w:val="20"/>
          <w:color w:val="auto"/>
        </w:rPr>
      </w:pPr>
    </w:p>
    <w:p>
      <w:pPr>
        <w:sectPr>
          <w:pgSz w:w="11900" w:h="16838" w:orient="portrait"/>
          <w:cols w:equalWidth="0" w:num="2">
            <w:col w:w="6900" w:space="720"/>
            <w:col w:w="3780"/>
          </w:cols>
          <w:pgMar w:left="240" w:top="12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No </w:t>
      </w:r>
      <w:r>
        <w:rPr>
          <w:rFonts w:ascii="Arial" w:cs="Arial" w:eastAsia="Arial" w:hAnsi="Arial"/>
          <w:sz w:val="18"/>
          <w:szCs w:val="18"/>
          <w:u w:val="single" w:color="auto"/>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-24130</wp:posOffset>
            </wp:positionV>
            <wp:extent cx="31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75" w:lineRule="exact"/>
        <w:rPr>
          <w:sz w:val="20"/>
          <w:szCs w:val="20"/>
          <w:color w:val="auto"/>
        </w:rPr>
      </w:pPr>
    </w:p>
    <w:p>
      <w:pPr>
        <w:ind w:right="660"/>
        <w:spacing w:after="0"/>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u w:val="single" w:color="auto"/>
          <w:color w:val="auto"/>
        </w:rPr>
        <w:t>X</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Accelerated filer Non-accelerated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6898005</wp:posOffset>
            </wp:positionH>
            <wp:positionV relativeFrom="paragraph">
              <wp:posOffset>-153035</wp:posOffset>
            </wp:positionV>
            <wp:extent cx="31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8890"/>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-24130</wp:posOffset>
            </wp:positionV>
            <wp:extent cx="3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75" w:lineRule="exact"/>
        <w:rPr>
          <w:sz w:val="20"/>
          <w:szCs w:val="20"/>
          <w:color w:val="auto"/>
        </w:rPr>
      </w:pPr>
    </w:p>
    <w:p>
      <w:pPr>
        <w:spacing w:after="0"/>
        <w:tabs>
          <w:tab w:leader="none" w:pos="95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-19050</wp:posOffset>
            </wp:positionV>
            <wp:extent cx="31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8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As of April 30, 2005 (the last business day of registrant’s most recently completed second fiscal quarter), non-affiliates of the registrant beneficially owned shares of the registrant’s common stock with an aggregate market value of $722,786,992, computed by reference to the price at which the common stock was last sold.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28, 2006: 49,312,879.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14"/>
          </w:tcPr>
          <w:p>
            <w:pPr>
              <w:jc w:val="center"/>
              <w:ind w:right="3480"/>
              <w:spacing w:after="0"/>
              <w:rPr>
                <w:sz w:val="20"/>
                <w:szCs w:val="20"/>
                <w:color w:val="auto"/>
              </w:rPr>
            </w:pPr>
            <w:r>
              <w:rPr>
                <w:rFonts w:ascii="Arial" w:cs="Arial" w:eastAsia="Arial" w:hAnsi="Arial"/>
                <w:sz w:val="18"/>
                <w:szCs w:val="18"/>
                <w:b w:val="1"/>
                <w:bCs w:val="1"/>
                <w:color w:val="auto"/>
                <w:w w:val="99"/>
              </w:rPr>
              <w:t>ABM Industries Incorporated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0" w:type="dxa"/>
            <w:vAlign w:val="bottom"/>
            <w:gridSpan w:val="12"/>
          </w:tcPr>
          <w:p>
            <w:pPr>
              <w:jc w:val="center"/>
              <w:ind w:right="3980"/>
              <w:spacing w:after="0" w:line="202" w:lineRule="exact"/>
              <w:rPr>
                <w:sz w:val="20"/>
                <w:szCs w:val="20"/>
                <w:color w:val="auto"/>
              </w:rPr>
            </w:pPr>
            <w:r>
              <w:rPr>
                <w:rFonts w:ascii="Arial" w:cs="Arial" w:eastAsia="Arial" w:hAnsi="Arial"/>
                <w:sz w:val="18"/>
                <w:szCs w:val="18"/>
                <w:b w:val="1"/>
                <w:bCs w:val="1"/>
                <w:color w:val="auto"/>
              </w:rPr>
              <w:t>Form 10-K</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gridSpan w:val="17"/>
          </w:tcPr>
          <w:p>
            <w:pPr>
              <w:jc w:val="center"/>
              <w:ind w:right="3020"/>
              <w:spacing w:after="0" w:line="202" w:lineRule="exact"/>
              <w:rPr>
                <w:sz w:val="20"/>
                <w:szCs w:val="20"/>
                <w:color w:val="auto"/>
              </w:rPr>
            </w:pPr>
            <w:r>
              <w:rPr>
                <w:rFonts w:ascii="Arial" w:cs="Arial" w:eastAsia="Arial" w:hAnsi="Arial"/>
                <w:sz w:val="18"/>
                <w:szCs w:val="18"/>
                <w:b w:val="1"/>
                <w:bCs w:val="1"/>
                <w:color w:val="auto"/>
                <w:w w:val="99"/>
              </w:rPr>
              <w:t>For the Fiscal Year Ended October 31, 2005</w:t>
            </w: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gridSpan w:val="12"/>
          </w:tcPr>
          <w:p>
            <w:pPr>
              <w:jc w:val="center"/>
              <w:ind w:right="39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2760" w:type="dxa"/>
            <w:vAlign w:val="bottom"/>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78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Executive Officers of the Registrant</w:t>
              </w:r>
            </w:hyperlink>
          </w:p>
        </w:tc>
        <w:tc>
          <w:tcPr>
            <w:tcW w:w="49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2220" w:type="dxa"/>
            <w:vAlign w:val="bottom"/>
            <w:gridSpan w:val="7"/>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Properties</w:t>
              </w:r>
            </w:hyperlink>
          </w:p>
        </w:tc>
        <w:tc>
          <w:tcPr>
            <w:tcW w:w="6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3.</w:t>
              </w:r>
            </w:hyperlink>
          </w:p>
        </w:tc>
        <w:tc>
          <w:tcPr>
            <w:tcW w:w="2220" w:type="dxa"/>
            <w:vAlign w:val="bottom"/>
            <w:gridSpan w:val="7"/>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gridSpan w:val="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2220" w:type="dxa"/>
            <w:vAlign w:val="bottom"/>
            <w:gridSpan w:val="7"/>
          </w:tcPr>
          <w:p>
            <w:pPr>
              <w:spacing w:after="0"/>
              <w:rPr>
                <w:sz w:val="18"/>
                <w:szCs w:val="18"/>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Submission of Matters to a Vote of Security Holders</w:t>
              </w:r>
            </w:hyperlink>
          </w:p>
        </w:tc>
        <w:tc>
          <w:tcPr>
            <w:tcW w:w="0" w:type="dxa"/>
            <w:vAlign w:val="bottom"/>
          </w:tcPr>
          <w:p>
            <w:pPr>
              <w:spacing w:after="0"/>
              <w:rPr>
                <w:sz w:val="1"/>
                <w:szCs w:val="1"/>
                <w:color w:val="auto"/>
              </w:rPr>
            </w:pPr>
          </w:p>
        </w:tc>
      </w:tr>
      <w:tr>
        <w:trPr>
          <w:trHeight w:val="39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Part II</w:t>
              </w:r>
            </w:hyperlink>
          </w:p>
        </w:tc>
        <w:tc>
          <w:tcPr>
            <w:tcW w:w="2220" w:type="dxa"/>
            <w:vAlign w:val="bottom"/>
            <w:gridSpan w:val="7"/>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60" w:type="dxa"/>
            <w:vAlign w:val="bottom"/>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5.</w:t>
              </w:r>
            </w:hyperlink>
          </w:p>
        </w:tc>
        <w:tc>
          <w:tcPr>
            <w:tcW w:w="7780" w:type="dxa"/>
            <w:vAlign w:val="bottom"/>
            <w:gridSpan w:val="23"/>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Market for the Registrant’s Common Equity, Related Stockholder Matters and Issuer Purchases of</w:t>
              </w:r>
            </w:hyperlink>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780" w:type="dxa"/>
            <w:vAlign w:val="bottom"/>
            <w:gridSpan w:val="23"/>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Equity Securities</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Borders>
              <w:bottom w:val="single" w:sz="8" w:color="0000EE"/>
            </w:tcBorders>
            <w:gridSpan w:val="2"/>
          </w:tcPr>
          <w:p>
            <w:pPr>
              <w:spacing w:after="0" w:line="18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6.</w:t>
              </w:r>
            </w:hyperlink>
          </w:p>
        </w:tc>
        <w:tc>
          <w:tcPr>
            <w:tcW w:w="2220" w:type="dxa"/>
            <w:vAlign w:val="bottom"/>
            <w:gridSpan w:val="7"/>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Selected Financial Data</w:t>
              </w:r>
            </w:hyperlink>
          </w:p>
        </w:tc>
        <w:tc>
          <w:tcPr>
            <w:tcW w:w="58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7.</w:t>
              </w:r>
            </w:hyperlink>
          </w:p>
        </w:tc>
        <w:tc>
          <w:tcPr>
            <w:tcW w:w="2220" w:type="dxa"/>
            <w:vAlign w:val="bottom"/>
            <w:gridSpan w:val="7"/>
          </w:tcPr>
          <w:p>
            <w:pPr>
              <w:spacing w:after="0"/>
              <w:rPr>
                <w:sz w:val="17"/>
                <w:szCs w:val="17"/>
                <w:color w:val="auto"/>
              </w:rPr>
            </w:pPr>
          </w:p>
        </w:tc>
        <w:tc>
          <w:tcPr>
            <w:tcW w:w="708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 Results of Operations</w:t>
              </w:r>
            </w:hyperlink>
          </w:p>
        </w:tc>
        <w:tc>
          <w:tcPr>
            <w:tcW w:w="7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gridSpan w:val="4"/>
          </w:tcPr>
          <w:p>
            <w:pPr>
              <w:spacing w:after="0" w:line="196"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Item 7A.</w:t>
              </w:r>
            </w:hyperlink>
          </w:p>
        </w:tc>
        <w:tc>
          <w:tcPr>
            <w:tcW w:w="2080" w:type="dxa"/>
            <w:vAlign w:val="bottom"/>
            <w:gridSpan w:val="5"/>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2080" w:type="dxa"/>
            <w:vAlign w:val="bottom"/>
            <w:gridSpan w:val="5"/>
          </w:tcPr>
          <w:p>
            <w:pPr>
              <w:spacing w:after="0"/>
              <w:rPr>
                <w:sz w:val="17"/>
                <w:szCs w:val="17"/>
                <w:color w:val="auto"/>
              </w:rPr>
            </w:pPr>
          </w:p>
        </w:tc>
        <w:tc>
          <w:tcPr>
            <w:tcW w:w="3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4"/>
          </w:tcPr>
          <w:p>
            <w:pPr>
              <w:spacing w:after="0"/>
              <w:rPr>
                <w:sz w:val="17"/>
                <w:szCs w:val="17"/>
                <w:color w:val="auto"/>
              </w:rPr>
            </w:pPr>
          </w:p>
        </w:tc>
        <w:tc>
          <w:tcPr>
            <w:tcW w:w="30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9.</w:t>
              </w:r>
            </w:hyperlink>
          </w:p>
        </w:tc>
        <w:tc>
          <w:tcPr>
            <w:tcW w:w="2220" w:type="dxa"/>
            <w:vAlign w:val="bottom"/>
            <w:gridSpan w:val="7"/>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9A.</w:t>
              </w:r>
            </w:hyperlink>
          </w:p>
        </w:tc>
        <w:tc>
          <w:tcPr>
            <w:tcW w:w="2060" w:type="dxa"/>
            <w:vAlign w:val="bottom"/>
            <w:gridSpan w:val="4"/>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196"/>
        </w:trPr>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Item 9B.</w:t>
              </w:r>
            </w:hyperlink>
          </w:p>
        </w:tc>
        <w:tc>
          <w:tcPr>
            <w:tcW w:w="20" w:type="dxa"/>
            <w:vAlign w:val="bottom"/>
            <w:tcBorders>
              <w:top w:val="single" w:sz="8" w:color="0000EE"/>
            </w:tcBorders>
          </w:tcPr>
          <w:p>
            <w:pPr>
              <w:spacing w:after="0"/>
              <w:rPr>
                <w:sz w:val="17"/>
                <w:szCs w:val="17"/>
                <w:color w:val="auto"/>
              </w:rPr>
            </w:pPr>
          </w:p>
        </w:tc>
        <w:tc>
          <w:tcPr>
            <w:tcW w:w="2060" w:type="dxa"/>
            <w:vAlign w:val="bottom"/>
            <w:gridSpan w:val="4"/>
          </w:tcPr>
          <w:p>
            <w:pPr>
              <w:spacing w:after="0"/>
              <w:rPr>
                <w:sz w:val="17"/>
                <w:szCs w:val="17"/>
                <w:color w:val="auto"/>
              </w:rPr>
            </w:pPr>
          </w:p>
        </w:tc>
        <w:tc>
          <w:tcPr>
            <w:tcW w:w="1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3"/>
          </w:tcPr>
          <w:p>
            <w:pPr>
              <w:spacing w:after="0"/>
              <w:rPr>
                <w:sz w:val="17"/>
                <w:szCs w:val="17"/>
                <w:color w:val="auto"/>
              </w:rPr>
            </w:pPr>
          </w:p>
        </w:tc>
        <w:tc>
          <w:tcPr>
            <w:tcW w:w="5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68">
              <w:r>
                <w:rPr>
                  <w:rFonts w:ascii="Arial" w:cs="Arial" w:eastAsia="Arial" w:hAnsi="Arial"/>
                  <w:sz w:val="18"/>
                  <w:szCs w:val="18"/>
                  <w:b w:val="1"/>
                  <w:bCs w:val="1"/>
                  <w:color w:val="0000EE"/>
                  <w:w w:val="90"/>
                </w:rPr>
                <w:t>Part III</w:t>
              </w:r>
            </w:hyperlink>
          </w:p>
        </w:tc>
        <w:tc>
          <w:tcPr>
            <w:tcW w:w="222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10.</w:t>
              </w:r>
            </w:hyperlink>
          </w:p>
        </w:tc>
        <w:tc>
          <w:tcPr>
            <w:tcW w:w="2120" w:type="dxa"/>
            <w:vAlign w:val="bottom"/>
            <w:gridSpan w:val="6"/>
          </w:tcPr>
          <w:p>
            <w:pPr>
              <w:spacing w:after="0"/>
              <w:rPr>
                <w:sz w:val="17"/>
                <w:szCs w:val="17"/>
                <w:color w:val="auto"/>
              </w:rPr>
            </w:pPr>
          </w:p>
        </w:tc>
        <w:tc>
          <w:tcPr>
            <w:tcW w:w="394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Directors and Executive Officers of the Registrant</w:t>
              </w:r>
            </w:hyperlink>
          </w:p>
        </w:tc>
        <w:tc>
          <w:tcPr>
            <w:tcW w:w="38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Item 11.</w:t>
              </w:r>
            </w:hyperlink>
          </w:p>
        </w:tc>
        <w:tc>
          <w:tcPr>
            <w:tcW w:w="2120" w:type="dxa"/>
            <w:vAlign w:val="bottom"/>
            <w:gridSpan w:val="6"/>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Item 12.</w:t>
              </w:r>
            </w:hyperlink>
          </w:p>
        </w:tc>
        <w:tc>
          <w:tcPr>
            <w:tcW w:w="2120" w:type="dxa"/>
            <w:vAlign w:val="bottom"/>
            <w:gridSpan w:val="6"/>
          </w:tcPr>
          <w:p>
            <w:pPr>
              <w:spacing w:after="0"/>
              <w:rPr>
                <w:sz w:val="17"/>
                <w:szCs w:val="17"/>
                <w:color w:val="auto"/>
              </w:rPr>
            </w:pPr>
          </w:p>
        </w:tc>
        <w:tc>
          <w:tcPr>
            <w:tcW w:w="7780" w:type="dxa"/>
            <w:vAlign w:val="bottom"/>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w:t>
              </w:r>
            </w:hyperlink>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780" w:type="dxa"/>
            <w:vAlign w:val="bottom"/>
            <w:gridSpan w:val="23"/>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Matters</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Item 13.</w:t>
              </w:r>
            </w:hyperlink>
          </w:p>
        </w:tc>
        <w:tc>
          <w:tcPr>
            <w:tcW w:w="1720" w:type="dxa"/>
            <w:vAlign w:val="bottom"/>
            <w:gridSpan w:val="3"/>
          </w:tcPr>
          <w:p>
            <w:pPr>
              <w:spacing w:after="0"/>
              <w:rPr>
                <w:sz w:val="15"/>
                <w:szCs w:val="15"/>
                <w:color w:val="auto"/>
              </w:rPr>
            </w:pPr>
          </w:p>
        </w:tc>
        <w:tc>
          <w:tcPr>
            <w:tcW w:w="38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Certain Relationships and Related Transactions</w:t>
              </w:r>
            </w:hyperlink>
          </w:p>
        </w:tc>
        <w:tc>
          <w:tcPr>
            <w:tcW w:w="39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7780" w:type="dxa"/>
            <w:vAlign w:val="bottom"/>
            <w:gridSpan w:val="2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0" w:type="dxa"/>
            <w:vAlign w:val="bottom"/>
          </w:tcPr>
          <w:p>
            <w:pPr>
              <w:spacing w:after="0"/>
              <w:rPr>
                <w:sz w:val="1"/>
                <w:szCs w:val="1"/>
                <w:color w:val="auto"/>
              </w:rPr>
            </w:pPr>
          </w:p>
        </w:tc>
      </w:tr>
      <w:tr>
        <w:trPr>
          <w:trHeight w:val="392"/>
        </w:trPr>
        <w:tc>
          <w:tcPr>
            <w:tcW w:w="6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IV</w:t>
              </w:r>
            </w:hyperlink>
          </w:p>
        </w:tc>
        <w:tc>
          <w:tcPr>
            <w:tcW w:w="2120" w:type="dxa"/>
            <w:vAlign w:val="bottom"/>
            <w:gridSpan w:val="6"/>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778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Signatures</w:t>
              </w:r>
            </w:hyperlink>
          </w:p>
        </w:tc>
        <w:tc>
          <w:tcPr>
            <w:tcW w:w="2640" w:type="dxa"/>
            <w:vAlign w:val="bottom"/>
            <w:tcBorders>
              <w:top w:val="single" w:sz="8" w:color="0000EE"/>
            </w:tcBorders>
            <w:gridSpan w:val="10"/>
          </w:tcPr>
          <w:p>
            <w:pPr>
              <w:spacing w:after="0"/>
              <w:rPr>
                <w:sz w:val="17"/>
                <w:szCs w:val="17"/>
                <w:color w:val="auto"/>
              </w:rPr>
            </w:pPr>
          </w:p>
        </w:tc>
        <w:tc>
          <w:tcPr>
            <w:tcW w:w="4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Schedule II</w:t>
              </w:r>
            </w:hyperlink>
          </w:p>
        </w:tc>
        <w:tc>
          <w:tcPr>
            <w:tcW w:w="6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gridSpan w:val="9"/>
            <w:vMerge w:val="restart"/>
          </w:tcPr>
          <w:p>
            <w:pPr>
              <w:spacing w:after="0"/>
              <w:rPr>
                <w:sz w:val="20"/>
                <w:szCs w:val="20"/>
                <w:color w:val="auto"/>
              </w:rPr>
            </w:pPr>
            <w:r>
              <w:rPr>
                <w:rFonts w:ascii="Arial" w:cs="Arial" w:eastAsia="Arial" w:hAnsi="Arial"/>
                <w:sz w:val="18"/>
                <w:szCs w:val="18"/>
                <w:color w:val="0000EE"/>
              </w:rPr>
              <w:t>EXHIBIT 10.4</w:t>
            </w:r>
          </w:p>
        </w:tc>
        <w:tc>
          <w:tcPr>
            <w:tcW w:w="7780" w:type="dxa"/>
            <w:vAlign w:val="bottom"/>
            <w:gridSpan w:val="2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 Index</w:t>
              </w:r>
            </w:hyperlink>
          </w:p>
        </w:tc>
        <w:tc>
          <w:tcPr>
            <w:tcW w:w="0" w:type="dxa"/>
            <w:vAlign w:val="bottom"/>
          </w:tcPr>
          <w:p>
            <w:pPr>
              <w:spacing w:after="0"/>
              <w:rPr>
                <w:sz w:val="1"/>
                <w:szCs w:val="1"/>
                <w:color w:val="auto"/>
              </w:rPr>
            </w:pPr>
          </w:p>
        </w:tc>
      </w:tr>
      <w:tr>
        <w:trPr>
          <w:trHeight w:val="196"/>
        </w:trPr>
        <w:tc>
          <w:tcPr>
            <w:tcW w:w="2760" w:type="dxa"/>
            <w:vAlign w:val="bottom"/>
            <w:gridSpan w:val="9"/>
            <w:vMerge w:val="continue"/>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10.6</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10.8</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10.14</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10.22</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10.23</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10.24</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10.25</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10.26</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EXHIBIT 10.27</w:t>
            </w:r>
          </w:p>
        </w:tc>
        <w:tc>
          <w:tcPr>
            <w:tcW w:w="16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21.1</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23.1</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31.1</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31.2</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6"/>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9"/>
          </w:tcPr>
          <w:p>
            <w:pPr>
              <w:spacing w:after="0" w:line="196" w:lineRule="exact"/>
              <w:rPr>
                <w:sz w:val="20"/>
                <w:szCs w:val="20"/>
                <w:color w:val="auto"/>
              </w:rPr>
            </w:pPr>
            <w:r>
              <w:rPr>
                <w:rFonts w:ascii="Arial" w:cs="Arial" w:eastAsia="Arial" w:hAnsi="Arial"/>
                <w:sz w:val="18"/>
                <w:szCs w:val="18"/>
                <w:color w:val="0000EE"/>
              </w:rPr>
              <w:t>EXHIBIT 32.1</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ectPr>
          <w:pgSz w:w="11900" w:h="16838" w:orient="portrait"/>
          <w:cols w:equalWidth="0" w:num="2">
            <w:col w:w="10540" w:space="620"/>
            <w:col w:w="200"/>
          </w:cols>
          <w:pgMar w:left="300" w:top="950"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ABM Industries Incorporated (“ABM”) is a leading facility services contractor in the United States. With annual revenues in excess of</w:t>
      </w:r>
    </w:p>
    <w:p>
      <w:pPr>
        <w:spacing w:after="0" w:line="234" w:lineRule="auto"/>
        <w:rPr>
          <w:sz w:val="20"/>
          <w:szCs w:val="20"/>
          <w:color w:val="auto"/>
        </w:rPr>
      </w:pPr>
      <w:r>
        <w:rPr>
          <w:rFonts w:ascii="Arial" w:cs="Arial" w:eastAsia="Arial" w:hAnsi="Arial"/>
          <w:sz w:val="18"/>
          <w:szCs w:val="18"/>
          <w:color w:val="auto"/>
        </w:rPr>
        <w:t>$2.5 billion and approximately 73,000 employees, ABM and its subsidiaries (the “Company”) provide janitorial, parking, security, engineering</w:t>
      </w:r>
    </w:p>
    <w:p>
      <w:pPr>
        <w:spacing w:after="0" w:line="235" w:lineRule="auto"/>
        <w:rPr>
          <w:sz w:val="20"/>
          <w:szCs w:val="20"/>
          <w:color w:val="auto"/>
        </w:rPr>
      </w:pPr>
      <w:r>
        <w:rPr>
          <w:rFonts w:ascii="Arial" w:cs="Arial" w:eastAsia="Arial" w:hAnsi="Arial"/>
          <w:sz w:val="18"/>
          <w:szCs w:val="18"/>
          <w:color w:val="auto"/>
        </w:rPr>
        <w:t>and lighting services for thousands of commercial, industrial, institutional and retail facilities in hundreds of cities throughout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in British Columbia, Canada.</w:t>
      </w:r>
    </w:p>
    <w:p>
      <w:pPr>
        <w:spacing w:after="0" w:line="104" w:lineRule="exact"/>
        <w:rPr>
          <w:sz w:val="20"/>
          <w:szCs w:val="20"/>
          <w:color w:val="auto"/>
        </w:rPr>
      </w:pPr>
    </w:p>
    <w:p>
      <w:pPr>
        <w:jc w:val="both"/>
        <w:ind w:right="420" w:firstLine="290"/>
        <w:spacing w:after="0"/>
        <w:rPr>
          <w:sz w:val="20"/>
          <w:szCs w:val="20"/>
          <w:color w:val="auto"/>
        </w:rPr>
      </w:pPr>
      <w:r>
        <w:rPr>
          <w:rFonts w:ascii="Arial" w:cs="Arial" w:eastAsia="Arial" w:hAnsi="Arial"/>
          <w:sz w:val="18"/>
          <w:szCs w:val="18"/>
          <w:color w:val="auto"/>
        </w:rPr>
        <w:t>ABM was reincorporated in Delaware on March 19, 1985, as the successor to a business founded in California in 1909. The corporate headquarters of the Company is located at 160 Pacific Avenue, Suite 222, San Francisco, California 94111, and the Company’s telephone number at that location is (415) 733-4000.</w:t>
      </w:r>
    </w:p>
    <w:p>
      <w:pPr>
        <w:spacing w:after="0" w:line="95" w:lineRule="exact"/>
        <w:rPr>
          <w:sz w:val="20"/>
          <w:szCs w:val="20"/>
          <w:color w:val="auto"/>
        </w:rPr>
      </w:pPr>
    </w:p>
    <w:p>
      <w:pPr>
        <w:ind w:right="40" w:firstLine="297"/>
        <w:spacing w:after="0" w:line="237" w:lineRule="auto"/>
        <w:rPr>
          <w:sz w:val="20"/>
          <w:szCs w:val="20"/>
          <w:color w:val="auto"/>
        </w:rPr>
      </w:pPr>
      <w:r>
        <w:rPr>
          <w:rFonts w:ascii="Arial" w:cs="Arial" w:eastAsia="Arial" w:hAnsi="Arial"/>
          <w:sz w:val="18"/>
          <w:szCs w:val="18"/>
          <w:color w:val="auto"/>
        </w:rPr>
        <w:t>The Company’s Website is www.abm.com. Through a link on the Investor Relations section of the Company’s Website, the following filings and amendments to those filings are made available free of charge, as soon as reasonably practicable after they are electronically filed with or furnished to the SEC: (1) Annual Reports on Form 10-K, (2) Quarterly Reports on Form 10-Q, (3) Current Reports on Form 8-K and (4) filings by ABM’s directors and executive officers under Section 16(a) of the Securities Exchange Act of 1934 (the “Exchange Act.”) The Company also makes available on its Website and in print, free of charge, to those who request them its Corporate Governance Guidelines, Code of Business Conduct &amp; Ethics and the charters of its audit, compensation and governance committees.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Information</w:t>
      </w:r>
    </w:p>
    <w:p>
      <w:pPr>
        <w:spacing w:after="0" w:line="126" w:lineRule="exact"/>
        <w:rPr>
          <w:sz w:val="20"/>
          <w:szCs w:val="20"/>
          <w:color w:val="auto"/>
        </w:rPr>
      </w:pPr>
    </w:p>
    <w:p>
      <w:pPr>
        <w:ind w:right="60" w:firstLine="297"/>
        <w:spacing w:after="0"/>
        <w:rPr>
          <w:sz w:val="20"/>
          <w:szCs w:val="20"/>
          <w:color w:val="auto"/>
        </w:rPr>
      </w:pPr>
      <w:r>
        <w:rPr>
          <w:rFonts w:ascii="Arial" w:cs="Arial" w:eastAsia="Arial" w:hAnsi="Arial"/>
          <w:sz w:val="18"/>
          <w:szCs w:val="18"/>
          <w:color w:val="auto"/>
        </w:rPr>
        <w:t>The Company conducts business through a number of subsidiaries, which are grouped into five segments based on the nature of the business operations. The operating subsidiaries within each segment generally report to the same senior management. Referred to collectively as the “ABM Family of Services,” at October 31, 2005 the five segments were:</w:t>
      </w:r>
    </w:p>
    <w:p>
      <w:pPr>
        <w:spacing w:after="0" w:line="90" w:lineRule="exact"/>
        <w:rPr>
          <w:sz w:val="20"/>
          <w:szCs w:val="20"/>
          <w:color w:val="auto"/>
        </w:rPr>
      </w:pPr>
    </w:p>
    <w:p>
      <w:pPr>
        <w:ind w:left="620" w:hanging="1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Janitorial</w:t>
      </w:r>
    </w:p>
    <w:p>
      <w:pPr>
        <w:ind w:left="620" w:hanging="112"/>
        <w:spacing w:after="0" w:line="23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Parking</w:t>
      </w:r>
    </w:p>
    <w:p>
      <w:pPr>
        <w:ind w:left="620" w:hanging="112"/>
        <w:spacing w:after="0" w:line="23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Security</w:t>
      </w:r>
    </w:p>
    <w:p>
      <w:pPr>
        <w:ind w:left="620" w:hanging="112"/>
        <w:spacing w:after="0" w:line="23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Engineering</w:t>
      </w:r>
    </w:p>
    <w:p>
      <w:pPr>
        <w:ind w:left="620" w:hanging="1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Lighting</w:t>
      </w:r>
    </w:p>
    <w:p>
      <w:pPr>
        <w:spacing w:after="0" w:line="104" w:lineRule="exact"/>
        <w:rPr>
          <w:sz w:val="20"/>
          <w:szCs w:val="20"/>
          <w:color w:val="auto"/>
        </w:rPr>
      </w:pPr>
    </w:p>
    <w:p>
      <w:pPr>
        <w:ind w:right="60" w:firstLine="297"/>
        <w:spacing w:after="0" w:line="238" w:lineRule="auto"/>
        <w:rPr>
          <w:sz w:val="20"/>
          <w:szCs w:val="20"/>
          <w:color w:val="auto"/>
        </w:rPr>
      </w:pPr>
      <w:r>
        <w:rPr>
          <w:rFonts w:ascii="Arial" w:cs="Arial" w:eastAsia="Arial" w:hAnsi="Arial"/>
          <w:sz w:val="18"/>
          <w:szCs w:val="18"/>
          <w:color w:val="auto"/>
        </w:rPr>
        <w:t>The Company previously provided mechanical services. On June 2, 2005, the Company sold substantially all of the operating assets of CommAir Mechanical Services (“Mechanical”), a wholly owned subsidiary of ABM, to Carrier Corporation (“Carrier”), a wholly owned subsidiary of United Technologies Corporation. It sold the remaining assets to another buyer on July 31, 2005. See “Divestiture and Results from Discontinued Operations” contained in Item 7, “Management’s Discussion and Analysis of Financial Condition and Results of Operations.” On November 1, 2004, the Company’s Facility Services segment merged with the Engineering segment.</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business activities of the Company by industry segment, as they existed at October 31, 2005, are more fully described below.</w:t>
      </w:r>
    </w:p>
    <w:p>
      <w:pPr>
        <w:spacing w:after="0" w:line="82" w:lineRule="exact"/>
        <w:rPr>
          <w:sz w:val="20"/>
          <w:szCs w:val="20"/>
          <w:color w:val="auto"/>
        </w:rPr>
      </w:pPr>
    </w:p>
    <w:p>
      <w:pPr>
        <w:ind w:right="60" w:firstLine="300"/>
        <w:spacing w:after="0" w:line="239"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Janitorial.</w:t>
      </w:r>
      <w:r>
        <w:rPr>
          <w:rFonts w:ascii="Arial" w:cs="Arial" w:eastAsia="Arial" w:hAnsi="Arial"/>
          <w:sz w:val="18"/>
          <w:szCs w:val="18"/>
          <w:color w:val="auto"/>
        </w:rPr>
        <w:t xml:space="preserve"> The Company performs janitorial services through a number of the Company’s subsidiaries, primarily operating under the names “ABM Janitorial Services,” “American Building Maintenance” and “ABM Lakeside Building Maintenance.” The Company provides a wide range of basic janitorial services for a variety of facilities, including commercial office buildings, industrial plants, financial institutions, retail stores, shopping centers, warehouses, airport terminals, health and educational facilities, stadiums and arenas, and government buildings. Services provided include floor cleaning and finishing, window washing, furniture polishing, carpet cleaning and dusting, as well as other building cleaning services. The Company’s Janitorial subsidiaries maintain 114 offices in 42 states, the District of Columbia and one Canadian province, and operate under thousands of individually negotiated building maintenance contracts, nearly all of which are obtained by competitive bidding. The Company’s Janitorial contracts are either fixed price agreements or “cost-plus” (</w:t>
      </w:r>
      <w:r>
        <w:rPr>
          <w:rFonts w:ascii="Arial" w:cs="Arial" w:eastAsia="Arial" w:hAnsi="Arial"/>
          <w:sz w:val="18"/>
          <w:szCs w:val="18"/>
          <w:i w:val="1"/>
          <w:iCs w:val="1"/>
          <w:color w:val="auto"/>
        </w:rPr>
        <w:t>i.e.,</w:t>
      </w:r>
      <w:r>
        <w:rPr>
          <w:rFonts w:ascii="Arial" w:cs="Arial" w:eastAsia="Arial" w:hAnsi="Arial"/>
          <w:sz w:val="18"/>
          <w:szCs w:val="18"/>
          <w:color w:val="auto"/>
        </w:rPr>
        <w:t>the customer agrees to reimburse the agreed upon amount of wages and benefits, payroll taxes, insurance charges and other expenses plus a profit percentage). Generally, profit margins on maintenance contracts tend to be inversely proportional to the size of the contract. In addition to services defined within the scope of the contract, the Company also generates sales from extra services (or “tags”), such as additional cleaning requirements, with extra services frequently providing higher margins. The majority of Janitorial contracts are for one-year periods, but are subject to termination by either party after 30 to 90 days’ written notice and contain automatic renewal clauses.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300"/>
        <w:spacing w:after="0" w:line="238"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The Company provides parking services through a number of subsidiaries primarily operating under the names “Ampco System Parking,” “Ampco System Airport Parking” and “Ampco Express Airport Parking.” The Company’s Parking subsidiaries maintain 27 offices and operate in 28 states. The Company operates approximately 1,700 parking lots and garages, including, but not limited to, the following airports: Austin, Texas; Buffalo, New York; Denver, Colorado; Honolulu, Hawaii; Minneapolis/ St. Paul, Minnesota; Omaha, Nebraska; Orlando, Florida; San Francisco and San Jose, California. The Company also operates off-airport parking facilities in Philadelphia, Pennsylvania; Houston, Texas; and San Diego, California, and operates 18 parking shuttle bus services. Approximately 40% of the parking lots and garages are leased and 60% are operated through management contracts for third parties, nearly all of which are obtained by competitive bidding. The Company operated over 700,000 parking spaces as of October 31, 2005. Under leased lot arrangements, the Company leases the parking lot from the owner and is responsible for all expenses incurred, retains all revenues from monthly and transient parkers and pays rent to the owner per the terms and conditions of the lease. The lease terms generally range from three to 20 years and provide for payment of a fixed amount of rent, plus a percentage of revenue. The leases usually contain renewal options and may be terminated by the customer for various reasons including development of the real estate. Leases which expire may continue on a month-to-month basis. Under the management contracts, the Company manages the parking lot for the owner in exchange for a management fee, which could be a fixed fee, a performance-based fee such as a percentage of gross or net revenues, or a combination of both. Management contract terms are generally from one to three years, and often can be terminated without cause by the customer upon 30 days’ notice and may also contain renewal clauses. The revenue and expenses are passed through by the Company to the owner under the terms and conditions of the management contracts. More than half of the Company’s Parking revenues come from reimbursements of expenses. Therefore, the level of Parking revenues is not directly indicative of profitability.</w:t>
      </w:r>
    </w:p>
    <w:p>
      <w:pPr>
        <w:spacing w:after="0" w:line="73" w:lineRule="exact"/>
        <w:rPr>
          <w:sz w:val="20"/>
          <w:szCs w:val="20"/>
          <w:color w:val="auto"/>
        </w:rPr>
      </w:pPr>
    </w:p>
    <w:p>
      <w:pPr>
        <w:ind w:right="160" w:firstLine="300"/>
        <w:spacing w:after="0" w:line="243"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The Company provides security services through a number of subsidiaries, primarily operating under the names “American Commercial Security Services,” “ACSS,” “ABM Security Services,” “SSA Security, Inc.,” “Security Services of America,” “Silverhawk Security Specialists” and “Elite Protection Services.” The Company provides security officers; investigative services; electronic monitoring of fire, life safety systems and access control devices; and security consulting services to a wide range of businesses. The Company’s Security subsidiaries maintain 61 offices and operate in 26 states and the District of Columbia. Sales are generally based on actual hours of service at contractually specified rates. The majority of Security contracts are for one-year periods, but are subject to termination by either party after 30 to 90 days’ written notice and contain automatic renewal clauses. Nearly all Security contracts are obtained by competitive bidding.</w:t>
      </w:r>
    </w:p>
    <w:p>
      <w:pPr>
        <w:spacing w:after="0" w:line="73" w:lineRule="exact"/>
        <w:rPr>
          <w:sz w:val="20"/>
          <w:szCs w:val="20"/>
          <w:color w:val="auto"/>
        </w:rPr>
      </w:pPr>
    </w:p>
    <w:p>
      <w:pPr>
        <w:ind w:right="20" w:firstLine="300"/>
        <w:spacing w:after="0" w:line="239"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Engineering.</w:t>
      </w:r>
      <w:r>
        <w:rPr>
          <w:rFonts w:ascii="Arial" w:cs="Arial" w:eastAsia="Arial" w:hAnsi="Arial"/>
          <w:sz w:val="18"/>
          <w:szCs w:val="18"/>
          <w:color w:val="auto"/>
        </w:rPr>
        <w:t xml:space="preserve"> The Company provides engineering services through a number of subsidiaries, primarily operating under the name “ABM Engineering Services.” The Company provides facilities with on-site engineers to operate and maintain mechanical, electrical and plumbing systems utilizing in part computerized maintenance management systems. These services are designed to maintain equipment at optimal efficiency for customers such as high-rise office buildings, schools, computer centers, shopping malls, manufacturing facilities, museums and universities. The Company’s Engineering subsidiaries maintain 10 branches and operate in 40 states and the District of Columbia. The majority of Engineering contracts contain clauses under which the customer agrees to reimburse the full amount of wages, payroll taxes, insurance charges and other expenses plus a profit percentage. Additionally, the majority of Engineering contracts are for one-year periods, but are subject to termination by either party after 30 to 90 days’ written notice and may contain renewal clauses. Nearly all Engineering contracts are obtained by competitive bidding. ABM Engineering Services Company, a wholly owned subsidiary, has maintained ISO 9000 Certification for the past six years, the only national engineering services provider of on-site operating engineers to earn this prestigious designation. ISO is a quality standard comprised of a rigorous set of guidelines and good business practices against which companies are evaluated through a comprehensive independent audit process.</w:t>
      </w:r>
    </w:p>
    <w:p>
      <w:pPr>
        <w:spacing w:after="0" w:line="101" w:lineRule="exact"/>
        <w:rPr>
          <w:sz w:val="20"/>
          <w:szCs w:val="20"/>
          <w:color w:val="auto"/>
        </w:rPr>
      </w:pPr>
    </w:p>
    <w:p>
      <w:pPr>
        <w:ind w:right="80" w:firstLine="297"/>
        <w:spacing w:after="0" w:line="246" w:lineRule="auto"/>
        <w:rPr>
          <w:sz w:val="20"/>
          <w:szCs w:val="20"/>
          <w:color w:val="auto"/>
        </w:rPr>
      </w:pPr>
      <w:r>
        <w:rPr>
          <w:rFonts w:ascii="Arial" w:cs="Arial" w:eastAsia="Arial" w:hAnsi="Arial"/>
          <w:sz w:val="18"/>
          <w:szCs w:val="18"/>
          <w:color w:val="auto"/>
        </w:rPr>
        <w:t>The Company also provides facility services through a number of subsidiaries, primarily operating under the name “ABM Facility Services.” The Company provides customers with streamlined, centralized control and coordination of multiple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service needs. This process is consistent with the greater competitive demands on corporate organizations to become more efficient in the business market today. By leveraging the core competencies of the Company’s other service offerings, the Company attempts to reduce overhead (such as redundant personnel) for its customers by providing multiple services under a single contract, with one contact and one invoice. Its National Service Call Center provides centralized dispatching, emergency services, accounting and related reports to financial institutions, high-tech companies and other customers regardless of industry or size.</w:t>
      </w:r>
    </w:p>
    <w:p>
      <w:pPr>
        <w:spacing w:after="0" w:line="19" w:lineRule="exact"/>
        <w:rPr>
          <w:sz w:val="20"/>
          <w:szCs w:val="20"/>
          <w:color w:val="auto"/>
        </w:rPr>
      </w:pPr>
    </w:p>
    <w:p>
      <w:pPr>
        <w:ind w:right="20" w:firstLine="300"/>
        <w:spacing w:after="0" w:line="242"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Lighting.</w:t>
      </w:r>
      <w:r>
        <w:rPr>
          <w:rFonts w:ascii="Arial" w:cs="Arial" w:eastAsia="Arial" w:hAnsi="Arial"/>
          <w:sz w:val="18"/>
          <w:szCs w:val="18"/>
          <w:color w:val="auto"/>
        </w:rPr>
        <w:t xml:space="preserve"> The Company provides lighting services through a number of subsidiaries, primarily operating under the name “Amtech Lighting Services.” The Company provides relamping, fixture cleaning, energy retrofits and lighting maintenance service to a variety of commercial, industrial and retail facilities. The Company’s Lighting subsidiaries also repair and maintain electrical outdoor signage, and provide electrical service and repairs. The Company’s Lighting subsidiaries maintain 27 offices and operate in 50 states and the District of Columbia. Lighting contracts are either fixed-price (long-term full service or maintenance only contracts), project work or time and materials based where the customer is billed according to actual hours of service and materials used at specified prices. Contracts range from one to six years, but the majority are subject to termination by either party after 30 to 90 days’ written notice and may contain renewal clauses. Nearly all Lighting contracts are obtained by competitive bidding.</w:t>
      </w:r>
    </w:p>
    <w:p>
      <w:pPr>
        <w:spacing w:after="0" w:line="40" w:lineRule="exact"/>
        <w:rPr>
          <w:sz w:val="20"/>
          <w:szCs w:val="20"/>
          <w:color w:val="auto"/>
        </w:rPr>
      </w:pPr>
    </w:p>
    <w:p>
      <w:pPr>
        <w:ind w:right="160" w:firstLine="290"/>
        <w:spacing w:after="0" w:line="246" w:lineRule="auto"/>
        <w:rPr>
          <w:sz w:val="20"/>
          <w:szCs w:val="20"/>
          <w:color w:val="auto"/>
        </w:rPr>
      </w:pPr>
      <w:r>
        <w:rPr>
          <w:rFonts w:ascii="Arial" w:cs="Arial" w:eastAsia="Arial" w:hAnsi="Arial"/>
          <w:sz w:val="18"/>
          <w:szCs w:val="18"/>
          <w:color w:val="auto"/>
        </w:rPr>
        <w:t>Additional information relating to the Company’s industry segments appears in Note 17 of the Notes to Consolidated Financial Statements contained in Item 8, “Financial Statements and 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72" w:lineRule="exact"/>
        <w:rPr>
          <w:sz w:val="20"/>
          <w:szCs w:val="20"/>
          <w:color w:val="auto"/>
        </w:rPr>
      </w:pPr>
    </w:p>
    <w:p>
      <w:pPr>
        <w:ind w:right="180" w:firstLine="297"/>
        <w:spacing w:after="0" w:line="246" w:lineRule="auto"/>
        <w:rPr>
          <w:sz w:val="20"/>
          <w:szCs w:val="20"/>
          <w:color w:val="auto"/>
        </w:rPr>
      </w:pPr>
      <w:r>
        <w:rPr>
          <w:rFonts w:ascii="Arial" w:cs="Arial" w:eastAsia="Arial" w:hAnsi="Arial"/>
          <w:sz w:val="18"/>
          <w:szCs w:val="18"/>
          <w:color w:val="auto"/>
        </w:rPr>
        <w:t>The Company believes that it owns or is licensed to use all corporate names, tradenames, trademarks, service marks, copyrights, patents and trade secrets which are material to the Company’s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2" w:lineRule="exact"/>
        <w:rPr>
          <w:sz w:val="20"/>
          <w:szCs w:val="20"/>
          <w:color w:val="auto"/>
        </w:rPr>
      </w:pPr>
    </w:p>
    <w:p>
      <w:pPr>
        <w:ind w:right="20" w:firstLine="297"/>
        <w:spacing w:after="0" w:line="236" w:lineRule="auto"/>
        <w:rPr>
          <w:sz w:val="20"/>
          <w:szCs w:val="20"/>
          <w:color w:val="auto"/>
        </w:rPr>
      </w:pPr>
      <w:r>
        <w:rPr>
          <w:rFonts w:ascii="Arial" w:cs="Arial" w:eastAsia="Arial" w:hAnsi="Arial"/>
          <w:sz w:val="18"/>
          <w:szCs w:val="18"/>
          <w:color w:val="auto"/>
        </w:rPr>
        <w:t>The Company believes that each aspect of its business is highly competitive, and that 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72" w:lineRule="exact"/>
        <w:rPr>
          <w:sz w:val="20"/>
          <w:szCs w:val="20"/>
          <w:color w:val="auto"/>
        </w:rPr>
      </w:pPr>
    </w:p>
    <w:p>
      <w:pPr>
        <w:ind w:right="180" w:firstLine="297"/>
        <w:spacing w:after="0" w:line="239" w:lineRule="auto"/>
        <w:rPr>
          <w:sz w:val="20"/>
          <w:szCs w:val="20"/>
          <w:color w:val="auto"/>
        </w:rPr>
      </w:pPr>
      <w:r>
        <w:rPr>
          <w:rFonts w:ascii="Arial" w:cs="Arial" w:eastAsia="Arial" w:hAnsi="Arial"/>
          <w:sz w:val="18"/>
          <w:szCs w:val="18"/>
          <w:color w:val="auto"/>
        </w:rPr>
        <w:t>The Company’s sales and marketing efforts are conducted by its corporate, subsidiary, regional,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w:t>
      </w:r>
    </w:p>
    <w:p>
      <w:pPr>
        <w:spacing w:after="0" w:line="40" w:lineRule="exact"/>
        <w:rPr>
          <w:sz w:val="20"/>
          <w:szCs w:val="20"/>
          <w:color w:val="auto"/>
        </w:rPr>
      </w:pPr>
    </w:p>
    <w:p>
      <w:pPr>
        <w:ind w:right="200" w:firstLine="297"/>
        <w:spacing w:after="0"/>
        <w:rPr>
          <w:sz w:val="20"/>
          <w:szCs w:val="20"/>
          <w:color w:val="auto"/>
        </w:rPr>
      </w:pPr>
      <w:r>
        <w:rPr>
          <w:rFonts w:ascii="Arial" w:cs="Arial" w:eastAsia="Arial" w:hAnsi="Arial"/>
          <w:sz w:val="18"/>
          <w:szCs w:val="18"/>
          <w:color w:val="auto"/>
        </w:rPr>
        <w:t>The Company has a broad customer base, including, but not limited to, commercial office buildings, industrial plants, financial institutions, retail stores, shopping centers, warehouses, airports, health and educational facilities, stadiums and arenas, and government buildings. No customer accounted for more than 5% of its revenues during the fiscal year ended October 31,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72" w:lineRule="exact"/>
        <w:rPr>
          <w:sz w:val="20"/>
          <w:szCs w:val="20"/>
          <w:color w:val="auto"/>
        </w:rPr>
      </w:pPr>
    </w:p>
    <w:p>
      <w:pPr>
        <w:jc w:val="both"/>
        <w:ind w:right="240" w:firstLine="297"/>
        <w:spacing w:after="0"/>
        <w:rPr>
          <w:sz w:val="20"/>
          <w:szCs w:val="20"/>
          <w:color w:val="auto"/>
        </w:rPr>
      </w:pPr>
      <w:r>
        <w:rPr>
          <w:rFonts w:ascii="Arial" w:cs="Arial" w:eastAsia="Arial" w:hAnsi="Arial"/>
          <w:sz w:val="18"/>
          <w:szCs w:val="18"/>
          <w:color w:val="auto"/>
        </w:rPr>
        <w:t>The Company employs approximately 73,000 persons, of whom the vast majority are service employees who perform janitorial, parking, security, engineering and lighting services. Approximately 29,000 of these employees are covered under collective bargaining agreements at the local level. There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are about 4,000 employees with executive, managerial, supervisory, administrative, professional, sales, marketing or clerical responsibilities, or other office assignments.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72" w:lineRule="exact"/>
        <w:rPr>
          <w:sz w:val="20"/>
          <w:szCs w:val="20"/>
          <w:color w:val="auto"/>
        </w:rPr>
      </w:pPr>
    </w:p>
    <w:p>
      <w:pPr>
        <w:ind w:right="60" w:firstLine="297"/>
        <w:spacing w:after="0" w:line="238"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50" w:lineRule="exact"/>
        <w:rPr>
          <w:sz w:val="20"/>
          <w:szCs w:val="20"/>
          <w:color w:val="auto"/>
        </w:rPr>
      </w:pPr>
    </w:p>
    <w:p>
      <w:pPr>
        <w:ind w:right="100" w:firstLine="297"/>
        <w:spacing w:after="0" w:line="237" w:lineRule="auto"/>
        <w:rPr>
          <w:sz w:val="20"/>
          <w:szCs w:val="20"/>
          <w:color w:val="auto"/>
        </w:rPr>
      </w:pPr>
      <w:r>
        <w:rPr>
          <w:rFonts w:ascii="Arial" w:cs="Arial" w:eastAsia="Arial" w:hAnsi="Arial"/>
          <w:sz w:val="18"/>
          <w:szCs w:val="18"/>
          <w:color w:val="auto"/>
        </w:rPr>
        <w:t>The disclosure and analysis in this Annual Report on Form 10-K contain some forward-looking statements that set forth anticipated results based on management’s plans and assumptions. From time to time, the Company also provides forward-looking statements in other written materials released to the public, as well as oral forward-looking statements. Such statements give the Company’s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Management tries, wherever possible, to identify such statements by using words such as “anticipate,” “believe,” “estimate,” “expect,” “intend,” “plan,” “project” and similar expressions.</w:t>
      </w:r>
    </w:p>
    <w:p>
      <w:pPr>
        <w:spacing w:after="0" w:line="41" w:lineRule="exact"/>
        <w:rPr>
          <w:sz w:val="20"/>
          <w:szCs w:val="20"/>
          <w:color w:val="auto"/>
        </w:rPr>
      </w:pPr>
    </w:p>
    <w:p>
      <w:pPr>
        <w:ind w:right="300" w:firstLine="300"/>
        <w:spacing w:after="0" w:line="239" w:lineRule="auto"/>
        <w:rPr>
          <w:sz w:val="20"/>
          <w:szCs w:val="20"/>
          <w:color w:val="auto"/>
        </w:rPr>
      </w:pPr>
      <w:r>
        <w:rPr>
          <w:rFonts w:ascii="Arial" w:cs="Arial" w:eastAsia="Arial" w:hAnsi="Arial"/>
          <w:sz w:val="18"/>
          <w:szCs w:val="18"/>
          <w:color w:val="auto"/>
        </w:rPr>
        <w:t>Set forth below are factors that the Company thinks, individually or in the aggregate, could cause the Company’s actual results to differ materially from past results or those anticipated, estimated or projected. The Company notes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18" w:lineRule="exact"/>
        <w:rPr>
          <w:sz w:val="20"/>
          <w:szCs w:val="20"/>
          <w:color w:val="auto"/>
        </w:rPr>
      </w:pPr>
    </w:p>
    <w:p>
      <w:pPr>
        <w:ind w:right="80" w:firstLine="300"/>
        <w:spacing w:after="0"/>
        <w:rPr>
          <w:sz w:val="20"/>
          <w:szCs w:val="20"/>
          <w:color w:val="auto"/>
        </w:rPr>
      </w:pPr>
      <w:r>
        <w:rPr>
          <w:rFonts w:ascii="Arial" w:cs="Arial" w:eastAsia="Arial" w:hAnsi="Arial"/>
          <w:sz w:val="18"/>
          <w:szCs w:val="18"/>
          <w:b w:val="1"/>
          <w:bCs w:val="1"/>
          <w:color w:val="auto"/>
        </w:rPr>
        <w:t xml:space="preserve">Timeliness of remediation of material weaknesses in the Company’s internal control over financial reporting as of October 31, 2005 could affect the Company’s results. </w:t>
      </w:r>
      <w:r>
        <w:rPr>
          <w:rFonts w:ascii="Arial" w:cs="Arial" w:eastAsia="Arial" w:hAnsi="Arial"/>
          <w:sz w:val="18"/>
          <w:szCs w:val="18"/>
          <w:color w:val="auto"/>
        </w:rPr>
        <w:t>As disclosed in Part II, Item 9A, “Controls and Procedures” of this Form 10-K,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concluded that the Company’s internal control over financial reporting was not effective as of October 31, 2005 because of material weaknesses related to the Company’s controls over and at the operations the Company acquired in March 2004 from Security Services of America, LLC, included as a subsidiary within the Company’s Security segment. While the Company implemented most of the remediation actions it has thus far determined to take to address the material weaknesses that caused the Company’s internal control over financial reporting to be deemed not effective, it will not be considered fully remediated until the improved internal controls operate for a period of time and, through testing, are deemed to be operating effectively.</w:t>
      </w:r>
    </w:p>
    <w:p>
      <w:pPr>
        <w:spacing w:after="0" w:line="19" w:lineRule="exact"/>
        <w:rPr>
          <w:sz w:val="20"/>
          <w:szCs w:val="20"/>
          <w:color w:val="auto"/>
        </w:rPr>
      </w:pPr>
    </w:p>
    <w:p>
      <w:pPr>
        <w:ind w:right="100" w:firstLine="300"/>
        <w:spacing w:after="0" w:line="241" w:lineRule="auto"/>
        <w:rPr>
          <w:sz w:val="20"/>
          <w:szCs w:val="20"/>
          <w:color w:val="auto"/>
        </w:rPr>
      </w:pPr>
      <w:r>
        <w:rPr>
          <w:rFonts w:ascii="Arial" w:cs="Arial" w:eastAsia="Arial" w:hAnsi="Arial"/>
          <w:sz w:val="18"/>
          <w:szCs w:val="18"/>
          <w:b w:val="1"/>
          <w:bCs w:val="1"/>
          <w:color w:val="auto"/>
        </w:rPr>
        <w:t xml:space="preserve">A change in the frequency or severity of claims against the Company, a deterioration in claims management, or the cancellation or non-renewal of the Company’s primary insurance policies could adversely affect the Company’s results. </w:t>
      </w:r>
      <w:r>
        <w:rPr>
          <w:rFonts w:ascii="Arial" w:cs="Arial" w:eastAsia="Arial" w:hAnsi="Arial"/>
          <w:sz w:val="18"/>
          <w:szCs w:val="18"/>
          <w:color w:val="auto"/>
        </w:rPr>
        <w:t>While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attempts to establish adequate self-insurance reserves using actuarial studies, unanticipated increases in the frequency or severity of claims against the Company would have an adverse financial impact. Also, where the Company self-insures, a deterioration in claims management, whether by the Company or by a third party claims administrator, could lead to delays in settling claims thereby increasing claim costs, particularly in the workers’ compensation area. In addition, catastrophic uninsured claims against the Company or the inability or refusal of the Company’s insurance carriers to pay otherwise insured claims would have a material adverse financial impact on the Company.</w:t>
      </w:r>
    </w:p>
    <w:p>
      <w:pPr>
        <w:spacing w:after="0" w:line="39" w:lineRule="exact"/>
        <w:rPr>
          <w:sz w:val="20"/>
          <w:szCs w:val="20"/>
          <w:color w:val="auto"/>
        </w:rPr>
      </w:pPr>
    </w:p>
    <w:p>
      <w:pPr>
        <w:ind w:right="100" w:firstLine="300"/>
        <w:spacing w:after="0" w:line="239" w:lineRule="auto"/>
        <w:rPr>
          <w:sz w:val="20"/>
          <w:szCs w:val="20"/>
          <w:color w:val="auto"/>
        </w:rPr>
      </w:pPr>
      <w:r>
        <w:rPr>
          <w:rFonts w:ascii="Arial" w:cs="Arial" w:eastAsia="Arial" w:hAnsi="Arial"/>
          <w:sz w:val="18"/>
          <w:szCs w:val="18"/>
          <w:color w:val="auto"/>
        </w:rPr>
        <w:t>Furthermore, many customers, particularly institutional owners and large property management companies, prefer to do business with contractors, such as the Company, with significant financial resources, who can provide substantial insurance coverage. Should the Company be unable to renew its umbrella and other commercial insurance policies at competitive rates, this loss would have an adverse impact on the Company’s business.</w:t>
      </w:r>
    </w:p>
    <w:p>
      <w:pPr>
        <w:spacing w:after="0" w:line="18" w:lineRule="exact"/>
        <w:rPr>
          <w:sz w:val="20"/>
          <w:szCs w:val="20"/>
          <w:color w:val="auto"/>
        </w:rPr>
      </w:pPr>
    </w:p>
    <w:p>
      <w:pPr>
        <w:ind w:right="120" w:firstLine="300"/>
        <w:spacing w:after="0" w:line="271" w:lineRule="auto"/>
        <w:rPr>
          <w:sz w:val="20"/>
          <w:szCs w:val="20"/>
          <w:color w:val="auto"/>
        </w:rPr>
      </w:pPr>
      <w:r>
        <w:rPr>
          <w:rFonts w:ascii="Arial" w:cs="Arial" w:eastAsia="Arial" w:hAnsi="Arial"/>
          <w:sz w:val="18"/>
          <w:szCs w:val="18"/>
          <w:b w:val="1"/>
          <w:bCs w:val="1"/>
          <w:color w:val="auto"/>
        </w:rPr>
        <w:t xml:space="preserve">A change in actuarial analysis could affect the Company’s results. </w:t>
      </w:r>
      <w:r>
        <w:rPr>
          <w:rFonts w:ascii="Arial" w:cs="Arial" w:eastAsia="Arial" w:hAnsi="Arial"/>
          <w:sz w:val="18"/>
          <w:szCs w:val="18"/>
          <w:color w:val="auto"/>
        </w:rPr>
        <w:t>The Company uses an independent actuary to evaluate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claim costs and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liabilities at least annually to ensure that its self-insurance reserves are appropriate.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Actuaries may vary in the manner in which they derive their estimates and these differences could lead to variations in actuarial estimates that cause changes in the Company’s insurance reserves not related to changes in its claims experience. Changes in insurance reserves as a result of the actuarial review can cause swings in operating results that are unrelated to the Company’s ongoing business. In addition, because of the time required for the actuarial analysis, the Company may not learn of a deterioration in claims, particularly claims administered by a third party, until additional costs have been incurred or are projected. Because the Company bases its pricing in part on its estimated insurance costs, the Company’s prices could be higher or lower than they otherwise might be if better information was available resulting in a competitive disadvantage in the former case and reduced margins or unprofitable contracts in the latter.</w:t>
      </w:r>
    </w:p>
    <w:p>
      <w:pPr>
        <w:spacing w:after="0" w:line="22" w:lineRule="exact"/>
        <w:rPr>
          <w:sz w:val="20"/>
          <w:szCs w:val="20"/>
          <w:color w:val="auto"/>
        </w:rPr>
      </w:pPr>
    </w:p>
    <w:p>
      <w:pPr>
        <w:ind w:right="60" w:firstLine="300"/>
        <w:spacing w:after="0" w:line="239" w:lineRule="auto"/>
        <w:rPr>
          <w:sz w:val="20"/>
          <w:szCs w:val="20"/>
          <w:color w:val="auto"/>
        </w:rPr>
      </w:pPr>
      <w:r>
        <w:rPr>
          <w:rFonts w:ascii="Arial" w:cs="Arial" w:eastAsia="Arial" w:hAnsi="Arial"/>
          <w:sz w:val="18"/>
          <w:szCs w:val="18"/>
          <w:b w:val="1"/>
          <w:bCs w:val="1"/>
          <w:color w:val="auto"/>
        </w:rPr>
        <w:t xml:space="preserve">The Company’s technology environment may be inadequate to support growth. </w:t>
      </w:r>
      <w:r>
        <w:rPr>
          <w:rFonts w:ascii="Arial" w:cs="Arial" w:eastAsia="Arial" w:hAnsi="Arial"/>
          <w:sz w:val="18"/>
          <w:szCs w:val="18"/>
          <w:color w:val="auto"/>
        </w:rPr>
        <w:t>Although the Company employs a centralized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system, the Company relies on a number of legacy information technology systems, as well as manual processes, to conduct its operations. These systems and processes may be unable to provide adequate support for the business and create additional reliance upon manual, rather than system controls, particularly as the Company expands. This could result, for instance, in delays in meeting payroll obligations, in difficulty calculating and tracking appropriate withholding of governmental withholding and other payroll regulatory obligations, and in higher internal and external expenses to work around these systems. Additionally, the current technology environment may be unable to support the integration of acquired businesses and anticipated internal growth. The Company is engaged in an evaluation of its information technology systems, including its legacy payroll systems, its centralized information technology infrastructure and desktop environment, and its accounting and financial system.</w:t>
      </w:r>
    </w:p>
    <w:p>
      <w:pPr>
        <w:spacing w:after="0" w:line="76" w:lineRule="exact"/>
        <w:rPr>
          <w:sz w:val="20"/>
          <w:szCs w:val="20"/>
          <w:color w:val="auto"/>
        </w:rPr>
      </w:pPr>
    </w:p>
    <w:p>
      <w:pPr>
        <w:ind w:firstLine="300"/>
        <w:spacing w:after="0" w:line="238" w:lineRule="auto"/>
        <w:rPr>
          <w:sz w:val="20"/>
          <w:szCs w:val="20"/>
          <w:color w:val="auto"/>
        </w:rPr>
      </w:pPr>
      <w:r>
        <w:rPr>
          <w:rFonts w:ascii="Arial" w:cs="Arial" w:eastAsia="Arial" w:hAnsi="Arial"/>
          <w:sz w:val="18"/>
          <w:szCs w:val="18"/>
          <w:b w:val="1"/>
          <w:bCs w:val="1"/>
          <w:color w:val="auto"/>
        </w:rPr>
        <w:t xml:space="preserve">The Company could experience labor disputes that could lead to loss of sales or expense variations. </w:t>
      </w:r>
      <w:r>
        <w:rPr>
          <w:rFonts w:ascii="Arial" w:cs="Arial" w:eastAsia="Arial" w:hAnsi="Arial"/>
          <w:sz w:val="18"/>
          <w:szCs w:val="18"/>
          <w:color w:val="auto"/>
        </w:rPr>
        <w:t>At October 31, 2005,</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40% of the Company’s employees were subject to various local collective bargaining agreements. Some collective bargaining agreements will expire or become subject to renegotiation during fiscal year 2006. In addition, the Company may face union organizing drives in certain cities. When one or more of the Company’s major collective bargaining agreements becomes subject to renegotiation or when the Company faces union organizing drives, the Company and the union may disagree on important issues which, in turn, could lead to a strike, work slowdown or other job actions at one or more of the Company’s locations. A strike, work slowdown or other job action could in some cases disrupt the Company from providing its services, resulting in reduced revenue collection. If declines in customer service occur or if the Company’s customers are targeted for sympathy strikes by other unionized workers during union organizing drives, contract cancellations could result. In other cases, a strike, work slowdown or other job action could lead to lower expenses due to fewer employees performing services. Alternatively, the result of renegotiating a collective bargaining agreement could be a substantial increase in labor and benefits expenses that the Company could be unable to pass through to its customers for some period of time, if at all.</w:t>
      </w:r>
    </w:p>
    <w:p>
      <w:pPr>
        <w:spacing w:after="0" w:line="79" w:lineRule="exact"/>
        <w:rPr>
          <w:sz w:val="20"/>
          <w:szCs w:val="20"/>
          <w:color w:val="auto"/>
        </w:rPr>
      </w:pPr>
    </w:p>
    <w:p>
      <w:pPr>
        <w:ind w:right="60" w:firstLine="300"/>
        <w:spacing w:after="0" w:line="241" w:lineRule="auto"/>
        <w:rPr>
          <w:sz w:val="20"/>
          <w:szCs w:val="20"/>
          <w:color w:val="auto"/>
        </w:rPr>
      </w:pPr>
      <w:r>
        <w:rPr>
          <w:rFonts w:ascii="Arial" w:cs="Arial" w:eastAsia="Arial" w:hAnsi="Arial"/>
          <w:sz w:val="18"/>
          <w:szCs w:val="18"/>
          <w:b w:val="1"/>
          <w:bCs w:val="1"/>
          <w:color w:val="auto"/>
        </w:rPr>
        <w:t xml:space="preserve">Acquisition activity could slow or be unsuccessful. </w:t>
      </w:r>
      <w:r>
        <w:rPr>
          <w:rFonts w:ascii="Arial" w:cs="Arial" w:eastAsia="Arial" w:hAnsi="Arial"/>
          <w:sz w:val="18"/>
          <w:szCs w:val="18"/>
          <w:color w:val="auto"/>
        </w:rPr>
        <w:t>A significant portion of the Company’s historic growth has come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the Company expects to continue to acquire businesses in the future as part of its growth strategy. A slowdown in acquisitions could lead to a slower growth rate. Because new contracts frequently involve start-up costs, sales associated with acquired operations generally have higher margins than new sales associated with internal growth. Therefore a slowdown in acquisition activity could lead to constant or lower margins, as well as lower revenue growth. There can be no assurance that any acquisition that the Company makes in the future will provide the Company with the benefits that were anticipated when entering the transaction. The process of integrating an acquired business may create unforeseen difficulties and expenses. The areas in which the Company may face risks include:</w:t>
      </w:r>
    </w:p>
    <w:p>
      <w:pPr>
        <w:spacing w:after="0" w:line="93" w:lineRule="exact"/>
        <w:rPr>
          <w:sz w:val="20"/>
          <w:szCs w:val="20"/>
          <w:color w:val="auto"/>
        </w:rPr>
      </w:pPr>
    </w:p>
    <w:p>
      <w:pPr>
        <w:ind w:left="460" w:hanging="11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the business to acquisition integration;</w:t>
      </w:r>
    </w:p>
    <w:p>
      <w:pPr>
        <w:spacing w:after="0" w:line="63" w:lineRule="exact"/>
        <w:rPr>
          <w:rFonts w:ascii="Arial" w:cs="Arial" w:eastAsia="Arial" w:hAnsi="Arial"/>
          <w:sz w:val="18"/>
          <w:szCs w:val="18"/>
          <w:color w:val="auto"/>
        </w:rPr>
      </w:pPr>
    </w:p>
    <w:p>
      <w:pPr>
        <w:ind w:left="460" w:hanging="11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retain employees from businesses the Company acquires;</w:t>
      </w:r>
    </w:p>
    <w:p>
      <w:pPr>
        <w:spacing w:after="0" w:line="18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of the acquired business;</w:t>
      </w:r>
    </w:p>
    <w:p>
      <w:pPr>
        <w:spacing w:after="0" w:line="63" w:lineRule="exact"/>
        <w:rPr>
          <w:rFonts w:ascii="Arial" w:cs="Arial" w:eastAsia="Arial" w:hAnsi="Arial"/>
          <w:sz w:val="18"/>
          <w:szCs w:val="18"/>
          <w:color w:val="auto"/>
        </w:rPr>
      </w:pPr>
    </w:p>
    <w:p>
      <w:pPr>
        <w:ind w:left="460" w:right="80" w:hanging="114"/>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implement or improve internal controls, procedures and policies appropriate for a public company at businesses that prior to the acquisition lacked these controls, procedures and policies;</w:t>
      </w:r>
    </w:p>
    <w:p>
      <w:pPr>
        <w:spacing w:after="0" w:line="48" w:lineRule="exact"/>
        <w:rPr>
          <w:rFonts w:ascii="Arial" w:cs="Arial" w:eastAsia="Arial" w:hAnsi="Arial"/>
          <w:sz w:val="18"/>
          <w:szCs w:val="18"/>
          <w:color w:val="auto"/>
        </w:rPr>
      </w:pPr>
    </w:p>
    <w:p>
      <w:pPr>
        <w:ind w:left="460" w:right="280" w:hanging="114"/>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integrate acquired businesses’ accounting, banking, management information, human resources and other administrative systems to permit effective management;</w:t>
      </w:r>
    </w:p>
    <w:p>
      <w:pPr>
        <w:spacing w:after="0" w:line="48"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Write-offs or impairment charges relating to goodwill and other intangible assets from acquisitions; and</w:t>
      </w:r>
    </w:p>
    <w:p>
      <w:pPr>
        <w:spacing w:after="0" w:line="63" w:lineRule="exact"/>
        <w:rPr>
          <w:rFonts w:ascii="Arial" w:cs="Arial" w:eastAsia="Arial" w:hAnsi="Arial"/>
          <w:sz w:val="18"/>
          <w:szCs w:val="18"/>
          <w:color w:val="auto"/>
        </w:rPr>
      </w:pPr>
    </w:p>
    <w:p>
      <w:pPr>
        <w:ind w:left="460" w:hanging="11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or unknown liabilities relating to acquired businesses.</w:t>
      </w:r>
    </w:p>
    <w:p>
      <w:pPr>
        <w:spacing w:after="0" w:line="28"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the Company’s sales and profitability.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sales directly depend on commercial real estate occupancy levels and the rental income of building owners. Decreases in occupancy levels and rental income reduce demand and also create pricing pressures on building maintenance and other services provided by the Company. In certain geographic areas and service segments, the Company’s most profitable work includes tag jobs performed for tenants in buildings in which it performs building services for the property owner or management company. A decline in occupancy rates could result in a decline in fees paid by landlords, as well as tenant work, which would lower sales and margins. In addition, in those areas of its business where the Company’s workers are unionized, decreases in sales can be accompanied by relative increases in labor costs if the Company is obligated by collective bargaining agreements to retain workers with seniority and consequently higher compensation levels and cannot pass through these costs to customers.</w:t>
      </w:r>
    </w:p>
    <w:p>
      <w:pPr>
        <w:spacing w:after="0" w:line="22" w:lineRule="exact"/>
        <w:rPr>
          <w:sz w:val="20"/>
          <w:szCs w:val="20"/>
          <w:color w:val="auto"/>
        </w:rPr>
      </w:pPr>
    </w:p>
    <w:p>
      <w:pPr>
        <w:ind w:firstLine="300"/>
        <w:spacing w:after="0"/>
        <w:rPr>
          <w:sz w:val="20"/>
          <w:szCs w:val="20"/>
          <w:color w:val="auto"/>
        </w:rPr>
      </w:pPr>
      <w:r>
        <w:rPr>
          <w:rFonts w:ascii="Arial" w:cs="Arial" w:eastAsia="Arial" w:hAnsi="Arial"/>
          <w:sz w:val="18"/>
          <w:szCs w:val="18"/>
          <w:b w:val="1"/>
          <w:bCs w:val="1"/>
          <w:color w:val="auto"/>
        </w:rPr>
        <w:t xml:space="preserve">Weakness in airline travel and the hospitality industry could adversely affect the results of the Company’s Parking segment.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Company’s Parking sales is tied to the numbers of airline passengers and hotel guests. Parking results were adversely affected after the terrorist attacks of September 11, 2001, during the Severe Acute Respiratory Syndrome (“SARS”) crisis and at the start of the military conflict in Iraq as people curtailed both business and personal travel and hotel occupancy rates declined. As airport security precautions expanded, the decline in travel was particularly noticeable at airports associated with shorter flights for which ground transportation became the alternative. While it appears that airline travel and the hospitality industry have recovered, there can be no assurance that increased concerns about terrorism, disease, or other adversities will not again reduce travel, adversely impacting Parking sales and operating profits.</w:t>
      </w:r>
    </w:p>
    <w:p>
      <w:pPr>
        <w:spacing w:after="0" w:line="19" w:lineRule="exact"/>
        <w:rPr>
          <w:sz w:val="20"/>
          <w:szCs w:val="20"/>
          <w:color w:val="auto"/>
        </w:rPr>
      </w:pPr>
    </w:p>
    <w:p>
      <w:pPr>
        <w:ind w:right="100" w:firstLine="300"/>
        <w:spacing w:after="0" w:line="244" w:lineRule="auto"/>
        <w:rPr>
          <w:sz w:val="20"/>
          <w:szCs w:val="20"/>
          <w:color w:val="auto"/>
        </w:rPr>
      </w:pPr>
      <w:r>
        <w:rPr>
          <w:rFonts w:ascii="Arial" w:cs="Arial" w:eastAsia="Arial" w:hAnsi="Arial"/>
          <w:sz w:val="18"/>
          <w:szCs w:val="18"/>
          <w:b w:val="1"/>
          <w:bCs w:val="1"/>
          <w:color w:val="auto"/>
        </w:rPr>
        <w:t xml:space="preserve">The financial difficulties or bankruptcy of one or more of the Company’s major customers could adversely affect results.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ability to collect its accounts receivable and future sales depend, in part, on the financial strength of its customers. The Company estimates an allowance for accounts it does not consider collectible and this allowance adversely impacts profitability. In the event customers experience financial difficulty, and particularly if bankruptcy results, profitability is further impacted by the Company’s failure to collect accounts receivable in excess of the estimated allowance. Additionally, the Company’s future sales would be reduced.</w:t>
      </w:r>
    </w:p>
    <w:p>
      <w:pPr>
        <w:spacing w:after="0" w:line="15" w:lineRule="exact"/>
        <w:rPr>
          <w:sz w:val="20"/>
          <w:szCs w:val="20"/>
          <w:color w:val="auto"/>
        </w:rPr>
      </w:pPr>
    </w:p>
    <w:p>
      <w:pPr>
        <w:ind w:right="20" w:firstLine="300"/>
        <w:spacing w:after="0" w:line="242" w:lineRule="auto"/>
        <w:rPr>
          <w:sz w:val="20"/>
          <w:szCs w:val="20"/>
          <w:color w:val="auto"/>
        </w:rPr>
      </w:pPr>
      <w:r>
        <w:rPr>
          <w:rFonts w:ascii="Arial" w:cs="Arial" w:eastAsia="Arial" w:hAnsi="Arial"/>
          <w:sz w:val="18"/>
          <w:szCs w:val="18"/>
          <w:b w:val="1"/>
          <w:bCs w:val="1"/>
          <w:color w:val="auto"/>
        </w:rPr>
        <w:t xml:space="preserve">The Company’s success depends on its ability to preserve its long-term relationships with its customers. </w:t>
      </w:r>
      <w:r>
        <w:rPr>
          <w:rFonts w:ascii="Arial" w:cs="Arial" w:eastAsia="Arial" w:hAnsi="Arial"/>
          <w:sz w:val="18"/>
          <w:szCs w:val="18"/>
          <w:color w:val="auto"/>
        </w:rPr>
        <w:t>The Company’s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customers can generally be terminated upon relatively short notice. However, the business associated with long-term relationships is generally more profitable than that from short-term relationships because the Company incurs start-up costs with many new contracts, particularly for training, operating equipment and uniforms. Once these costs are expensed or fully depreciated over the appropriate periods, the underlying contracts become more profitable. Therefore, the Company’s loss of long-term customers could have an adverse impact on its profitability even if the Company generates equivalent sales from new customers.</w:t>
      </w:r>
    </w:p>
    <w:p>
      <w:pPr>
        <w:spacing w:after="0" w:line="17"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The Company is subject to intense competition. </w:t>
      </w:r>
      <w:r>
        <w:rPr>
          <w:rFonts w:ascii="Arial" w:cs="Arial" w:eastAsia="Arial" w:hAnsi="Arial"/>
          <w:sz w:val="18"/>
          <w:szCs w:val="18"/>
          <w:color w:val="auto"/>
        </w:rPr>
        <w:t>The Company believes that each aspect of its business is highly competitive,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21" w:lineRule="exact"/>
        <w:rPr>
          <w:sz w:val="20"/>
          <w:szCs w:val="20"/>
          <w:color w:val="auto"/>
        </w:rPr>
      </w:pPr>
    </w:p>
    <w:p>
      <w:pPr>
        <w:ind w:firstLine="300"/>
        <w:spacing w:after="0" w:line="242" w:lineRule="auto"/>
        <w:rPr>
          <w:sz w:val="20"/>
          <w:szCs w:val="20"/>
          <w:color w:val="auto"/>
        </w:rPr>
      </w:pPr>
      <w:r>
        <w:rPr>
          <w:rFonts w:ascii="Arial" w:cs="Arial" w:eastAsia="Arial" w:hAnsi="Arial"/>
          <w:sz w:val="18"/>
          <w:szCs w:val="18"/>
          <w:b w:val="1"/>
          <w:bCs w:val="1"/>
          <w:color w:val="auto"/>
        </w:rPr>
        <w:t xml:space="preserve">An increase in costs that the Company cannot pass on to customers could affect profitability. </w:t>
      </w:r>
      <w:r>
        <w:rPr>
          <w:rFonts w:ascii="Arial" w:cs="Arial" w:eastAsia="Arial" w:hAnsi="Arial"/>
          <w:sz w:val="18"/>
          <w:szCs w:val="18"/>
          <w:color w:val="auto"/>
        </w:rPr>
        <w:t>The Company attempts to 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under which its customers agree to pay for increases in certain underlying costs associated with providing its services, particularly labor costs, workers’ compensation and other insurance costs, any applicable payroll taxes and fuel costs. If the Company cannot pass through increases in its costs to its customers under its contracts in a timely manner or at all, then the Company’s expenses will increase without a corresponding increase in sales. Further, if the Company’s sales decline, the Company may not be able to reduce its expenses correspondingly or at all.</w:t>
      </w:r>
    </w:p>
    <w:p>
      <w:pPr>
        <w:spacing w:after="0" w:line="17" w:lineRule="exact"/>
        <w:rPr>
          <w:sz w:val="20"/>
          <w:szCs w:val="20"/>
          <w:color w:val="auto"/>
        </w:rPr>
      </w:pPr>
    </w:p>
    <w:p>
      <w:pPr>
        <w:ind w:right="80" w:firstLine="300"/>
        <w:spacing w:after="0" w:line="244" w:lineRule="auto"/>
        <w:rPr>
          <w:sz w:val="20"/>
          <w:szCs w:val="20"/>
          <w:color w:val="auto"/>
        </w:rPr>
      </w:pPr>
      <w:r>
        <w:rPr>
          <w:rFonts w:ascii="Arial" w:cs="Arial" w:eastAsia="Arial" w:hAnsi="Arial"/>
          <w:sz w:val="18"/>
          <w:szCs w:val="18"/>
          <w:b w:val="1"/>
          <w:bCs w:val="1"/>
          <w:color w:val="auto"/>
        </w:rPr>
        <w:t xml:space="preserve">Natural disasters or acts of terrorism could disrupt the Company in providing services. </w:t>
      </w:r>
      <w:r>
        <w:rPr>
          <w:rFonts w:ascii="Arial" w:cs="Arial" w:eastAsia="Arial" w:hAnsi="Arial"/>
          <w:sz w:val="18"/>
          <w:szCs w:val="18"/>
          <w:color w:val="auto"/>
        </w:rPr>
        <w:t>Storms, earthquakes, or other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disasters or acts of terrorism may result in reduced sales or property damage. Disasters may also cause economic dislocations throughout the country. In addition, natural disasters or acts of terrorism may increase the volatility of the Company’s results, either due to increased costs caused by the disaster with partial or no corresponding compensation from customers, or, alternatively, increased sales and profitability related to tag jobs, special projects and other higher margin work necessitated by the disaster.</w:t>
      </w:r>
    </w:p>
    <w:p>
      <w:pPr>
        <w:spacing w:after="0" w:line="15"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The Company incurs significant accounting and other control costs that reduce its profitability. </w:t>
      </w:r>
      <w:r>
        <w:rPr>
          <w:rFonts w:ascii="Arial" w:cs="Arial" w:eastAsia="Arial" w:hAnsi="Arial"/>
          <w:sz w:val="18"/>
          <w:szCs w:val="18"/>
          <w:color w:val="auto"/>
        </w:rPr>
        <w:t>As a publicly traded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incurs certain costs to comply with regulatory requirements. The process of attempting to meet the internal control over financial reporting certification requirement of Section 404 of the Sarbanes-Oxley Act of 2002 (“Sarbanes-Oxley”) was more costly than anticipated, requiring additional personnel and outside advisory services as well as additional accounting and legal expenses. The Company anticipates capital expenditures and operating expenses associated with the remediation of its material weaknesses and other planned remediation actions and with implementation of system-provided internal controls in 2006.</w:t>
      </w:r>
    </w:p>
    <w:p>
      <w:pPr>
        <w:spacing w:after="0" w:line="39" w:lineRule="exact"/>
        <w:rPr>
          <w:sz w:val="20"/>
          <w:szCs w:val="20"/>
          <w:color w:val="auto"/>
        </w:rPr>
      </w:pPr>
    </w:p>
    <w:p>
      <w:pPr>
        <w:ind w:right="200" w:firstLine="300"/>
        <w:spacing w:after="0"/>
        <w:rPr>
          <w:sz w:val="20"/>
          <w:szCs w:val="20"/>
          <w:color w:val="auto"/>
        </w:rPr>
      </w:pPr>
      <w:r>
        <w:rPr>
          <w:rFonts w:ascii="Arial" w:cs="Arial" w:eastAsia="Arial" w:hAnsi="Arial"/>
          <w:sz w:val="18"/>
          <w:szCs w:val="18"/>
          <w:color w:val="auto"/>
        </w:rPr>
        <w:t>Most of the Company’s competitors are privately owned so these costs can be a competitive disadvantage for the Company. Should the Company’s sales decline or if the Company is unsuccessful at increasing prices to cover higher expenditures for internal control and audit, its costs associated with regulatory compliance will rise as a percentage of sales.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72" w:lineRule="exact"/>
        <w:rPr>
          <w:sz w:val="20"/>
          <w:szCs w:val="20"/>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accounting pronouncements or changes in accounting policies,</w:t>
      </w:r>
    </w:p>
    <w:p>
      <w:pPr>
        <w:spacing w:after="0" w:line="63" w:lineRule="exact"/>
        <w:rPr>
          <w:rFonts w:ascii="Arial" w:cs="Arial" w:eastAsia="Arial" w:hAnsi="Arial"/>
          <w:sz w:val="18"/>
          <w:szCs w:val="18"/>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shortages that adversely affect the Company’s ability to employ entry level personnel,</w:t>
      </w:r>
    </w:p>
    <w:p>
      <w:pPr>
        <w:spacing w:after="0" w:line="63" w:lineRule="exact"/>
        <w:rPr>
          <w:rFonts w:ascii="Arial" w:cs="Arial" w:eastAsia="Arial" w:hAnsi="Arial"/>
          <w:sz w:val="18"/>
          <w:szCs w:val="18"/>
          <w:color w:val="auto"/>
        </w:rPr>
      </w:pPr>
    </w:p>
    <w:p>
      <w:pPr>
        <w:ind w:left="460" w:right="200" w:hanging="114"/>
        <w:spacing w:after="0" w:line="24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legislation or other governmental action that detrimentally impacts the Company’s expenses or reduces sales by adversely affecting the Company’s customers,</w:t>
      </w:r>
    </w:p>
    <w:p>
      <w:pPr>
        <w:spacing w:after="0" w:line="48" w:lineRule="exact"/>
        <w:rPr>
          <w:rFonts w:ascii="Arial" w:cs="Arial" w:eastAsia="Arial" w:hAnsi="Arial"/>
          <w:sz w:val="18"/>
          <w:szCs w:val="18"/>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adverse jury determinations, judicial rulings or other developments in litigation to which the Company is subject,</w:t>
      </w:r>
    </w:p>
    <w:p>
      <w:pPr>
        <w:spacing w:after="0" w:line="63" w:lineRule="exact"/>
        <w:rPr>
          <w:rFonts w:ascii="Arial" w:cs="Arial" w:eastAsia="Arial" w:hAnsi="Arial"/>
          <w:sz w:val="18"/>
          <w:szCs w:val="18"/>
          <w:color w:val="auto"/>
        </w:rPr>
      </w:pPr>
    </w:p>
    <w:p>
      <w:pPr>
        <w:ind w:left="460" w:hanging="11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or revocation of the Company’s line of credit that could increase interest expense and the cost of capital,</w:t>
      </w:r>
    </w:p>
    <w:p>
      <w:pPr>
        <w:spacing w:after="0" w:line="63" w:lineRule="exact"/>
        <w:rPr>
          <w:rFonts w:ascii="Arial" w:cs="Arial" w:eastAsia="Arial" w:hAnsi="Arial"/>
          <w:sz w:val="18"/>
          <w:szCs w:val="18"/>
          <w:color w:val="auto"/>
        </w:rPr>
      </w:pPr>
    </w:p>
    <w:p>
      <w:pPr>
        <w:ind w:left="460" w:right="100" w:hanging="114"/>
        <w:spacing w:after="0" w:line="24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resignation, termination, death or disability of one or more of the Company’s key executives that adversely affects customer retention or day-to-day management of the Company.</w:t>
      </w:r>
    </w:p>
    <w:p>
      <w:pPr>
        <w:spacing w:after="0" w:line="35" w:lineRule="exact"/>
        <w:rPr>
          <w:sz w:val="20"/>
          <w:szCs w:val="20"/>
          <w:color w:val="auto"/>
        </w:rPr>
      </w:pPr>
    </w:p>
    <w:p>
      <w:pPr>
        <w:ind w:right="40" w:firstLine="297"/>
        <w:spacing w:after="0" w:line="239" w:lineRule="auto"/>
        <w:rPr>
          <w:sz w:val="20"/>
          <w:szCs w:val="20"/>
          <w:color w:val="auto"/>
        </w:rPr>
      </w:pPr>
      <w:r>
        <w:rPr>
          <w:rFonts w:ascii="Arial" w:cs="Arial" w:eastAsia="Arial" w:hAnsi="Arial"/>
          <w:sz w:val="18"/>
          <w:szCs w:val="18"/>
          <w:color w:val="auto"/>
        </w:rPr>
        <w:t>The Company believes that it has the human and financial resources for business success, but future profit and cash flow can be adversely (or advantageously) influenced by a number of factors, including those listed above, any and all of which are inherently difficult to forecast. The Company undertakes no obligation to publicly update forward-looking statements, whether as a result of new information, future events or otherwise.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executive officers of ABM as of March 27, 2006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Principal Occupations and Business Experience</w:t>
            </w:r>
          </w:p>
        </w:tc>
      </w:tr>
      <w:tr>
        <w:trPr>
          <w:trHeight w:val="239"/>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Age</w:t>
            </w:r>
          </w:p>
        </w:tc>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During Past Five Years</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Henrik C. Slipsager</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6840" w:type="dxa"/>
            <w:vAlign w:val="bottom"/>
          </w:tcPr>
          <w:p>
            <w:pPr>
              <w:ind w:left="220"/>
              <w:spacing w:after="0"/>
              <w:rPr>
                <w:sz w:val="20"/>
                <w:szCs w:val="20"/>
                <w:color w:val="auto"/>
              </w:rPr>
            </w:pPr>
            <w:r>
              <w:rPr>
                <w:rFonts w:ascii="Arial" w:cs="Arial" w:eastAsia="Arial" w:hAnsi="Arial"/>
                <w:sz w:val="18"/>
                <w:szCs w:val="18"/>
                <w:color w:val="auto"/>
              </w:rPr>
              <w:t>President &amp; Chief Executive Officer and a Director of ABM since November 2000.</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James P. McClure</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Executive Vice President of ABM since September 2002; President of ABM</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Janitorial Services since November 2000.</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George B. Sundby</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54</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9"/>
              </w:rPr>
              <w:t>Executive Vice President of ABM since March 2004; Chief Financial Officer of ABM</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since June 2001; Senior Vice President of ABM from June 2001 to March 2004;</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&amp; Chief Financial Officer of Transamerica Finance</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Corporation from September 1999 to March 2001; Vice President of Financial</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Planning and Analysis of Transamerica Corporation from January 1995 to March</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2001.</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Steven M. Zaccagnini</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45</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Executive Vice President of ABM since December 2005; Senior Vice President of</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ABM from September 2002 to December 2005; President of ABM Facility Services</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since April 2002; President of Amtech Lighting Services since November 2005;</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of CommAir Mechanical Services from September 2002 to May 2005;</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of Jones Lang LaSalle from April 1995 to February 2002.</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Erin B. Andre</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47</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of ABM since August 2005; Vice President, Human</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Resources of National Energy and Gas Transmission, Inc. from April 2000 to May</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2005.</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Linda S. Auwers</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58</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General Counsel &amp; Secretary of ABM since May 2003; Vice</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Deputy General Counsel &amp; Secretary of Compaq Computer Corporation</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from May 2001 to May 2002; Vice President, Secretary &amp; Associate General</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Counsel of Compaq Computer Corporation from September 1999 to April 2001.</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David L. Farwell</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&amp; Chief of Staff of ABM since September 2005; Treasurer of</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ABM since August 2002; Vice President of ABM from August 2002 to September</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2005; Treasurer of JDS Uniphase Corporation from December 1999 to April 2002.</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Gary R. Wallace</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56</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of ABM, Director of Business Development &amp; Chief</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Marketing Officer since November 2000.</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Maria De Martini</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46</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Vice President, Controller &amp; Chief Accounting Officer of ABM since July 2001;</w:t>
            </w:r>
          </w:p>
        </w:tc>
      </w:tr>
      <w:tr>
        <w:trPr>
          <w:trHeight w:val="203"/>
        </w:trPr>
        <w:tc>
          <w:tcPr>
            <w:tcW w:w="2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Controller of Vectiv Corporation from March 2001 to June 2001; Assistant</w:t>
            </w:r>
          </w:p>
        </w:tc>
      </w:tr>
    </w:tbl>
    <w:p>
      <w:pPr>
        <w:ind w:left="4800" w:right="320"/>
        <w:spacing w:after="0" w:line="246" w:lineRule="auto"/>
        <w:rPr>
          <w:sz w:val="20"/>
          <w:szCs w:val="20"/>
          <w:color w:val="auto"/>
        </w:rPr>
      </w:pPr>
      <w:r>
        <w:rPr>
          <w:rFonts w:ascii="Arial" w:cs="Arial" w:eastAsia="Arial" w:hAnsi="Arial"/>
          <w:sz w:val="18"/>
          <w:szCs w:val="18"/>
          <w:color w:val="auto"/>
        </w:rPr>
        <w:t>Controller of Transamerica Finance Corporation from December 1999 to March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20" w:firstLine="347"/>
        <w:spacing w:after="0" w:line="239" w:lineRule="auto"/>
        <w:rPr>
          <w:sz w:val="20"/>
          <w:szCs w:val="20"/>
          <w:color w:val="auto"/>
        </w:rPr>
      </w:pPr>
      <w:r>
        <w:rPr>
          <w:rFonts w:ascii="Arial" w:cs="Arial" w:eastAsia="Arial" w:hAnsi="Arial"/>
          <w:sz w:val="18"/>
          <w:szCs w:val="18"/>
          <w:color w:val="auto"/>
        </w:rPr>
        <w:t>The Company has corporate, subsidiary, regional, branch or district offices in over 240 locations throughout the United States and in British Columbia, Canada. Thirteen of these facilities are owned by the Company. At October 31, 2005, the real estate owned by the Company had an aggregate net book value of $2.7 million and was located in: Phoenix, Arizona; Fresno, California; Jacksonville and Tampa, Florida; Portland, Oregon; Houston and San Antonio, Texas; and Kennewick, Seattle, Spokane and Tacoma, Washington.</w:t>
      </w:r>
    </w:p>
    <w:p>
      <w:pPr>
        <w:spacing w:after="0" w:line="94" w:lineRule="exact"/>
        <w:rPr>
          <w:sz w:val="20"/>
          <w:szCs w:val="20"/>
          <w:color w:val="auto"/>
        </w:rPr>
      </w:pPr>
    </w:p>
    <w:p>
      <w:pPr>
        <w:ind w:right="20" w:firstLine="300"/>
        <w:spacing w:after="0"/>
        <w:rPr>
          <w:sz w:val="20"/>
          <w:szCs w:val="20"/>
          <w:color w:val="auto"/>
        </w:rPr>
      </w:pPr>
      <w:r>
        <w:rPr>
          <w:rFonts w:ascii="Arial" w:cs="Arial" w:eastAsia="Arial" w:hAnsi="Arial"/>
          <w:sz w:val="18"/>
          <w:szCs w:val="18"/>
          <w:color w:val="auto"/>
        </w:rPr>
        <w:t>Rental payments under long and short-term lease agreements amounted to $97.3 million for the fiscal year ended October 31, 2005. Of this amount, $63.7 million in rental expense was attributable to public parking lots and garages leased and operated by Parking. The remaining expense was for the rental or lease of office space, computers, operating equipment and motor vehicles.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right="320" w:firstLine="347"/>
        <w:spacing w:after="0" w:line="239" w:lineRule="auto"/>
        <w:rPr>
          <w:sz w:val="20"/>
          <w:szCs w:val="20"/>
          <w:color w:val="auto"/>
        </w:rPr>
      </w:pPr>
      <w:r>
        <w:rPr>
          <w:rFonts w:ascii="Arial" w:cs="Arial" w:eastAsia="Arial" w:hAnsi="Arial"/>
          <w:sz w:val="18"/>
          <w:szCs w:val="18"/>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94"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In 1998, a parking subsidiary of ABM leased a parking facility in Houston, Texas, owned by a limited partnership jointly owned by affiliates of American National Insurance Company (“ANICO”) and partners associated with Gerry Albright (“Albright affiliates”). In June 2003, the ANICO affiliates notified the Albright affiliates that they were offering to sell their interest in the parking facility to the Albright affiliates under a buy-sell agreement. The Albright affiliates accepted the offer and attempted to secure financing. In connection with certain proposed financing for the Albright affiliates, ABM’s parking subsidiary was asked to submit an estoppel certificate and on that certificate it set forth certain claims under the lease. The Albright affiliates subsequently did not close the transaction and the ANICO affiliates acquired the interest in the parking facility held by the Albright affiliates. On December 5, 2003, the Albright affiliates filed a lawsuit against ABM, its parking subsidiary, and certain ANICO affiliates. On February 15, 2006, ABM and the Albright affiliates entered into a settlement agreement following a court-ordered mediation. ABM has notified its insurance carriers of the Albright claims, which carriers denied coverage and refused to defend this litigation. In August 2005, ABM filed a complaint for declaratory judgment against its insurance carriers in Federal District Court in San Francisco, California to ensure its coverage for any damages related to the claims of the Albright affiliates. ABM continues to pursue this action against its insurance carriers and believes that its damages (consisting of $6.3 million paid to settle the litigation plus legal defense costs) in the Albright case are covered by insurance.</w:t>
      </w:r>
    </w:p>
    <w:p>
      <w:pPr>
        <w:spacing w:after="0" w:line="96" w:lineRule="exact"/>
        <w:rPr>
          <w:sz w:val="20"/>
          <w:szCs w:val="20"/>
          <w:color w:val="auto"/>
        </w:rPr>
      </w:pPr>
    </w:p>
    <w:p>
      <w:pPr>
        <w:ind w:right="120" w:firstLine="300"/>
        <w:spacing w:after="0" w:line="246" w:lineRule="auto"/>
        <w:rPr>
          <w:sz w:val="20"/>
          <w:szCs w:val="20"/>
          <w:color w:val="auto"/>
        </w:rPr>
      </w:pPr>
      <w:r>
        <w:rPr>
          <w:rFonts w:ascii="Arial" w:cs="Arial" w:eastAsia="Arial" w:hAnsi="Arial"/>
          <w:sz w:val="18"/>
          <w:szCs w:val="18"/>
          <w:color w:val="auto"/>
        </w:rPr>
        <w:t>In September 2005, the Company and plaintiff settled the gender discrimination case named Forbes v. ABM, originally brought in Spokane County Superior Court in 1998.</w:t>
      </w:r>
    </w:p>
    <w:p>
      <w:pPr>
        <w:spacing w:after="0" w:line="89" w:lineRule="exact"/>
        <w:rPr>
          <w:sz w:val="20"/>
          <w:szCs w:val="20"/>
          <w:color w:val="auto"/>
        </w:rPr>
      </w:pPr>
    </w:p>
    <w:p>
      <w:pPr>
        <w:ind w:right="120" w:firstLine="300"/>
        <w:spacing w:after="0" w:line="238" w:lineRule="auto"/>
        <w:rPr>
          <w:sz w:val="20"/>
          <w:szCs w:val="20"/>
          <w:color w:val="auto"/>
        </w:rPr>
      </w:pPr>
      <w:r>
        <w:rPr>
          <w:rFonts w:ascii="Arial" w:cs="Arial" w:eastAsia="Arial" w:hAnsi="Arial"/>
          <w:sz w:val="18"/>
          <w:szCs w:val="18"/>
          <w:color w:val="auto"/>
        </w:rPr>
        <w:t>In December 1997, an ABM parking subsidiary entered into a five-year agreement with the City of Dallas to perform parking management services for the Love Field Airport. This agreement provided for a minimum annual guarantee payment (“MAG”) to the City. On July 12, 2004, the City of Dallas filed a complaint in Texas State Court in Dallas alleging a breach of contract by the parking subsidiary for underpayment of the MAG, and in May 2005 amended that complaint to allege fraud and negligent misrepresentation by the parking subsidiary. The matter was settled in October 2005.</w:t>
      </w:r>
    </w:p>
    <w:p>
      <w:pPr>
        <w:spacing w:after="0" w:line="95" w:lineRule="exact"/>
        <w:rPr>
          <w:sz w:val="20"/>
          <w:szCs w:val="20"/>
          <w:color w:val="auto"/>
        </w:rPr>
      </w:pPr>
    </w:p>
    <w:p>
      <w:pPr>
        <w:ind w:right="80" w:firstLine="297"/>
        <w:spacing w:after="0" w:line="236" w:lineRule="auto"/>
        <w:rPr>
          <w:sz w:val="20"/>
          <w:szCs w:val="20"/>
          <w:color w:val="auto"/>
        </w:rPr>
      </w:pPr>
      <w:r>
        <w:rPr>
          <w:rFonts w:ascii="Arial" w:cs="Arial" w:eastAsia="Arial" w:hAnsi="Arial"/>
          <w:sz w:val="18"/>
          <w:szCs w:val="18"/>
          <w:color w:val="auto"/>
        </w:rPr>
        <w:t>The Company uses an independent actuary to evaluate the Company’s estimated claim costs and liabilities at least annually. The 2004 actuarial report completed in November 2004 indicated that there were adverse developments in the Company’s insurance reserves primarily related to workers’ compensation claims in the State of California during the four-year period ended October 31, 2003, for which the Company recorded a charge of $17.2 million in the fourth quarter of 2004. The Company believes a substantial portion of the $17.2 million was related to poor claims management by a third party administrator, who no longer performs these services for the Company. In addition, the Company believes that poor claims administration in certain other states, where it had insurance, led to higher insurance costs for the Company. The Company has filed a claim against its former third party administrator for its damages related to claims mismanagement. The Company is actively pursing this claim, which is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subject to arbitration in accordance with the rules of the American Arbitration Association. The three-person arbitration panel has been designated.</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World</w:t>
      </w:r>
    </w:p>
    <w:p>
      <w:pPr>
        <w:spacing w:after="0" w:line="234" w:lineRule="auto"/>
        <w:rPr>
          <w:sz w:val="20"/>
          <w:szCs w:val="20"/>
          <w:color w:val="auto"/>
        </w:rPr>
      </w:pPr>
      <w:r>
        <w:rPr>
          <w:rFonts w:ascii="Arial" w:cs="Arial" w:eastAsia="Arial" w:hAnsi="Arial"/>
          <w:sz w:val="18"/>
          <w:szCs w:val="18"/>
          <w:color w:val="auto"/>
        </w:rPr>
        <w:t>Trade Center (“WTC”) complex in New York, which was the Company’s largest single job-site at the time of its destruction on September 11,</w:t>
      </w:r>
    </w:p>
    <w:p>
      <w:pPr>
        <w:spacing w:after="0" w:line="235" w:lineRule="auto"/>
        <w:rPr>
          <w:sz w:val="20"/>
          <w:szCs w:val="20"/>
          <w:color w:val="auto"/>
        </w:rPr>
      </w:pPr>
      <w:r>
        <w:rPr>
          <w:rFonts w:ascii="Arial" w:cs="Arial" w:eastAsia="Arial" w:hAnsi="Arial"/>
          <w:sz w:val="18"/>
          <w:szCs w:val="18"/>
          <w:color w:val="auto"/>
        </w:rPr>
        <w:t>2001 with annual sales of approximately $75.0 million. In December 2001, Zurich Insurance Company (“Zurich”), its business interruption</w:t>
      </w:r>
    </w:p>
    <w:p>
      <w:pPr>
        <w:spacing w:after="0" w:line="235" w:lineRule="auto"/>
        <w:rPr>
          <w:sz w:val="20"/>
          <w:szCs w:val="20"/>
          <w:color w:val="auto"/>
        </w:rPr>
      </w:pPr>
      <w:r>
        <w:rPr>
          <w:rFonts w:ascii="Arial" w:cs="Arial" w:eastAsia="Arial" w:hAnsi="Arial"/>
          <w:sz w:val="18"/>
          <w:szCs w:val="18"/>
          <w:color w:val="auto"/>
        </w:rPr>
        <w:t>carrier, filed a Declaratory Judgment Action in the Southern District of New York claiming all the Company’s losses of business profits fell under</w:t>
      </w:r>
    </w:p>
    <w:p>
      <w:pPr>
        <w:spacing w:after="0" w:line="235" w:lineRule="auto"/>
        <w:rPr>
          <w:sz w:val="20"/>
          <w:szCs w:val="20"/>
          <w:color w:val="auto"/>
        </w:rPr>
      </w:pPr>
      <w:r>
        <w:rPr>
          <w:rFonts w:ascii="Arial" w:cs="Arial" w:eastAsia="Arial" w:hAnsi="Arial"/>
          <w:sz w:val="18"/>
          <w:szCs w:val="18"/>
          <w:color w:val="auto"/>
        </w:rPr>
        <w:t>the policy’s contingent business interruption sub-limit of $10.0 million. On June 2, 2003, the court ruled on certain summary judgment motions</w:t>
      </w:r>
    </w:p>
    <w:p>
      <w:pPr>
        <w:spacing w:after="0" w:line="235" w:lineRule="auto"/>
        <w:rPr>
          <w:sz w:val="20"/>
          <w:szCs w:val="20"/>
          <w:color w:val="auto"/>
        </w:rPr>
      </w:pPr>
      <w:r>
        <w:rPr>
          <w:rFonts w:ascii="Arial" w:cs="Arial" w:eastAsia="Arial" w:hAnsi="Arial"/>
          <w:sz w:val="18"/>
          <w:szCs w:val="18"/>
          <w:color w:val="auto"/>
        </w:rPr>
        <w:t>in favor of Zurich. Thereafter, the Company appealed the court’s rulings. On February 9, 2005, the United States Court of Appeals for the</w:t>
      </w:r>
    </w:p>
    <w:p>
      <w:pPr>
        <w:spacing w:after="0" w:line="235" w:lineRule="auto"/>
        <w:rPr>
          <w:sz w:val="20"/>
          <w:szCs w:val="20"/>
          <w:color w:val="auto"/>
        </w:rPr>
      </w:pPr>
      <w:r>
        <w:rPr>
          <w:rFonts w:ascii="Arial" w:cs="Arial" w:eastAsia="Arial" w:hAnsi="Arial"/>
          <w:sz w:val="18"/>
          <w:szCs w:val="18"/>
          <w:color w:val="auto"/>
        </w:rPr>
        <w:t>Second Circuit granted summary judgment in favor of ABM on the Company’s insurance claims for business interruption losses resulting from</w:t>
      </w:r>
    </w:p>
    <w:p>
      <w:pPr>
        <w:spacing w:after="0" w:line="235" w:lineRule="auto"/>
        <w:rPr>
          <w:sz w:val="20"/>
          <w:szCs w:val="20"/>
          <w:color w:val="auto"/>
        </w:rPr>
      </w:pPr>
      <w:r>
        <w:rPr>
          <w:rFonts w:ascii="Arial" w:cs="Arial" w:eastAsia="Arial" w:hAnsi="Arial"/>
          <w:sz w:val="18"/>
          <w:szCs w:val="18"/>
          <w:color w:val="auto"/>
        </w:rPr>
        <w:t>the WTC terrorist attack. The Court also ruled that ABM is entitled to recovery for the extra expenses the Company incurred after</w:t>
      </w:r>
    </w:p>
    <w:p>
      <w:pPr>
        <w:spacing w:after="0" w:line="235" w:lineRule="auto"/>
        <w:rPr>
          <w:sz w:val="20"/>
          <w:szCs w:val="20"/>
          <w:color w:val="auto"/>
        </w:rPr>
      </w:pPr>
      <w:r>
        <w:rPr>
          <w:rFonts w:ascii="Arial" w:cs="Arial" w:eastAsia="Arial" w:hAnsi="Arial"/>
          <w:sz w:val="18"/>
          <w:szCs w:val="18"/>
          <w:color w:val="auto"/>
        </w:rPr>
        <w:t>September 11, 2001, which include millions of dollars related to increased unemployment claims and costs associated with the redeployment of</w:t>
      </w:r>
    </w:p>
    <w:p>
      <w:pPr>
        <w:spacing w:after="0" w:line="235" w:lineRule="auto"/>
        <w:rPr>
          <w:sz w:val="20"/>
          <w:szCs w:val="20"/>
          <w:color w:val="auto"/>
        </w:rPr>
      </w:pPr>
      <w:r>
        <w:rPr>
          <w:rFonts w:ascii="Arial" w:cs="Arial" w:eastAsia="Arial" w:hAnsi="Arial"/>
          <w:sz w:val="18"/>
          <w:szCs w:val="18"/>
          <w:color w:val="auto"/>
        </w:rPr>
        <w:t>WTC personnel at other facilities. The Court rejected the arguments of Zurich to limit the Company’s business interruption coverage. On</w:t>
      </w:r>
    </w:p>
    <w:p>
      <w:pPr>
        <w:spacing w:after="0" w:line="234" w:lineRule="auto"/>
        <w:rPr>
          <w:sz w:val="20"/>
          <w:szCs w:val="20"/>
          <w:color w:val="auto"/>
        </w:rPr>
      </w:pPr>
      <w:r>
        <w:rPr>
          <w:rFonts w:ascii="Arial" w:cs="Arial" w:eastAsia="Arial" w:hAnsi="Arial"/>
          <w:sz w:val="18"/>
          <w:szCs w:val="18"/>
          <w:color w:val="auto"/>
        </w:rPr>
        <w:t>February 24, 2005, Zurich filed a motion to have its appeal heard by the Second Circuit Court of Appeals sitting en banc. Zurich’s motion was</w:t>
      </w:r>
    </w:p>
    <w:p>
      <w:pPr>
        <w:spacing w:after="0" w:line="235" w:lineRule="auto"/>
        <w:rPr>
          <w:sz w:val="20"/>
          <w:szCs w:val="20"/>
          <w:color w:val="auto"/>
        </w:rPr>
      </w:pPr>
      <w:r>
        <w:rPr>
          <w:rFonts w:ascii="Arial" w:cs="Arial" w:eastAsia="Arial" w:hAnsi="Arial"/>
          <w:sz w:val="18"/>
          <w:szCs w:val="18"/>
          <w:color w:val="auto"/>
        </w:rPr>
        <w:t>denied on June 27, 2005, and this matter has returned to the district court for a trial on the amount of ABM’s losses. Under the policy, coverage</w:t>
      </w:r>
    </w:p>
    <w:p>
      <w:pPr>
        <w:spacing w:after="0" w:line="235" w:lineRule="auto"/>
        <w:rPr>
          <w:sz w:val="20"/>
          <w:szCs w:val="20"/>
          <w:color w:val="auto"/>
        </w:rPr>
      </w:pPr>
      <w:r>
        <w:rPr>
          <w:rFonts w:ascii="Arial" w:cs="Arial" w:eastAsia="Arial" w:hAnsi="Arial"/>
          <w:sz w:val="18"/>
          <w:szCs w:val="18"/>
          <w:color w:val="auto"/>
        </w:rPr>
        <w:t>for business interruption and other related losses is capped at $127.4 million. ABM believes its losses exceed $100.0 million, of which</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$10.0 million was paid in 2002 under the contingent business interruption sub-limit. Discovery on damages is ongoing and no trial date has been set. In addition, during 2005, the Company received an indemnity payment from Zurich of $1.5 million, representing the Company’s recovery of certain accounts receivable from customers that cannot be collected due to loss of paperwork in the destruction of the WTC, additional claimed business property and business income loss. In 2002, Zurich had paid the Company $3.8 million for property damage, which substantially settled the property portion of the claim.</w:t>
      </w:r>
    </w:p>
    <w:p>
      <w:pPr>
        <w:spacing w:after="0" w:line="95" w:lineRule="exact"/>
        <w:rPr>
          <w:sz w:val="20"/>
          <w:szCs w:val="20"/>
          <w:color w:val="auto"/>
        </w:rPr>
      </w:pPr>
    </w:p>
    <w:p>
      <w:pPr>
        <w:jc w:val="both"/>
        <w:ind w:right="200" w:firstLine="300"/>
        <w:spacing w:after="0"/>
        <w:rPr>
          <w:sz w:val="20"/>
          <w:szCs w:val="20"/>
          <w:color w:val="auto"/>
        </w:rPr>
      </w:pPr>
      <w:r>
        <w:rPr>
          <w:rFonts w:ascii="Arial" w:cs="Arial" w:eastAsia="Arial" w:hAnsi="Arial"/>
          <w:sz w:val="18"/>
          <w:szCs w:val="18"/>
          <w:color w:val="auto"/>
        </w:rPr>
        <w:t>While the Company accrues amounts it believes are adequate to address any liabilities related to litigation that the Company believes will result in a probable loss, the ultimate resolution of such matters is always uncertain. It is possible that litigation or other proceedings brought against the Company in the future could have a material adverse impact on its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2" w:lineRule="exact"/>
        <w:rPr>
          <w:sz w:val="20"/>
          <w:szCs w:val="20"/>
          <w:color w:val="auto"/>
        </w:rPr>
      </w:pPr>
    </w:p>
    <w:p>
      <w:pPr>
        <w:ind w:left="920" w:right="520" w:hanging="917"/>
        <w:spacing w:after="0" w:line="260" w:lineRule="auto"/>
        <w:rPr>
          <w:sz w:val="20"/>
          <w:szCs w:val="20"/>
          <w:color w:val="auto"/>
        </w:rPr>
      </w:pPr>
      <w:r>
        <w:rPr>
          <w:rFonts w:ascii="Arial" w:cs="Arial" w:eastAsia="Arial" w:hAnsi="Arial"/>
          <w:sz w:val="22"/>
          <w:szCs w:val="22"/>
          <w:b w:val="1"/>
          <w:bCs w:val="1"/>
          <w:color w:val="auto"/>
        </w:rPr>
        <w:t>ITEM 5. MARKET FOR THE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26" w:lineRule="exact"/>
        <w:rPr>
          <w:sz w:val="20"/>
          <w:szCs w:val="20"/>
          <w:color w:val="auto"/>
        </w:rPr>
      </w:pPr>
    </w:p>
    <w:p>
      <w:pPr>
        <w:ind w:right="220" w:firstLine="290"/>
        <w:spacing w:after="0" w:line="246" w:lineRule="auto"/>
        <w:rPr>
          <w:sz w:val="20"/>
          <w:szCs w:val="20"/>
          <w:color w:val="auto"/>
        </w:rPr>
      </w:pPr>
      <w:r>
        <w:rPr>
          <w:rFonts w:ascii="Arial" w:cs="Arial" w:eastAsia="Arial" w:hAnsi="Arial"/>
          <w:sz w:val="18"/>
          <w:szCs w:val="18"/>
          <w:color w:val="auto"/>
        </w:rPr>
        <w:t>ABM’s common stock is listed on the New York Stock Exchange. The following table sets forth the high and low intra-day prices of ABM’s common stock on the New York Stock Exchange and quarterly cash dividends declared on common shares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Fiscal Quarter</w:t>
            </w: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First</w:t>
            </w: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Second</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Third</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Fourth</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Year</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Price range of common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22.49</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Low</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17.83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17.99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18.08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17.83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0.105</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0.105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Fiscal Year 2004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Price range of common stock:</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High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18.83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18.85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19.63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21.01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Low</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15.10</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0.10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r>
    </w:tbl>
    <w:p>
      <w:pPr>
        <w:spacing w:after="0" w:line="121" w:lineRule="exact"/>
        <w:rPr>
          <w:sz w:val="20"/>
          <w:szCs w:val="20"/>
          <w:color w:val="auto"/>
        </w:rPr>
      </w:pPr>
    </w:p>
    <w:p>
      <w:pPr>
        <w:ind w:right="700" w:firstLine="297"/>
        <w:spacing w:after="0" w:line="246" w:lineRule="auto"/>
        <w:rPr>
          <w:sz w:val="20"/>
          <w:szCs w:val="20"/>
          <w:color w:val="auto"/>
        </w:rPr>
      </w:pPr>
      <w:r>
        <w:rPr>
          <w:rFonts w:ascii="Arial" w:cs="Arial" w:eastAsia="Arial" w:hAnsi="Arial"/>
          <w:sz w:val="18"/>
          <w:szCs w:val="18"/>
          <w:color w:val="auto"/>
        </w:rPr>
        <w:t>To the Company’s knowledge, there are no current factors that are likely to materially limit the Company’s ability to pay comparable dividends for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February 28, 2006, there were 3,834 registered holders of ABM’s common stock, in addition to stockholders in street name.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6" w:lineRule="exact"/>
        <w:rPr>
          <w:sz w:val="20"/>
          <w:szCs w:val="20"/>
          <w:color w:val="auto"/>
        </w:rPr>
      </w:pPr>
    </w:p>
    <w:p>
      <w:pPr>
        <w:ind w:right="20" w:firstLine="300"/>
        <w:spacing w:after="0"/>
        <w:rPr>
          <w:sz w:val="20"/>
          <w:szCs w:val="20"/>
          <w:color w:val="auto"/>
        </w:rPr>
      </w:pPr>
      <w:r>
        <w:rPr>
          <w:rFonts w:ascii="Arial" w:cs="Arial" w:eastAsia="Arial" w:hAnsi="Arial"/>
          <w:sz w:val="18"/>
          <w:szCs w:val="18"/>
          <w:color w:val="auto"/>
        </w:rPr>
        <w:t>On March 7, 2005, ABM’s Board of Directors authorized the purchase of up to 2.0 million shares of ABM’s outstanding common stock at any time through October 31, 2005. The Company did not purchase any shares of ABM’s common stock in the fourth quarter of fiscal 2005 and the authorization expired with 400,000 shares remaining.</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ind w:right="80" w:firstLine="347"/>
        <w:spacing w:after="0" w:line="239" w:lineRule="auto"/>
        <w:rPr>
          <w:sz w:val="20"/>
          <w:szCs w:val="20"/>
          <w:color w:val="auto"/>
        </w:rPr>
      </w:pPr>
      <w:r>
        <w:rPr>
          <w:rFonts w:ascii="Arial" w:cs="Arial" w:eastAsia="Arial" w:hAnsi="Arial"/>
          <w:sz w:val="18"/>
          <w:szCs w:val="18"/>
          <w:color w:val="auto"/>
        </w:rPr>
        <w:t>The following selected financial data is derived from the Company’s consolidated financial statements for each of the years in the five-year period ended October 31, 2005. It should be read in conjunction with the consolidated financial statements and the notes thereto, as well as “Management’s Discussion and Analysis of Financial Condition and Results of Operations” (“MD&amp;A”), which are included elsewhere in this Annual Report on Form 10-K.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7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Years Ended October 31,</w:t>
            </w: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2005</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2004</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2003</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2002</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2001</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(in thousands, except per share data and ratios)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Operations </w:t>
            </w:r>
            <w:r>
              <w:rPr>
                <w:rFonts w:ascii="Arial" w:cs="Arial" w:eastAsia="Arial" w:hAnsi="Arial"/>
                <w:sz w:val="14"/>
                <w:szCs w:val="14"/>
                <w:color w:val="auto"/>
              </w:rPr>
              <w:t>(1)(2)</w:t>
            </w:r>
          </w:p>
        </w:tc>
        <w:tc>
          <w:tcPr>
            <w:tcW w:w="10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Sales and other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2,586,566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2,375,149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2,222,367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2,021,698</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1,974,542</w:t>
            </w:r>
          </w:p>
        </w:tc>
      </w:tr>
      <w:tr>
        <w:trPr>
          <w:trHeight w:val="169"/>
        </w:trPr>
        <w:tc>
          <w:tcPr>
            <w:tcW w:w="20" w:type="dxa"/>
            <w:vAlign w:val="bottom"/>
          </w:tcPr>
          <w:p>
            <w:pPr>
              <w:spacing w:after="0"/>
              <w:rPr>
                <w:sz w:val="14"/>
                <w:szCs w:val="14"/>
                <w:color w:val="auto"/>
              </w:rPr>
            </w:pPr>
          </w:p>
        </w:tc>
        <w:tc>
          <w:tcPr>
            <w:tcW w:w="47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Gain on insurance claim</w:t>
            </w: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1,195</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10,025</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2,587,761</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2,375,149</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2,222,367</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2,031,723</w:t>
            </w: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1,974,542</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expenses and cost of goods sold (3)</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2,312,687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2,157,637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2,007,740</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1,822,802</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1,784,327</w:t>
            </w:r>
          </w:p>
        </w:tc>
      </w:tr>
      <w:tr>
        <w:trPr>
          <w:trHeight w:val="162"/>
        </w:trPr>
        <w:tc>
          <w:tcPr>
            <w:tcW w:w="20" w:type="dxa"/>
            <w:vAlign w:val="bottom"/>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4"/>
                <w:szCs w:val="14"/>
                <w:color w:val="auto"/>
              </w:rPr>
              <w:t>Selling, general and administrative (4)</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204,131</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166,981</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159,949</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145,772</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134,677</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884</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1,016</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758</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1,052</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2,600</w:t>
            </w:r>
          </w:p>
        </w:tc>
      </w:tr>
      <w:tr>
        <w:trPr>
          <w:trHeight w:val="162"/>
        </w:trPr>
        <w:tc>
          <w:tcPr>
            <w:tcW w:w="20" w:type="dxa"/>
            <w:vAlign w:val="bottom"/>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4"/>
                <w:szCs w:val="14"/>
                <w:color w:val="auto"/>
              </w:rPr>
              <w:t>Goodwill amortization (5)</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11,797</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Intangible amortization</w:t>
            </w:r>
          </w:p>
        </w:tc>
        <w:tc>
          <w:tcPr>
            <w:tcW w:w="10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5,673</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4,519</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2,044</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1,085</w:t>
            </w: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r>
      <w:tr>
        <w:trPr>
          <w:trHeight w:val="176"/>
        </w:trPr>
        <w:tc>
          <w:tcPr>
            <w:tcW w:w="20" w:type="dxa"/>
            <w:vAlign w:val="bottom"/>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2,523,375</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2,330,153</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2,170,491</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1,970,711</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1,933,762</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64,386</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44,996</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51,876</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61,012</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40,780</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20,832</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15,352</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17,278</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19,523</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15,316</w:t>
            </w:r>
          </w:p>
        </w:tc>
      </w:tr>
      <w:tr>
        <w:trPr>
          <w:trHeight w:val="162"/>
        </w:trPr>
        <w:tc>
          <w:tcPr>
            <w:tcW w:w="20" w:type="dxa"/>
            <w:vAlign w:val="bottom"/>
          </w:tcPr>
          <w:p>
            <w:pPr>
              <w:spacing w:after="0"/>
              <w:rPr>
                <w:sz w:val="14"/>
                <w:szCs w:val="14"/>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10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43,554</w:t>
            </w: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29,644</w:t>
            </w: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34,598</w:t>
            </w: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41,489</w:t>
            </w: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25,464</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Income from discontinued operations, net of income taxes</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166</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829</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3,586</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2,865</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5,181</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Gain on sale of discontinued operations, net of income taxes</w:t>
            </w:r>
          </w:p>
        </w:tc>
        <w:tc>
          <w:tcPr>
            <w:tcW w:w="10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14,221</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52,736</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57,941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30,473</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90,920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44,354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30,645</w:t>
            </w:r>
          </w:p>
        </w:tc>
      </w:tr>
      <w:tr>
        <w:trPr>
          <w:trHeight w:val="28"/>
        </w:trPr>
        <w:tc>
          <w:tcPr>
            <w:tcW w:w="20" w:type="dxa"/>
            <w:vAlign w:val="bottom"/>
          </w:tcPr>
          <w:p>
            <w:pPr>
              <w:spacing w:after="0"/>
              <w:rPr>
                <w:sz w:val="2"/>
                <w:szCs w:val="2"/>
                <w:color w:val="auto"/>
              </w:rPr>
            </w:pPr>
          </w:p>
        </w:tc>
        <w:tc>
          <w:tcPr>
            <w:tcW w:w="47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common share — Basic</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4"/>
                <w:szCs w:val="14"/>
                <w:color w:val="auto"/>
              </w:rPr>
              <w:t>Income from continuing operations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0.88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0.61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0.71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0.84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0.53</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from discontinued operations</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0.02</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0.07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0.06</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r>
      <w:tr>
        <w:trPr>
          <w:trHeight w:val="169"/>
        </w:trPr>
        <w:tc>
          <w:tcPr>
            <w:tcW w:w="20" w:type="dxa"/>
            <w:vAlign w:val="bottom"/>
          </w:tcPr>
          <w:p>
            <w:pPr>
              <w:spacing w:after="0"/>
              <w:rPr>
                <w:sz w:val="14"/>
                <w:szCs w:val="14"/>
                <w:color w:val="auto"/>
              </w:rPr>
            </w:pPr>
          </w:p>
        </w:tc>
        <w:tc>
          <w:tcPr>
            <w:tcW w:w="47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Gain on sale of discontinued operations</w:t>
            </w: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0.29</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0.63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1.85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0.90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Net income per common share — Diluted</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from continuing operations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0.86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0.59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0.81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r>
      <w:tr>
        <w:trPr>
          <w:trHeight w:val="162"/>
        </w:trPr>
        <w:tc>
          <w:tcPr>
            <w:tcW w:w="20" w:type="dxa"/>
            <w:vAlign w:val="bottom"/>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4"/>
                <w:szCs w:val="14"/>
                <w:color w:val="auto"/>
              </w:rPr>
              <w:t>Income from discontinued operations</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0.02</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0.07</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0.06</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Gain on sale of discontinued operations</w:t>
            </w:r>
          </w:p>
        </w:tc>
        <w:tc>
          <w:tcPr>
            <w:tcW w:w="10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0.29</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0.61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0.87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0.60</w:t>
            </w:r>
          </w:p>
        </w:tc>
      </w:tr>
      <w:tr>
        <w:trPr>
          <w:trHeight w:val="28"/>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Average common and common equivalent shares</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4"/>
                <w:szCs w:val="14"/>
                <w:color w:val="auto"/>
              </w:rPr>
              <w:t>Basic</w:t>
            </w:r>
          </w:p>
        </w:tc>
        <w:tc>
          <w:tcPr>
            <w:tcW w:w="10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49,332</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48,641</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49,065</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49,116</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47,598</w:t>
            </w:r>
          </w:p>
        </w:tc>
      </w:tr>
      <w:tr>
        <w:trPr>
          <w:trHeight w:val="162"/>
        </w:trPr>
        <w:tc>
          <w:tcPr>
            <w:tcW w:w="20" w:type="dxa"/>
            <w:vAlign w:val="bottom"/>
          </w:tcPr>
          <w:p>
            <w:pPr>
              <w:spacing w:after="0"/>
              <w:rPr>
                <w:sz w:val="14"/>
                <w:szCs w:val="14"/>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Diluted</w:t>
            </w:r>
          </w:p>
        </w:tc>
        <w:tc>
          <w:tcPr>
            <w:tcW w:w="10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50,367</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50,064</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50,004</w:t>
            </w: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51,015</w:t>
            </w: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50,020</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FINANCIAL STATISTICS </w:t>
            </w:r>
            <w:r>
              <w:rPr>
                <w:rFonts w:ascii="Arial" w:cs="Arial" w:eastAsia="Arial" w:hAnsi="Arial"/>
                <w:sz w:val="14"/>
                <w:szCs w:val="14"/>
                <w:color w:val="auto"/>
              </w:rPr>
              <w:t>(2)</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Dividends declared per common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0.42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0.40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0.38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0.36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475,926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442,161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430,022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372,194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349,075</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Common shares outstanding</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49,051</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48,707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48,367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48,997</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48,778</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Stockholders’ equity per common share (6)</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9.70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9.08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8.89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7.60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7.16</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246,379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230,698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244,671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214,876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236,062</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Net operating cash flows from continuing operations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44,799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64,412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50,746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95,583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64,226</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Current ratio</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1.90</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1.94</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Long-term debt (less current portion)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942</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903,710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842,524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804,306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712,550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690,708</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14,441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12,028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46,011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60,352</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 — net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345,104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307,237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278,330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285,827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323,667</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Goodwill (5)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243,559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225,495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186,857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162,057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107,696</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Other intangibles — net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24,463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22,290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15,849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4,059</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4,527</w:t>
            </w: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Property, plant and equipment — net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34,270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31,191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31,738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35,533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42,044</w:t>
            </w: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17,738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11,460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11,535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7,212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16,482</w:t>
            </w:r>
          </w:p>
        </w:tc>
      </w:tr>
      <w:tr>
        <w:trPr>
          <w:trHeight w:val="162"/>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Depreciation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13,918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13,024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13,673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13,674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13,221</w:t>
            </w:r>
          </w:p>
        </w:tc>
      </w:tr>
    </w:tbl>
    <w:p>
      <w:pPr>
        <w:spacing w:after="0" w:line="72" w:lineRule="exact"/>
        <w:rPr>
          <w:sz w:val="20"/>
          <w:szCs w:val="20"/>
          <w:color w:val="auto"/>
        </w:rPr>
      </w:pPr>
    </w:p>
    <w:p>
      <w:pPr>
        <w:ind w:right="540" w:firstLine="208"/>
        <w:spacing w:after="0" w:line="258" w:lineRule="auto"/>
        <w:tabs>
          <w:tab w:leader="none" w:pos="413"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World Trade Center formerly represented the Company’s largest job-site; its destruction on September 11, 2001 has directly and indirectly impacted subsequent Company results. Revenues for 2002 and 2005 include gains resulting from amounts received in connection with World Trade Center insurance claims.</w:t>
      </w:r>
    </w:p>
    <w:p>
      <w:pPr>
        <w:spacing w:after="0" w:line="32" w:lineRule="exact"/>
        <w:rPr>
          <w:rFonts w:ascii="Arial" w:cs="Arial" w:eastAsia="Arial" w:hAnsi="Arial"/>
          <w:sz w:val="14"/>
          <w:szCs w:val="14"/>
          <w:color w:val="auto"/>
        </w:rPr>
      </w:pPr>
    </w:p>
    <w:p>
      <w:pPr>
        <w:ind w:right="20" w:firstLine="208"/>
        <w:spacing w:after="0" w:line="250" w:lineRule="auto"/>
        <w:tabs>
          <w:tab w:leader="none" w:pos="413"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results from operations of the Company’s Mechanical segment, which was sold in 2005, have been classified as income from discontinued operation and the assets and liabilities have been classified as held for sale in the accompanying consolidated financial statements and this table. The results from operations of the Company’s Elevator segment, which was sold in 2003, have been similarly classified. Accordingly, certain prior year amounts have been reclassified to conform to the current year presentation.</w:t>
      </w:r>
    </w:p>
    <w:p>
      <w:pPr>
        <w:spacing w:after="0" w:line="37" w:lineRule="exact"/>
        <w:rPr>
          <w:rFonts w:ascii="Arial" w:cs="Arial" w:eastAsia="Arial" w:hAnsi="Arial"/>
          <w:sz w:val="14"/>
          <w:szCs w:val="14"/>
          <w:color w:val="auto"/>
        </w:rPr>
      </w:pPr>
    </w:p>
    <w:p>
      <w:pPr>
        <w:ind w:right="60" w:firstLine="208"/>
        <w:spacing w:after="0" w:line="250" w:lineRule="auto"/>
        <w:tabs>
          <w:tab w:leader="none" w:pos="4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Operating expenses for 2005, 2004 and 2001 included a $8.2 million benefit from the reduction of the Company’s self-insurance reserves, a $17.2 million insurance charge resulting from adverse developments in the Company’s California worker’s compensation claims and a $23.5 million insurance charge resulting from higher than expected severity of claims, respectively. See Note 2 of the Notes to Consolidated Financial Statements contained in Item 8, “Financial Statements and Supplementary Data.”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Selling, general and administrative expenses for 2005 included litigation losses totaling $14.1 million. There were no significant litigation losses in the other years presented.</w:t>
      </w:r>
    </w:p>
    <w:p>
      <w:pPr>
        <w:spacing w:after="0" w:line="55" w:lineRule="exact"/>
        <w:rPr>
          <w:rFonts w:ascii="Arial" w:cs="Arial" w:eastAsia="Arial" w:hAnsi="Arial"/>
          <w:sz w:val="14"/>
          <w:szCs w:val="14"/>
          <w:color w:val="auto"/>
        </w:rPr>
      </w:pPr>
    </w:p>
    <w:p>
      <w:pPr>
        <w:ind w:right="100" w:firstLine="208"/>
        <w:spacing w:after="0" w:line="258" w:lineRule="auto"/>
        <w:tabs>
          <w:tab w:leader="none" w:pos="4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2002, the Company adopted Statement of Financial Accounting Standards No. 142, “Goodwill and Other Intangible Assets,” under which goodwill is no longer amortized, but is subject to at least an annual assessment for impairment.</w:t>
      </w:r>
    </w:p>
    <w:p>
      <w:pPr>
        <w:spacing w:after="0" w:line="32" w:lineRule="exact"/>
        <w:rPr>
          <w:rFonts w:ascii="Arial" w:cs="Arial" w:eastAsia="Arial" w:hAnsi="Arial"/>
          <w:sz w:val="14"/>
          <w:szCs w:val="14"/>
          <w:color w:val="auto"/>
        </w:rPr>
      </w:pPr>
    </w:p>
    <w:p>
      <w:pPr>
        <w:ind w:right="180" w:firstLine="208"/>
        <w:spacing w:after="0" w:line="258" w:lineRule="auto"/>
        <w:tabs>
          <w:tab w:leader="none" w:pos="416" w:val="left"/>
        </w:tabs>
        <w:numPr>
          <w:ilvl w:val="0"/>
          <w:numId w:val="7"/>
        </w:numPr>
        <w:rPr>
          <w:rFonts w:ascii="Arial" w:cs="Arial" w:eastAsia="Arial" w:hAnsi="Arial"/>
          <w:sz w:val="14"/>
          <w:szCs w:val="14"/>
          <w:color w:val="auto"/>
        </w:rPr>
      </w:pPr>
      <w:r>
        <w:rPr>
          <w:rFonts w:ascii="Arial" w:cs="Arial" w:eastAsia="Arial" w:hAnsi="Arial"/>
          <w:sz w:val="14"/>
          <w:szCs w:val="14"/>
          <w:color w:val="auto"/>
        </w:rPr>
        <w:t>Stockholders’ equity per common share is calculated by dividing stockholders’ equity at the end of the fiscal year by the number of shares of common stock outstanding at that date. This calculation may not be comparable to similarly titled measures reported by other companies.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920" w:right="860" w:hanging="917"/>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76" w:lineRule="exact"/>
        <w:rPr>
          <w:sz w:val="20"/>
          <w:szCs w:val="20"/>
          <w:color w:val="auto"/>
        </w:rPr>
      </w:pPr>
    </w:p>
    <w:p>
      <w:pPr>
        <w:jc w:val="both"/>
        <w:ind w:right="240" w:firstLine="347"/>
        <w:spacing w:after="0"/>
        <w:rPr>
          <w:sz w:val="20"/>
          <w:szCs w:val="20"/>
          <w:color w:val="auto"/>
        </w:rPr>
      </w:pPr>
      <w:r>
        <w:rPr>
          <w:rFonts w:ascii="Arial" w:cs="Arial" w:eastAsia="Arial" w:hAnsi="Arial"/>
          <w:sz w:val="18"/>
          <w:szCs w:val="18"/>
          <w:color w:val="auto"/>
        </w:rPr>
        <w:t>The following discussion should be read in conjunction with the consolidated financial statements of the Company and the notes thereto contained in Item 8, “Financial Statements and Supplementary Data.” All information in the discussion and references to the years are based on the Company’s fiscal year that ends on October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60" w:firstLine="290"/>
        <w:spacing w:after="0" w:line="237" w:lineRule="auto"/>
        <w:rPr>
          <w:sz w:val="20"/>
          <w:szCs w:val="20"/>
          <w:color w:val="auto"/>
        </w:rPr>
      </w:pPr>
      <w:r>
        <w:rPr>
          <w:rFonts w:ascii="Arial" w:cs="Arial" w:eastAsia="Arial" w:hAnsi="Arial"/>
          <w:sz w:val="18"/>
          <w:szCs w:val="18"/>
          <w:color w:val="auto"/>
        </w:rPr>
        <w:t>ABM Industries Incorporated (“ABM”) and its subsidiaries (the “Company”) provide janitorial, parking, security, engineering and lighting services for thousands of commercial, industrial, institutional and retail facilities in hundreds of cities throughout the United States and in British Columbia, Canada. The largest segment of the Company’s business is Janitorial which generated over 58% of the Company’s sales and other income (hereinafter called “Sales”) and over 68% of its operating profit before corporate expenses for 2005. The Company also previously provided mechanical and elevator services. It sold substantially all of the operating assets of its Mechanical segment on June 2, 2005 and the remaining assets on July 31, 2005. It sold substantially all of the operating assets of its Elevator segment on August 15, 2003. (See “Divestitures and Results from Discontinued Operations.”)</w:t>
      </w:r>
    </w:p>
    <w:p>
      <w:pPr>
        <w:spacing w:after="0" w:line="95" w:lineRule="exact"/>
        <w:rPr>
          <w:sz w:val="20"/>
          <w:szCs w:val="20"/>
          <w:color w:val="auto"/>
        </w:rPr>
      </w:pPr>
    </w:p>
    <w:p>
      <w:pPr>
        <w:ind w:firstLine="297"/>
        <w:spacing w:after="0" w:line="237" w:lineRule="auto"/>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Janitorial and other maintenance service contracts are either fixed-price or “cost-plus” (</w:t>
      </w:r>
      <w:r>
        <w:rPr>
          <w:rFonts w:ascii="Arial" w:cs="Arial" w:eastAsia="Arial" w:hAnsi="Arial"/>
          <w:sz w:val="18"/>
          <w:szCs w:val="18"/>
          <w:i w:val="1"/>
          <w:iCs w:val="1"/>
          <w:color w:val="auto"/>
        </w:rPr>
        <w:t>i.e.</w:t>
      </w:r>
      <w:r>
        <w:rPr>
          <w:rFonts w:ascii="Arial" w:cs="Arial" w:eastAsia="Arial" w:hAnsi="Arial"/>
          <w:sz w:val="18"/>
          <w:szCs w:val="18"/>
          <w:color w:val="auto"/>
        </w:rPr>
        <w:t>, the customer agrees to reimburse the agreed upon amount of wages and benefits, payroll taxes, insurance charges and other expenses plus a profit percentage), or are time and materials based. In addition to services defined within the scope of the contract, the Company also generates Sales from extra services (or “tags”), such as additional cleaning requirements or emergency repair services, with extra services frequently providing higher margins. The quarterly profitability of fixed-price contracts is impacted by the variability of the number of work days in the quarter.</w:t>
      </w:r>
    </w:p>
    <w:p>
      <w:pPr>
        <w:spacing w:after="0" w:line="97" w:lineRule="exact"/>
        <w:rPr>
          <w:sz w:val="20"/>
          <w:szCs w:val="20"/>
          <w:color w:val="auto"/>
        </w:rPr>
      </w:pPr>
    </w:p>
    <w:p>
      <w:pPr>
        <w:ind w:right="160" w:firstLine="297"/>
        <w:spacing w:after="0" w:line="238"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the contract, the Company may renegotiate the price although competitive pressures and customers’ price sensitivity could inhibit the Company’s ability to pass on cost increases. Such cost increases include, but are not limited to, labor costs, workers’ compensation and other insurance costs, any applicable payroll taxes and fuel costs. However, for some renewals the Company is able to restructure the scope and terms of the contract to maintain profit margin.</w:t>
      </w:r>
    </w:p>
    <w:p>
      <w:pPr>
        <w:spacing w:after="0" w:line="95" w:lineRule="exact"/>
        <w:rPr>
          <w:sz w:val="20"/>
          <w:szCs w:val="20"/>
          <w:color w:val="auto"/>
        </w:rPr>
      </w:pPr>
    </w:p>
    <w:p>
      <w:pPr>
        <w:ind w:right="140" w:firstLine="300"/>
        <w:spacing w:after="0" w:line="238"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significantly depend on the Sales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95" w:lineRule="exact"/>
        <w:rPr>
          <w:sz w:val="20"/>
          <w:szCs w:val="20"/>
          <w:color w:val="auto"/>
        </w:rPr>
      </w:pPr>
    </w:p>
    <w:p>
      <w:pPr>
        <w:ind w:right="40" w:firstLine="297"/>
        <w:spacing w:after="0" w:line="255" w:lineRule="auto"/>
        <w:rPr>
          <w:sz w:val="20"/>
          <w:szCs w:val="20"/>
          <w:color w:val="auto"/>
        </w:rPr>
      </w:pPr>
      <w:r>
        <w:rPr>
          <w:rFonts w:ascii="Arial" w:cs="Arial" w:eastAsia="Arial" w:hAnsi="Arial"/>
          <w:sz w:val="17"/>
          <w:szCs w:val="17"/>
          <w:color w:val="auto"/>
        </w:rPr>
        <w:t>The Company’s most recent acquisitions significantly contributed to the growth in Sales in 2005 from 2004. The Company also experienced internal growth in Sales in 2005. Internal growth in Sales represents not only Sales from new customers, but also expanded services or increases in the scope of work for existing customers.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companies that typically have the lower cost advantage.</w:t>
      </w:r>
    </w:p>
    <w:p>
      <w:pPr>
        <w:spacing w:after="0" w:line="82" w:lineRule="exact"/>
        <w:rPr>
          <w:sz w:val="20"/>
          <w:szCs w:val="20"/>
          <w:color w:val="auto"/>
        </w:rPr>
      </w:pPr>
    </w:p>
    <w:p>
      <w:pPr>
        <w:ind w:right="80" w:firstLine="300"/>
        <w:spacing w:after="0"/>
        <w:rPr>
          <w:sz w:val="20"/>
          <w:szCs w:val="20"/>
          <w:color w:val="auto"/>
        </w:rPr>
      </w:pPr>
      <w:r>
        <w:rPr>
          <w:rFonts w:ascii="Arial" w:cs="Arial" w:eastAsia="Arial" w:hAnsi="Arial"/>
          <w:sz w:val="18"/>
          <w:szCs w:val="18"/>
          <w:color w:val="auto"/>
        </w:rPr>
        <w:t>In the short-term, management is focused on pursuing new business and integrating its most recent acquisitions. In the long-term, management continues to focus the Company’s financial and management resources on those businesses it can grow to be a leading national service provider.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1660" w:type="dxa"/>
            <w:vAlign w:val="bottom"/>
          </w:tcPr>
          <w:p>
            <w:pPr>
              <w:jc w:val="right"/>
              <w:ind w:right="788"/>
              <w:spacing w:after="0"/>
              <w:rPr>
                <w:sz w:val="20"/>
                <w:szCs w:val="20"/>
                <w:color w:val="auto"/>
              </w:rPr>
            </w:pPr>
            <w:r>
              <w:rPr>
                <w:rFonts w:ascii="Arial" w:cs="Arial" w:eastAsia="Arial" w:hAnsi="Arial"/>
                <w:sz w:val="14"/>
                <w:szCs w:val="14"/>
                <w:color w:val="auto"/>
              </w:rPr>
              <w:t>October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4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3960" w:type="dxa"/>
            <w:vAlign w:val="bottom"/>
            <w:vMerge w:val="continue"/>
          </w:tcPr>
          <w:p>
            <w:pPr>
              <w:spacing w:after="0"/>
              <w:rPr>
                <w:sz w:val="13"/>
                <w:szCs w:val="13"/>
                <w:color w:val="auto"/>
              </w:rPr>
            </w:pPr>
          </w:p>
        </w:tc>
        <w:tc>
          <w:tcPr>
            <w:tcW w:w="166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2004</w:t>
            </w:r>
          </w:p>
        </w:tc>
        <w:tc>
          <w:tcPr>
            <w:tcW w:w="960" w:type="dxa"/>
            <w:vAlign w:val="bottom"/>
          </w:tcPr>
          <w:p>
            <w:pPr>
              <w:ind w:left="440"/>
              <w:spacing w:after="0" w:line="157"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rPr>
              <w:t>56,793</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63,369</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Working capital</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246,379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230,698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gridSpan w:val="3"/>
          </w:tcPr>
          <w:p>
            <w:pPr>
              <w:jc w:val="right"/>
              <w:ind w:right="634"/>
              <w:spacing w:after="0"/>
              <w:rPr>
                <w:sz w:val="20"/>
                <w:szCs w:val="20"/>
                <w:color w:val="auto"/>
              </w:rPr>
            </w:pPr>
            <w:r>
              <w:rPr>
                <w:rFonts w:ascii="Arial" w:cs="Arial" w:eastAsia="Arial" w:hAnsi="Arial"/>
                <w:sz w:val="14"/>
                <w:szCs w:val="14"/>
                <w:color w:val="auto"/>
              </w:rPr>
              <w:t>Years ended October 31,</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4"/>
          </w:tcPr>
          <w:p>
            <w:pPr>
              <w:ind w:left="200"/>
              <w:spacing w:after="0"/>
              <w:rPr>
                <w:sz w:val="20"/>
                <w:szCs w:val="20"/>
                <w:color w:val="auto"/>
              </w:rPr>
            </w:pPr>
            <w:r>
              <w:rPr>
                <w:rFonts w:ascii="Arial" w:cs="Arial" w:eastAsia="Arial" w:hAnsi="Arial"/>
                <w:sz w:val="14"/>
                <w:szCs w:val="14"/>
                <w:color w:val="auto"/>
              </w:rPr>
              <w:t>Years ended October 31,</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5"/>
                <w:szCs w:val="15"/>
                <w:color w:val="auto"/>
              </w:rPr>
            </w:pPr>
          </w:p>
        </w:tc>
        <w:tc>
          <w:tcPr>
            <w:tcW w:w="1080" w:type="dxa"/>
            <w:vAlign w:val="bottom"/>
          </w:tcPr>
          <w:p>
            <w:pPr>
              <w:jc w:val="right"/>
              <w:ind w:right="53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color w:val="auto"/>
              </w:rPr>
              <w:t>2004</w:t>
            </w:r>
          </w:p>
        </w:tc>
        <w:tc>
          <w:tcPr>
            <w:tcW w:w="1180" w:type="dxa"/>
            <w:vAlign w:val="bottom"/>
          </w:tcPr>
          <w:p>
            <w:pPr>
              <w:ind w:left="300"/>
              <w:spacing w:after="0"/>
              <w:rPr>
                <w:sz w:val="20"/>
                <w:szCs w:val="20"/>
                <w:color w:val="auto"/>
              </w:rPr>
            </w:pPr>
            <w:r>
              <w:rPr>
                <w:rFonts w:ascii="Arial" w:cs="Arial" w:eastAsia="Arial" w:hAnsi="Arial"/>
                <w:sz w:val="14"/>
                <w:szCs w:val="14"/>
                <w:color w:val="auto"/>
              </w:rPr>
              <w:t>Change</w:t>
            </w:r>
          </w:p>
        </w:tc>
        <w:tc>
          <w:tcPr>
            <w:tcW w:w="42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5"/>
                <w:szCs w:val="15"/>
                <w:color w:val="auto"/>
              </w:rPr>
            </w:pPr>
          </w:p>
        </w:tc>
        <w:tc>
          <w:tcPr>
            <w:tcW w:w="940" w:type="dxa"/>
            <w:vAlign w:val="bottom"/>
          </w:tcPr>
          <w:p>
            <w:pPr>
              <w:jc w:val="right"/>
              <w:ind w:right="513"/>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provided by operating activities</w:t>
            </w:r>
          </w:p>
        </w:tc>
        <w:tc>
          <w:tcPr>
            <w:tcW w:w="4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44,799</w:t>
            </w:r>
          </w:p>
        </w:tc>
        <w:tc>
          <w:tcPr>
            <w:tcW w:w="4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from continuing operations</w:t>
            </w:r>
          </w:p>
        </w:tc>
        <w:tc>
          <w:tcPr>
            <w:tcW w:w="4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4"/>
              <w:spacing w:after="0" w:line="203" w:lineRule="exact"/>
              <w:rPr>
                <w:sz w:val="20"/>
                <w:szCs w:val="20"/>
                <w:color w:val="auto"/>
              </w:rPr>
            </w:pPr>
            <w:r>
              <w:rPr>
                <w:rFonts w:ascii="Arial" w:cs="Arial" w:eastAsia="Arial" w:hAnsi="Arial"/>
                <w:sz w:val="18"/>
                <w:szCs w:val="18"/>
                <w:color w:val="auto"/>
              </w:rPr>
              <w:t>64,412</w:t>
            </w:r>
          </w:p>
        </w:tc>
        <w:tc>
          <w:tcPr>
            <w:tcW w:w="11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$(19,613)</w:t>
            </w:r>
          </w:p>
        </w:tc>
        <w:tc>
          <w:tcPr>
            <w:tcW w:w="4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64,412</w:t>
            </w:r>
          </w:p>
        </w:tc>
        <w:tc>
          <w:tcPr>
            <w:tcW w:w="46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50,746</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Cash (used in) provided by investing</w:t>
            </w: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(13,102)</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20"/>
              <w:spacing w:after="0" w:line="203" w:lineRule="exact"/>
              <w:rPr>
                <w:sz w:val="20"/>
                <w:szCs w:val="20"/>
                <w:color w:val="auto"/>
              </w:rPr>
            </w:pPr>
            <w:r>
              <w:rPr>
                <w:rFonts w:ascii="Arial" w:cs="Arial" w:eastAsia="Arial" w:hAnsi="Arial"/>
                <w:sz w:val="18"/>
                <w:szCs w:val="18"/>
                <w:color w:val="auto"/>
              </w:rPr>
              <w:t>activities</w:t>
            </w:r>
          </w:p>
        </w:tc>
        <w:tc>
          <w:tcPr>
            <w:tcW w:w="4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(60,753)</w:t>
            </w:r>
          </w:p>
        </w:tc>
        <w:tc>
          <w:tcPr>
            <w:tcW w:w="1180" w:type="dxa"/>
            <w:vAlign w:val="bottom"/>
          </w:tcPr>
          <w:p>
            <w:pPr>
              <w:ind w:left="200"/>
              <w:spacing w:after="0" w:line="203" w:lineRule="exact"/>
              <w:rPr>
                <w:sz w:val="20"/>
                <w:szCs w:val="20"/>
                <w:color w:val="auto"/>
              </w:rPr>
            </w:pPr>
            <w:r>
              <w:rPr>
                <w:rFonts w:ascii="Arial" w:cs="Arial" w:eastAsia="Arial" w:hAnsi="Arial"/>
                <w:sz w:val="18"/>
                <w:szCs w:val="18"/>
                <w:color w:val="auto"/>
              </w:rPr>
              <w:t>$ 47,651</w:t>
            </w:r>
          </w:p>
        </w:tc>
        <w:tc>
          <w:tcPr>
            <w:tcW w:w="4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(60,753)</w:t>
            </w:r>
          </w:p>
        </w:tc>
        <w:tc>
          <w:tcPr>
            <w:tcW w:w="4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73"/>
              <w:spacing w:after="0" w:line="203" w:lineRule="exact"/>
              <w:rPr>
                <w:sz w:val="20"/>
                <w:szCs w:val="20"/>
                <w:color w:val="auto"/>
              </w:rPr>
            </w:pPr>
            <w:r>
              <w:rPr>
                <w:rFonts w:ascii="Arial" w:cs="Arial" w:eastAsia="Arial" w:hAnsi="Arial"/>
                <w:sz w:val="18"/>
                <w:szCs w:val="18"/>
                <w:color w:val="auto"/>
              </w:rPr>
              <w:t>66,054</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(126,807)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(30,925)</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(20,515)</w:t>
            </w:r>
          </w:p>
        </w:tc>
        <w:tc>
          <w:tcPr>
            <w:tcW w:w="1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$(10,410)</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(20,515)</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(34,665)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300"/>
        <w:spacing w:after="0" w:line="236" w:lineRule="auto"/>
        <w:rPr>
          <w:sz w:val="20"/>
          <w:szCs w:val="20"/>
          <w:color w:val="auto"/>
        </w:rPr>
      </w:pPr>
      <w:r>
        <w:rPr>
          <w:rFonts w:ascii="Arial" w:cs="Arial" w:eastAsia="Arial" w:hAnsi="Arial"/>
          <w:sz w:val="18"/>
          <w:szCs w:val="18"/>
          <w:color w:val="auto"/>
        </w:rPr>
        <w:t>Funds provided from operations and bank borrowings have historically been the sources for meeting working capital requirements, financing capital expenditures and acquisitions, and paying cash dividends. As of October 31, 2005 and 2004, the Company’s cash and cash equivalents totaled $56.8 million and $63.4 million, respectively. The cash balance at October 31, 2005 decreased from October 31, 2004 primarily due to $31.3 million cash payments for the purchase of ABM common stock, $17.7 million of capital expenditures and $ 26.9 million for acquisitions, including $15.1 million of the initial payments for the purchase of operations of Colin Service Systems, Inc. (“Colin”) acquired on December 22, 2004, Amguard Security and Patrol Services (“Amguard”) acquired on March 1, 2005, and Initial Contract Services, Inc., Baltimore (“Initial Baltimore”) acquired on August 3, 2005. Mostly offsetting these items were cash from operations and the $32.3 million cash proceeds from the sales of the Mechanical operating assets in 2005.</w:t>
      </w:r>
    </w:p>
    <w:p>
      <w:pPr>
        <w:spacing w:after="0" w:line="78" w:lineRule="exact"/>
        <w:rPr>
          <w:sz w:val="20"/>
          <w:szCs w:val="20"/>
          <w:color w:val="auto"/>
        </w:rPr>
      </w:pPr>
    </w:p>
    <w:p>
      <w:pPr>
        <w:ind w:firstLine="300"/>
        <w:spacing w:after="0" w:line="251"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Working capital increased by $ 15.7 million to $246.4 million at October 31, 2005 from $230.7 million at October 31, 2004</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cash flow from continuing operations partially offset by common stock purchases. The largest component of working capital consists of trade accounts receivable, which totaled $ 345.1 million at October 31, 2005, compared to $307.2 million at October 31, 2004. These amounts were net of allowance for doubtful accounts of $6.1 million and sales allowance of $1.8 million at October 31, 2005 and allowance for doubtful accounts of $8.2 million at October 31, 2004. Effective on October 31, 2005, the Company reclassified the portion of the allowance for doubtful accounts related to the estimated losses on receivables resulting from customer credits (</w:t>
      </w:r>
      <w:r>
        <w:rPr>
          <w:rFonts w:ascii="Arial" w:cs="Arial" w:eastAsia="Arial" w:hAnsi="Arial"/>
          <w:sz w:val="17"/>
          <w:szCs w:val="17"/>
          <w:i w:val="1"/>
          <w:iCs w:val="1"/>
          <w:color w:val="auto"/>
        </w:rPr>
        <w:t>e.g.,</w:t>
      </w:r>
      <w:r>
        <w:rPr>
          <w:rFonts w:ascii="Arial" w:cs="Arial" w:eastAsia="Arial" w:hAnsi="Arial"/>
          <w:sz w:val="17"/>
          <w:szCs w:val="17"/>
          <w:color w:val="auto"/>
        </w:rPr>
        <w:t xml:space="preserve"> vacancy credits for fixed-price contracts, customer discounts, job cancellations, breakage cost, etc.) into sales allowance. Prior to October 31, 2005, the allowance for doubtful accounts included estimated losses on receivables resulting from both customer credits and credit risks. The amount reclassified as of October 31, 2005 was $1.8 million. As of October 31, 2005, accounts receivable that were over 90 days past due had increased $8.9 million to $27.2 million</w:t>
      </w:r>
    </w:p>
    <w:p>
      <w:pPr>
        <w:spacing w:after="0" w:line="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(7.7% of the total outstanding) from $18.3 million (5.8% of the total outstanding) at October 31, 2004. Collection efforts suffered as accounting offices across the Company focused on the Sarbanes-Oxley Act of 2002 (“Sarbanes-Oxley”) internal controls certification requirement.</w:t>
      </w:r>
    </w:p>
    <w:p>
      <w:pPr>
        <w:spacing w:after="0" w:line="43" w:lineRule="exact"/>
        <w:rPr>
          <w:sz w:val="20"/>
          <w:szCs w:val="20"/>
          <w:color w:val="auto"/>
        </w:rPr>
      </w:pPr>
    </w:p>
    <w:p>
      <w:pPr>
        <w:ind w:right="180" w:firstLine="300"/>
        <w:spacing w:after="0"/>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During 2005, 2004 and 2003, operating activities from continuing operations generated net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$44.8 million, $64.4 million, and $ 50.7 million, respectively. Operating cash from continuing operations decreased in 2005 from 2004 primarily due to $14.6 million higher income tax payments including a state tax settlement, higher extension payments made in 2005 for 2004 than the extension payments made in 2004 for 2003 and overpayments of current year income taxes. In addition, cash flows from operating activities for 2005 included the $5.0 million payment to settle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a gender discrimination lawsuit in the state of Washington and increased deferred cost on projects not completed at the end of the year at Lighting. These increases were offset in part by $4.4 million in proceeds from the sale of a leasehold interest for an off-airport parking facility. Operating cash from continuing operations increased in 2004 from 2003 primarily due to the delay in 2004 year-end payments to vendors and suppliers as the year-end fell on a</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weekend, partially offset by slower payments by some large customers.</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2005 and 2004 was $13.1 million and $60.8 million,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respectively, while 2003 investing activities provided net cash of $66.1 million. The decrease in investing activities in 2005 compared to 2004</w:t>
      </w:r>
    </w:p>
    <w:p>
      <w:pPr>
        <w:spacing w:after="0" w:line="234" w:lineRule="auto"/>
        <w:rPr>
          <w:sz w:val="20"/>
          <w:szCs w:val="20"/>
          <w:color w:val="auto"/>
        </w:rPr>
      </w:pPr>
      <w:r>
        <w:rPr>
          <w:rFonts w:ascii="Arial" w:cs="Arial" w:eastAsia="Arial" w:hAnsi="Arial"/>
          <w:sz w:val="18"/>
          <w:szCs w:val="18"/>
          <w:color w:val="auto"/>
        </w:rPr>
        <w:t>was primarily due to the $32.3 million proceeds received from the sales of the Mechanical operating assets in 2005 (see “Divestures and</w:t>
      </w:r>
    </w:p>
    <w:p>
      <w:pPr>
        <w:spacing w:after="0" w:line="235" w:lineRule="auto"/>
        <w:rPr>
          <w:sz w:val="20"/>
          <w:szCs w:val="20"/>
          <w:color w:val="auto"/>
        </w:rPr>
      </w:pPr>
      <w:r>
        <w:rPr>
          <w:rFonts w:ascii="Arial" w:cs="Arial" w:eastAsia="Arial" w:hAnsi="Arial"/>
          <w:sz w:val="18"/>
          <w:szCs w:val="18"/>
          <w:color w:val="auto"/>
        </w:rPr>
        <w:t>Results from Discontinued Operations”) and the $27.3 million decrease in the cash used in the purchase of businesses in 2005 compared to</w:t>
      </w:r>
    </w:p>
    <w:p>
      <w:pPr>
        <w:spacing w:after="0" w:line="235" w:lineRule="auto"/>
        <w:rPr>
          <w:sz w:val="20"/>
          <w:szCs w:val="20"/>
          <w:color w:val="auto"/>
        </w:rPr>
      </w:pPr>
      <w:r>
        <w:rPr>
          <w:rFonts w:ascii="Arial" w:cs="Arial" w:eastAsia="Arial" w:hAnsi="Arial"/>
          <w:sz w:val="18"/>
          <w:szCs w:val="18"/>
          <w:color w:val="auto"/>
        </w:rPr>
        <w:t>2004, partially offset by higher additions to property, plant and equipment (mostly communication and information technologies) in 2005.</w:t>
      </w:r>
    </w:p>
    <w:p>
      <w:pPr>
        <w:spacing w:after="0" w:line="235" w:lineRule="auto"/>
        <w:rPr>
          <w:sz w:val="20"/>
          <w:szCs w:val="20"/>
          <w:color w:val="auto"/>
        </w:rPr>
      </w:pPr>
      <w:r>
        <w:rPr>
          <w:rFonts w:ascii="Arial" w:cs="Arial" w:eastAsia="Arial" w:hAnsi="Arial"/>
          <w:sz w:val="18"/>
          <w:szCs w:val="18"/>
          <w:color w:val="auto"/>
        </w:rPr>
        <w:t>Investing activities in 2003 provided net cash of $66.1 million primarily due to the $112.4 million of cash proceeds received from the Elevator</w:t>
      </w:r>
    </w:p>
    <w:p>
      <w:pPr>
        <w:spacing w:after="0" w:line="235" w:lineRule="auto"/>
        <w:rPr>
          <w:sz w:val="20"/>
          <w:szCs w:val="20"/>
          <w:color w:val="auto"/>
        </w:rPr>
      </w:pPr>
      <w:r>
        <w:rPr>
          <w:rFonts w:ascii="Arial" w:cs="Arial" w:eastAsia="Arial" w:hAnsi="Arial"/>
          <w:sz w:val="18"/>
          <w:szCs w:val="18"/>
          <w:color w:val="auto"/>
        </w:rPr>
        <w:t>sale during 2003. (See “Divestitures and Results from Discontinued Operations.”) Additionally, cash used for the purchase of businesses in</w:t>
      </w:r>
    </w:p>
    <w:p>
      <w:pPr>
        <w:spacing w:after="0" w:line="235" w:lineRule="auto"/>
        <w:rPr>
          <w:sz w:val="20"/>
          <w:szCs w:val="20"/>
          <w:color w:val="auto"/>
        </w:rPr>
      </w:pPr>
      <w:r>
        <w:rPr>
          <w:rFonts w:ascii="Arial" w:cs="Arial" w:eastAsia="Arial" w:hAnsi="Arial"/>
          <w:sz w:val="18"/>
          <w:szCs w:val="18"/>
          <w:color w:val="auto"/>
        </w:rPr>
        <w:t>2003 at $40.6 million was lower than the $54.2 million used in 2004. Of the $54.2 million used for the purchase of businesses in 2004,</w:t>
      </w:r>
    </w:p>
    <w:p>
      <w:pPr>
        <w:spacing w:after="0" w:line="235" w:lineRule="auto"/>
        <w:rPr>
          <w:sz w:val="20"/>
          <w:szCs w:val="20"/>
          <w:color w:val="auto"/>
        </w:rPr>
      </w:pPr>
      <w:r>
        <w:rPr>
          <w:rFonts w:ascii="Arial" w:cs="Arial" w:eastAsia="Arial" w:hAnsi="Arial"/>
          <w:sz w:val="18"/>
          <w:szCs w:val="18"/>
          <w:color w:val="auto"/>
        </w:rPr>
        <w:t>$44.2 million was used for the purchase of the operations of Security Services of America, LLC (“SSA LLC”) and the northeastern United</w:t>
      </w:r>
    </w:p>
    <w:p>
      <w:pPr>
        <w:spacing w:after="0" w:line="235" w:lineRule="auto"/>
        <w:rPr>
          <w:sz w:val="20"/>
          <w:szCs w:val="20"/>
          <w:color w:val="auto"/>
        </w:rPr>
      </w:pPr>
      <w:r>
        <w:rPr>
          <w:rFonts w:ascii="Arial" w:cs="Arial" w:eastAsia="Arial" w:hAnsi="Arial"/>
          <w:sz w:val="18"/>
          <w:szCs w:val="18"/>
          <w:color w:val="auto"/>
        </w:rPr>
        <w:t>States operations of Initial Contract Services, Inc. (“Initial Northeast”), while of the $40.6 million used in 2003, $29.2 million was used for the</w:t>
      </w:r>
    </w:p>
    <w:p>
      <w:pPr>
        <w:spacing w:after="0"/>
        <w:rPr>
          <w:sz w:val="20"/>
          <w:szCs w:val="20"/>
          <w:color w:val="auto"/>
        </w:rPr>
      </w:pPr>
      <w:r>
        <w:rPr>
          <w:rFonts w:ascii="Arial" w:cs="Arial" w:eastAsia="Arial" w:hAnsi="Arial"/>
          <w:sz w:val="17"/>
          <w:szCs w:val="17"/>
          <w:color w:val="auto"/>
        </w:rPr>
        <w:t>purchase of operations of Horizon National Commercial Services, LLC (“Horizon,”) Valet Parking Services (“Valet”) and HGO Janitorial Services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(“HGO.”)</w:t>
      </w:r>
    </w:p>
    <w:p>
      <w:pPr>
        <w:spacing w:after="0" w:line="82"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$30.9 million in 2005, $20.5 million in 2004 and</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$34.7 million in 2003. The Company purchased 1.6 million shares of ABM’s common stock at a cost of $31.3 million in 2005, compared to 0.6 million shares at $11.1 million in 2004 and 2.0 million shares at $ 30.4 million in 2003. The higher common stock purchases in 2005 compared to 2004 were partially offset by more cash generated from the issuance of ABM’s common stock under the employee stock purchase plan in 2005. The lower common stock purchases in 2004 compared to 2003 was partially offset by the lower cash generated from the issuance of ABM’s common stock in 2004 compared to 2003. The 1985 employee stock purchase plan terminated upon issuance of all the available shares in November 2003. A new employee stock purchase plan was approved by the stockholders in March 2004 and the first offering period began on August 1, 2004.</w:t>
      </w:r>
    </w:p>
    <w:p>
      <w:pPr>
        <w:spacing w:after="0" w:line="73"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In May 2005, ABM entered into a $300 million syndicated line of credit scheduled to expire in May 2010. No compensating</w:t>
      </w:r>
      <w:r>
        <w:rPr>
          <w:rFonts w:ascii="Arial" w:cs="Arial" w:eastAsia="Arial" w:hAnsi="Arial"/>
          <w:sz w:val="18"/>
          <w:szCs w:val="18"/>
          <w:b w:val="1"/>
          <w:bCs w:val="1"/>
          <w:color w:val="auto"/>
        </w:rPr>
        <w:t xml:space="preserve"> </w:t>
      </w:r>
      <w:r>
        <w:rPr>
          <w:rFonts w:ascii="Arial" w:cs="Arial" w:eastAsia="Arial" w:hAnsi="Arial"/>
          <w:sz w:val="18"/>
          <w:szCs w:val="18"/>
          <w:color w:val="auto"/>
        </w:rPr>
        <w:t>balances are required under the facility and the interest rate is determined at the time of borrowing based on the London Interbank Offered Rate (“LIBOR”) plus a spread of 0.375% to 1.125% or, for overnight borrowings, at the prime rate or, for overnight to one week, at the Interbank Offered Rate (“IBOR”) plus a spread of 0.375% to 1.125%. The spreads for LIBOR and IBOR borrowings are based on the Company’s leverage ratio. The facility calls for a non-use fee payable quarterly, in arrears, of 0.125%, based on the average daily unused portion. For purposes of this calculation, irrevocable standby letters of credit issued primarily in conjunction with the Company’s self-insurance program plus cash borrowings are considered to be outstanding amounts. As of October 31, 2005, the total outstanding amount under the facility was $84.4 million in the form of standby letters of credit. As of October 31, 2004, $96.5 million (also in the form of standby letters of credit) was outstanding under the prior facility.</w:t>
      </w:r>
    </w:p>
    <w:p>
      <w:pPr>
        <w:spacing w:after="0" w:line="98" w:lineRule="exact"/>
        <w:rPr>
          <w:sz w:val="20"/>
          <w:szCs w:val="20"/>
          <w:color w:val="auto"/>
        </w:rPr>
      </w:pPr>
    </w:p>
    <w:p>
      <w:pPr>
        <w:ind w:right="420" w:firstLine="297"/>
        <w:spacing w:after="0" w:line="234" w:lineRule="auto"/>
        <w:rPr>
          <w:sz w:val="20"/>
          <w:szCs w:val="20"/>
          <w:color w:val="auto"/>
        </w:rPr>
      </w:pPr>
      <w:r>
        <w:rPr>
          <w:rFonts w:ascii="Arial" w:cs="Arial" w:eastAsia="Arial" w:hAnsi="Arial"/>
          <w:sz w:val="18"/>
          <w:szCs w:val="18"/>
          <w:color w:val="auto"/>
        </w:rPr>
        <w:t>The facility includes usual and customary covenants for a credit facility of this type, including covenants limiting liens, dispositions, fundamental changes, investments, indebtedness, and certain transactions and payments. In addition, the facility also requires that the Company satisfy three financial covenants: (1) a fixed charge coverage ratio greater than or equal to 1.50 to 1.0 at fiscal quarter-end; (2) a leverage ratio of less than or equal to 3.25 to 1.0 at fiscal quarter-end; and (3) consolidated net worth greater than or equal to the sum of</w:t>
      </w:r>
    </w:p>
    <w:p>
      <w:pPr>
        <w:spacing w:after="0" w:line="3" w:lineRule="exact"/>
        <w:rPr>
          <w:sz w:val="20"/>
          <w:szCs w:val="20"/>
          <w:color w:val="auto"/>
        </w:rPr>
      </w:pPr>
    </w:p>
    <w:p>
      <w:pPr>
        <w:ind w:right="20" w:firstLine="8"/>
        <w:spacing w:after="0" w:line="238"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$341.9 million, (ii) an amount equal to 50% of the consolidated net income earned in each full fiscal quarter ending after the effective time (with no deduction for a net loss in any such fiscal quarter) and (iii) an amount equal to 100% of the aggregate increases in stockholders’ equity of ABM after the effective time by reason of the issuance and sale of capital stock or other equity interests of ABM, including upon any conversion of debt securities of ABM into such capital stock or other equity interests, but excluding by reason of the issuance and sale of capital stock pursuant to ABM’s employee stock purchase plans, employee stock option plans and similar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97"/>
        <w:spacing w:after="0" w:line="239" w:lineRule="auto"/>
        <w:rPr>
          <w:sz w:val="20"/>
          <w:szCs w:val="20"/>
          <w:color w:val="auto"/>
        </w:rPr>
      </w:pPr>
      <w:r>
        <w:rPr>
          <w:rFonts w:ascii="Arial" w:cs="Arial" w:eastAsia="Arial" w:hAnsi="Arial"/>
          <w:sz w:val="18"/>
          <w:szCs w:val="18"/>
          <w:color w:val="auto"/>
        </w:rPr>
        <w:t>The lenders waived the event of default that would have existed under the facility for failure to deliver audited financial statements for 2005 and a corresponding compliance certificate occasioned by the delay in filing the Annual Report on Form 10-K provided these were delivered no later than March 31, 2006. The Company is otherwise in compliance with the covenants and expects to make the required deliveries by March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26" w:lineRule="exact"/>
        <w:rPr>
          <w:sz w:val="20"/>
          <w:szCs w:val="20"/>
          <w:color w:val="auto"/>
        </w:rPr>
      </w:pPr>
    </w:p>
    <w:p>
      <w:pPr>
        <w:ind w:right="240" w:firstLine="297"/>
        <w:spacing w:after="0" w:line="246"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October 31, 2005, future contractual payments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20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Payments Due By Period</w:t>
            </w:r>
          </w:p>
        </w:tc>
        <w:tc>
          <w:tcPr>
            <w:tcW w:w="12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54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020" w:type="dxa"/>
            <w:vAlign w:val="bottom"/>
          </w:tcPr>
          <w:p>
            <w:pPr>
              <w:jc w:val="center"/>
              <w:ind w:left="719"/>
              <w:spacing w:after="0"/>
              <w:rPr>
                <w:sz w:val="20"/>
                <w:szCs w:val="20"/>
                <w:color w:val="auto"/>
              </w:rPr>
            </w:pPr>
            <w:r>
              <w:rPr>
                <w:rFonts w:ascii="Arial" w:cs="Arial" w:eastAsia="Arial" w:hAnsi="Arial"/>
                <w:sz w:val="14"/>
                <w:szCs w:val="14"/>
                <w:color w:val="auto"/>
                <w:w w:val="96"/>
              </w:rPr>
              <w:t>Total</w:t>
            </w:r>
          </w:p>
        </w:tc>
        <w:tc>
          <w:tcPr>
            <w:tcW w:w="360" w:type="dxa"/>
            <w:vAlign w:val="bottom"/>
          </w:tcPr>
          <w:p>
            <w:pPr>
              <w:spacing w:after="0"/>
              <w:rPr>
                <w:sz w:val="15"/>
                <w:szCs w:val="15"/>
                <w:color w:val="auto"/>
              </w:rPr>
            </w:pPr>
          </w:p>
        </w:tc>
        <w:tc>
          <w:tcPr>
            <w:tcW w:w="1440" w:type="dxa"/>
            <w:vAlign w:val="bottom"/>
          </w:tcPr>
          <w:p>
            <w:pPr>
              <w:jc w:val="right"/>
              <w:ind w:right="239"/>
              <w:spacing w:after="0"/>
              <w:rPr>
                <w:sz w:val="20"/>
                <w:szCs w:val="20"/>
                <w:color w:val="auto"/>
              </w:rPr>
            </w:pPr>
            <w:r>
              <w:rPr>
                <w:rFonts w:ascii="Arial" w:cs="Arial" w:eastAsia="Arial" w:hAnsi="Arial"/>
                <w:sz w:val="14"/>
                <w:szCs w:val="14"/>
                <w:color w:val="auto"/>
              </w:rPr>
              <w:t>Less than 1 Year</w:t>
            </w:r>
          </w:p>
        </w:tc>
        <w:tc>
          <w:tcPr>
            <w:tcW w:w="520" w:type="dxa"/>
            <w:vAlign w:val="bottom"/>
          </w:tcPr>
          <w:p>
            <w:pPr>
              <w:spacing w:after="0"/>
              <w:rPr>
                <w:sz w:val="15"/>
                <w:szCs w:val="15"/>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color w:val="auto"/>
              </w:rPr>
              <w:t>1 – 3 Years</w:t>
            </w:r>
          </w:p>
        </w:tc>
        <w:tc>
          <w:tcPr>
            <w:tcW w:w="400" w:type="dxa"/>
            <w:vAlign w:val="bottom"/>
          </w:tcPr>
          <w:p>
            <w:pPr>
              <w:spacing w:after="0"/>
              <w:rPr>
                <w:sz w:val="15"/>
                <w:szCs w:val="15"/>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color w:val="auto"/>
              </w:rPr>
              <w:t>4 – 5 Years</w:t>
            </w:r>
          </w:p>
        </w:tc>
        <w:tc>
          <w:tcPr>
            <w:tcW w:w="3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After 5 Years</w:t>
            </w:r>
          </w:p>
        </w:tc>
      </w:tr>
      <w:tr>
        <w:trPr>
          <w:trHeight w:val="216"/>
        </w:trPr>
        <w:tc>
          <w:tcPr>
            <w:tcW w:w="20" w:type="dxa"/>
            <w:vAlign w:val="bottom"/>
          </w:tcPr>
          <w:p>
            <w:pPr>
              <w:spacing w:after="0"/>
              <w:rPr>
                <w:sz w:val="18"/>
                <w:szCs w:val="18"/>
                <w:color w:val="auto"/>
              </w:rPr>
            </w:pPr>
          </w:p>
        </w:tc>
        <w:tc>
          <w:tcPr>
            <w:tcW w:w="2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$137,814</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35,535</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45,916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24,861</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Additionally, the Company has the following commercial commitments and other long-term liabilities: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14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720" w:type="dxa"/>
            <w:vAlign w:val="bottom"/>
            <w:tcBorders>
              <w:top w:val="single" w:sz="8" w:color="auto"/>
              <w:bottom w:val="single" w:sz="8" w:color="auto"/>
            </w:tcBorders>
            <w:gridSpan w:val="6"/>
          </w:tcPr>
          <w:p>
            <w:pPr>
              <w:jc w:val="right"/>
              <w:ind w:right="614"/>
              <w:spacing w:after="0"/>
              <w:rPr>
                <w:sz w:val="20"/>
                <w:szCs w:val="20"/>
                <w:color w:val="auto"/>
              </w:rPr>
            </w:pPr>
            <w:r>
              <w:rPr>
                <w:rFonts w:ascii="Arial" w:cs="Arial" w:eastAsia="Arial" w:hAnsi="Arial"/>
                <w:sz w:val="18"/>
                <w:szCs w:val="18"/>
                <w:color w:val="auto"/>
              </w:rPr>
              <w:t>Amounts of Commitment Expiration Per Period</w:t>
            </w: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3180" w:type="dxa"/>
            <w:vAlign w:val="bottom"/>
            <w:gridSpan w:val="2"/>
          </w:tcPr>
          <w:p>
            <w:pPr>
              <w:spacing w:after="0"/>
              <w:rPr>
                <w:sz w:val="20"/>
                <w:szCs w:val="20"/>
                <w:color w:val="auto"/>
              </w:rPr>
            </w:pPr>
            <w:r>
              <w:rPr>
                <w:rFonts w:ascii="Arial" w:cs="Arial" w:eastAsia="Arial" w:hAnsi="Arial"/>
                <w:sz w:val="14"/>
                <w:szCs w:val="14"/>
                <w:color w:val="auto"/>
              </w:rPr>
              <w:t>Commercial Commitments</w:t>
            </w:r>
          </w:p>
        </w:tc>
        <w:tc>
          <w:tcPr>
            <w:tcW w:w="1460" w:type="dxa"/>
            <w:vAlign w:val="bottom"/>
          </w:tcPr>
          <w:p>
            <w:pPr>
              <w:jc w:val="right"/>
              <w:ind w:right="316"/>
              <w:spacing w:after="0"/>
              <w:rPr>
                <w:sz w:val="20"/>
                <w:szCs w:val="20"/>
                <w:color w:val="auto"/>
              </w:rPr>
            </w:pPr>
            <w:r>
              <w:rPr>
                <w:rFonts w:ascii="Arial" w:cs="Arial" w:eastAsia="Arial" w:hAnsi="Arial"/>
                <w:sz w:val="14"/>
                <w:szCs w:val="14"/>
                <w:color w:val="auto"/>
              </w:rPr>
              <w:t>Total</w:t>
            </w:r>
          </w:p>
        </w:tc>
        <w:tc>
          <w:tcPr>
            <w:tcW w:w="480" w:type="dxa"/>
            <w:vAlign w:val="bottom"/>
          </w:tcPr>
          <w:p>
            <w:pPr>
              <w:spacing w:after="0"/>
              <w:rPr>
                <w:sz w:val="15"/>
                <w:szCs w:val="15"/>
                <w:color w:val="auto"/>
              </w:rPr>
            </w:pPr>
          </w:p>
        </w:tc>
        <w:tc>
          <w:tcPr>
            <w:tcW w:w="1360" w:type="dxa"/>
            <w:vAlign w:val="bottom"/>
          </w:tcPr>
          <w:p>
            <w:pPr>
              <w:jc w:val="right"/>
              <w:ind w:right="133"/>
              <w:spacing w:after="0"/>
              <w:rPr>
                <w:sz w:val="20"/>
                <w:szCs w:val="20"/>
                <w:color w:val="auto"/>
              </w:rPr>
            </w:pPr>
            <w:r>
              <w:rPr>
                <w:rFonts w:ascii="Arial" w:cs="Arial" w:eastAsia="Arial" w:hAnsi="Arial"/>
                <w:sz w:val="14"/>
                <w:szCs w:val="14"/>
                <w:color w:val="auto"/>
              </w:rPr>
              <w:t>Less than 1 Year</w:t>
            </w:r>
          </w:p>
        </w:tc>
        <w:tc>
          <w:tcPr>
            <w:tcW w:w="600" w:type="dxa"/>
            <w:vAlign w:val="bottom"/>
          </w:tcPr>
          <w:p>
            <w:pPr>
              <w:spacing w:after="0"/>
              <w:rPr>
                <w:sz w:val="15"/>
                <w:szCs w:val="15"/>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color w:val="auto"/>
              </w:rPr>
              <w:t>1 – 3 Years</w:t>
            </w:r>
          </w:p>
        </w:tc>
        <w:tc>
          <w:tcPr>
            <w:tcW w:w="280" w:type="dxa"/>
            <w:vAlign w:val="bottom"/>
          </w:tcPr>
          <w:p>
            <w:pPr>
              <w:spacing w:after="0"/>
              <w:rPr>
                <w:sz w:val="15"/>
                <w:szCs w:val="15"/>
                <w:color w:val="auto"/>
              </w:rPr>
            </w:pPr>
          </w:p>
        </w:tc>
        <w:tc>
          <w:tcPr>
            <w:tcW w:w="1340" w:type="dxa"/>
            <w:vAlign w:val="bottom"/>
            <w:gridSpan w:val="2"/>
          </w:tcPr>
          <w:p>
            <w:pPr>
              <w:jc w:val="right"/>
              <w:ind w:right="494"/>
              <w:spacing w:after="0"/>
              <w:rPr>
                <w:sz w:val="20"/>
                <w:szCs w:val="20"/>
                <w:color w:val="auto"/>
              </w:rPr>
            </w:pPr>
            <w:r>
              <w:rPr>
                <w:rFonts w:ascii="Arial" w:cs="Arial" w:eastAsia="Arial" w:hAnsi="Arial"/>
                <w:sz w:val="14"/>
                <w:szCs w:val="14"/>
                <w:color w:val="auto"/>
              </w:rPr>
              <w:t>4 – 5 Years</w:t>
            </w:r>
          </w:p>
        </w:tc>
        <w:tc>
          <w:tcPr>
            <w:tcW w:w="1580" w:type="dxa"/>
            <w:vAlign w:val="bottom"/>
            <w:gridSpan w:val="4"/>
          </w:tcPr>
          <w:p>
            <w:pPr>
              <w:ind w:left="260"/>
              <w:spacing w:after="0"/>
              <w:rPr>
                <w:sz w:val="20"/>
                <w:szCs w:val="20"/>
                <w:color w:val="auto"/>
              </w:rPr>
            </w:pPr>
            <w:r>
              <w:rPr>
                <w:rFonts w:ascii="Arial" w:cs="Arial" w:eastAsia="Arial" w:hAnsi="Arial"/>
                <w:sz w:val="14"/>
                <w:szCs w:val="14"/>
                <w:color w:val="auto"/>
              </w:rPr>
              <w:t>After 5 Years</w:t>
            </w: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4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  84,433</w:t>
            </w:r>
          </w:p>
        </w:tc>
        <w:tc>
          <w:tcPr>
            <w:tcW w:w="4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84,433</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Surety bonds</w:t>
            </w: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58,029</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1,517</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$ 142,462</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1,517</w:t>
            </w: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Payments Due By Period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18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1460" w:type="dxa"/>
            <w:vAlign w:val="bottom"/>
          </w:tcPr>
          <w:p>
            <w:pPr>
              <w:jc w:val="right"/>
              <w:ind w:right="396"/>
              <w:spacing w:after="0"/>
              <w:rPr>
                <w:sz w:val="20"/>
                <w:szCs w:val="20"/>
                <w:color w:val="auto"/>
              </w:rPr>
            </w:pPr>
            <w:r>
              <w:rPr>
                <w:rFonts w:ascii="Arial" w:cs="Arial" w:eastAsia="Arial" w:hAnsi="Arial"/>
                <w:sz w:val="14"/>
                <w:szCs w:val="14"/>
                <w:color w:val="auto"/>
              </w:rPr>
              <w:t>Total</w:t>
            </w: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Less than 1 Year</w:t>
            </w:r>
          </w:p>
        </w:tc>
        <w:tc>
          <w:tcPr>
            <w:tcW w:w="1740" w:type="dxa"/>
            <w:vAlign w:val="bottom"/>
            <w:gridSpan w:val="2"/>
          </w:tcPr>
          <w:p>
            <w:pPr>
              <w:jc w:val="right"/>
              <w:ind w:right="454"/>
              <w:spacing w:after="0"/>
              <w:rPr>
                <w:sz w:val="20"/>
                <w:szCs w:val="20"/>
                <w:color w:val="auto"/>
              </w:rPr>
            </w:pPr>
            <w:r>
              <w:rPr>
                <w:rFonts w:ascii="Arial" w:cs="Arial" w:eastAsia="Arial" w:hAnsi="Arial"/>
                <w:sz w:val="14"/>
                <w:szCs w:val="14"/>
                <w:color w:val="auto"/>
              </w:rPr>
              <w:t>1 – 3 Years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color w:val="auto"/>
              </w:rPr>
              <w:t>4 – 5 Years</w:t>
            </w:r>
          </w:p>
        </w:tc>
        <w:tc>
          <w:tcPr>
            <w:tcW w:w="3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After 5 Years</w:t>
            </w: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Unfunded employee benefit plans</w:t>
            </w:r>
          </w:p>
        </w:tc>
        <w:tc>
          <w:tcPr>
            <w:tcW w:w="14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$36,243</w:t>
            </w:r>
          </w:p>
        </w:tc>
        <w:tc>
          <w:tcPr>
            <w:tcW w:w="48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3,030</w:t>
            </w:r>
          </w:p>
        </w:tc>
        <w:tc>
          <w:tcPr>
            <w:tcW w:w="6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4,417</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4,496</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97"/>
        <w:spacing w:after="0" w:line="239" w:lineRule="auto"/>
        <w:rPr>
          <w:sz w:val="20"/>
          <w:szCs w:val="20"/>
          <w:color w:val="auto"/>
        </w:rPr>
      </w:pPr>
      <w:r>
        <w:rPr>
          <w:rFonts w:ascii="Arial" w:cs="Arial" w:eastAsia="Arial" w:hAnsi="Arial"/>
          <w:sz w:val="18"/>
          <w:szCs w:val="18"/>
          <w:color w:val="auto"/>
        </w:rPr>
        <w:t>The Company uses surety bonds, principally performance and payment bonds, to guarantee performance under various customer contracts in the normal course of business. These bonds typically remain in force for one to five years and may include optional renewal periods. At October 31, 2005, outstanding surety bonds totaled approximately $58.0 million. The Company does not believe these bonds will be required to be drawn upon.</w:t>
      </w:r>
    </w:p>
    <w:p>
      <w:pPr>
        <w:spacing w:after="0" w:line="94" w:lineRule="exact"/>
        <w:rPr>
          <w:sz w:val="20"/>
          <w:szCs w:val="20"/>
          <w:color w:val="auto"/>
        </w:rPr>
      </w:pPr>
    </w:p>
    <w:p>
      <w:pPr>
        <w:ind w:right="40" w:firstLine="297"/>
        <w:spacing w:after="0" w:line="236" w:lineRule="auto"/>
        <w:rPr>
          <w:sz w:val="20"/>
          <w:szCs w:val="20"/>
          <w:color w:val="auto"/>
        </w:rPr>
      </w:pPr>
      <w:r>
        <w:rPr>
          <w:rFonts w:ascii="Arial" w:cs="Arial" w:eastAsia="Arial" w:hAnsi="Arial"/>
          <w:sz w:val="18"/>
          <w:szCs w:val="18"/>
          <w:color w:val="auto"/>
        </w:rPr>
        <w:t>The Company has three unfunded defined benefit plans, an unfunded post-retirement benefit plan and an unfunded deferred compensation plan that are more fully described in Note 6 of the Notes to Consolidated Financial Statements contained in Item 8, “Financial Statements and Supplementary Data”. At October 31, 2005, the liability reflected on the Company’s consolidated balance sheet for these five plans totaled $22.8 million, with the amount expected to be paid over the next 20 years estimated at $36.2 million. With the exception of the deferred compensation plan, the liability for which is reflected on the Company’s consolidated balance sheet at the amount of compensation deferred plus accrued interest, the plan liabilities at that date assume future annual compensation increases of 3.0% (for those plans affected by compensation changes) and have been discounted at 5.75%, a rate based on Moody’s AA-rated long-term corporate bonds (</w:t>
      </w:r>
      <w:r>
        <w:rPr>
          <w:rFonts w:ascii="Arial" w:cs="Arial" w:eastAsia="Arial" w:hAnsi="Arial"/>
          <w:sz w:val="18"/>
          <w:szCs w:val="18"/>
          <w:i w:val="1"/>
          <w:iCs w:val="1"/>
          <w:color w:val="auto"/>
        </w:rPr>
        <w:t>i.e</w:t>
      </w:r>
      <w:r>
        <w:rPr>
          <w:rFonts w:ascii="Arial" w:cs="Arial" w:eastAsia="Arial" w:hAnsi="Arial"/>
          <w:sz w:val="18"/>
          <w:szCs w:val="18"/>
          <w:color w:val="auto"/>
        </w:rPr>
        <w:t>., 20 years). Because the deferred compensation plan liability reflects the actual obligation of the Company and the post-retirement benefit plan and two of the three defined benefit plans have been frozen, variations in assumptions would be unlikely to have a material effect on the Company’s financial condition and operating performance. The Company expects to fund payments required under the five plans from operating cash as payments are due to participants.</w:t>
      </w:r>
    </w:p>
    <w:p>
      <w:pPr>
        <w:spacing w:after="0" w:line="98"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color w:val="auto"/>
        </w:rPr>
        <w:t>Not included in the unfunded employee benefit plans in the table above are union-sponsored multi-employer defined benefit plans under which certain union employees of the Company are covered. These plans are not administered by the Company and contributions are determined in accordance with provisions of negotiated labor contracts. Contributions paid for these plans were $34.4 million, $33.5 million and $27.6 million in 2005, 2004 and 2003, respectively.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w:t>
      </w:r>
    </w:p>
    <w:p>
      <w:pPr>
        <w:spacing w:after="0" w:line="234" w:lineRule="auto"/>
        <w:rPr>
          <w:sz w:val="20"/>
          <w:szCs w:val="20"/>
          <w:color w:val="auto"/>
        </w:rPr>
      </w:pPr>
      <w:r>
        <w:rPr>
          <w:rFonts w:ascii="Arial" w:cs="Arial" w:eastAsia="Arial" w:hAnsi="Arial"/>
          <w:sz w:val="18"/>
          <w:szCs w:val="18"/>
          <w:color w:val="auto"/>
        </w:rPr>
        <w:t>Commercial policies are obtained to provide for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deductibles). For claims incurred after November 1, 2002, substantially all of the self-insured retentions increased from $0.5 million (inclusive of</w:t>
      </w:r>
    </w:p>
    <w:p>
      <w:pPr>
        <w:spacing w:after="0" w:line="235" w:lineRule="auto"/>
        <w:rPr>
          <w:sz w:val="20"/>
          <w:szCs w:val="20"/>
          <w:color w:val="auto"/>
        </w:rPr>
      </w:pPr>
      <w:r>
        <w:rPr>
          <w:rFonts w:ascii="Arial" w:cs="Arial" w:eastAsia="Arial" w:hAnsi="Arial"/>
          <w:sz w:val="18"/>
          <w:szCs w:val="18"/>
          <w:color w:val="auto"/>
        </w:rPr>
        <w:t>legal fees) to $1.0 million (exclusive of legal fees) except for the California workers’ compensation insurance which increased to $2.0 million</w:t>
      </w:r>
    </w:p>
    <w:p>
      <w:pPr>
        <w:spacing w:after="0" w:line="235" w:lineRule="auto"/>
        <w:rPr>
          <w:sz w:val="20"/>
          <w:szCs w:val="20"/>
          <w:color w:val="auto"/>
        </w:rPr>
      </w:pPr>
      <w:r>
        <w:rPr>
          <w:rFonts w:ascii="Arial" w:cs="Arial" w:eastAsia="Arial" w:hAnsi="Arial"/>
          <w:sz w:val="18"/>
          <w:szCs w:val="18"/>
          <w:color w:val="auto"/>
        </w:rPr>
        <w:t>effective April 14, 2003. However, effective April 14, 2005, the deductible for California workers’ compensation insurance decreased from</w:t>
      </w:r>
    </w:p>
    <w:p>
      <w:pPr>
        <w:spacing w:after="0" w:line="235" w:lineRule="auto"/>
        <w:rPr>
          <w:sz w:val="20"/>
          <w:szCs w:val="20"/>
          <w:color w:val="auto"/>
        </w:rPr>
      </w:pPr>
      <w:r>
        <w:rPr>
          <w:rFonts w:ascii="Arial" w:cs="Arial" w:eastAsia="Arial" w:hAnsi="Arial"/>
          <w:sz w:val="18"/>
          <w:szCs w:val="18"/>
          <w:color w:val="auto"/>
        </w:rPr>
        <w:t>$2.0 million to $1.0 million per occurrence, plus an additional $1.0 million annually in the aggregate, due to improvements in general insurance</w:t>
      </w:r>
    </w:p>
    <w:p>
      <w:pPr>
        <w:spacing w:after="0" w:line="235" w:lineRule="auto"/>
        <w:rPr>
          <w:sz w:val="20"/>
          <w:szCs w:val="20"/>
          <w:color w:val="auto"/>
        </w:rPr>
      </w:pPr>
      <w:r>
        <w:rPr>
          <w:rFonts w:ascii="Arial" w:cs="Arial" w:eastAsia="Arial" w:hAnsi="Arial"/>
          <w:sz w:val="18"/>
          <w:szCs w:val="18"/>
          <w:color w:val="auto"/>
        </w:rPr>
        <w:t>market conditions. The estimated liability for claims incurred but unpaid at October 31, 2005 and October 31, 2004 was $198.6 million and</w:t>
      </w:r>
    </w:p>
    <w:p>
      <w:pPr>
        <w:spacing w:after="0" w:line="235" w:lineRule="auto"/>
        <w:rPr>
          <w:sz w:val="20"/>
          <w:szCs w:val="20"/>
          <w:color w:val="auto"/>
        </w:rPr>
      </w:pPr>
      <w:r>
        <w:rPr>
          <w:rFonts w:ascii="Arial" w:cs="Arial" w:eastAsia="Arial" w:hAnsi="Arial"/>
          <w:sz w:val="18"/>
          <w:szCs w:val="18"/>
          <w:color w:val="auto"/>
        </w:rPr>
        <w:t>$187.9 million, respectively. The Company retains an outside actuary to provide an actuarial estimate of its insurance reserves at least</w:t>
      </w:r>
    </w:p>
    <w:p>
      <w:pPr>
        <w:spacing w:after="0"/>
        <w:rPr>
          <w:sz w:val="20"/>
          <w:szCs w:val="20"/>
          <w:color w:val="auto"/>
        </w:rPr>
      </w:pPr>
      <w:r>
        <w:rPr>
          <w:rFonts w:ascii="Arial" w:cs="Arial" w:eastAsia="Arial" w:hAnsi="Arial"/>
          <w:sz w:val="18"/>
          <w:szCs w:val="18"/>
          <w:color w:val="auto"/>
        </w:rPr>
        <w:t>annually.</w:t>
      </w:r>
    </w:p>
    <w:p>
      <w:pPr>
        <w:spacing w:after="0" w:line="104" w:lineRule="exact"/>
        <w:rPr>
          <w:sz w:val="20"/>
          <w:szCs w:val="20"/>
          <w:color w:val="auto"/>
        </w:rPr>
      </w:pPr>
    </w:p>
    <w:p>
      <w:pPr>
        <w:ind w:right="120" w:firstLine="297"/>
        <w:spacing w:after="0"/>
        <w:rPr>
          <w:sz w:val="20"/>
          <w:szCs w:val="20"/>
          <w:color w:val="auto"/>
        </w:rPr>
      </w:pPr>
      <w:r>
        <w:rPr>
          <w:rFonts w:ascii="Arial" w:cs="Arial" w:eastAsia="Arial" w:hAnsi="Arial"/>
          <w:sz w:val="18"/>
          <w:szCs w:val="18"/>
          <w:color w:val="auto"/>
        </w:rPr>
        <w:t>The self-insurance claims paid in 2005, 2004 and 2003 were $55.2 million, $ 60.7 million and $58.9 million, respectively. Claim payments vary based on the frequency and/or severity of claims incurred and timing of the settlements and therefore may have an uneven impact on the Company’s cash balances. The actuarial projection of payments on self-insurance claims to be made in fiscal 2006 is $71.5 million.</w:t>
      </w:r>
    </w:p>
    <w:p>
      <w:pPr>
        <w:spacing w:after="0" w:line="95" w:lineRule="exact"/>
        <w:rPr>
          <w:sz w:val="20"/>
          <w:szCs w:val="20"/>
          <w:color w:val="auto"/>
        </w:rPr>
      </w:pPr>
    </w:p>
    <w:p>
      <w:pPr>
        <w:ind w:right="40" w:firstLine="297"/>
        <w:spacing w:after="0"/>
        <w:rPr>
          <w:sz w:val="20"/>
          <w:szCs w:val="20"/>
          <w:color w:val="auto"/>
        </w:rPr>
      </w:pPr>
      <w:r>
        <w:rPr>
          <w:rFonts w:ascii="Arial" w:cs="Arial" w:eastAsia="Arial" w:hAnsi="Arial"/>
          <w:sz w:val="18"/>
          <w:szCs w:val="18"/>
          <w:color w:val="auto"/>
        </w:rPr>
        <w:t>The Company paid a total of $7.8 million in February 2006 in respect of settlement of litigation and other claims that were pending at October 31, 2005. Because the settlements occurred before the 2005 financial statements were issued, this amount was subsequently accrued for as of October 31, 2005.</w:t>
      </w:r>
    </w:p>
    <w:p>
      <w:pPr>
        <w:spacing w:after="0" w:line="95" w:lineRule="exact"/>
        <w:rPr>
          <w:sz w:val="20"/>
          <w:szCs w:val="20"/>
          <w:color w:val="auto"/>
        </w:rPr>
      </w:pPr>
    </w:p>
    <w:p>
      <w:pPr>
        <w:ind w:right="220" w:firstLine="297"/>
        <w:spacing w:after="0" w:line="239" w:lineRule="auto"/>
        <w:rPr>
          <w:sz w:val="20"/>
          <w:szCs w:val="20"/>
          <w:color w:val="auto"/>
        </w:rPr>
      </w:pPr>
      <w:r>
        <w:rPr>
          <w:rFonts w:ascii="Arial" w:cs="Arial" w:eastAsia="Arial" w:hAnsi="Arial"/>
          <w:sz w:val="18"/>
          <w:szCs w:val="18"/>
          <w:color w:val="auto"/>
        </w:rPr>
        <w:t>The Company has begun the process of installing a Voice over Internet Protocol (“VoIP”) technology that will allow the entire Company to make telephone calls using the Company’s private broadband network instead of a regular (or analog) phone line. The VoIP project is estimated to cost $7.4 million, of which $3.5 million was already spent as of October 31, 2005, and is expected to be completed by April 30, 2006.</w:t>
      </w:r>
    </w:p>
    <w:p>
      <w:pPr>
        <w:spacing w:after="0" w:line="94" w:lineRule="exact"/>
        <w:rPr>
          <w:sz w:val="20"/>
          <w:szCs w:val="20"/>
          <w:color w:val="auto"/>
        </w:rPr>
      </w:pPr>
    </w:p>
    <w:p>
      <w:pPr>
        <w:ind w:right="80" w:firstLine="297"/>
        <w:spacing w:after="0" w:line="246" w:lineRule="auto"/>
        <w:rPr>
          <w:sz w:val="20"/>
          <w:szCs w:val="20"/>
          <w:color w:val="auto"/>
        </w:rPr>
      </w:pPr>
      <w:r>
        <w:rPr>
          <w:rFonts w:ascii="Arial" w:cs="Arial" w:eastAsia="Arial" w:hAnsi="Arial"/>
          <w:sz w:val="18"/>
          <w:szCs w:val="18"/>
          <w:color w:val="auto"/>
        </w:rPr>
        <w:t>The Company has no other significant commitments for capital expenditures and believes that the current cash and cash equivalents, cash generated from operations and the line of credit will be sufficient to meet the Company’s cash requirements for the long term.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126" w:lineRule="exact"/>
        <w:rPr>
          <w:sz w:val="20"/>
          <w:szCs w:val="20"/>
          <w:color w:val="auto"/>
        </w:rPr>
      </w:pPr>
    </w:p>
    <w:p>
      <w:pPr>
        <w:ind w:right="40" w:firstLine="297"/>
        <w:spacing w:after="0" w:line="236"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World Trade Center complex in New York, which was the Company’s largest single job-site at the time of its destruction on September 11, 2001 with annual Sales of approximately $75.0 million. The Company is engaged in protracted litigation with Zurich, its business interruption insurance carrier, to recover its losses of business profits, which is described in Part I, Item 3, Legal Proceedings. Under the policy, coverage for business interruption and other related losses is capped at $127.4 million. ABM believes its losses exceed $100.0 million, of which $10.0 million was paid in 2002 under the contingent business interruption sub-limit. In addition, during 2005, the Company received an indemnity payment from Zurich of $1.5 million, representing the Company’s recovery of certain accounts receivable from customers that cannot be collected due to loss of paperwork in the destruction of World Trade Center, additional claimed business personal property and business income loss. The Company realized a pre-tax gain of $1.2 million on this indemnity payment. In 2002, Zurich had paid the Company $3.8 million for property damage, which substantially settled the property portion of the claim.</w:t>
      </w:r>
    </w:p>
    <w:p>
      <w:pPr>
        <w:spacing w:after="0" w:line="98" w:lineRule="exact"/>
        <w:rPr>
          <w:sz w:val="20"/>
          <w:szCs w:val="20"/>
          <w:color w:val="auto"/>
        </w:rPr>
      </w:pPr>
    </w:p>
    <w:p>
      <w:pPr>
        <w:ind w:right="280" w:firstLine="300"/>
        <w:spacing w:after="0" w:line="238" w:lineRule="auto"/>
        <w:rPr>
          <w:sz w:val="20"/>
          <w:szCs w:val="20"/>
          <w:color w:val="auto"/>
        </w:rPr>
      </w:pPr>
      <w:r>
        <w:rPr>
          <w:rFonts w:ascii="Arial" w:cs="Arial" w:eastAsia="Arial" w:hAnsi="Arial"/>
          <w:sz w:val="18"/>
          <w:szCs w:val="18"/>
          <w:color w:val="auto"/>
        </w:rPr>
        <w:t>Under Emerging Issues Task Force (“EITF”) Issue No. 01-10, “Accounting for the Impact of the Terrorist Attacks of September 11, 2001,” the Company has not recognized future amounts it expects to recover from its business interruption insurance as income. Any gain from insurance proceeds is considered a contingent gain and, under Statement of Financial Accounting Standard (“SFAS”) No. 5, “Accounting for Contingencies,” can only be recognized as income in the period when any and all contingencies for that portion of the insurance claim have been resolved.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ind w:right="100" w:firstLine="297"/>
        <w:spacing w:after="0" w:line="246"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 In addition, from time to time the Company is involved in environmental issues at certain of its locations or in connection with its operations. While it is difficult to predict the ultimate outcome of any of these matters, based on information currently available, management believes that none of these matters, individually or in the aggregate, are reasonably likely to have a material adverse effect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right="20" w:firstLine="297"/>
        <w:spacing w:after="0" w:line="236" w:lineRule="auto"/>
        <w:rPr>
          <w:sz w:val="20"/>
          <w:szCs w:val="20"/>
          <w:color w:val="auto"/>
        </w:rPr>
      </w:pPr>
      <w:r>
        <w:rPr>
          <w:rFonts w:ascii="Arial" w:cs="Arial" w:eastAsia="Arial" w:hAnsi="Arial"/>
          <w:sz w:val="18"/>
          <w:szCs w:val="18"/>
          <w:color w:val="auto"/>
        </w:rPr>
        <w:t>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 explicitly stated and, as a result, the maximum potential amount of future payments the Company could be required to make under these arrangements is not determinable.</w:t>
      </w:r>
    </w:p>
    <w:p>
      <w:pPr>
        <w:spacing w:after="0" w:line="100" w:lineRule="exact"/>
        <w:rPr>
          <w:sz w:val="20"/>
          <w:szCs w:val="20"/>
          <w:color w:val="auto"/>
        </w:rPr>
      </w:pPr>
    </w:p>
    <w:p>
      <w:pPr>
        <w:ind w:right="60" w:firstLine="290"/>
        <w:spacing w:after="0" w:line="237"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has a deductible of up to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6" w:lineRule="exact"/>
        <w:rPr>
          <w:sz w:val="20"/>
          <w:szCs w:val="20"/>
          <w:color w:val="auto"/>
        </w:rPr>
      </w:pPr>
    </w:p>
    <w:p>
      <w:pPr>
        <w:ind w:right="680" w:firstLine="297"/>
        <w:spacing w:after="0" w:line="246" w:lineRule="auto"/>
        <w:rPr>
          <w:sz w:val="20"/>
          <w:szCs w:val="20"/>
          <w:color w:val="auto"/>
        </w:rPr>
      </w:pPr>
      <w:r>
        <w:rPr>
          <w:rFonts w:ascii="Arial" w:cs="Arial" w:eastAsia="Arial" w:hAnsi="Arial"/>
          <w:sz w:val="18"/>
          <w:szCs w:val="18"/>
          <w:color w:val="auto"/>
        </w:rPr>
        <w:t>The low rates of inflation experienced in recent years have had no material impact on the financial statements of the Company. The Company attempts to recover increased costs by increasing sales prices to the extent permitted by contracts and 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2005 Hurricanes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impact of the 2005 hurricanes on the Company’s sales and operating profits was not significant. The segments most affected were</w:t>
      </w:r>
    </w:p>
    <w:p>
      <w:pPr>
        <w:spacing w:after="0" w:line="234" w:lineRule="auto"/>
        <w:rPr>
          <w:sz w:val="20"/>
          <w:szCs w:val="20"/>
          <w:color w:val="auto"/>
        </w:rPr>
      </w:pPr>
      <w:r>
        <w:rPr>
          <w:rFonts w:ascii="Arial" w:cs="Arial" w:eastAsia="Arial" w:hAnsi="Arial"/>
          <w:sz w:val="18"/>
          <w:szCs w:val="18"/>
          <w:color w:val="auto"/>
        </w:rPr>
        <w:t>Lighting, Parking and Janitorial. Lighting and Parking experienced a reduction in operating profit totaling $0.3 million, but this was offset by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$0.3 million increase in Janitorial’s operating profit from assisting in the clean-up efforts. The Company’s rented office facilities and supplies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equipment at certain customer locations sustained flood damage. The Company’s property damage and business interruption coverage</w:t>
      </w:r>
    </w:p>
    <w:p>
      <w:pPr>
        <w:spacing w:after="0" w:line="234" w:lineRule="auto"/>
        <w:rPr>
          <w:sz w:val="20"/>
          <w:szCs w:val="20"/>
          <w:color w:val="auto"/>
        </w:rPr>
      </w:pPr>
      <w:r>
        <w:rPr>
          <w:rFonts w:ascii="Arial" w:cs="Arial" w:eastAsia="Arial" w:hAnsi="Arial"/>
          <w:sz w:val="18"/>
          <w:szCs w:val="18"/>
          <w:color w:val="auto"/>
        </w:rPr>
        <w:t>provides for a deductible of the greater of $0.5 million or 2% of losses. The accounts receivable associated with customers located in New</w:t>
      </w:r>
    </w:p>
    <w:p>
      <w:pPr>
        <w:spacing w:after="0" w:line="235" w:lineRule="auto"/>
        <w:rPr>
          <w:sz w:val="20"/>
          <w:szCs w:val="20"/>
          <w:color w:val="auto"/>
        </w:rPr>
      </w:pPr>
      <w:r>
        <w:rPr>
          <w:rFonts w:ascii="Arial" w:cs="Arial" w:eastAsia="Arial" w:hAnsi="Arial"/>
          <w:sz w:val="18"/>
          <w:szCs w:val="18"/>
          <w:color w:val="auto"/>
        </w:rPr>
        <w:t>Orleans totaled $4.4 million as of October 31, 2005, which the Company expects to substantially collect. The Company expects to continue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providing site clean-up services in new construction associated with the return of business and residents to the New Orleans area.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6" w:lineRule="exact"/>
        <w:rPr>
          <w:sz w:val="20"/>
          <w:szCs w:val="20"/>
          <w:color w:val="auto"/>
        </w:rPr>
      </w:pPr>
    </w:p>
    <w:p>
      <w:pPr>
        <w:ind w:right="100" w:firstLine="297"/>
        <w:spacing w:after="0" w:line="239" w:lineRule="auto"/>
        <w:rPr>
          <w:sz w:val="20"/>
          <w:szCs w:val="20"/>
          <w:color w:val="auto"/>
        </w:rPr>
      </w:pPr>
      <w:r>
        <w:rPr>
          <w:rFonts w:ascii="Arial" w:cs="Arial" w:eastAsia="Arial" w:hAnsi="Arial"/>
          <w:sz w:val="18"/>
          <w:szCs w:val="18"/>
          <w:color w:val="auto"/>
        </w:rPr>
        <w:t>The operating results of businesses acquired during the periods presented have been included in the accompanying consolidated financial statements from their respective dates of acquisition. Acquisitions made during the three years ended October 31, 2005 are discussed in Note 11 of the Notes to Consolidated Financial Statements contained in Item 8, “Financial Statements and Supplementary Data,” and contributed approximately $310.6 million (12.0%) to 2005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Results from Discontinued Operations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June 2, 2005, the Company sold substantially all of the operating assets of CommAir Mechanical</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Services, which represented the Company’s Mechanical segment, to Carrier. The operating assets sold included customer contracts, accounts receivable, inventories, facility leases and other assets, as well as rights to the name “CommAir Mechanical Services.” The consideration paid was $32.0 million in cash, subject to certain adjustments, and Carrier’s assumption of trade payables and accrued liabilities. The Company realized a pre-tax gain of $21.4 million ($13.1 million after tax) on the sale of these assets in 2005.</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July 31, 2005, the Company sold the remaining operating assets of Mechanical, consisting of its water treatment business, to</w:t>
      </w:r>
    </w:p>
    <w:p>
      <w:pPr>
        <w:jc w:val="both"/>
        <w:ind w:right="20"/>
        <w:spacing w:after="0"/>
        <w:rPr>
          <w:sz w:val="20"/>
          <w:szCs w:val="20"/>
          <w:color w:val="auto"/>
        </w:rPr>
      </w:pPr>
      <w:r>
        <w:rPr>
          <w:rFonts w:ascii="Arial" w:cs="Arial" w:eastAsia="Arial" w:hAnsi="Arial"/>
          <w:sz w:val="18"/>
          <w:szCs w:val="18"/>
          <w:color w:val="auto"/>
        </w:rPr>
        <w:t>San Joaquin Chemicals, Incorporated for $0.5 million, of which $0.25 million was in the form of a note and $0.25 million in cash. The operating assets sold included customer contracts and inventories. The Company realized a pre-tax gain of $0.3 million ($0.2 million after tax) on the sale of these assets in 2005.</w:t>
      </w:r>
    </w:p>
    <w:p>
      <w:pPr>
        <w:spacing w:after="0" w:line="95" w:lineRule="exact"/>
        <w:rPr>
          <w:sz w:val="20"/>
          <w:szCs w:val="20"/>
          <w:color w:val="auto"/>
        </w:rPr>
      </w:pPr>
    </w:p>
    <w:p>
      <w:pPr>
        <w:ind w:right="20" w:firstLine="300"/>
        <w:spacing w:after="0" w:line="236" w:lineRule="auto"/>
        <w:rPr>
          <w:sz w:val="20"/>
          <w:szCs w:val="20"/>
          <w:color w:val="auto"/>
        </w:rPr>
      </w:pPr>
      <w:r>
        <w:rPr>
          <w:rFonts w:ascii="Arial" w:cs="Arial" w:eastAsia="Arial" w:hAnsi="Arial"/>
          <w:sz w:val="18"/>
          <w:szCs w:val="18"/>
          <w:color w:val="auto"/>
        </w:rPr>
        <w:t>On August 15, 2003, the Company sold substantially all of the operating assets of Amtech Elevator Services, Inc. to Otis Elevator Company (“Otis Elevator”). The operating assets sold included customer contracts, accounts receivable, facility leases and other assets, as well as a perpetual license to the name “Amtech Elevator Services.” The consideration in connection with the sale included $ 112.4 million in cash and Otis Elevator’s assumption of trade payables and accrued liabilities. In fiscal 2003, the Company realized a gain on the sale of $52.7 million, which was net of $32.7 million of income taxes, of which $ 30.5 million was paid with the extension of the federal and state income tax returns on January 15, 2004. This payment has been reported as discontinued operations in the accompanying consolidated statements of cash flows. Income taxes on the gain on sale of discontinued operations for 2005 included a $0.9 million benefit from the correction of the overstatement of income taxes provided for the Elevator gain. The overstatement was related to the incorrect treatment of goodwill associated with assets acquired by Elevator in 1985.</w:t>
      </w:r>
    </w:p>
    <w:p>
      <w:pPr>
        <w:spacing w:after="0" w:line="99" w:lineRule="exact"/>
        <w:rPr>
          <w:sz w:val="20"/>
          <w:szCs w:val="20"/>
          <w:color w:val="auto"/>
        </w:rPr>
      </w:pPr>
    </w:p>
    <w:p>
      <w:pPr>
        <w:ind w:right="240" w:firstLine="30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operations in 2005.</w:t>
      </w:r>
    </w:p>
    <w:p>
      <w:pPr>
        <w:spacing w:after="0" w:line="95" w:lineRule="exact"/>
        <w:rPr>
          <w:sz w:val="20"/>
          <w:szCs w:val="20"/>
          <w:color w:val="auto"/>
        </w:rPr>
      </w:pPr>
    </w:p>
    <w:p>
      <w:pPr>
        <w:ind w:right="100" w:firstLine="297"/>
        <w:spacing w:after="0" w:line="239" w:lineRule="auto"/>
        <w:rPr>
          <w:sz w:val="20"/>
          <w:szCs w:val="20"/>
          <w:color w:val="auto"/>
        </w:rPr>
      </w:pPr>
      <w:r>
        <w:rPr>
          <w:rFonts w:ascii="Arial" w:cs="Arial" w:eastAsia="Arial" w:hAnsi="Arial"/>
          <w:sz w:val="18"/>
          <w:szCs w:val="18"/>
          <w:color w:val="auto"/>
        </w:rPr>
        <w:t>The operating results of Mechanical and Elevator for 2005, 2004 and 2003 are shown below. Operating results for 2005 for the portion of Mechanical’s business sold to Carrier are for the period beginning November 1, 2004 through the date of sale, June 2, 2005. Operating results for 2005 for Mechanical’s water treatment business are for the period beginning November 1, 2004 through the date of sale, July 31, 2005. Operating results for 2003 for Elevator are for the period beginning November 1, 2002 through the dale of sale, August 15, 2003.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color w:val="auto"/>
              </w:rPr>
              <w:t>2004</w:t>
            </w:r>
          </w:p>
        </w:tc>
        <w:tc>
          <w:tcPr>
            <w:tcW w:w="3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7"/>
                <w:szCs w:val="17"/>
                <w:color w:val="auto"/>
              </w:rPr>
            </w:pPr>
          </w:p>
        </w:tc>
      </w:tr>
      <w:tr>
        <w:trPr>
          <w:trHeight w:val="20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24,811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41,074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128,256</w:t>
            </w:r>
          </w:p>
        </w:tc>
        <w:tc>
          <w:tcPr>
            <w:tcW w:w="100" w:type="dxa"/>
            <w:vAlign w:val="bottom"/>
            <w:tcBorders>
              <w:bottom w:val="single" w:sz="8" w:color="auto"/>
            </w:tcBorders>
            <w:shd w:val="clear" w:color="auto" w:fill="CCEEFF"/>
          </w:tcPr>
          <w:p>
            <w:pPr>
              <w:spacing w:after="0"/>
              <w:rPr>
                <w:sz w:val="17"/>
                <w:szCs w:val="17"/>
                <w:color w:val="auto"/>
              </w:rPr>
            </w:pP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273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1,366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5,833</w:t>
            </w:r>
          </w:p>
        </w:tc>
      </w:tr>
      <w:tr>
        <w:trPr>
          <w:trHeight w:val="20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2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107</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537</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2,247</w:t>
            </w:r>
          </w:p>
        </w:tc>
      </w:tr>
      <w:tr>
        <w:trPr>
          <w:trHeight w:val="210"/>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166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829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3,586</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6" w:lineRule="exact"/>
        <w:rPr>
          <w:sz w:val="20"/>
          <w:szCs w:val="20"/>
          <w:color w:val="auto"/>
        </w:rPr>
      </w:pPr>
    </w:p>
    <w:p>
      <w:pPr>
        <w:ind w:right="80" w:firstLine="290"/>
        <w:spacing w:after="0" w:line="236" w:lineRule="auto"/>
        <w:rPr>
          <w:sz w:val="20"/>
          <w:szCs w:val="20"/>
          <w:color w:val="auto"/>
        </w:rPr>
      </w:pPr>
      <w:r>
        <w:rPr>
          <w:rFonts w:ascii="Arial" w:cs="Arial" w:eastAsia="Arial" w:hAnsi="Arial"/>
          <w:sz w:val="18"/>
          <w:szCs w:val="18"/>
          <w:color w:val="auto"/>
        </w:rPr>
        <w:t>As part of the preparation of the Company’s 2005 financial statements, errors were identified that resulted in a material understatement of cost of goods sold, selling, general and administrative expenses, and accrued compensation and a material overstatement of cash and cash equivalents associated with the operations acquired in 2004 from SSA LLC in the Security segment, and in the accounting for a subcontracting arrangement with SSA LLC (which ended June 30, 2005). These errors required the Company to restate its financial statements for the first three quarters of 2005. See Note 18 of the Notes to Consolidated Financial Statements contained in Item 8, “Financial Statements and Supplementary Data.” (The Company has not amended its previously filed Quarterly Reports on Form 10-Q for these quarters). Correcting these errors reduced the Company’s income from continuing operations before income taxes and the operating profits of the Security segment by $ 4.0 million in the quarter ended January 31, 2005, $2.1 million in the quarter ended April 30, 2005 and $1.8 million in the quarter ended July 31, 2005. Of the $4.0 million reduction of the Company’s income from continuing operations before income taxes in the quarter ended January 31, 2005, $2.0 million was a correction of an error attributable to a $ 2.8 million charge to selling, general and administrative expenses for a reserve provided for the amount the Company believes it overpaid SSA LLC in 2004 in connection with the subcontracting arrangement 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SSA LLC and a $0.3 million charge to cost of goods sold to correct the understatement of payroll and payroll related expenses in 2004, partially offset by $1.1 million of benefit recorded in cost of goods sold from correcting the overstatement of insurance expense in 2004. The procedures undertaken by the Company to identify and correct these errors revealed control deficiencies that management concluded constituted material weaknesses in the Company’s internal control over financial reporting. See Part II, Item 9A,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COMPARISON OF 2005 TO 2004 — CONTINUING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Years Ended October 31,</w:t>
            </w:r>
          </w:p>
        </w:tc>
        <w:tc>
          <w:tcPr>
            <w:tcW w:w="14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437"/>
              <w:spacing w:after="0"/>
              <w:rPr>
                <w:sz w:val="20"/>
                <w:szCs w:val="20"/>
                <w:color w:val="auto"/>
              </w:rPr>
            </w:pPr>
            <w:r>
              <w:rPr>
                <w:rFonts w:ascii="Arial" w:cs="Arial" w:eastAsia="Arial" w:hAnsi="Arial"/>
                <w:sz w:val="13"/>
                <w:szCs w:val="13"/>
                <w:b w:val="1"/>
                <w:bCs w:val="1"/>
                <w:color w:val="auto"/>
              </w:rPr>
              <w:t>2005</w:t>
            </w:r>
          </w:p>
        </w:tc>
        <w:tc>
          <w:tcPr>
            <w:tcW w:w="920" w:type="dxa"/>
            <w:vAlign w:val="bottom"/>
            <w:tcBorders>
              <w:top w:val="single" w:sz="8" w:color="auto"/>
            </w:tcBorders>
          </w:tcPr>
          <w:p>
            <w:pPr>
              <w:jc w:val="right"/>
              <w:ind w:right="317"/>
              <w:spacing w:after="0"/>
              <w:rPr>
                <w:sz w:val="20"/>
                <w:szCs w:val="20"/>
                <w:color w:val="auto"/>
              </w:rPr>
            </w:pPr>
            <w:r>
              <w:rPr>
                <w:rFonts w:ascii="Arial" w:cs="Arial" w:eastAsia="Arial" w:hAnsi="Arial"/>
                <w:sz w:val="13"/>
                <w:szCs w:val="13"/>
                <w:color w:val="auto"/>
              </w:rPr>
              <w:t>% of</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77"/>
              <w:spacing w:after="0"/>
              <w:rPr>
                <w:sz w:val="20"/>
                <w:szCs w:val="20"/>
                <w:color w:val="auto"/>
              </w:rPr>
            </w:pPr>
            <w:r>
              <w:rPr>
                <w:rFonts w:ascii="Arial" w:cs="Arial" w:eastAsia="Arial" w:hAnsi="Arial"/>
                <w:sz w:val="13"/>
                <w:szCs w:val="13"/>
                <w:color w:val="auto"/>
              </w:rPr>
              <w:t>% of</w:t>
            </w:r>
          </w:p>
        </w:tc>
        <w:tc>
          <w:tcPr>
            <w:tcW w:w="102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rPr>
              <w:t>Increase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spacing w:after="0" w:line="141" w:lineRule="exact"/>
              <w:rPr>
                <w:sz w:val="20"/>
                <w:szCs w:val="20"/>
                <w:color w:val="auto"/>
              </w:rPr>
            </w:pPr>
            <w:r>
              <w:rPr>
                <w:rFonts w:ascii="Arial" w:cs="Arial" w:eastAsia="Arial" w:hAnsi="Arial"/>
                <w:sz w:val="13"/>
                <w:szCs w:val="13"/>
                <w:color w:val="auto"/>
              </w:rPr>
              <w:t>($ in thousands)</w:t>
            </w:r>
          </w:p>
        </w:tc>
        <w:tc>
          <w:tcPr>
            <w:tcW w:w="14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jc w:val="right"/>
              <w:ind w:right="277"/>
              <w:spacing w:after="0" w:line="141" w:lineRule="exact"/>
              <w:rPr>
                <w:sz w:val="20"/>
                <w:szCs w:val="20"/>
                <w:color w:val="auto"/>
              </w:rPr>
            </w:pPr>
            <w:r>
              <w:rPr>
                <w:rFonts w:ascii="Arial" w:cs="Arial" w:eastAsia="Arial" w:hAnsi="Arial"/>
                <w:sz w:val="13"/>
                <w:szCs w:val="13"/>
                <w:color w:val="auto"/>
              </w:rPr>
              <w:t>Sales</w:t>
            </w:r>
          </w:p>
        </w:tc>
        <w:tc>
          <w:tcPr>
            <w:tcW w:w="320" w:type="dxa"/>
            <w:vAlign w:val="bottom"/>
          </w:tcPr>
          <w:p>
            <w:pPr>
              <w:spacing w:after="0"/>
              <w:rPr>
                <w:sz w:val="12"/>
                <w:szCs w:val="12"/>
                <w:color w:val="auto"/>
              </w:rPr>
            </w:pPr>
          </w:p>
        </w:tc>
        <w:tc>
          <w:tcPr>
            <w:tcW w:w="880" w:type="dxa"/>
            <w:vAlign w:val="bottom"/>
          </w:tcPr>
          <w:p>
            <w:pPr>
              <w:jc w:val="right"/>
              <w:ind w:right="437"/>
              <w:spacing w:after="0" w:line="141" w:lineRule="exact"/>
              <w:rPr>
                <w:sz w:val="20"/>
                <w:szCs w:val="20"/>
                <w:color w:val="auto"/>
              </w:rPr>
            </w:pPr>
            <w:r>
              <w:rPr>
                <w:rFonts w:ascii="Arial" w:cs="Arial" w:eastAsia="Arial" w:hAnsi="Arial"/>
                <w:sz w:val="13"/>
                <w:szCs w:val="13"/>
                <w:color w:val="auto"/>
              </w:rPr>
              <w:t>2004</w:t>
            </w:r>
          </w:p>
        </w:tc>
        <w:tc>
          <w:tcPr>
            <w:tcW w:w="980" w:type="dxa"/>
            <w:vAlign w:val="bottom"/>
          </w:tcPr>
          <w:p>
            <w:pPr>
              <w:jc w:val="right"/>
              <w:ind w:right="337"/>
              <w:spacing w:after="0" w:line="141" w:lineRule="exact"/>
              <w:rPr>
                <w:sz w:val="20"/>
                <w:szCs w:val="20"/>
                <w:color w:val="auto"/>
              </w:rPr>
            </w:pPr>
            <w:r>
              <w:rPr>
                <w:rFonts w:ascii="Arial" w:cs="Arial" w:eastAsia="Arial" w:hAnsi="Arial"/>
                <w:sz w:val="13"/>
                <w:szCs w:val="13"/>
                <w:color w:val="auto"/>
              </w:rPr>
              <w:t>Sales</w:t>
            </w:r>
          </w:p>
        </w:tc>
        <w:tc>
          <w:tcPr>
            <w:tcW w:w="11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(Decrease)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Revenues</w:t>
            </w:r>
          </w:p>
        </w:tc>
        <w:tc>
          <w:tcPr>
            <w:tcW w:w="14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Sales and other income</w:t>
            </w:r>
          </w:p>
        </w:tc>
        <w:tc>
          <w:tcPr>
            <w:tcW w:w="14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2,586,566</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3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2,375,149</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100.0%</w:t>
            </w: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Borders>
              <w:bottom w:val="single" w:sz="8" w:color="auto"/>
            </w:tcBorders>
            <w:shd w:val="clear" w:color="auto" w:fill="CCEEFF"/>
          </w:tcPr>
          <w:p>
            <w:pPr>
              <w:ind w:left="320"/>
              <w:spacing w:after="0" w:line="135" w:lineRule="exact"/>
              <w:rPr>
                <w:sz w:val="20"/>
                <w:szCs w:val="20"/>
                <w:color w:val="auto"/>
              </w:rPr>
            </w:pPr>
            <w:r>
              <w:rPr>
                <w:rFonts w:ascii="Arial" w:cs="Arial" w:eastAsia="Arial" w:hAnsi="Arial"/>
                <w:sz w:val="13"/>
                <w:szCs w:val="13"/>
                <w:color w:val="auto"/>
              </w:rPr>
              <w:t>Gain on insurance claim</w:t>
            </w:r>
          </w:p>
        </w:tc>
        <w:tc>
          <w:tcPr>
            <w:tcW w:w="14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1,195</w:t>
            </w:r>
          </w:p>
        </w:tc>
        <w:tc>
          <w:tcPr>
            <w:tcW w:w="92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b w:val="1"/>
                <w:bCs w:val="1"/>
                <w:color w:val="auto"/>
              </w:rPr>
              <w:t>2,587,761</w:t>
            </w:r>
          </w:p>
        </w:tc>
        <w:tc>
          <w:tcPr>
            <w:tcW w:w="920" w:type="dxa"/>
            <w:vAlign w:val="bottom"/>
            <w:tcBorders>
              <w:bottom w:val="single" w:sz="8" w:color="auto"/>
            </w:tcBorders>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2,375,149</w:t>
            </w:r>
          </w:p>
        </w:tc>
        <w:tc>
          <w:tcPr>
            <w:tcW w:w="98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Expenses</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Operating expenses and cost of goods sold</w:t>
            </w:r>
          </w:p>
        </w:tc>
        <w:tc>
          <w:tcPr>
            <w:tcW w:w="148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2,312,687</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89.4%</w:t>
            </w:r>
          </w:p>
        </w:tc>
        <w:tc>
          <w:tcPr>
            <w:tcW w:w="32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2,157,637</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90.8%</w:t>
            </w: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Selling, general and administrative</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204,131</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7.9%</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166,981</w:t>
            </w:r>
          </w:p>
        </w:tc>
        <w:tc>
          <w:tcPr>
            <w:tcW w:w="9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7.0%</w:t>
            </w:r>
          </w:p>
        </w:tc>
        <w:tc>
          <w:tcPr>
            <w:tcW w:w="1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Interest</w:t>
            </w:r>
          </w:p>
        </w:tc>
        <w:tc>
          <w:tcPr>
            <w:tcW w:w="148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884</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0.0%</w:t>
            </w:r>
          </w:p>
        </w:tc>
        <w:tc>
          <w:tcPr>
            <w:tcW w:w="32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1,016</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0.0%</w:t>
            </w:r>
          </w:p>
        </w:tc>
        <w:tc>
          <w:tcPr>
            <w:tcW w:w="1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Borders>
              <w:bottom w:val="single" w:sz="8" w:color="auto"/>
            </w:tcBorders>
            <w:shd w:val="clear" w:color="auto" w:fill="CCEEFF"/>
          </w:tcPr>
          <w:p>
            <w:pPr>
              <w:ind w:left="320"/>
              <w:spacing w:after="0" w:line="135" w:lineRule="exact"/>
              <w:rPr>
                <w:sz w:val="20"/>
                <w:szCs w:val="20"/>
                <w:color w:val="auto"/>
              </w:rPr>
            </w:pPr>
            <w:r>
              <w:rPr>
                <w:rFonts w:ascii="Arial" w:cs="Arial" w:eastAsia="Arial" w:hAnsi="Arial"/>
                <w:sz w:val="13"/>
                <w:szCs w:val="13"/>
                <w:color w:val="auto"/>
              </w:rPr>
              <w:t>Intangible amortization</w:t>
            </w:r>
          </w:p>
        </w:tc>
        <w:tc>
          <w:tcPr>
            <w:tcW w:w="14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5,673</w:t>
            </w:r>
          </w:p>
        </w:tc>
        <w:tc>
          <w:tcPr>
            <w:tcW w:w="92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0.2%</w:t>
            </w:r>
          </w:p>
        </w:tc>
        <w:tc>
          <w:tcPr>
            <w:tcW w:w="3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4,519</w:t>
            </w:r>
          </w:p>
        </w:tc>
        <w:tc>
          <w:tcPr>
            <w:tcW w:w="9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0.2%</w:t>
            </w:r>
          </w:p>
        </w:tc>
        <w:tc>
          <w:tcPr>
            <w:tcW w:w="118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b w:val="1"/>
                <w:bCs w:val="1"/>
                <w:color w:val="auto"/>
              </w:rPr>
              <w:t>2,523,375</w:t>
            </w:r>
          </w:p>
        </w:tc>
        <w:tc>
          <w:tcPr>
            <w:tcW w:w="92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color w:val="auto"/>
              </w:rPr>
              <w:t>97.6%</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2,330,153</w:t>
            </w:r>
          </w:p>
        </w:tc>
        <w:tc>
          <w:tcPr>
            <w:tcW w:w="9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98.1%</w:t>
            </w:r>
          </w:p>
        </w:tc>
        <w:tc>
          <w:tcPr>
            <w:tcW w:w="1180" w:type="dxa"/>
            <w:vAlign w:val="bottom"/>
            <w:tcBorders>
              <w:bottom w:val="single" w:sz="8" w:color="auto"/>
            </w:tcBorders>
            <w:gridSpan w:val="2"/>
          </w:tcPr>
          <w:p>
            <w:pPr>
              <w:jc w:val="right"/>
              <w:ind w:right="40"/>
              <w:spacing w:after="0" w:line="143"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Income from continuing operations before income taxes</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64,386</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2.5%</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44,996</w:t>
            </w:r>
          </w:p>
        </w:tc>
        <w:tc>
          <w:tcPr>
            <w:tcW w:w="9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1.9%</w:t>
            </w:r>
          </w:p>
        </w:tc>
        <w:tc>
          <w:tcPr>
            <w:tcW w:w="1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auto"/>
            </w:tcBorders>
          </w:tcPr>
          <w:p>
            <w:pPr>
              <w:ind w:left="320"/>
              <w:spacing w:after="0" w:line="135" w:lineRule="exact"/>
              <w:rPr>
                <w:sz w:val="20"/>
                <w:szCs w:val="20"/>
                <w:color w:val="auto"/>
              </w:rPr>
            </w:pPr>
            <w:r>
              <w:rPr>
                <w:rFonts w:ascii="Arial" w:cs="Arial" w:eastAsia="Arial" w:hAnsi="Arial"/>
                <w:sz w:val="13"/>
                <w:szCs w:val="13"/>
                <w:color w:val="auto"/>
              </w:rPr>
              <w:t>Income taxes</w:t>
            </w:r>
          </w:p>
        </w:tc>
        <w:tc>
          <w:tcPr>
            <w:tcW w:w="1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b w:val="1"/>
                <w:bCs w:val="1"/>
                <w:color w:val="auto"/>
              </w:rPr>
              <w:t>20,832</w:t>
            </w:r>
          </w:p>
        </w:tc>
        <w:tc>
          <w:tcPr>
            <w:tcW w:w="9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0.8%</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color w:val="auto"/>
              </w:rPr>
              <w:t>15,352</w:t>
            </w:r>
          </w:p>
        </w:tc>
        <w:tc>
          <w:tcPr>
            <w:tcW w:w="9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color w:val="auto"/>
              </w:rPr>
              <w:t>0.6%</w:t>
            </w:r>
          </w:p>
        </w:tc>
        <w:tc>
          <w:tcPr>
            <w:tcW w:w="118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148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43,554</w:t>
            </w:r>
          </w:p>
        </w:tc>
        <w:tc>
          <w:tcPr>
            <w:tcW w:w="92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1.7%</w:t>
            </w:r>
          </w:p>
        </w:tc>
        <w:tc>
          <w:tcPr>
            <w:tcW w:w="32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29,644</w:t>
            </w:r>
          </w:p>
        </w:tc>
        <w:tc>
          <w:tcPr>
            <w:tcW w:w="9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1.2%</w:t>
            </w:r>
          </w:p>
        </w:tc>
        <w:tc>
          <w:tcPr>
            <w:tcW w:w="118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2005 increased 46.9% to $43.6 million ($0.86 per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from $29.6 million ($0.59 per diluted share) in 2004 primarily due to 2005 including an $8.2 million ($5.0 million after-tax, $0.10 per diluted share) benefit from the reduction of the Company’s self-insurance reserves and 2004 including a $17.2 million ($10.4 million after-tax, $0.21 per diluted share) increase in self-insurance reserves as described below. All operating segments, except Security, showed improvement in operating income. Additionally, income from continuing operations in 2005 included a $4.3 million pre-tax gain on sale of a leasehold interest of an off-airport parking facility by Parking, $ 2.7 million of income tax benefit resulting from a state tax audit settlement and $ 1.2 million gain on the World Trade Center indemnity payment. These positive developments were partially offset by a $13.0 million increase in litigation losses and $11.6 million of higher professional fees related to compliance with the Sarbanes-Oxley internal controls certification requirement. In addition, there was one more workday in 2005 compared to 2004.</w:t>
      </w:r>
    </w:p>
    <w:p>
      <w:pPr>
        <w:spacing w:after="0" w:line="98" w:lineRule="exact"/>
        <w:rPr>
          <w:sz w:val="20"/>
          <w:szCs w:val="20"/>
          <w:color w:val="auto"/>
        </w:rPr>
      </w:pPr>
    </w:p>
    <w:p>
      <w:pPr>
        <w:ind w:right="40" w:firstLine="297"/>
        <w:spacing w:after="0" w:line="236" w:lineRule="auto"/>
        <w:rPr>
          <w:sz w:val="20"/>
          <w:szCs w:val="20"/>
          <w:color w:val="auto"/>
        </w:rPr>
      </w:pPr>
      <w:r>
        <w:rPr>
          <w:rFonts w:ascii="Arial" w:cs="Arial" w:eastAsia="Arial" w:hAnsi="Arial"/>
          <w:sz w:val="18"/>
          <w:szCs w:val="18"/>
          <w:color w:val="auto"/>
        </w:rPr>
        <w:t>The $17.2 million insurance charge recorded by Corporate in 2004 resulted from adverse developments in the Company’s California workers’ compensation claims believed to be related to poor claims management by a third party administrator. The $8.2 million insurance benefit had two components. The 2005 actuarial report covering substantially all of the Company’s general liability and workers’ compensation reserves was completed in the third quarter of 2005 and showed favorable developments in the Company’s California workers’ compensation and general and auto liability claims, offset in part by adverse developments in the Company’s workers’ compensation claims outside of California. This resulted in a $ 5.5 million reduction in reserves recorded by Corporate, of which $1.4 million was attributable to a correction of an overstatement of reserves at October 31, 2004. The 2005 actuarial reports covering the rest of the Company’s self-insurance reserves, including low deductible self-insurance programs that cover general liability expenses at malls, special event facilities and airport shuttles, as well as workers’ compensation for certain employees in certain states, were completed in the fourth quarter of 2005 resulting in the reduction of these reserves by $2.7 million. The $2.7 million was recorded by Janitorial and Parking.</w:t>
      </w:r>
    </w:p>
    <w:p>
      <w:pPr>
        <w:spacing w:after="0" w:line="76" w:lineRule="exact"/>
        <w:rPr>
          <w:sz w:val="20"/>
          <w:szCs w:val="20"/>
          <w:color w:val="auto"/>
        </w:rPr>
      </w:pPr>
    </w:p>
    <w:p>
      <w:pPr>
        <w:ind w:right="100" w:firstLine="300"/>
        <w:spacing w:after="0" w:line="247" w:lineRule="auto"/>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and other income in 2005 of $ 2,586.6 million increased by $ 211.5 million or 8.9% from $2,375.1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2004. Acquisitions completed in 2004 and 2005 contributed $126.7 million to the Sales increase. The remainder of the Sales increase was primarily due to new business in all operating segments, expansion of services with existing Janitorial and Engineering customers and the $4.3 million gain on sale of the leasehold interest by Parking.</w:t>
      </w:r>
    </w:p>
    <w:p>
      <w:pPr>
        <w:spacing w:after="0" w:line="66" w:lineRule="exact"/>
        <w:rPr>
          <w:sz w:val="20"/>
          <w:szCs w:val="20"/>
          <w:color w:val="auto"/>
        </w:rPr>
      </w:pPr>
    </w:p>
    <w:p>
      <w:pPr>
        <w:ind w:right="520" w:firstLine="300"/>
        <w:spacing w:after="0" w:line="271"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goods sold) was 10.6% in 2005 compared to 9.2% in 2004. The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increase in margins was primarily due to the $8.2 million insurance expense benefit in 2005 and the $17.2 million insurance charge in 2004. Results for 2005 also include the $ 4.3 million gain on sale of the leasehold interest by Parking, termination of unprofitable contracts and favorably renegotiated contracts at Parking and Janitorial operating profit improvements in 2005 in the majority of regions, particularly the Northeast, where higher tag sales provided higher margins. Partially offsetting these were higher reimbursements in 2005 for out-of-pocket expenses from managed parking lot clients for which Parking had no margin benefit, higher overtime costs in Security that cannot be passed through to clients, and one more workday in 2005 compared to 2004 which unfavorably impacted fixed-price contracts in Janitorial. The total insurance expense recorded by the operating segments in 2005 was flat compared to 2004.</w:t>
      </w:r>
    </w:p>
    <w:p>
      <w:pPr>
        <w:spacing w:after="0" w:line="73" w:lineRule="exact"/>
        <w:rPr>
          <w:sz w:val="20"/>
          <w:szCs w:val="20"/>
          <w:color w:val="auto"/>
        </w:rPr>
      </w:pPr>
    </w:p>
    <w:p>
      <w:pPr>
        <w:ind w:right="40" w:firstLine="300"/>
        <w:spacing w:after="0" w:line="24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were $204.1 million in 2005,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$167.0 million in 2004. The increase was primarily due to the $13.0 million increase in litigation losses, $11.6 million of higher professional fees related to the Sarbanes-Oxley internal control compliance requirement in 2005, $ 7.7 million selling, general and administrative expenses attributable to the operations associated with acquisitions completed in 2004 and 2005 (including the $3.4 million overpayment in connection with the subcontracting arrangement with SSA LLC) and the expanded sales force at Lighting and Security, as well as annual salary increases. These increases were partially offset by the decrease in bad debt expense primarily because of the elimination of specific reserves on customer accounts where billing disputes have been settled.</w:t>
      </w:r>
    </w:p>
    <w:p>
      <w:pPr>
        <w:spacing w:after="0" w:line="71" w:lineRule="exact"/>
        <w:rPr>
          <w:sz w:val="20"/>
          <w:szCs w:val="20"/>
          <w:color w:val="auto"/>
        </w:rPr>
      </w:pPr>
    </w:p>
    <w:p>
      <w:pPr>
        <w:ind w:right="220" w:firstLine="300"/>
        <w:spacing w:after="0" w:line="253"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$5.7 million in 2005 compared to $4.5 million in 2004. The higher amortization was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intangibles acquired in business combinations completed in 2004 and 2005, partially offset by lower amortization on acquisitions completed in 2003 resulting from the use of sum-of-the-years-digits method for amortization of customer relationship intangible assets.</w:t>
      </w:r>
    </w:p>
    <w:p>
      <w:pPr>
        <w:spacing w:after="0" w:line="61" w:lineRule="exact"/>
        <w:rPr>
          <w:sz w:val="20"/>
          <w:szCs w:val="20"/>
          <w:color w:val="auto"/>
        </w:rPr>
      </w:pPr>
    </w:p>
    <w:p>
      <w:pPr>
        <w:ind w:right="40" w:firstLine="30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$0.9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2005 and $1.0 million 2004.</w:t>
      </w:r>
    </w:p>
    <w:p>
      <w:pPr>
        <w:spacing w:after="0" w:line="46"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was 32.4% for 2005, compared to 34.1% for 2004. A $2.7 million income tax benefit was recorded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 The estimated liability was greater than the settlement amount. The income tax provision for continuing operations for 2004 included a tax benefit of $1.3 million principally from adjusting the income tax liability accounts after filing the 2003 income tax returns and from filing amended tax returns primarily to claim higher tax credits. The effective tax rate for 2005 also reflects a slightly lower estimated state tax rate based on actual state tax returns for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22" w:lineRule="exact"/>
        <w:rPr>
          <w:sz w:val="20"/>
          <w:szCs w:val="20"/>
          <w:color w:val="auto"/>
        </w:rPr>
      </w:pPr>
    </w:p>
    <w:p>
      <w:pPr>
        <w:ind w:right="60" w:firstLine="300"/>
        <w:spacing w:after="0" w:line="238" w:lineRule="auto"/>
        <w:rPr>
          <w:sz w:val="20"/>
          <w:szCs w:val="20"/>
          <w:color w:val="auto"/>
        </w:rPr>
      </w:pPr>
      <w:r>
        <w:rPr>
          <w:rFonts w:ascii="Arial" w:cs="Arial" w:eastAsia="Arial" w:hAnsi="Arial"/>
          <w:sz w:val="18"/>
          <w:szCs w:val="18"/>
          <w:color w:val="auto"/>
        </w:rPr>
        <w:t>Under the criteria of SFAS No. 131, “Disclosures about Segments of an Enterprise and Related Information,” Janitorial, Parking, Security, Engineering, and Lighting are reportable segments. On November 1, 2004, Facility Services merged with Engineering. The operating results of Facility Services for the prior periods have been reclassified to Engineering from the Other segment for comparative purposes. The operating results of Mechanical, also previously included in the Other segment, are reported separately under discontinued operations and are excluded from the table below. (See Divestitures and Results from Discontinued Operations.) As a result of the reclassifications of Facility Services 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Mechanical, the Other segment no longer exists. Corporate expenses are not allocated.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3"/>
          </w:tcPr>
          <w:p>
            <w:pPr>
              <w:jc w:val="right"/>
              <w:ind w:right="848"/>
              <w:spacing w:after="0"/>
              <w:rPr>
                <w:sz w:val="20"/>
                <w:szCs w:val="20"/>
                <w:color w:val="auto"/>
              </w:rPr>
            </w:pPr>
            <w:r>
              <w:rPr>
                <w:rFonts w:ascii="Arial" w:cs="Arial" w:eastAsia="Arial" w:hAnsi="Arial"/>
                <w:sz w:val="14"/>
                <w:szCs w:val="14"/>
                <w:color w:val="auto"/>
              </w:rPr>
              <w:t>Years Ended October 31,</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Better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2520" w:type="dxa"/>
            <w:vAlign w:val="bottom"/>
          </w:tcPr>
          <w:p>
            <w:pPr>
              <w:spacing w:after="0"/>
              <w:rPr>
                <w:sz w:val="15"/>
                <w:szCs w:val="15"/>
                <w:color w:val="auto"/>
              </w:rPr>
            </w:pPr>
          </w:p>
        </w:tc>
        <w:tc>
          <w:tcPr>
            <w:tcW w:w="1220" w:type="dxa"/>
            <w:vAlign w:val="bottom"/>
          </w:tcPr>
          <w:p>
            <w:pPr>
              <w:jc w:val="right"/>
              <w:ind w:right="628"/>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200" w:type="dxa"/>
            <w:vAlign w:val="bottom"/>
          </w:tcPr>
          <w:p>
            <w:pPr>
              <w:jc w:val="right"/>
              <w:ind w:right="648"/>
              <w:spacing w:after="0"/>
              <w:rPr>
                <w:sz w:val="20"/>
                <w:szCs w:val="20"/>
                <w:color w:val="auto"/>
              </w:rPr>
            </w:pPr>
            <w:r>
              <w:rPr>
                <w:rFonts w:ascii="Arial" w:cs="Arial" w:eastAsia="Arial" w:hAnsi="Arial"/>
                <w:sz w:val="14"/>
                <w:szCs w:val="14"/>
                <w:color w:val="auto"/>
              </w:rPr>
              <w:t>2004</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Sales and other income:</w:t>
            </w:r>
          </w:p>
        </w:tc>
        <w:tc>
          <w:tcPr>
            <w:tcW w:w="25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Janitorial</w:t>
            </w:r>
          </w:p>
        </w:tc>
        <w:tc>
          <w:tcPr>
            <w:tcW w:w="25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1,525,565</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1,442,901</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Parking</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409,886</w:t>
            </w: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384,547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Security</w:t>
            </w:r>
          </w:p>
        </w:tc>
        <w:tc>
          <w:tcPr>
            <w:tcW w:w="25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294,299</w:t>
            </w:r>
          </w:p>
        </w:tc>
        <w:tc>
          <w:tcPr>
            <w:tcW w:w="4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224,715</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Engineering</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238,794</w:t>
            </w: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209,156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Lighting</w:t>
            </w:r>
          </w:p>
        </w:tc>
        <w:tc>
          <w:tcPr>
            <w:tcW w:w="25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116,218</w:t>
            </w:r>
          </w:p>
        </w:tc>
        <w:tc>
          <w:tcPr>
            <w:tcW w:w="4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112,074</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Corporate</w:t>
            </w:r>
          </w:p>
        </w:tc>
        <w:tc>
          <w:tcPr>
            <w:tcW w:w="25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1,804</w:t>
            </w:r>
          </w:p>
        </w:tc>
        <w:tc>
          <w:tcPr>
            <w:tcW w:w="4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1,756</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2,586,566</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2,375,149</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Janitorial</w:t>
            </w:r>
          </w:p>
        </w:tc>
        <w:tc>
          <w:tcPr>
            <w:tcW w:w="25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67,754</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60,574</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Parking</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10,527</w:t>
            </w: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9,514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Security</w:t>
            </w:r>
          </w:p>
        </w:tc>
        <w:tc>
          <w:tcPr>
            <w:tcW w:w="25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3,089</w:t>
            </w:r>
          </w:p>
        </w:tc>
        <w:tc>
          <w:tcPr>
            <w:tcW w:w="4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9,002</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Engineering</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14,200</w:t>
            </w: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12,096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Lighting</w:t>
            </w:r>
          </w:p>
        </w:tc>
        <w:tc>
          <w:tcPr>
            <w:tcW w:w="25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3,805</w:t>
            </w:r>
          </w:p>
        </w:tc>
        <w:tc>
          <w:tcPr>
            <w:tcW w:w="4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2,822</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Corporate expense</w:t>
            </w:r>
          </w:p>
        </w:tc>
        <w:tc>
          <w:tcPr>
            <w:tcW w:w="25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(35,300)</w:t>
            </w:r>
          </w:p>
        </w:tc>
        <w:tc>
          <w:tcPr>
            <w:tcW w:w="4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(47,996)</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9"/>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Operating profit</w:t>
            </w:r>
          </w:p>
        </w:tc>
        <w:tc>
          <w:tcPr>
            <w:tcW w:w="252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64,075</w:t>
            </w:r>
          </w:p>
        </w:tc>
        <w:tc>
          <w:tcPr>
            <w:tcW w:w="4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46,012</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Gain on insurance claim</w:t>
            </w:r>
          </w:p>
        </w:tc>
        <w:tc>
          <w:tcPr>
            <w:tcW w:w="2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1,195</w:t>
            </w:r>
          </w:p>
        </w:tc>
        <w:tc>
          <w:tcPr>
            <w:tcW w:w="4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520" w:type="dxa"/>
            <w:vAlign w:val="bottom"/>
          </w:tcPr>
          <w:p>
            <w:pPr>
              <w:spacing w:after="0"/>
              <w:rPr>
                <w:sz w:val="14"/>
                <w:szCs w:val="14"/>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(884)</w:t>
            </w:r>
          </w:p>
        </w:tc>
        <w:tc>
          <w:tcPr>
            <w:tcW w:w="460" w:type="dxa"/>
            <w:vAlign w:val="bottom"/>
          </w:tcPr>
          <w:p>
            <w:pPr>
              <w:spacing w:after="0"/>
              <w:rPr>
                <w:sz w:val="14"/>
                <w:szCs w:val="14"/>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(1,016)</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 before</w:t>
            </w:r>
          </w:p>
        </w:tc>
        <w:tc>
          <w:tcPr>
            <w:tcW w:w="25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64,386</w:t>
            </w:r>
          </w:p>
        </w:tc>
        <w:tc>
          <w:tcPr>
            <w:tcW w:w="4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00" w:type="dxa"/>
            <w:vAlign w:val="bottom"/>
            <w:tcBorders>
              <w:bottom w:val="single" w:sz="8" w:color="auto"/>
            </w:tcBorders>
            <w:shd w:val="clear" w:color="auto" w:fill="CCEEFF"/>
          </w:tcPr>
          <w:p>
            <w:pPr>
              <w:ind w:left="120"/>
              <w:spacing w:after="0" w:line="157" w:lineRule="exact"/>
              <w:rPr>
                <w:sz w:val="20"/>
                <w:szCs w:val="20"/>
                <w:color w:val="auto"/>
              </w:rPr>
            </w:pPr>
            <w:r>
              <w:rPr>
                <w:rFonts w:ascii="Arial" w:cs="Arial" w:eastAsia="Arial" w:hAnsi="Arial"/>
                <w:sz w:val="14"/>
                <w:szCs w:val="14"/>
                <w:color w:val="auto"/>
              </w:rPr>
              <w:t>income taxes</w:t>
            </w:r>
          </w:p>
        </w:tc>
        <w:tc>
          <w:tcPr>
            <w:tcW w:w="2520" w:type="dxa"/>
            <w:vAlign w:val="bottom"/>
            <w:tcBorders>
              <w:bottom w:val="single" w:sz="8" w:color="auto"/>
            </w:tcBorders>
            <w:vMerge w:val="continue"/>
            <w:shd w:val="clear" w:color="auto" w:fill="CCEEFF"/>
          </w:tcPr>
          <w:p>
            <w:pPr>
              <w:spacing w:after="0"/>
              <w:rPr>
                <w:sz w:val="13"/>
                <w:szCs w:val="13"/>
                <w:color w:val="auto"/>
              </w:rPr>
            </w:pPr>
          </w:p>
        </w:tc>
        <w:tc>
          <w:tcPr>
            <w:tcW w:w="122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48"/>
              <w:spacing w:after="0" w:line="157" w:lineRule="exact"/>
              <w:rPr>
                <w:sz w:val="20"/>
                <w:szCs w:val="20"/>
                <w:color w:val="auto"/>
              </w:rPr>
            </w:pPr>
            <w:r>
              <w:rPr>
                <w:rFonts w:ascii="Arial" w:cs="Arial" w:eastAsia="Arial" w:hAnsi="Arial"/>
                <w:sz w:val="14"/>
                <w:szCs w:val="14"/>
                <w:color w:val="auto"/>
              </w:rPr>
              <w:t>44,996</w:t>
            </w:r>
          </w:p>
        </w:tc>
        <w:tc>
          <w:tcPr>
            <w:tcW w:w="110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firstLine="300"/>
        <w:spacing w:after="0" w:line="244"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Sales increased by $82.7 million, or 5.7%, in 2005 compared to 2004. The Initial Northeast, Initial Baltimore and Colin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contributed $66.2 million to the increase in Sales with the impact showing in the Mid-Atlantic and the Northeast regions. In addition, the Mid-Atlantic, Midwest, Northern California, Northwest, South Central and Southwest regions all increased Sales due to new business, expansion of services to existing customers and price adjustments to pass through a portion of union cost increases. The increases were partially offset by reductions in Sales from lost accounts in the Northeast and Southeast regions.</w:t>
      </w:r>
    </w:p>
    <w:p>
      <w:pPr>
        <w:spacing w:after="0" w:line="91" w:lineRule="exact"/>
        <w:rPr>
          <w:sz w:val="20"/>
          <w:szCs w:val="20"/>
          <w:color w:val="auto"/>
        </w:rPr>
      </w:pPr>
    </w:p>
    <w:p>
      <w:pPr>
        <w:ind w:right="360" w:firstLine="300"/>
        <w:spacing w:after="0" w:line="238" w:lineRule="auto"/>
        <w:rPr>
          <w:sz w:val="20"/>
          <w:szCs w:val="20"/>
          <w:color w:val="auto"/>
        </w:rPr>
      </w:pPr>
      <w:r>
        <w:rPr>
          <w:rFonts w:ascii="Arial" w:cs="Arial" w:eastAsia="Arial" w:hAnsi="Arial"/>
          <w:sz w:val="18"/>
          <w:szCs w:val="18"/>
          <w:color w:val="auto"/>
        </w:rPr>
        <w:t>Operating profit increased by $7.2 million, or 11.9%, in 2005 compared to 2004. The increase was primarily due to the operating profit improvements in the majority of the regions, a $1.3 million benefit from the reduction of insurance expense due to the reduction of self-insurance reserves for workers’ compensation for certain employees, and a $0.8 million operating profit contribution from the two Initial and Colin acquisitions. These positive developments were partially offset by a $6.2 million increase in litigation losses and one more workday in 2005 compared to 2004 which unfavorably impacted fixed-price contracts.</w:t>
      </w:r>
    </w:p>
    <w:p>
      <w:pPr>
        <w:spacing w:after="0" w:line="95" w:lineRule="exact"/>
        <w:rPr>
          <w:sz w:val="20"/>
          <w:szCs w:val="20"/>
          <w:color w:val="auto"/>
        </w:rPr>
      </w:pPr>
    </w:p>
    <w:p>
      <w:pPr>
        <w:ind w:right="20" w:firstLine="300"/>
        <w:spacing w:after="0" w:line="239" w:lineRule="auto"/>
        <w:rPr>
          <w:sz w:val="20"/>
          <w:szCs w:val="20"/>
          <w:color w:val="auto"/>
        </w:rPr>
      </w:pPr>
      <w:r>
        <w:rPr>
          <w:rFonts w:ascii="Arial" w:cs="Arial" w:eastAsia="Arial" w:hAnsi="Arial"/>
          <w:sz w:val="18"/>
          <w:szCs w:val="18"/>
          <w:color w:val="auto"/>
        </w:rPr>
        <w:t>Of the regions that showed operating profit improvement, the Northeast region showed the most improvement, earning a profit in 2005 compared to a loss in 2004. The improvement was due to higher tag sales, which provided higher margins, tight control of labor cost, especially in Manhattan, higher prices on some renegotiated contracts, lower bad debt expense and the impact of acquisitions. The other regions showed operating profit improvement primarily due to higher Sales and higher margins on existing jobs resulting from lower costs.</w:t>
      </w:r>
    </w:p>
    <w:p>
      <w:pPr>
        <w:spacing w:after="0" w:line="72" w:lineRule="exact"/>
        <w:rPr>
          <w:sz w:val="20"/>
          <w:szCs w:val="20"/>
          <w:color w:val="auto"/>
        </w:rPr>
      </w:pPr>
    </w:p>
    <w:p>
      <w:pPr>
        <w:ind w:right="20" w:firstLine="300"/>
        <w:spacing w:after="0"/>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$25.4 million, or 6.6%, while operating profit increased $1.0 million, or 10.6%, in 2005 compared to 2004.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$25.4 million Sales increase, $15.7 million represented higher reimbursements for out-of-pocket expenses from managed parking lot clients for which Parking had no margin benefit. Sales for the period also benefited from the sale of the leasehold interest of an off-airport parking facility resulting in a gain of $ 4.3 million. New contracts and increased traffic at airport locations throughout the year contributed to the remainder of the Sales increase. The increase in operating profits was primarily due to the $4.3 million gain, $1.4 million benefit from the reduction of self-insurance reserves for airport shuttle claims, the impact of new contracts, termination of unprofitable contracts, higher margins on renegotiated contracts, as well as improvements at airport locations due to increased air traffic across the country. Partially offsetting these improvements were a $6.9 million increase in litigation losses and the cost of implementing a new revenue reporting system.</w:t>
      </w:r>
    </w:p>
    <w:p>
      <w:pPr>
        <w:spacing w:after="0" w:line="73" w:lineRule="exact"/>
        <w:rPr>
          <w:sz w:val="20"/>
          <w:szCs w:val="20"/>
          <w:color w:val="auto"/>
        </w:rPr>
      </w:pPr>
    </w:p>
    <w:p>
      <w:pPr>
        <w:ind w:right="40" w:firstLine="300"/>
        <w:spacing w:after="0"/>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$69.6 million, or 31.0%, in 2005 compared to 2004 primarily due to the 2004 and 2005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from SSA LLC, Sentinel Guard Systems (“Sentinel”) and Amguard, which contributed $60.5 million to the Sales increase. The remainder of the Sales increase is attributable to the net effect of new business, partially offset by the loss of a major contract in Seattle at the end of June 2005. Operating profits decreased $5.9 million, or 65.7%, primarily due to the $7.2 million decline in operating profit from the operations acquired from SSA LLC. The decline resulted from increased overtime expenses that cannot be passed through to the clients, lower margins on new contracts, a $3.4 million charge for a reserve provided for the amount the Company believes it overpaid SSA LLC in connection with the subcontracting arrangement with SSA LLC. Of the $ 3.4 million charge, $2.8 million is attributable to the overpayment in 2004. The Company intends to continue to vigorously pursue collection. Also included in SSA LLC’s operating profit for 2005 was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a $ 0.3 million charge to correct the understatement of payroll and payroll related expenses in 2004 and a $1.1 million benefit from correcting the overstatement of insurance expense in 2004. Additionally, the other operating units of Security incurred higher costs of an expanded sales force. Partially offsetting these declines were $1.1 million of profit contribution from Sentinel and Amguard and the net effect of new business.</w:t>
      </w:r>
    </w:p>
    <w:p>
      <w:pPr>
        <w:spacing w:after="0" w:line="56" w:lineRule="exact"/>
        <w:rPr>
          <w:sz w:val="20"/>
          <w:szCs w:val="20"/>
          <w:color w:val="auto"/>
        </w:rPr>
      </w:pPr>
    </w:p>
    <w:p>
      <w:pPr>
        <w:jc w:val="both"/>
        <w:ind w:right="140" w:firstLine="300"/>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$29.6 million, or 14.2%, in 2005 compared to 2004 due to successful sales initiatives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in new business and the expansion of services to existing customers across the country, mostly in the Southern California, Northern California and Eastern regions. Operating profits increased $2.1 million, or 17.4%, during 2005 compared to 2004 primarily due to higher Sales, partially offset by higher state unemployment insurance expense in California and settlement of an employee claim.</w:t>
      </w:r>
    </w:p>
    <w:p>
      <w:pPr>
        <w:spacing w:after="0" w:line="66" w:lineRule="exact"/>
        <w:rPr>
          <w:sz w:val="20"/>
          <w:szCs w:val="20"/>
          <w:color w:val="auto"/>
        </w:rPr>
      </w:pPr>
    </w:p>
    <w:p>
      <w:pPr>
        <w:ind w:firstLine="300"/>
        <w:spacing w:after="0" w:line="244"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increased $4.1 million, or 3.7%, in 2005 compared to 2004, while operating profit increased $ 1.0 million, or 34.8%.</w:t>
      </w:r>
      <w:r>
        <w:rPr>
          <w:rFonts w:ascii="Arial" w:cs="Arial" w:eastAsia="Arial" w:hAnsi="Arial"/>
          <w:sz w:val="18"/>
          <w:szCs w:val="18"/>
          <w:b w:val="1"/>
          <w:bCs w:val="1"/>
          <w:color w:val="auto"/>
        </w:rPr>
        <w:t xml:space="preserve"> </w:t>
      </w:r>
      <w:r>
        <w:rPr>
          <w:rFonts w:ascii="Arial" w:cs="Arial" w:eastAsia="Arial" w:hAnsi="Arial"/>
          <w:sz w:val="18"/>
          <w:szCs w:val="18"/>
          <w:color w:val="auto"/>
        </w:rPr>
        <w:t>The growth in Sales was primarily due to increased project and service business in the Southwest and Northwest regions, partially offset by a decrease in project business in the Northcentral region, lost service contracts and the impact of several hurricanes in the fourth quarter of 2005. The increase in operating profit was primarily due to increased Sales and a $0.9 million reduction of bad debt expense primarily related to reversals of specific reserves determined no longer to be required, partially offset by increased costs associated with an expanded sales force.</w:t>
      </w:r>
    </w:p>
    <w:p>
      <w:pPr>
        <w:spacing w:after="0" w:line="69" w:lineRule="exact"/>
        <w:rPr>
          <w:sz w:val="20"/>
          <w:szCs w:val="20"/>
          <w:color w:val="auto"/>
        </w:rPr>
      </w:pPr>
    </w:p>
    <w:p>
      <w:pPr>
        <w:ind w:right="40" w:firstLine="300"/>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decreased by $12.7 million, or 26.5%, in 2005 compared to 2004 mainly due to the difference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$17.2 million increase in self-insurance reserves in 2004 and the $5.5 million decrease in self-insurance reserves in 2005. While virtually all insurance claims arise from the operating segments, the $5.5 million decrease in self-insurance reserves in 2005 and $17.2 million increase in reserves in 2004 were included in unallocated corporate expenses. Had the Company allocated these insurance adjustments among the operating segments, the reported pre-tax operating profits of the operating segments, as a whole, would have been increased by $5.5 million in 2005 and decreased by $17.2 million in 2004, with an equal and offsetting change to unallocated Corporate expenses and therefore no change to consolidated pre-tax earnings for both years. The favorable impact of the insurance adjustments was partially offset by $11.6 million of higher professional fees related to the Sarbanes-Oxley internal controls certification requirement.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COMPARISON OF 2004 TO 2003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Years Ended October 31,</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3"/>
                <w:szCs w:val="13"/>
                <w:color w:val="auto"/>
              </w:rPr>
              <w:t>% of</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jc w:val="right"/>
              <w:ind w:right="377"/>
              <w:spacing w:after="0"/>
              <w:rPr>
                <w:sz w:val="20"/>
                <w:szCs w:val="20"/>
                <w:color w:val="auto"/>
              </w:rPr>
            </w:pPr>
            <w:r>
              <w:rPr>
                <w:rFonts w:ascii="Arial" w:cs="Arial" w:eastAsia="Arial" w:hAnsi="Arial"/>
                <w:sz w:val="13"/>
                <w:szCs w:val="13"/>
                <w:color w:val="auto"/>
              </w:rPr>
              <w:t>% of</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Increase</w:t>
            </w:r>
          </w:p>
        </w:tc>
      </w:tr>
      <w:tr>
        <w:trPr>
          <w:trHeight w:val="148"/>
        </w:trPr>
        <w:tc>
          <w:tcPr>
            <w:tcW w:w="4780" w:type="dxa"/>
            <w:vAlign w:val="bottom"/>
            <w:gridSpan w:val="2"/>
          </w:tcPr>
          <w:p>
            <w:pPr>
              <w:spacing w:after="0" w:line="141" w:lineRule="exact"/>
              <w:rPr>
                <w:sz w:val="20"/>
                <w:szCs w:val="20"/>
                <w:color w:val="auto"/>
              </w:rPr>
            </w:pPr>
            <w:r>
              <w:rPr>
                <w:rFonts w:ascii="Arial" w:cs="Arial" w:eastAsia="Arial" w:hAnsi="Arial"/>
                <w:sz w:val="13"/>
                <w:szCs w:val="13"/>
                <w:color w:val="auto"/>
              </w:rPr>
              <w:t>($ in thousands)</w:t>
            </w:r>
          </w:p>
        </w:tc>
        <w:tc>
          <w:tcPr>
            <w:tcW w:w="1480" w:type="dxa"/>
            <w:vAlign w:val="bottom"/>
          </w:tcPr>
          <w:p>
            <w:pPr>
              <w:spacing w:after="0"/>
              <w:rPr>
                <w:sz w:val="12"/>
                <w:szCs w:val="12"/>
                <w:color w:val="auto"/>
              </w:rPr>
            </w:pPr>
          </w:p>
        </w:tc>
        <w:tc>
          <w:tcPr>
            <w:tcW w:w="880" w:type="dxa"/>
            <w:vAlign w:val="bottom"/>
          </w:tcPr>
          <w:p>
            <w:pPr>
              <w:jc w:val="right"/>
              <w:ind w:right="437"/>
              <w:spacing w:after="0" w:line="141" w:lineRule="exact"/>
              <w:rPr>
                <w:sz w:val="20"/>
                <w:szCs w:val="20"/>
                <w:color w:val="auto"/>
              </w:rPr>
            </w:pPr>
            <w:r>
              <w:rPr>
                <w:rFonts w:ascii="Arial" w:cs="Arial" w:eastAsia="Arial" w:hAnsi="Arial"/>
                <w:sz w:val="13"/>
                <w:szCs w:val="13"/>
                <w:color w:val="auto"/>
              </w:rPr>
              <w:t>2004</w:t>
            </w:r>
          </w:p>
        </w:tc>
        <w:tc>
          <w:tcPr>
            <w:tcW w:w="920" w:type="dxa"/>
            <w:vAlign w:val="bottom"/>
          </w:tcPr>
          <w:p>
            <w:pPr>
              <w:jc w:val="right"/>
              <w:ind w:right="277"/>
              <w:spacing w:after="0" w:line="141" w:lineRule="exact"/>
              <w:rPr>
                <w:sz w:val="20"/>
                <w:szCs w:val="20"/>
                <w:color w:val="auto"/>
              </w:rPr>
            </w:pPr>
            <w:r>
              <w:rPr>
                <w:rFonts w:ascii="Arial" w:cs="Arial" w:eastAsia="Arial" w:hAnsi="Arial"/>
                <w:sz w:val="13"/>
                <w:szCs w:val="13"/>
                <w:color w:val="auto"/>
              </w:rPr>
              <w:t>Sales</w:t>
            </w:r>
          </w:p>
        </w:tc>
        <w:tc>
          <w:tcPr>
            <w:tcW w:w="320" w:type="dxa"/>
            <w:vAlign w:val="bottom"/>
          </w:tcPr>
          <w:p>
            <w:pPr>
              <w:spacing w:after="0"/>
              <w:rPr>
                <w:sz w:val="12"/>
                <w:szCs w:val="12"/>
                <w:color w:val="auto"/>
              </w:rPr>
            </w:pPr>
          </w:p>
        </w:tc>
        <w:tc>
          <w:tcPr>
            <w:tcW w:w="880" w:type="dxa"/>
            <w:vAlign w:val="bottom"/>
          </w:tcPr>
          <w:p>
            <w:pPr>
              <w:jc w:val="right"/>
              <w:ind w:right="437"/>
              <w:spacing w:after="0" w:line="141" w:lineRule="exact"/>
              <w:rPr>
                <w:sz w:val="20"/>
                <w:szCs w:val="20"/>
                <w:color w:val="auto"/>
              </w:rPr>
            </w:pPr>
            <w:r>
              <w:rPr>
                <w:rFonts w:ascii="Arial" w:cs="Arial" w:eastAsia="Arial" w:hAnsi="Arial"/>
                <w:sz w:val="13"/>
                <w:szCs w:val="13"/>
                <w:color w:val="auto"/>
              </w:rPr>
              <w:t>2003</w:t>
            </w:r>
          </w:p>
        </w:tc>
        <w:tc>
          <w:tcPr>
            <w:tcW w:w="980" w:type="dxa"/>
            <w:vAlign w:val="bottom"/>
          </w:tcPr>
          <w:p>
            <w:pPr>
              <w:jc w:val="right"/>
              <w:ind w:right="337"/>
              <w:spacing w:after="0" w:line="141" w:lineRule="exact"/>
              <w:rPr>
                <w:sz w:val="20"/>
                <w:szCs w:val="20"/>
                <w:color w:val="auto"/>
              </w:rPr>
            </w:pPr>
            <w:r>
              <w:rPr>
                <w:rFonts w:ascii="Arial" w:cs="Arial" w:eastAsia="Arial" w:hAnsi="Arial"/>
                <w:sz w:val="13"/>
                <w:szCs w:val="13"/>
                <w:color w:val="auto"/>
              </w:rPr>
              <w:t>Sales</w:t>
            </w:r>
          </w:p>
        </w:tc>
        <w:tc>
          <w:tcPr>
            <w:tcW w:w="11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(Decrease)</w:t>
            </w:r>
          </w:p>
        </w:tc>
      </w:tr>
      <w:tr>
        <w:trPr>
          <w:trHeight w:val="135"/>
        </w:trPr>
        <w:tc>
          <w:tcPr>
            <w:tcW w:w="20" w:type="dxa"/>
            <w:vAlign w:val="bottom"/>
          </w:tcPr>
          <w:p>
            <w:pPr>
              <w:spacing w:after="0"/>
              <w:rPr>
                <w:sz w:val="11"/>
                <w:szCs w:val="11"/>
                <w:color w:val="auto"/>
              </w:rPr>
            </w:pPr>
          </w:p>
        </w:tc>
        <w:tc>
          <w:tcPr>
            <w:tcW w:w="47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Revenues</w:t>
            </w:r>
          </w:p>
        </w:tc>
        <w:tc>
          <w:tcPr>
            <w:tcW w:w="14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Sales and other income</w:t>
            </w:r>
          </w:p>
        </w:tc>
        <w:tc>
          <w:tcPr>
            <w:tcW w:w="14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2,375,149</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3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2,222,367</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100.0%</w:t>
            </w: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6.9 %</w:t>
            </w: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Expenses</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Operating expenses and cost of goods sold</w:t>
            </w:r>
          </w:p>
        </w:tc>
        <w:tc>
          <w:tcPr>
            <w:tcW w:w="148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2,157,637</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90.8%</w:t>
            </w:r>
          </w:p>
        </w:tc>
        <w:tc>
          <w:tcPr>
            <w:tcW w:w="32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2,007,740</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90.3%</w:t>
            </w: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7.5%</w:t>
            </w: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Selling, general and administrative</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166,981</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7.0%</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159,949</w:t>
            </w:r>
          </w:p>
        </w:tc>
        <w:tc>
          <w:tcPr>
            <w:tcW w:w="9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7.2%</w:t>
            </w:r>
          </w:p>
        </w:tc>
        <w:tc>
          <w:tcPr>
            <w:tcW w:w="1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w:t>
            </w:r>
          </w:p>
        </w:tc>
      </w:tr>
      <w:tr>
        <w:trPr>
          <w:trHeight w:val="135"/>
        </w:trPr>
        <w:tc>
          <w:tcPr>
            <w:tcW w:w="20" w:type="dxa"/>
            <w:vAlign w:val="bottom"/>
          </w:tcPr>
          <w:p>
            <w:pPr>
              <w:spacing w:after="0"/>
              <w:rPr>
                <w:sz w:val="11"/>
                <w:szCs w:val="11"/>
                <w:color w:val="auto"/>
              </w:rPr>
            </w:pPr>
          </w:p>
        </w:tc>
        <w:tc>
          <w:tcPr>
            <w:tcW w:w="4760" w:type="dxa"/>
            <w:vAlign w:val="bottom"/>
          </w:tcPr>
          <w:p>
            <w:pPr>
              <w:ind w:left="320"/>
              <w:spacing w:after="0" w:line="135" w:lineRule="exact"/>
              <w:rPr>
                <w:sz w:val="20"/>
                <w:szCs w:val="20"/>
                <w:color w:val="auto"/>
              </w:rPr>
            </w:pPr>
            <w:r>
              <w:rPr>
                <w:rFonts w:ascii="Arial" w:cs="Arial" w:eastAsia="Arial" w:hAnsi="Arial"/>
                <w:sz w:val="13"/>
                <w:szCs w:val="13"/>
                <w:color w:val="auto"/>
              </w:rPr>
              <w:t>Interest</w:t>
            </w:r>
          </w:p>
        </w:tc>
        <w:tc>
          <w:tcPr>
            <w:tcW w:w="148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1,016</w:t>
            </w:r>
          </w:p>
        </w:tc>
        <w:tc>
          <w:tcPr>
            <w:tcW w:w="9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0.0%</w:t>
            </w:r>
          </w:p>
        </w:tc>
        <w:tc>
          <w:tcPr>
            <w:tcW w:w="32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758</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0.0%</w:t>
            </w: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34.0%</w:t>
            </w:r>
          </w:p>
        </w:tc>
      </w:tr>
      <w:tr>
        <w:trPr>
          <w:trHeight w:val="135"/>
        </w:trPr>
        <w:tc>
          <w:tcPr>
            <w:tcW w:w="20" w:type="dxa"/>
            <w:vAlign w:val="bottom"/>
          </w:tcPr>
          <w:p>
            <w:pPr>
              <w:spacing w:after="0"/>
              <w:rPr>
                <w:sz w:val="11"/>
                <w:szCs w:val="11"/>
                <w:color w:val="auto"/>
              </w:rPr>
            </w:pPr>
          </w:p>
        </w:tc>
        <w:tc>
          <w:tcPr>
            <w:tcW w:w="4760" w:type="dxa"/>
            <w:vAlign w:val="bottom"/>
            <w:tcBorders>
              <w:bottom w:val="single" w:sz="8" w:color="auto"/>
            </w:tcBorders>
            <w:shd w:val="clear" w:color="auto" w:fill="CCEEFF"/>
          </w:tcPr>
          <w:p>
            <w:pPr>
              <w:ind w:left="320"/>
              <w:spacing w:after="0" w:line="135" w:lineRule="exact"/>
              <w:rPr>
                <w:sz w:val="20"/>
                <w:szCs w:val="20"/>
                <w:color w:val="auto"/>
              </w:rPr>
            </w:pPr>
            <w:r>
              <w:rPr>
                <w:rFonts w:ascii="Arial" w:cs="Arial" w:eastAsia="Arial" w:hAnsi="Arial"/>
                <w:sz w:val="13"/>
                <w:szCs w:val="13"/>
                <w:color w:val="auto"/>
              </w:rPr>
              <w:t>Intangible amortization</w:t>
            </w:r>
          </w:p>
        </w:tc>
        <w:tc>
          <w:tcPr>
            <w:tcW w:w="14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4,519</w:t>
            </w:r>
          </w:p>
        </w:tc>
        <w:tc>
          <w:tcPr>
            <w:tcW w:w="92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0.2%</w:t>
            </w:r>
          </w:p>
        </w:tc>
        <w:tc>
          <w:tcPr>
            <w:tcW w:w="3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2,044</w:t>
            </w:r>
          </w:p>
        </w:tc>
        <w:tc>
          <w:tcPr>
            <w:tcW w:w="9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0.1%</w:t>
            </w:r>
          </w:p>
        </w:tc>
        <w:tc>
          <w:tcPr>
            <w:tcW w:w="118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121.1%</w:t>
            </w:r>
          </w:p>
        </w:tc>
      </w:tr>
      <w:tr>
        <w:trPr>
          <w:trHeight w:val="149"/>
        </w:trPr>
        <w:tc>
          <w:tcPr>
            <w:tcW w:w="20" w:type="dxa"/>
            <w:vAlign w:val="bottom"/>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2,330,153</w:t>
            </w:r>
          </w:p>
        </w:tc>
        <w:tc>
          <w:tcPr>
            <w:tcW w:w="92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color w:val="auto"/>
              </w:rPr>
              <w:t>98.1%</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2,170,491</w:t>
            </w:r>
          </w:p>
        </w:tc>
        <w:tc>
          <w:tcPr>
            <w:tcW w:w="98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97.7%</w:t>
            </w:r>
          </w:p>
        </w:tc>
        <w:tc>
          <w:tcPr>
            <w:tcW w:w="1180" w:type="dxa"/>
            <w:vAlign w:val="bottom"/>
            <w:tcBorders>
              <w:bottom w:val="single" w:sz="8" w:color="auto"/>
            </w:tcBorders>
            <w:gridSpan w:val="2"/>
          </w:tcPr>
          <w:p>
            <w:pPr>
              <w:jc w:val="right"/>
              <w:ind w:right="40"/>
              <w:spacing w:after="0" w:line="143" w:lineRule="exact"/>
              <w:rPr>
                <w:sz w:val="20"/>
                <w:szCs w:val="20"/>
                <w:color w:val="auto"/>
              </w:rPr>
            </w:pPr>
            <w:r>
              <w:rPr>
                <w:rFonts w:ascii="Arial" w:cs="Arial" w:eastAsia="Arial" w:hAnsi="Arial"/>
                <w:sz w:val="13"/>
                <w:szCs w:val="13"/>
                <w:color w:val="auto"/>
              </w:rPr>
              <w:t>7.4%</w:t>
            </w: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Income from continuing operations before income taxes</w:t>
            </w:r>
          </w:p>
        </w:tc>
        <w:tc>
          <w:tcPr>
            <w:tcW w:w="14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44,996</w:t>
            </w:r>
          </w:p>
        </w:tc>
        <w:tc>
          <w:tcPr>
            <w:tcW w:w="9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1.9%</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51,876</w:t>
            </w:r>
          </w:p>
        </w:tc>
        <w:tc>
          <w:tcPr>
            <w:tcW w:w="9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2.3%</w:t>
            </w:r>
          </w:p>
        </w:tc>
        <w:tc>
          <w:tcPr>
            <w:tcW w:w="1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r>
      <w:tr>
        <w:trPr>
          <w:trHeight w:val="142"/>
        </w:trPr>
        <w:tc>
          <w:tcPr>
            <w:tcW w:w="20" w:type="dxa"/>
            <w:vAlign w:val="bottom"/>
          </w:tcPr>
          <w:p>
            <w:pPr>
              <w:spacing w:after="0"/>
              <w:rPr>
                <w:sz w:val="12"/>
                <w:szCs w:val="12"/>
                <w:color w:val="auto"/>
              </w:rPr>
            </w:pPr>
          </w:p>
        </w:tc>
        <w:tc>
          <w:tcPr>
            <w:tcW w:w="4760" w:type="dxa"/>
            <w:vAlign w:val="bottom"/>
            <w:tcBorders>
              <w:bottom w:val="single" w:sz="8" w:color="auto"/>
            </w:tcBorders>
          </w:tcPr>
          <w:p>
            <w:pPr>
              <w:ind w:left="320"/>
              <w:spacing w:after="0" w:line="135" w:lineRule="exact"/>
              <w:rPr>
                <w:sz w:val="20"/>
                <w:szCs w:val="20"/>
                <w:color w:val="auto"/>
              </w:rPr>
            </w:pPr>
            <w:r>
              <w:rPr>
                <w:rFonts w:ascii="Arial" w:cs="Arial" w:eastAsia="Arial" w:hAnsi="Arial"/>
                <w:sz w:val="13"/>
                <w:szCs w:val="13"/>
                <w:color w:val="auto"/>
              </w:rPr>
              <w:t>Income taxes</w:t>
            </w:r>
          </w:p>
        </w:tc>
        <w:tc>
          <w:tcPr>
            <w:tcW w:w="1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color w:val="auto"/>
              </w:rPr>
              <w:t>15,352</w:t>
            </w:r>
          </w:p>
        </w:tc>
        <w:tc>
          <w:tcPr>
            <w:tcW w:w="9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0.6%</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color w:val="auto"/>
              </w:rPr>
              <w:t>17,278</w:t>
            </w:r>
          </w:p>
        </w:tc>
        <w:tc>
          <w:tcPr>
            <w:tcW w:w="980" w:type="dxa"/>
            <w:vAlign w:val="bottom"/>
            <w:tcBorders>
              <w:bottom w:val="single" w:sz="8" w:color="auto"/>
            </w:tcBorders>
          </w:tcPr>
          <w:p>
            <w:pPr>
              <w:jc w:val="right"/>
              <w:ind w:right="177"/>
              <w:spacing w:after="0" w:line="135" w:lineRule="exact"/>
              <w:rPr>
                <w:sz w:val="20"/>
                <w:szCs w:val="20"/>
                <w:color w:val="auto"/>
              </w:rPr>
            </w:pPr>
            <w:r>
              <w:rPr>
                <w:rFonts w:ascii="Arial" w:cs="Arial" w:eastAsia="Arial" w:hAnsi="Arial"/>
                <w:sz w:val="13"/>
                <w:szCs w:val="13"/>
                <w:color w:val="auto"/>
              </w:rPr>
              <w:t>0.8%</w:t>
            </w:r>
          </w:p>
        </w:tc>
        <w:tc>
          <w:tcPr>
            <w:tcW w:w="11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(11.1)%</w:t>
            </w:r>
          </w:p>
        </w:tc>
      </w:tr>
      <w:tr>
        <w:trPr>
          <w:trHeight w:val="135"/>
        </w:trPr>
        <w:tc>
          <w:tcPr>
            <w:tcW w:w="20" w:type="dxa"/>
            <w:vAlign w:val="bottom"/>
          </w:tcPr>
          <w:p>
            <w:pPr>
              <w:spacing w:after="0"/>
              <w:rPr>
                <w:sz w:val="11"/>
                <w:szCs w:val="11"/>
                <w:color w:val="auto"/>
              </w:rPr>
            </w:pPr>
          </w:p>
        </w:tc>
        <w:tc>
          <w:tcPr>
            <w:tcW w:w="47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148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29,644</w:t>
            </w:r>
          </w:p>
        </w:tc>
        <w:tc>
          <w:tcPr>
            <w:tcW w:w="92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w:t>
            </w:r>
          </w:p>
        </w:tc>
        <w:tc>
          <w:tcPr>
            <w:tcW w:w="32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34,598</w:t>
            </w:r>
          </w:p>
        </w:tc>
        <w:tc>
          <w:tcPr>
            <w:tcW w:w="98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1.6%</w:t>
            </w:r>
          </w:p>
        </w:tc>
        <w:tc>
          <w:tcPr>
            <w:tcW w:w="11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r>
      <w:tr>
        <w:trPr>
          <w:trHeight w:val="21"/>
        </w:trPr>
        <w:tc>
          <w:tcPr>
            <w:tcW w:w="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20" w:firstLine="300"/>
        <w:spacing w:after="0" w:line="242"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2004 decreased 14.3% to $29.6 million ($0.59 per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from $34.6 million ($0.69 per diluted share) in 2003. The decline was primarily due to the $17.2 million ($10.4 million after tax, $0.21 per diluted share) insurance charge resulting from adverse developments in the Company’s California workers’ compensation claims believed to be related to poor claims management by a third party administrator. However, all operating segments showed improvement in income from continuing operations except for Lighting. The acquisitions completed in 2003 and 2004, new business and one fewer work day in 2004 than 2003 partially offset the impact of the insurance charge.</w:t>
      </w:r>
    </w:p>
    <w:p>
      <w:pPr>
        <w:spacing w:after="0" w:line="71" w:lineRule="exact"/>
        <w:rPr>
          <w:sz w:val="20"/>
          <w:szCs w:val="20"/>
          <w:color w:val="auto"/>
        </w:rPr>
      </w:pPr>
    </w:p>
    <w:p>
      <w:pPr>
        <w:ind w:firstLine="300"/>
        <w:spacing w:after="0" w:line="253" w:lineRule="auto"/>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and other income in 2004 of $ 2,375.1 million increased by $ 152.7 million, or 6.9%, from $2,222.4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2003. Acquisitions completed in 2003 and 2004 contributed $131.9 million to the Sales increase. Additionally, new business in Engineering, Janitorial and Security contributed to the higher Sales in 2004. However,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these increases were partially offset by decreased project sales in Lighting and termination of unprofitable contracts in Janitorial, Parking and Lighting.</w:t>
      </w:r>
    </w:p>
    <w:p>
      <w:pPr>
        <w:spacing w:after="0" w:line="67" w:lineRule="exact"/>
        <w:rPr>
          <w:sz w:val="20"/>
          <w:szCs w:val="20"/>
          <w:color w:val="auto"/>
        </w:rPr>
      </w:pPr>
    </w:p>
    <w:p>
      <w:pPr>
        <w:ind w:right="120" w:firstLine="300"/>
        <w:spacing w:after="0" w:line="244"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was 9.2% in 2004 compared to 9.7% in 2003. The</w:t>
      </w:r>
      <w:r>
        <w:rPr>
          <w:rFonts w:ascii="Arial" w:cs="Arial" w:eastAsia="Arial" w:hAnsi="Arial"/>
          <w:sz w:val="18"/>
          <w:szCs w:val="18"/>
          <w:b w:val="1"/>
          <w:bCs w:val="1"/>
          <w:color w:val="auto"/>
        </w:rPr>
        <w:t xml:space="preserve"> </w:t>
      </w:r>
      <w:r>
        <w:rPr>
          <w:rFonts w:ascii="Arial" w:cs="Arial" w:eastAsia="Arial" w:hAnsi="Arial"/>
          <w:sz w:val="18"/>
          <w:szCs w:val="18"/>
          <w:color w:val="auto"/>
        </w:rPr>
        <w:t>$17.2 million insurance charge more than offset the higher margin contributions from acquisitions in 2003 and 2004 and from the new businesses in Engineering and Security, as well as the impact of one fewer workday in 2004, termination of unprofitable contracts in Janitorial, Parking and Lighting and renegotiated contracts at Parking. The loss of profitable contracts in the Janitorial Northeast and Southeast regions and higher state unemployment insurance expenses, especially in California, also contributed to reduced gross profits.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were $167.0 million in 2004 compared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$159.9 million in 2003. The increase was primarily due to an increase of $7.7 million in selling, general and administrative expenses attributable</w:t>
      </w:r>
    </w:p>
    <w:p>
      <w:pPr>
        <w:spacing w:after="0" w:line="234" w:lineRule="auto"/>
        <w:rPr>
          <w:sz w:val="20"/>
          <w:szCs w:val="20"/>
          <w:color w:val="auto"/>
        </w:rPr>
      </w:pPr>
      <w:r>
        <w:rPr>
          <w:rFonts w:ascii="Arial" w:cs="Arial" w:eastAsia="Arial" w:hAnsi="Arial"/>
          <w:sz w:val="18"/>
          <w:szCs w:val="18"/>
          <w:color w:val="auto"/>
        </w:rPr>
        <w:t>to 2003 and 2004 acquisitions, higher professional fees related to Sarbanes-Oxley compliance, higher cost associated with the transitioning in</w:t>
      </w:r>
    </w:p>
    <w:p>
      <w:pPr>
        <w:spacing w:after="0" w:line="235" w:lineRule="auto"/>
        <w:rPr>
          <w:sz w:val="20"/>
          <w:szCs w:val="20"/>
          <w:color w:val="auto"/>
        </w:rPr>
      </w:pPr>
      <w:r>
        <w:rPr>
          <w:rFonts w:ascii="Arial" w:cs="Arial" w:eastAsia="Arial" w:hAnsi="Arial"/>
          <w:sz w:val="18"/>
          <w:szCs w:val="18"/>
          <w:color w:val="auto"/>
        </w:rPr>
        <w:t>of the new Chief Operating Officer, as well as a charge in 2004 for a lump sum payment to a director. These increases were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staff reductions in Lighting and lower bad debt expense mostly in Janitorial.</w:t>
      </w:r>
    </w:p>
    <w:p>
      <w:pPr>
        <w:spacing w:after="0" w:line="82" w:lineRule="exact"/>
        <w:rPr>
          <w:sz w:val="20"/>
          <w:szCs w:val="20"/>
          <w:color w:val="auto"/>
        </w:rPr>
      </w:pPr>
    </w:p>
    <w:p>
      <w:pPr>
        <w:jc w:val="both"/>
        <w:ind w:right="220" w:firstLine="300"/>
        <w:spacing w:after="0" w:line="253"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$4.5 million in 2004 compared to $2.0 million in 2003. The increase was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impact on 2004 of 2003 acquisitions and the amortization of intangibles related to the 2004 acquisitions of operations from SSA LLC and Initial Northeast.</w:t>
      </w:r>
    </w:p>
    <w:p>
      <w:pPr>
        <w:spacing w:after="0" w:line="61" w:lineRule="exact"/>
        <w:rPr>
          <w:sz w:val="20"/>
          <w:szCs w:val="20"/>
          <w:color w:val="auto"/>
        </w:rPr>
      </w:pPr>
    </w:p>
    <w:p>
      <w:pPr>
        <w:ind w:right="280" w:firstLine="30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was $1.0 million in 2004 compared to $0.8 million in 2003. The increase was primarily due 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commitment fees in the first quarter of 2004.</w:t>
      </w:r>
    </w:p>
    <w:p>
      <w:pPr>
        <w:spacing w:after="0" w:line="46" w:lineRule="exact"/>
        <w:rPr>
          <w:sz w:val="20"/>
          <w:szCs w:val="20"/>
          <w:color w:val="auto"/>
        </w:rPr>
      </w:pPr>
    </w:p>
    <w:p>
      <w:pPr>
        <w:ind w:right="80" w:firstLine="300"/>
        <w:spacing w:after="0" w:line="24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for income from continuing operations was 34.1% for 2004, compared to 33.3% for 2003. The 34.1%</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tax rate reflects a higher estimated state income tax rate due to the combined income tax return filing requirements in certain states where separate income tax returns were previously filed. The income tax provision for continuing operations for 2004 included a tax benefit of $1.3 million principally attributable to adjusting the tax liability accounts after filing the 2003 income tax returns and from filing amended tax returns primarily to claim higher work opportunity tax credits. The income tax provision for continuing operations for 2003 included a tax benefit of $0.9 million principally from adjusting the tax liability accounts after filing the 2002 income tax returns and from refunds from prior years’ amended tax returns.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2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2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Better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4"/>
        </w:trPr>
        <w:tc>
          <w:tcPr>
            <w:tcW w:w="548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2160" w:type="dxa"/>
            <w:vAlign w:val="bottom"/>
          </w:tcPr>
          <w:p>
            <w:pPr>
              <w:spacing w:after="0"/>
              <w:rPr>
                <w:sz w:val="14"/>
                <w:szCs w:val="14"/>
                <w:color w:val="auto"/>
              </w:rPr>
            </w:pPr>
          </w:p>
        </w:tc>
        <w:tc>
          <w:tcPr>
            <w:tcW w:w="1140" w:type="dxa"/>
            <w:vAlign w:val="bottom"/>
          </w:tcPr>
          <w:p>
            <w:pPr>
              <w:jc w:val="right"/>
              <w:ind w:right="588"/>
              <w:spacing w:after="0" w:line="157"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180" w:type="dxa"/>
            <w:vAlign w:val="bottom"/>
          </w:tcPr>
          <w:p>
            <w:pPr>
              <w:jc w:val="right"/>
              <w:ind w:right="628"/>
              <w:spacing w:after="0" w:line="157" w:lineRule="exact"/>
              <w:rPr>
                <w:sz w:val="20"/>
                <w:szCs w:val="20"/>
                <w:color w:val="auto"/>
              </w:rPr>
            </w:pPr>
            <w:r>
              <w:rPr>
                <w:rFonts w:ascii="Arial" w:cs="Arial" w:eastAsia="Arial" w:hAnsi="Arial"/>
                <w:sz w:val="14"/>
                <w:szCs w:val="14"/>
                <w:color w:val="auto"/>
              </w:rPr>
              <w:t>2003</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(Worse)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Sales and other income:</w:t>
            </w:r>
          </w:p>
        </w:tc>
        <w:tc>
          <w:tcPr>
            <w:tcW w:w="2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Janitorial</w:t>
            </w:r>
          </w:p>
        </w:tc>
        <w:tc>
          <w:tcPr>
            <w:tcW w:w="2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1,442,901</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1,368,282</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Parking</w:t>
            </w:r>
          </w:p>
        </w:tc>
        <w:tc>
          <w:tcPr>
            <w:tcW w:w="2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384,547</w:t>
            </w: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380,576</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Security</w:t>
            </w:r>
          </w:p>
        </w:tc>
        <w:tc>
          <w:tcPr>
            <w:tcW w:w="2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224,715</w:t>
            </w:r>
          </w:p>
        </w:tc>
        <w:tc>
          <w:tcPr>
            <w:tcW w:w="44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159,670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Engineering</w:t>
            </w:r>
          </w:p>
        </w:tc>
        <w:tc>
          <w:tcPr>
            <w:tcW w:w="2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209,156</w:t>
            </w: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185,515</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Lighting</w:t>
            </w:r>
          </w:p>
        </w:tc>
        <w:tc>
          <w:tcPr>
            <w:tcW w:w="2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112,074</w:t>
            </w:r>
          </w:p>
        </w:tc>
        <w:tc>
          <w:tcPr>
            <w:tcW w:w="44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127,539</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(12.1)%</w:t>
            </w:r>
          </w:p>
        </w:tc>
      </w:tr>
      <w:tr>
        <w:trPr>
          <w:trHeight w:val="162"/>
        </w:trPr>
        <w:tc>
          <w:tcPr>
            <w:tcW w:w="20" w:type="dxa"/>
            <w:vAlign w:val="bottom"/>
          </w:tcPr>
          <w:p>
            <w:pPr>
              <w:spacing w:after="0"/>
              <w:rPr>
                <w:sz w:val="14"/>
                <w:szCs w:val="1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Corporate</w:t>
            </w:r>
          </w:p>
        </w:tc>
        <w:tc>
          <w:tcPr>
            <w:tcW w:w="2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1,756</w:t>
            </w:r>
          </w:p>
        </w:tc>
        <w:tc>
          <w:tcPr>
            <w:tcW w:w="4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785</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123.7</w:t>
            </w: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2,375,149</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2,222,367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w:t>
            </w:r>
          </w:p>
        </w:tc>
        <w:tc>
          <w:tcPr>
            <w:tcW w:w="2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Janitorial</w:t>
            </w:r>
          </w:p>
        </w:tc>
        <w:tc>
          <w:tcPr>
            <w:tcW w:w="2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60,574</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53,899</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Parking</w:t>
            </w:r>
          </w:p>
        </w:tc>
        <w:tc>
          <w:tcPr>
            <w:tcW w:w="2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9,514</w:t>
            </w: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6,238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Security</w:t>
            </w:r>
          </w:p>
        </w:tc>
        <w:tc>
          <w:tcPr>
            <w:tcW w:w="2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9,002</w:t>
            </w:r>
          </w:p>
        </w:tc>
        <w:tc>
          <w:tcPr>
            <w:tcW w:w="44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6,485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Engineering</w:t>
            </w:r>
          </w:p>
        </w:tc>
        <w:tc>
          <w:tcPr>
            <w:tcW w:w="2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12,096</w:t>
            </w: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9,571</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Lighting</w:t>
            </w:r>
          </w:p>
        </w:tc>
        <w:tc>
          <w:tcPr>
            <w:tcW w:w="2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2,822</w:t>
            </w:r>
          </w:p>
        </w:tc>
        <w:tc>
          <w:tcPr>
            <w:tcW w:w="44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5,646</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(50.0)%</w:t>
            </w:r>
          </w:p>
        </w:tc>
      </w:tr>
      <w:tr>
        <w:trPr>
          <w:trHeight w:val="162"/>
        </w:trPr>
        <w:tc>
          <w:tcPr>
            <w:tcW w:w="20" w:type="dxa"/>
            <w:vAlign w:val="bottom"/>
          </w:tcPr>
          <w:p>
            <w:pPr>
              <w:spacing w:after="0"/>
              <w:rPr>
                <w:sz w:val="14"/>
                <w:szCs w:val="1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Corporate expense</w:t>
            </w:r>
          </w:p>
        </w:tc>
        <w:tc>
          <w:tcPr>
            <w:tcW w:w="2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(47,996)</w:t>
            </w:r>
          </w:p>
        </w:tc>
        <w:tc>
          <w:tcPr>
            <w:tcW w:w="4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(29,205)</w:t>
            </w: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(64.3)%</w:t>
            </w:r>
          </w:p>
        </w:tc>
      </w:tr>
      <w:tr>
        <w:trPr>
          <w:trHeight w:val="169"/>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Operating profit</w:t>
            </w:r>
          </w:p>
        </w:tc>
        <w:tc>
          <w:tcPr>
            <w:tcW w:w="2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46,012</w:t>
            </w:r>
          </w:p>
        </w:tc>
        <w:tc>
          <w:tcPr>
            <w:tcW w:w="44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52,634</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(12.6)%</w:t>
            </w:r>
          </w:p>
        </w:tc>
      </w:tr>
      <w:tr>
        <w:trPr>
          <w:trHeight w:val="162"/>
        </w:trPr>
        <w:tc>
          <w:tcPr>
            <w:tcW w:w="20" w:type="dxa"/>
            <w:vAlign w:val="bottom"/>
          </w:tcPr>
          <w:p>
            <w:pPr>
              <w:spacing w:after="0"/>
              <w:rPr>
                <w:sz w:val="14"/>
                <w:szCs w:val="1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(1,016)</w:t>
            </w:r>
          </w:p>
        </w:tc>
        <w:tc>
          <w:tcPr>
            <w:tcW w:w="4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(758)</w:t>
            </w: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(34.0)%</w:t>
            </w:r>
          </w:p>
        </w:tc>
      </w:tr>
      <w:tr>
        <w:trPr>
          <w:trHeight w:val="169"/>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2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44,996</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51,876</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(13.3)%</w:t>
            </w:r>
          </w:p>
        </w:tc>
      </w:tr>
      <w:tr>
        <w:trPr>
          <w:trHeight w:val="21"/>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Sales for Janitorial increased by $74.6 million, or 5.5%, from 2003 to 2004. The higher Sales were primarily due to 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$65.0 million increase in Sales from the Horizon, HGO and Initial Northeast acquisitions completed in 2003 and 2004. Additionally, Sales</w:t>
      </w:r>
    </w:p>
    <w:p>
      <w:pPr>
        <w:spacing w:after="0" w:line="234" w:lineRule="auto"/>
        <w:rPr>
          <w:sz w:val="20"/>
          <w:szCs w:val="20"/>
          <w:color w:val="auto"/>
        </w:rPr>
      </w:pPr>
      <w:r>
        <w:rPr>
          <w:rFonts w:ascii="Arial" w:cs="Arial" w:eastAsia="Arial" w:hAnsi="Arial"/>
          <w:sz w:val="18"/>
          <w:szCs w:val="18"/>
          <w:color w:val="auto"/>
        </w:rPr>
        <w:t>increased due to new business in the Southwest and Northern California regions, expansion of service to existing customers in the Midwest</w:t>
      </w:r>
    </w:p>
    <w:p>
      <w:pPr>
        <w:spacing w:after="0" w:line="235" w:lineRule="auto"/>
        <w:rPr>
          <w:sz w:val="20"/>
          <w:szCs w:val="20"/>
          <w:color w:val="auto"/>
        </w:rPr>
      </w:pPr>
      <w:r>
        <w:rPr>
          <w:rFonts w:ascii="Arial" w:cs="Arial" w:eastAsia="Arial" w:hAnsi="Arial"/>
          <w:sz w:val="18"/>
          <w:szCs w:val="18"/>
          <w:color w:val="auto"/>
        </w:rPr>
        <w:t>region, and price adjustments to pass through a portion of union wage, workers’ compensation insurance and state unemployment insurance</w:t>
      </w:r>
    </w:p>
    <w:p>
      <w:pPr>
        <w:spacing w:after="0" w:line="235" w:lineRule="auto"/>
        <w:rPr>
          <w:sz w:val="20"/>
          <w:szCs w:val="20"/>
          <w:color w:val="auto"/>
        </w:rPr>
      </w:pPr>
      <w:r>
        <w:rPr>
          <w:rFonts w:ascii="Arial" w:cs="Arial" w:eastAsia="Arial" w:hAnsi="Arial"/>
          <w:sz w:val="18"/>
          <w:szCs w:val="18"/>
          <w:color w:val="auto"/>
        </w:rPr>
        <w:t>increases in the Southwest and Midwest regions. These increases were substantially offset by decreased Sales in the Northeast, Southeast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South Central regions primarily due to loss of profitable contracts to competition, as well as the termination of unprofitable contracts.</w:t>
      </w:r>
    </w:p>
    <w:p>
      <w:pPr>
        <w:spacing w:after="0" w:line="104" w:lineRule="exact"/>
        <w:rPr>
          <w:sz w:val="20"/>
          <w:szCs w:val="20"/>
          <w:color w:val="auto"/>
        </w:rPr>
      </w:pPr>
    </w:p>
    <w:p>
      <w:pPr>
        <w:ind w:right="380" w:firstLine="300"/>
        <w:spacing w:after="0" w:line="246" w:lineRule="auto"/>
        <w:rPr>
          <w:sz w:val="20"/>
          <w:szCs w:val="20"/>
          <w:color w:val="auto"/>
        </w:rPr>
      </w:pPr>
      <w:r>
        <w:rPr>
          <w:rFonts w:ascii="Arial" w:cs="Arial" w:eastAsia="Arial" w:hAnsi="Arial"/>
          <w:sz w:val="18"/>
          <w:szCs w:val="18"/>
          <w:color w:val="auto"/>
        </w:rPr>
        <w:t>Operating profit improved by $6.7 million, or 12.4%, in 2004 compared to 2003. The increases in operating profits of Horizon, HGO and Initial North-</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east were $3.4 million. Additionally, Janitorial 2004 operating profit included a $2.5 million benefit from lower bad debt expense and $2.3 million from one fewer work day in 2004, partially offset by an increase in union wages, workers’ compensation insurance and state unemployment insurance not fully absorbed through increased pricing.</w:t>
      </w:r>
    </w:p>
    <w:p>
      <w:pPr>
        <w:spacing w:after="0" w:line="95" w:lineRule="exact"/>
        <w:rPr>
          <w:sz w:val="20"/>
          <w:szCs w:val="20"/>
          <w:color w:val="auto"/>
        </w:rPr>
      </w:pPr>
    </w:p>
    <w:p>
      <w:pPr>
        <w:ind w:right="60" w:firstLine="300"/>
        <w:spacing w:after="0" w:line="238" w:lineRule="auto"/>
        <w:rPr>
          <w:sz w:val="20"/>
          <w:szCs w:val="20"/>
          <w:color w:val="auto"/>
        </w:rPr>
      </w:pPr>
      <w:r>
        <w:rPr>
          <w:rFonts w:ascii="Arial" w:cs="Arial" w:eastAsia="Arial" w:hAnsi="Arial"/>
          <w:sz w:val="18"/>
          <w:szCs w:val="18"/>
          <w:color w:val="auto"/>
        </w:rPr>
        <w:t>Other operating profit contributions from the Northeast, Northwest, Midwest and Northern California were more than offset by the impact of lost businesses in Southeast and South Central regions, and increased staffing and legal expenses in the Southwest region. The factors contributing to the operating profit improvement in the Northeast were the absence of costs associated with management changes which affected 2003, as well as termination of unprofitable contracts. The Northwest region operating profits improved primarily due to lower legal expenses. The 2004 operating profits in the Midwest and Northern California regions benefited from increased Sales.</w:t>
      </w:r>
    </w:p>
    <w:p>
      <w:pPr>
        <w:spacing w:after="0" w:line="73"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by $3.9 million, or 1.0%, while operating profits increased by $3.3 million, or 52.5%, during 2004</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2003. The 2003 Valet acquisition contributed $7.7 million to the Sales increase. Despite the impact of severe weather conditions in various parts of the country on travel and airport parking during the first six months of 2004, airport sales at each existing location generally improved with increases in airline traffic. However, these improvements were more than offset by the termination of two airport contracts in 2003. The increase in operating profits resulted from the termination of unprofitable airport contracts in 2003, increased activity at remaining airport locations, improved margins on renegotiated contracts, as well as new airport and commercial contracts. Additionally, operating profit for 2004 included incentive fee income and property tax benefits from two airport operations. The operating profit for 2003 included the receipt of a $1.1 million settlement for prior period services performed related to a managed parking lot contract in Houston, Texas, largely offset by a provision of $1.0 million for parking sales taxes for prior years based on a sales tax audit.</w:t>
      </w:r>
    </w:p>
    <w:p>
      <w:pPr>
        <w:spacing w:after="0" w:line="76" w:lineRule="exact"/>
        <w:rPr>
          <w:sz w:val="20"/>
          <w:szCs w:val="20"/>
          <w:color w:val="auto"/>
        </w:rPr>
      </w:pPr>
    </w:p>
    <w:p>
      <w:pPr>
        <w:ind w:right="100" w:firstLine="300"/>
        <w:spacing w:after="0" w:line="244"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$65.0 million, or 40.7%, primarily due to the acquisition of operations from SSA LLC, which contributed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$59.2 million to the Sales increase, and the net effect of new business, including major contracts awarded in the third quarter of 2004. Operating profits increased $2.5 million, or 38.8%, primarily due to the $2.1 million profit contribution from operations acquired from SSA LLC, operating profit from new business and slightly improved margins on existing business resulting from a rate increase program that absorbed wage increases and part of the state unemployment insurance increase, especially in California.</w:t>
      </w:r>
    </w:p>
    <w:p>
      <w:pPr>
        <w:spacing w:after="0" w:line="69" w:lineRule="exact"/>
        <w:rPr>
          <w:sz w:val="20"/>
          <w:szCs w:val="20"/>
          <w:color w:val="auto"/>
        </w:rPr>
      </w:pPr>
    </w:p>
    <w:p>
      <w:pPr>
        <w:ind w:right="220" w:firstLine="300"/>
        <w:spacing w:after="0" w:line="244"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$23.7 million, or 12.7%, during 2004 compared to 2003 due to successful sales initiatives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the expansion of services to existing customers and new business in eight of nine regions in the country, most significantly in Northern California. Additionally, Engineering was awarded a new major contract in 2004. Operating profits increased $2.5 million, or 26.4%, during 2004 compared to 2003 due to higher Sales, partially offset by the increased management staff and the higher state unemployment insurance expense in California.</w:t>
      </w:r>
    </w:p>
    <w:p>
      <w:pPr>
        <w:spacing w:after="0" w:line="69" w:lineRule="exact"/>
        <w:rPr>
          <w:sz w:val="20"/>
          <w:szCs w:val="20"/>
          <w:color w:val="auto"/>
        </w:rPr>
      </w:pPr>
    </w:p>
    <w:p>
      <w:pPr>
        <w:ind w:right="340" w:firstLine="300"/>
        <w:spacing w:after="0" w:line="247"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$15.4 million, or 12.1%, during 2004 compared to 2003 primarily due to significantly fewer retrofit</w:t>
      </w:r>
      <w:r>
        <w:rPr>
          <w:rFonts w:ascii="Arial" w:cs="Arial" w:eastAsia="Arial" w:hAnsi="Arial"/>
          <w:sz w:val="18"/>
          <w:szCs w:val="18"/>
          <w:b w:val="1"/>
          <w:bCs w:val="1"/>
          <w:color w:val="auto"/>
        </w:rPr>
        <w:t xml:space="preserve"> </w:t>
      </w:r>
      <w:r>
        <w:rPr>
          <w:rFonts w:ascii="Arial" w:cs="Arial" w:eastAsia="Arial" w:hAnsi="Arial"/>
          <w:sz w:val="18"/>
          <w:szCs w:val="18"/>
          <w:color w:val="auto"/>
        </w:rPr>
        <w:t>projects, lower prices on renewed national contracts as a result of competitive pressures and the termination of certain underperforming national contracts throughout 2003. Operating profits decreased $2.8 million or 50.0% primarily due to decrease in Sales, partially offset by savings from staff reductions.</w:t>
      </w:r>
    </w:p>
    <w:p>
      <w:pPr>
        <w:spacing w:after="0" w:line="66"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2004 increased by $18.8 million, or 64.3%, compared to 2003, primarily due to the $17.2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charge in 2004 which resulted from adverse developments in the Company’s California workers’ compensation claims believed to be related to poor claims management by a third party administrator. While virtually all insurance claims arise from the operating segments, this adjustment is included in unallocated corporate expenses. Had the Company allocated the insurance restatement adjustment and 2004 adverse development among the operating segments, the reported pre-tax operating profits of the operating segments, as a whole, would have been reduced by $17.2 million in 2004, with an equal and offsetting change to unallocated Corporate expenses and therefore no change to consolidated pre-tax earnings for 2004.</w:t>
      </w:r>
    </w:p>
    <w:p>
      <w:pPr>
        <w:spacing w:after="0" w:line="93" w:lineRule="exact"/>
        <w:rPr>
          <w:sz w:val="20"/>
          <w:szCs w:val="20"/>
          <w:color w:val="auto"/>
        </w:rPr>
      </w:pPr>
    </w:p>
    <w:p>
      <w:pPr>
        <w:ind w:right="800" w:firstLine="300"/>
        <w:spacing w:after="0" w:line="246" w:lineRule="auto"/>
        <w:rPr>
          <w:sz w:val="20"/>
          <w:szCs w:val="20"/>
          <w:color w:val="auto"/>
        </w:rPr>
      </w:pPr>
      <w:r>
        <w:rPr>
          <w:rFonts w:ascii="Arial" w:cs="Arial" w:eastAsia="Arial" w:hAnsi="Arial"/>
          <w:sz w:val="18"/>
          <w:szCs w:val="18"/>
          <w:color w:val="auto"/>
        </w:rPr>
        <w:t>Corporate expenses in 2004 also included increases in professional fees primarily related to Sarbanes-Oxley Act compliance and preparation of amended tax returns, higher cost associated with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transitioning in of the new Chief Operating Officer, and a charge in the fourth quarter of 2004 for the lump sum payment of $0.3 million to the non-employee Chairman of the Executive Committee of the Board of Directors of ABM. These increases were partially offset by the absence of fees related to the due diligence performed in 2003 for a proposed acquisition that was not completed and fees related to the use of outside counsel in 2003 while in the process of hiring a General Counsel. The new General Counsel was hired in May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right="140" w:firstLine="300"/>
        <w:spacing w:after="0" w:line="234" w:lineRule="auto"/>
        <w:rPr>
          <w:sz w:val="20"/>
          <w:szCs w:val="20"/>
          <w:color w:val="auto"/>
        </w:rPr>
      </w:pPr>
      <w:r>
        <w:rPr>
          <w:rFonts w:ascii="Arial" w:cs="Arial" w:eastAsia="Arial" w:hAnsi="Arial"/>
          <w:sz w:val="18"/>
          <w:szCs w:val="18"/>
          <w:color w:val="auto"/>
        </w:rPr>
        <w:t>On November 1, 2005, The Company acquired the customer contracts of Brandywine Building Services, Inc., a facility services company based in Wilmington, Delaware, for approximately $3.6 million in cash. Additional cash consideration of approximately $2.4 million is expected to be paid based on the financial performance of the acquired business over the next four years. With annual revenues in excess of</w:t>
      </w:r>
    </w:p>
    <w:p>
      <w:pPr>
        <w:spacing w:after="0" w:line="2"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$9.0 million, Brandywine Building Services, Inc. is a provider of commercial office cleaning and specialty cleaning services throughout Delaware, southeast Pennsylvania and south New Jersey.</w:t>
      </w:r>
    </w:p>
    <w:p>
      <w:pPr>
        <w:spacing w:after="0" w:line="89" w:lineRule="exact"/>
        <w:rPr>
          <w:sz w:val="20"/>
          <w:szCs w:val="20"/>
          <w:color w:val="auto"/>
        </w:rPr>
      </w:pPr>
    </w:p>
    <w:p>
      <w:pPr>
        <w:jc w:val="both"/>
        <w:ind w:right="60" w:firstLine="300"/>
        <w:spacing w:after="0" w:line="239" w:lineRule="auto"/>
        <w:rPr>
          <w:sz w:val="20"/>
          <w:szCs w:val="20"/>
          <w:color w:val="auto"/>
        </w:rPr>
      </w:pPr>
      <w:r>
        <w:rPr>
          <w:rFonts w:ascii="Arial" w:cs="Arial" w:eastAsia="Arial" w:hAnsi="Arial"/>
          <w:sz w:val="18"/>
          <w:szCs w:val="18"/>
          <w:color w:val="auto"/>
        </w:rPr>
        <w:t>On November 27, 2005, the Company acquired the customer contracts of Fargo Security, Inc., a security guard services company based in Miami, Florida, for approximately $1.2 million in cash. Additional cash consideration of approximately $0.5 million is expected to be paid based on the revenue retained by the acquired business over the 90 days following the date of acquisition. With annual revenues in excess of $6.5 million, Fargo Security, Inc. is a provider of contract security guard services throughout the Miami metropolitan area.</w:t>
      </w:r>
    </w:p>
    <w:p>
      <w:pPr>
        <w:spacing w:after="0" w:line="94" w:lineRule="exact"/>
        <w:rPr>
          <w:sz w:val="20"/>
          <w:szCs w:val="20"/>
          <w:color w:val="auto"/>
        </w:rPr>
      </w:pPr>
    </w:p>
    <w:p>
      <w:pPr>
        <w:ind w:right="160" w:firstLine="300"/>
        <w:spacing w:after="0" w:line="238" w:lineRule="auto"/>
        <w:rPr>
          <w:sz w:val="20"/>
          <w:szCs w:val="20"/>
          <w:color w:val="auto"/>
        </w:rPr>
      </w:pPr>
      <w:r>
        <w:rPr>
          <w:rFonts w:ascii="Arial" w:cs="Arial" w:eastAsia="Arial" w:hAnsi="Arial"/>
          <w:sz w:val="18"/>
          <w:szCs w:val="18"/>
          <w:color w:val="auto"/>
        </w:rPr>
        <w:t>On December 11, 2005, the Company acquired the customer contracts of MWS Management, Inc., dba Protector Security Services, a security guard services company based in St. Louis, Missouri, for approximately $0.6 million in cash. Additional cash consideration of approximately $0.3 million is expected to be paid based on the revenue retained by the acquired business over the 90 days following the date of acquisition. With annual revenues in excess of $2.6 million, Protector Security Services is a provider of contract security guard services throughout the St. Louis metropolitan area.</w:t>
      </w:r>
    </w:p>
    <w:p>
      <w:pPr>
        <w:spacing w:after="0" w:line="95" w:lineRule="exact"/>
        <w:rPr>
          <w:sz w:val="20"/>
          <w:szCs w:val="20"/>
          <w:color w:val="auto"/>
        </w:rPr>
      </w:pPr>
    </w:p>
    <w:p>
      <w:pPr>
        <w:jc w:val="both"/>
        <w:ind w:right="300" w:firstLine="300"/>
        <w:spacing w:after="0"/>
        <w:rPr>
          <w:sz w:val="20"/>
          <w:szCs w:val="20"/>
          <w:color w:val="auto"/>
        </w:rPr>
      </w:pPr>
      <w:r>
        <w:rPr>
          <w:rFonts w:ascii="Arial" w:cs="Arial" w:eastAsia="Arial" w:hAnsi="Arial"/>
          <w:sz w:val="18"/>
          <w:szCs w:val="18"/>
          <w:color w:val="auto"/>
        </w:rPr>
        <w:t>In February 2006, the Company agreed to settle certain litigation and other claims that were pending at October 31, 2005. Because the settlements occurred before the 2005 financial statements were issued this amount was subsequently accrued for as of October 31, 2005 in the aggregate amount of $7.8 million. The foregoing amount does not take into account recoveries, if any, from insurance carriers.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w:t>
      </w:r>
    </w:p>
    <w:p>
      <w:pPr>
        <w:spacing w:after="0" w:line="126" w:lineRule="exact"/>
        <w:rPr>
          <w:sz w:val="20"/>
          <w:szCs w:val="20"/>
          <w:color w:val="auto"/>
        </w:rPr>
      </w:pPr>
    </w:p>
    <w:p>
      <w:pPr>
        <w:jc w:val="both"/>
        <w:ind w:right="120" w:firstLine="300"/>
        <w:spacing w:after="0" w:line="234" w:lineRule="auto"/>
        <w:rPr>
          <w:sz w:val="20"/>
          <w:szCs w:val="20"/>
          <w:color w:val="auto"/>
        </w:rPr>
      </w:pPr>
      <w:r>
        <w:rPr>
          <w:rFonts w:ascii="Arial" w:cs="Arial" w:eastAsia="Arial" w:hAnsi="Arial"/>
          <w:sz w:val="18"/>
          <w:szCs w:val="18"/>
          <w:color w:val="auto"/>
        </w:rPr>
        <w:t>In December 2004, the FASB issued SFAS No. 153, “Exchanges for Nonmonetary Assets — an amendment of APB Opinion No. 29.” APB Opinion No. 29 is based on the premise that nonmonetary transactions should be measured based on the fair value of the assets exchanged. SFAS No. 153 incorporates a general exception for nonmonetary exchange transactions that have commercial substance. Under</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SFAS No. 153, a nonmonetary exchange shall be measured based on the recorded amount (after reduction of any indicated impairment) of the nonmonetary asset relinquished and not on the fair values of the exchanged assets if any of the following conditions apply: fair value is not determinable, the transaction is made to facilitate sales to customers, or the transaction lacks commercial substance. SFAS No. 153 was effective for nonmonetary asset exchanges beginning in the fourth quarter of 2005. The Company’s adoption of SFAS No. 153 did not have a material impact on its financial position, results of operations or liquidity.</w:t>
      </w:r>
    </w:p>
    <w:p>
      <w:pPr>
        <w:spacing w:after="0" w:line="95" w:lineRule="exact"/>
        <w:rPr>
          <w:sz w:val="20"/>
          <w:szCs w:val="20"/>
          <w:color w:val="auto"/>
        </w:rPr>
      </w:pPr>
    </w:p>
    <w:p>
      <w:pPr>
        <w:ind w:right="260" w:firstLine="300"/>
        <w:spacing w:after="0" w:line="236" w:lineRule="auto"/>
        <w:rPr>
          <w:sz w:val="20"/>
          <w:szCs w:val="20"/>
          <w:color w:val="auto"/>
        </w:rPr>
      </w:pPr>
      <w:r>
        <w:rPr>
          <w:rFonts w:ascii="Arial" w:cs="Arial" w:eastAsia="Arial" w:hAnsi="Arial"/>
          <w:sz w:val="18"/>
          <w:szCs w:val="18"/>
          <w:color w:val="auto"/>
        </w:rPr>
        <w:t>In June 2005, the EITF ratified their conclusions on EITF Issue No. 05-6, “Determining the Amortization Period for Leasehold Improvements.” EITF Issue No. 05-6 clarifies the life assigned to leasehold improvements acquired in a business combination and leasehold improvements that are placed in service significantly after and not contemplated at or near the beginning of the lease term. For leasehold improvements acquired in a business combination, amortization should be over the shorter of the useful lives of the assets or a term that includes required lease periods and renewals that are deemed to be reasonably assured at the date of acquisition. Leasehold improvements that are placed in service significantly after and not contemplated at or near the beginning of the lease term should be amortized over the shorter of the useful lives of the assets or a term that includes lease periods and renewals that are deemed to be reasonably assured at the date the leasehold improvements are purchased. This was effective for all leasehold improvements purchased or acquired beginning in the fourth quarter of 2005 for the Company. The Company’s adoption of EITF Issue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 05-6 did not have a material impact on its financial position, results of operations or liquidity.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6" w:lineRule="exact"/>
        <w:rPr>
          <w:sz w:val="20"/>
          <w:szCs w:val="20"/>
          <w:color w:val="auto"/>
        </w:rPr>
      </w:pPr>
    </w:p>
    <w:p>
      <w:pPr>
        <w:ind w:right="20" w:firstLine="300"/>
        <w:spacing w:after="0" w:line="236" w:lineRule="auto"/>
        <w:rPr>
          <w:sz w:val="20"/>
          <w:szCs w:val="20"/>
          <w:color w:val="auto"/>
        </w:rPr>
      </w:pPr>
      <w:r>
        <w:rPr>
          <w:rFonts w:ascii="Arial" w:cs="Arial" w:eastAsia="Arial" w:hAnsi="Arial"/>
          <w:sz w:val="18"/>
          <w:szCs w:val="18"/>
          <w:color w:val="auto"/>
        </w:rPr>
        <w:t>In December 2004, FASB issued SFAS No. 123R, “Share-Based Payment.” This statement is a revision to SFAS No. 123, “Accounting for Stock-Based Compensation” and supersedes Accounting Principles Board (“APB”) Opinion No. 25, “Accounting for Stock Issued to Employees.”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SFAS No. 123R is effective as of the beginning of the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in Note 9 of the Notes to Consolidated Financial Statements contained in Item 8, “Financial Statements and Supplementary Data.”</w:t>
      </w:r>
    </w:p>
    <w:p>
      <w:pPr>
        <w:spacing w:after="0" w:line="98"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In May 2005, the FASB issued SFAS No. 154, “Accounting Changes and Error Corrections.” This Statement replaces APB Opinion No. 20, “Accounting Changes” and SFAS No. 3, “Reporting Accounting Changes in Interim Financial Statements.” SFAS No. 154 applies to all voluntary changes in accounting principle, and changes the requirements for accounting for and reporting of a change in accounting principle. SFAS No. 154 requires retrospective application to prior periods’ financial statements of a voluntary change in accounting principle unless it is impracticable. Opinion No. 20 previously required that most voluntary changes in accounting principle be recognized by including in net income of the period of the change the cumulative effect of changing to the new accounting principle. SFAS No. 154 also requires that a change in method of depreciation, amortization or depletion for long-lived, nonfinancial assets be accounted for as a change in accounting estimate that is effected by a change in accounting principle. Opinion No. 20 previously required that such a change be reported as a change in accounting principle. SFAS No. 154 is effective for accounting changes and corrections of errors made in fiscal years beginning after December 15, 2005. Earlier application is permitted for accounting changes and corrections of errors made occurring in fiscal years beginning after June 1, 2005. The Company will adopt SFAS No. 154 effective November 1, 2005.</w:t>
      </w:r>
    </w:p>
    <w:p>
      <w:pPr>
        <w:spacing w:after="0" w:line="98" w:lineRule="exact"/>
        <w:rPr>
          <w:sz w:val="20"/>
          <w:szCs w:val="20"/>
          <w:color w:val="auto"/>
        </w:rPr>
      </w:pPr>
    </w:p>
    <w:p>
      <w:pPr>
        <w:ind w:right="140" w:firstLine="300"/>
        <w:spacing w:after="0" w:line="238" w:lineRule="auto"/>
        <w:rPr>
          <w:sz w:val="20"/>
          <w:szCs w:val="20"/>
          <w:color w:val="auto"/>
        </w:rPr>
      </w:pPr>
      <w:r>
        <w:rPr>
          <w:rFonts w:ascii="Arial" w:cs="Arial" w:eastAsia="Arial" w:hAnsi="Arial"/>
          <w:sz w:val="18"/>
          <w:szCs w:val="18"/>
          <w:color w:val="auto"/>
        </w:rPr>
        <w:t>In October 2005, the FASB issued FASB Staff Position (“FSP”) No. FAS 13-1, “Accounting for Rental Costs Incurred during a Construction Period.” FSP No. FAS 13-1 provides guidance to the treatment of rental expense incurred during a construction period. The guidance in FSP No. FAS 13-1 prohibits the capitalization of rental expense as leasehold improvement costs and is effective in the first reporting period beginning after December 15, 2005. The Company does not expect the adoption of FSP No. FAS 13-1 will have a material impact on its financial position,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120" w:firstLine="297"/>
        <w:spacing w:after="0" w:line="237" w:lineRule="auto"/>
        <w:rPr>
          <w:sz w:val="20"/>
          <w:szCs w:val="20"/>
          <w:color w:val="auto"/>
        </w:rPr>
      </w:pPr>
      <w:r>
        <w:rPr>
          <w:rFonts w:ascii="Arial" w:cs="Arial" w:eastAsia="Arial" w:hAnsi="Arial"/>
          <w:sz w:val="18"/>
          <w:szCs w:val="18"/>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sales allowance, valuation allowance for the net deferred income tax asset, estimate of useful life of intangible assets, impairment of goodwill and other intangibles,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95" w:lineRule="exact"/>
        <w:rPr>
          <w:sz w:val="20"/>
          <w:szCs w:val="20"/>
          <w:color w:val="auto"/>
        </w:rPr>
      </w:pPr>
    </w:p>
    <w:p>
      <w:pPr>
        <w:ind w:firstLine="297"/>
        <w:spacing w:after="0" w:line="246" w:lineRule="auto"/>
        <w:rPr>
          <w:sz w:val="20"/>
          <w:szCs w:val="20"/>
          <w:color w:val="auto"/>
        </w:rPr>
      </w:pPr>
      <w:r>
        <w:rPr>
          <w:rFonts w:ascii="Arial" w:cs="Arial" w:eastAsia="Arial" w:hAnsi="Arial"/>
          <w:sz w:val="18"/>
          <w:szCs w:val="18"/>
          <w:color w:val="auto"/>
        </w:rPr>
        <w:t>The Company believes the following critical accounting policies govern its more significant judgments and estimates used in the preparation of its consolidated financial statements.</w:t>
      </w:r>
    </w:p>
    <w:p>
      <w:pPr>
        <w:spacing w:after="0" w:line="67" w:lineRule="exact"/>
        <w:rPr>
          <w:sz w:val="20"/>
          <w:szCs w:val="20"/>
          <w:color w:val="auto"/>
        </w:rPr>
      </w:pPr>
    </w:p>
    <w:p>
      <w:pPr>
        <w:ind w:right="300" w:firstLine="300"/>
        <w:spacing w:after="0" w:line="271" w:lineRule="auto"/>
        <w:rPr>
          <w:sz w:val="20"/>
          <w:szCs w:val="20"/>
          <w:color w:val="auto"/>
        </w:rPr>
      </w:pPr>
      <w:r>
        <w:rPr>
          <w:rFonts w:ascii="Arial" w:cs="Arial" w:eastAsia="Arial" w:hAnsi="Arial"/>
          <w:sz w:val="18"/>
          <w:szCs w:val="18"/>
          <w:b w:val="1"/>
          <w:bCs w:val="1"/>
          <w:color w:val="auto"/>
        </w:rPr>
        <w:t xml:space="preserve">Self-Insurance Reserves. </w:t>
      </w:r>
      <w:r>
        <w:rPr>
          <w:rFonts w:ascii="Arial" w:cs="Arial" w:eastAsia="Arial" w:hAnsi="Arial"/>
          <w:sz w:val="18"/>
          <w:szCs w:val="18"/>
          <w:color w:val="auto"/>
        </w:rPr>
        <w:t>Certain insurable risks such as general liability, automobile property damage and workers’ compensation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self-insured by the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Company. However, commercial policies are obtained to provide coverage for certain risk exposures subject to specified limits. Accruals for claims under the Company’s self-insurance program are recorded on a claim-incurred basis. The Company uses an independent actuary to evaluate the Company’s estimated claim costs and liabilities at least annually and accrues self-insurance reserves in an amount that is equal to the actuarial point estimate.</w:t>
      </w:r>
    </w:p>
    <w:p>
      <w:pPr>
        <w:spacing w:after="0" w:line="94" w:lineRule="exact"/>
        <w:rPr>
          <w:sz w:val="20"/>
          <w:szCs w:val="20"/>
          <w:color w:val="auto"/>
        </w:rPr>
      </w:pPr>
    </w:p>
    <w:p>
      <w:pPr>
        <w:ind w:right="20" w:firstLine="300"/>
        <w:spacing w:after="0" w:line="236" w:lineRule="auto"/>
        <w:rPr>
          <w:sz w:val="20"/>
          <w:szCs w:val="20"/>
          <w:color w:val="auto"/>
        </w:rPr>
      </w:pPr>
      <w:r>
        <w:rPr>
          <w:rFonts w:ascii="Arial" w:cs="Arial" w:eastAsia="Arial" w:hAnsi="Arial"/>
          <w:sz w:val="18"/>
          <w:szCs w:val="18"/>
          <w:color w:val="auto"/>
        </w:rPr>
        <w:t>Using the annual actuarial report, management develops annual insurance costs for each operation, expressed as a rate per $ 100 of exposure (labor and revenue) to estimate insurance costs.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78"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Trade accounts receivable arise from services provided to its customers and are generally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terms varying from the receipt of invoice to net thirty days. The Company records an allowance for doubtful accounts to provide for losses on accounts receivable due to customer and other credit risk. The allowance is typically estimated based on an analysis of the historical rate of credit losses or write-offs (due to customer bankruptcy or failure of a former customer to pay) and specific customer concerns. The accuracy of the estimate is dependent on the future rate of credit losses being consistent with the historical rate. Changes in the financial condition of the customer or adverse development in negotiations or legal proceedings to obtain payment could result in the actual loss exceeding the estimated allowance. If the rate of future credit losses is greater than the historical rate, then the allowance for doubtful accounts may not be sufficient to provide for actual credit losses. Alternatively, if the rate of future credit losses is less than the historical rate, then the allowance for doubtful accounts will be in excess of actual credit losses. The Company does not believe that it has any material exposure due to either industry or regional concentrations of credit risk.</w:t>
      </w:r>
    </w:p>
    <w:p>
      <w:pPr>
        <w:spacing w:after="0" w:line="73"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Sales Allowance. </w:t>
      </w:r>
      <w:r>
        <w:rPr>
          <w:rFonts w:ascii="Arial" w:cs="Arial" w:eastAsia="Arial" w:hAnsi="Arial"/>
          <w:sz w:val="18"/>
          <w:szCs w:val="18"/>
          <w:color w:val="auto"/>
        </w:rPr>
        <w:t>Sales allowance is an estimate for losses on customer receivables resulting from customer credits (</w:t>
      </w:r>
      <w:r>
        <w:rPr>
          <w:rFonts w:ascii="Arial" w:cs="Arial" w:eastAsia="Arial" w:hAnsi="Arial"/>
          <w:sz w:val="18"/>
          <w:szCs w:val="18"/>
          <w:i w:val="1"/>
          <w:iCs w:val="1"/>
          <w:color w:val="auto"/>
        </w:rPr>
        <w:t>e.g</w:t>
      </w:r>
      <w:r>
        <w:rPr>
          <w:rFonts w:ascii="Arial" w:cs="Arial" w:eastAsia="Arial" w:hAnsi="Arial"/>
          <w:sz w:val="18"/>
          <w:szCs w:val="18"/>
          <w:color w:val="auto"/>
        </w:rPr>
        <w:t>., vacancy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for fixed-price contracts, customer discounts, job cancellations, breakage cost, etc.). The sales allowance estimate is based on an analysis of the historical rate of sales adjustments (credit memos, net of re-bills). The accuracy of the estimate is dependent on the rate of future sales adjustments being consistent with the historical rate. If the rate of future sales adjustments is greater than the historical rate, then the sales allowance may not be sufficient to provide for actual sales adjustments. Alternatively, if the rate of future sales adjustments is less than the historical rate, then the sales allowance will be in excess of actual sales adjustments.</w:t>
      </w:r>
    </w:p>
    <w:p>
      <w:pPr>
        <w:spacing w:after="0" w:line="71" w:lineRule="exact"/>
        <w:rPr>
          <w:sz w:val="20"/>
          <w:szCs w:val="20"/>
          <w:color w:val="auto"/>
        </w:rPr>
      </w:pPr>
    </w:p>
    <w:p>
      <w:pPr>
        <w:ind w:right="20" w:firstLine="300"/>
        <w:spacing w:after="0"/>
        <w:rPr>
          <w:sz w:val="20"/>
          <w:szCs w:val="20"/>
          <w:color w:val="auto"/>
        </w:rPr>
      </w:pPr>
      <w:r>
        <w:rPr>
          <w:rFonts w:ascii="Arial" w:cs="Arial" w:eastAsia="Arial" w:hAnsi="Arial"/>
          <w:sz w:val="18"/>
          <w:szCs w:val="18"/>
          <w:b w:val="1"/>
          <w:bCs w:val="1"/>
          <w:color w:val="auto"/>
        </w:rPr>
        <w:t xml:space="preserve">Deferred Income Tax Asset and Valuation Allowance. </w:t>
      </w:r>
      <w:r>
        <w:rPr>
          <w:rFonts w:ascii="Arial" w:cs="Arial" w:eastAsia="Arial" w:hAnsi="Arial"/>
          <w:sz w:val="18"/>
          <w:szCs w:val="18"/>
          <w:color w:val="auto"/>
        </w:rPr>
        <w:t>Deferred income taxes reflect the impact of temporary differences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assets and liabilities recognized for financial reporting purposes and such amounts recognized for tax purposes. These deferred taxes are measured using tax rates expected to apply to taxable income in the years in which those temporary differences are expected to be recovered or settled. If the enacted rates in future years differ from the rates expected to apply, an adjustment of the net deferred tax assets will be required. Additionally, if management determines it is more likely than not that a portion of the net deferred tax asset will not be realized, a valuation allowance is recorded. At October 31, 2005, the net deferred tax asset was $93.2 million, net of a $0.2 million valuation allowance related to state net operating loss carryforwards. Should future income be less than anticipated, the net deferred tax asset may not be fully recoverable.</w:t>
      </w:r>
    </w:p>
    <w:p>
      <w:pPr>
        <w:spacing w:after="0" w:line="73" w:lineRule="exact"/>
        <w:rPr>
          <w:sz w:val="20"/>
          <w:szCs w:val="20"/>
          <w:color w:val="auto"/>
        </w:rPr>
      </w:pPr>
    </w:p>
    <w:p>
      <w:pPr>
        <w:ind w:right="100" w:firstLine="300"/>
        <w:spacing w:after="0" w:line="247" w:lineRule="auto"/>
        <w:rPr>
          <w:sz w:val="20"/>
          <w:szCs w:val="20"/>
          <w:color w:val="auto"/>
        </w:rPr>
      </w:pPr>
      <w:r>
        <w:rPr>
          <w:rFonts w:ascii="Arial" w:cs="Arial" w:eastAsia="Arial" w:hAnsi="Arial"/>
          <w:sz w:val="18"/>
          <w:szCs w:val="18"/>
          <w:b w:val="1"/>
          <w:bCs w:val="1"/>
          <w:color w:val="auto"/>
        </w:rPr>
        <w:t xml:space="preserve">Other Intangible Assets Other Than Goodwill. </w:t>
      </w:r>
      <w:r>
        <w:rPr>
          <w:rFonts w:ascii="Arial" w:cs="Arial" w:eastAsia="Arial" w:hAnsi="Arial"/>
          <w:sz w:val="18"/>
          <w:szCs w:val="18"/>
          <w:color w:val="auto"/>
        </w:rPr>
        <w:t>The Company engages a third party valuation firm to independently appraise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acquired in larger sized business combinations. For smaller acquisitions, the Company performs an internal valuation of the intangible assets using the discounted cash flow technique. Acquired customer relationship intangible assets are being amortized using the sum-of-the-years-digits method over their useful lives consistent with the estimated</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 At least annually, in the fourth quarter, the Company evaluates the remaining useful lives of its intangible assets to determine whether events and circumstances warrant a revision to the remaining period of amortization. If the estimate of an asset’s remaining useful life changes, the remaining carrying amount of the intangible asset would be amortized over the revised remaining useful life. Furthermore, the remaining unamortized book value of intangibles will be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76"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In accordance with SFAS No. 142, “Goodwill and Other Intangibles,” goodwill is no longer amortized. Rather,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performs goodwill impairment tests on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As of October 31, 2005, no impairment of the Company’s goodwill carrying value has been indicated.</w:t>
      </w:r>
    </w:p>
    <w:p>
      <w:pPr>
        <w:spacing w:after="0" w:line="71" w:lineRule="exact"/>
        <w:rPr>
          <w:sz w:val="20"/>
          <w:szCs w:val="20"/>
          <w:color w:val="auto"/>
        </w:rPr>
      </w:pPr>
    </w:p>
    <w:p>
      <w:pPr>
        <w:ind w:right="220" w:firstLine="300"/>
        <w:spacing w:after="0" w:line="241"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ABM and certain of its subsidiaries have been named defendants in certain proceedings arising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including certain environmental matters.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consolidated financial statements when it is both:</w:t>
      </w:r>
    </w:p>
    <w:p>
      <w:pPr>
        <w:spacing w:after="0" w:line="1" w:lineRule="exact"/>
        <w:rPr>
          <w:sz w:val="20"/>
          <w:szCs w:val="20"/>
          <w:color w:val="auto"/>
        </w:rPr>
      </w:pPr>
    </w:p>
    <w:p>
      <w:pPr>
        <w:ind w:firstLine="8"/>
        <w:spacing w:after="0" w:line="239"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probable or known that a liability has been incurred and (2) the amount of the loss is reasonably estimable. If the reasonable estimate of the loss is a range and no amount within the range is a better estimate, the minimum amount of the range is recorded as a liability. So long as the Company believes that a loss in litigation is not probable, then no liability will be recorded unless the parties agree upon a settlement, which may occur because ABM wishes to avoid the costs of litigation.</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130" w:lineRule="exact"/>
        <w:rPr>
          <w:sz w:val="20"/>
          <w:szCs w:val="20"/>
          <w:color w:val="auto"/>
        </w:rPr>
      </w:pPr>
    </w:p>
    <w:p>
      <w:pPr>
        <w:ind w:right="40" w:firstLine="347"/>
        <w:spacing w:after="0" w:line="239"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Substantially all of the operations of the Company are conducted in the United States, and, as such, are not subject to material foreign currency exchange rate risk. At October 31, 2005, the Company had no outstanding long-term debt. Although the Company’s assets included $56.8 million in cash and cash equivalents at October 31, 2005, market rate risk associated with changing interest rates in the United States is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ABM Industries Incorporated:</w:t>
      </w:r>
    </w:p>
    <w:p>
      <w:pPr>
        <w:spacing w:after="0" w:line="104" w:lineRule="exact"/>
        <w:rPr>
          <w:sz w:val="20"/>
          <w:szCs w:val="20"/>
          <w:color w:val="auto"/>
        </w:rPr>
      </w:pPr>
    </w:p>
    <w:p>
      <w:pPr>
        <w:ind w:right="120" w:firstLine="300"/>
        <w:spacing w:after="0" w:line="237" w:lineRule="auto"/>
        <w:rPr>
          <w:sz w:val="20"/>
          <w:szCs w:val="20"/>
          <w:color w:val="auto"/>
        </w:rPr>
      </w:pPr>
      <w:r>
        <w:rPr>
          <w:rFonts w:ascii="Arial" w:cs="Arial" w:eastAsia="Arial" w:hAnsi="Arial"/>
          <w:sz w:val="18"/>
          <w:szCs w:val="18"/>
          <w:color w:val="auto"/>
        </w:rPr>
        <w:t>We have audited the accompanying consolidated balance sheets of ABM Industries Incorporated and subsidiaries as of October 31, 2005 and 2004, and the related consolidated statements of income, stockholders’ equity and comprehensive income, and cash flows for each of the years in the three-year period ended October 31, 2005. In connection with our audits of the consolidated financial statements, we also have audited the related financial statement Schedule II.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97" w:lineRule="exact"/>
        <w:rPr>
          <w:sz w:val="20"/>
          <w:szCs w:val="20"/>
          <w:color w:val="auto"/>
        </w:rPr>
      </w:pPr>
    </w:p>
    <w:p>
      <w:pPr>
        <w:ind w:right="440" w:firstLine="300"/>
        <w:spacing w:after="0" w:line="23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5" w:lineRule="exact"/>
        <w:rPr>
          <w:sz w:val="20"/>
          <w:szCs w:val="20"/>
          <w:color w:val="auto"/>
        </w:rPr>
      </w:pPr>
    </w:p>
    <w:p>
      <w:pPr>
        <w:ind w:right="220" w:firstLine="30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ABM Industries Incorporated and subsidiaries as of October 31, 2005 and 2004, and the results of their operations and their cash flows for each of the years in the three-year period ended October 31, 2005,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95" w:lineRule="exact"/>
        <w:rPr>
          <w:sz w:val="20"/>
          <w:szCs w:val="20"/>
          <w:color w:val="auto"/>
        </w:rPr>
      </w:pPr>
    </w:p>
    <w:p>
      <w:pPr>
        <w:ind w:right="140" w:firstLine="300"/>
        <w:spacing w:after="0" w:line="23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effectiveness of ABM Industries Incorporated’s internal control over financial reporting as of October 31, 2005,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 dated March 28, 2006 expressed an unqualified opinion on management’s assessment of, and an adverse opinion on the effectiveness of, internal control over financial reporting.</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53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28, 2006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ABM Industries Incorporated:</w:t>
      </w:r>
    </w:p>
    <w:p>
      <w:pPr>
        <w:spacing w:after="0" w:line="104" w:lineRule="exact"/>
        <w:rPr>
          <w:sz w:val="20"/>
          <w:szCs w:val="20"/>
          <w:color w:val="auto"/>
        </w:rPr>
      </w:pPr>
    </w:p>
    <w:p>
      <w:pPr>
        <w:ind w:right="40" w:firstLine="300"/>
        <w:spacing w:after="0" w:line="237"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(Item 9A(b)), that ABM Industries Incorporated (the Company) did not maintain effective internal control over financial reporting as of October 31, 2005, because of the effect of the material weaknesses identified in management’s assessment,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(COSO).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95" w:lineRule="exact"/>
        <w:rPr>
          <w:sz w:val="20"/>
          <w:szCs w:val="20"/>
          <w:color w:val="auto"/>
        </w:rPr>
      </w:pPr>
    </w:p>
    <w:p>
      <w:pPr>
        <w:ind w:right="180" w:firstLine="300"/>
        <w:spacing w:after="0" w:line="238"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95" w:lineRule="exact"/>
        <w:rPr>
          <w:sz w:val="20"/>
          <w:szCs w:val="20"/>
          <w:color w:val="auto"/>
        </w:rPr>
      </w:pPr>
    </w:p>
    <w:p>
      <w:pPr>
        <w:ind w:right="200" w:firstLine="29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firstLine="3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120" w:firstLine="290"/>
        <w:spacing w:after="0"/>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weaknesses have been identified and included in management’s assessment as of October 31, 2005:</w:t>
      </w:r>
    </w:p>
    <w:p>
      <w:pPr>
        <w:spacing w:after="0" w:line="95" w:lineRule="exact"/>
        <w:rPr>
          <w:sz w:val="20"/>
          <w:szCs w:val="20"/>
          <w:color w:val="auto"/>
        </w:rPr>
      </w:pPr>
    </w:p>
    <w:p>
      <w:pPr>
        <w:ind w:right="420" w:firstLine="297"/>
        <w:spacing w:after="0" w:line="246" w:lineRule="auto"/>
        <w:rPr>
          <w:sz w:val="20"/>
          <w:szCs w:val="20"/>
          <w:color w:val="auto"/>
        </w:rPr>
      </w:pPr>
      <w:r>
        <w:rPr>
          <w:rFonts w:ascii="Arial" w:cs="Arial" w:eastAsia="Arial" w:hAnsi="Arial"/>
          <w:sz w:val="18"/>
          <w:szCs w:val="18"/>
          <w:color w:val="auto"/>
        </w:rPr>
        <w:t>The material weaknesses are related to the Company’s controls over and at the operations the Company acquired in March 2004 from Security Services of America, LLC (SSA LLC), included as a subsidiary within the Company’s Security segment (SSA).</w:t>
      </w:r>
    </w:p>
    <w:p>
      <w:pPr>
        <w:spacing w:after="0" w:line="89" w:lineRule="exact"/>
        <w:rPr>
          <w:sz w:val="20"/>
          <w:szCs w:val="20"/>
          <w:color w:val="auto"/>
        </w:rPr>
      </w:pPr>
    </w:p>
    <w:p>
      <w:pPr>
        <w:ind w:left="460" w:right="660" w:hanging="114"/>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Procedures regarding the preparation and documentation of journal entries were not operating in accordance with the Company’s policies, and the review and approval of such journal entries were ineffective.</w:t>
      </w:r>
    </w:p>
    <w:p>
      <w:pPr>
        <w:spacing w:after="0" w:line="102" w:lineRule="exact"/>
        <w:rPr>
          <w:rFonts w:ascii="Arial" w:cs="Arial" w:eastAsia="Arial" w:hAnsi="Arial"/>
          <w:sz w:val="18"/>
          <w:szCs w:val="18"/>
          <w:color w:val="auto"/>
        </w:rPr>
      </w:pPr>
    </w:p>
    <w:p>
      <w:pPr>
        <w:ind w:left="460" w:right="340" w:hanging="114"/>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reconciliations and account analyses of cash and cash equivalents and accrued liabilities were not prepared and reviewed in accordance with the Company’s policies.</w:t>
      </w:r>
    </w:p>
    <w:p>
      <w:pPr>
        <w:spacing w:after="0" w:line="102" w:lineRule="exact"/>
        <w:rPr>
          <w:rFonts w:ascii="Arial" w:cs="Arial" w:eastAsia="Arial" w:hAnsi="Arial"/>
          <w:sz w:val="18"/>
          <w:szCs w:val="18"/>
          <w:color w:val="auto"/>
        </w:rPr>
      </w:pPr>
    </w:p>
    <w:p>
      <w:pPr>
        <w:ind w:left="460" w:right="140" w:hanging="114"/>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Duties related to preparation of journal entries and account reconciliation and analysis were not appropriately segregated in accordance with the Company’s policy.</w:t>
      </w:r>
    </w:p>
    <w:p>
      <w:pPr>
        <w:spacing w:after="0" w:line="102" w:lineRule="exact"/>
        <w:rPr>
          <w:rFonts w:ascii="Arial" w:cs="Arial" w:eastAsia="Arial" w:hAnsi="Arial"/>
          <w:sz w:val="18"/>
          <w:szCs w:val="18"/>
          <w:color w:val="auto"/>
        </w:rPr>
      </w:pPr>
    </w:p>
    <w:p>
      <w:pPr>
        <w:ind w:left="460" w:right="60" w:hanging="114"/>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procedures to document, review and approve the subcontracting transactions between the Company and SSA LLC were not established.</w:t>
      </w:r>
    </w:p>
    <w:p>
      <w:pPr>
        <w:spacing w:after="0" w:line="102" w:lineRule="exact"/>
        <w:rPr>
          <w:rFonts w:ascii="Arial" w:cs="Arial" w:eastAsia="Arial" w:hAnsi="Arial"/>
          <w:sz w:val="18"/>
          <w:szCs w:val="18"/>
          <w:color w:val="auto"/>
        </w:rPr>
      </w:pPr>
    </w:p>
    <w:p>
      <w:pPr>
        <w:ind w:left="460" w:hanging="114"/>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procedures to segregate SSA LLC’s cash collections and disbursements from those of the Company were not established.</w:t>
      </w:r>
    </w:p>
    <w:p>
      <w:pPr>
        <w:spacing w:after="0" w:line="104" w:lineRule="exact"/>
        <w:rPr>
          <w:sz w:val="20"/>
          <w:szCs w:val="20"/>
          <w:color w:val="auto"/>
        </w:rPr>
      </w:pPr>
    </w:p>
    <w:p>
      <w:pPr>
        <w:ind w:right="500" w:firstLine="300"/>
        <w:spacing w:after="0"/>
        <w:rPr>
          <w:sz w:val="20"/>
          <w:szCs w:val="20"/>
          <w:color w:val="auto"/>
        </w:rPr>
      </w:pPr>
      <w:r>
        <w:rPr>
          <w:rFonts w:ascii="Arial" w:cs="Arial" w:eastAsia="Arial" w:hAnsi="Arial"/>
          <w:sz w:val="18"/>
          <w:szCs w:val="18"/>
          <w:color w:val="auto"/>
        </w:rPr>
        <w:t>In addition, the Company did not have adequate controls over the initial assessment, integration and subsequent monitoring of the employees of SSA, nor did it adequately establish or implement post-acquisition policies and procedures at SSA. This material weakness resulted in the aforementioned material weaknesses not being identified and remediated timely.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297"/>
        <w:spacing w:after="0" w:line="239" w:lineRule="auto"/>
        <w:rPr>
          <w:sz w:val="20"/>
          <w:szCs w:val="20"/>
          <w:color w:val="auto"/>
        </w:rPr>
      </w:pPr>
      <w:r>
        <w:rPr>
          <w:rFonts w:ascii="Arial" w:cs="Arial" w:eastAsia="Arial" w:hAnsi="Arial"/>
          <w:sz w:val="18"/>
          <w:szCs w:val="18"/>
          <w:color w:val="auto"/>
        </w:rPr>
        <w:t>The material weaknesses resulted in a material understatement of cost of goods sold, selling, general and administrative expenses and accrued compensation and a material overstatement of cash and cash equivalents, that required the Company to restate its previously issued financial statements for the quarters ended January 31, 2005, April 30, 2005 and July 31, 2005. Material errors were also identified in the quarter ended October 31, 2005.</w:t>
      </w:r>
    </w:p>
    <w:p>
      <w:pPr>
        <w:spacing w:after="0" w:line="94" w:lineRule="exact"/>
        <w:rPr>
          <w:sz w:val="20"/>
          <w:szCs w:val="20"/>
          <w:color w:val="auto"/>
        </w:rPr>
      </w:pPr>
    </w:p>
    <w:p>
      <w:pPr>
        <w:ind w:right="100" w:firstLine="30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as of October 31, 2005 and 2004, and the related consolidated statements of income, stockholders’ equity and comprehensive income, and cash flows of ABM Industries Incorporated and subsidiaries. This material weakness was considered in determining the nature, timing, and extent of audit tests applied in our audit of the 2005 consolidated financial statements, and this report does not affect our report dated March 28, 2006, which expressed an unqualified opinion on those consolidated financial statements.</w:t>
      </w:r>
    </w:p>
    <w:p>
      <w:pPr>
        <w:spacing w:after="0" w:line="95" w:lineRule="exact"/>
        <w:rPr>
          <w:sz w:val="20"/>
          <w:szCs w:val="20"/>
          <w:color w:val="auto"/>
        </w:rPr>
      </w:pPr>
    </w:p>
    <w:p>
      <w:pPr>
        <w:ind w:right="100" w:firstLine="300"/>
        <w:spacing w:after="0" w:line="237" w:lineRule="auto"/>
        <w:rPr>
          <w:sz w:val="20"/>
          <w:szCs w:val="20"/>
          <w:color w:val="auto"/>
        </w:rPr>
      </w:pPr>
      <w:r>
        <w:rPr>
          <w:rFonts w:ascii="Arial" w:cs="Arial" w:eastAsia="Arial" w:hAnsi="Arial"/>
          <w:sz w:val="18"/>
          <w:szCs w:val="18"/>
          <w:color w:val="auto"/>
        </w:rPr>
        <w:t xml:space="preserve">In our opinion, management’s assessment that the Company did not maintain effective internal control over financial reporting as of October 31, 2005, is fairly stated, in all material respects,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Also, in our opinion, because of the effect of the material weaknesses described above on the achievement of the objectives of the control criteria, the Company has not maintained effective internal control over financial reporting as of October 31,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539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28, 2006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5"/>
                <w:szCs w:val="15"/>
                <w:color w:val="auto"/>
              </w:rPr>
            </w:pPr>
          </w:p>
        </w:tc>
        <w:tc>
          <w:tcPr>
            <w:tcW w:w="1140" w:type="dxa"/>
            <w:vAlign w:val="bottom"/>
          </w:tcPr>
          <w:p>
            <w:pPr>
              <w:jc w:val="right"/>
              <w:ind w:right="571"/>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2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 except share data)</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56,793</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(less allowances of $7,932 and $8,212)</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345,104</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21,280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46,795</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44,690</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6,791</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Assets held for sale</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521,453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Investments and long-term receivables</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12,955</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(less accumulated depreciation of $80,370 and $79,584)</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34,270</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Goodwill (less accumulated amortization of $69,386)</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243,559</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(less accumulated amortization of $13,478 and $7,988)</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24,463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46,426</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20,584</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903,710</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47,605</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2,349</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Liabilities held for sale</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72,034</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 other than income</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18,832</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Insurance claims</w:t>
            </w:r>
          </w:p>
        </w:tc>
        <w:tc>
          <w:tcPr>
            <w:tcW w:w="4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71,455</w:t>
            </w: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62,799</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b w:val="1"/>
                <w:bCs w:val="1"/>
                <w:color w:val="auto"/>
              </w:rPr>
              <w:t>275,074</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plans and other non-current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25,596</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Insurance claims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127,114</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427,784</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rPr>
              <w:t>Common stock, $0.01 par value; 100,000,000 shares authorized; 54,651,000 and 52,707,000 shares</w:t>
            </w:r>
          </w:p>
        </w:tc>
        <w:tc>
          <w:tcPr>
            <w:tcW w:w="480" w:type="dxa"/>
            <w:vAlign w:val="bottom"/>
          </w:tcPr>
          <w:p>
            <w:pPr>
              <w:spacing w:after="0"/>
              <w:rPr>
                <w:sz w:val="17"/>
                <w:szCs w:val="17"/>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547</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120"/>
              <w:spacing w:after="0" w:line="203" w:lineRule="exact"/>
              <w:rPr>
                <w:sz w:val="20"/>
                <w:szCs w:val="20"/>
                <w:color w:val="auto"/>
              </w:rPr>
            </w:pPr>
            <w:r>
              <w:rPr>
                <w:rFonts w:ascii="Arial" w:cs="Arial" w:eastAsia="Arial" w:hAnsi="Arial"/>
                <w:sz w:val="18"/>
                <w:szCs w:val="18"/>
                <w:color w:val="auto"/>
              </w:rPr>
              <w:t>issued at October 31, 2005 and 2004, respectively</w:t>
            </w:r>
          </w:p>
        </w:tc>
        <w:tc>
          <w:tcPr>
            <w:tcW w:w="4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206,369</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(68)</w:t>
            </w:r>
          </w:p>
        </w:tc>
        <w:tc>
          <w:tcPr>
            <w:tcW w:w="4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365,455</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rPr>
              <w:t>Cost of treasury stock (5,600,000 and 4,000,000 shares at October 31, 2005 and October 31, 2004,</w:t>
            </w:r>
          </w:p>
        </w:tc>
        <w:tc>
          <w:tcPr>
            <w:tcW w:w="480" w:type="dxa"/>
            <w:vAlign w:val="bottom"/>
          </w:tcPr>
          <w:p>
            <w:pPr>
              <w:spacing w:after="0"/>
              <w:rPr>
                <w:sz w:val="17"/>
                <w:szCs w:val="17"/>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(96,377)</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respectively)</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(65,059)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475,926</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903,710</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1360" w:type="dxa"/>
            <w:vAlign w:val="bottom"/>
          </w:tcPr>
          <w:p>
            <w:pPr>
              <w:spacing w:after="0"/>
              <w:rPr>
                <w:sz w:val="15"/>
                <w:szCs w:val="15"/>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color w:val="auto"/>
              </w:rPr>
              <w:t>2004</w:t>
            </w:r>
          </w:p>
        </w:tc>
        <w:tc>
          <w:tcPr>
            <w:tcW w:w="38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r>
      <w:tr>
        <w:trPr>
          <w:trHeight w:val="164"/>
        </w:trPr>
        <w:tc>
          <w:tcPr>
            <w:tcW w:w="59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 except per share data)</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Sales and other income</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2,586,566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2,375,149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2,222,367</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Gain on insurance claim</w:t>
            </w: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1,195</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2,587,761</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2,375,149</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2,222,367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Operating expenses and cost of goods sold</w:t>
            </w:r>
          </w:p>
        </w:tc>
        <w:tc>
          <w:tcPr>
            <w:tcW w:w="13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2,312,687</w:t>
            </w:r>
          </w:p>
        </w:tc>
        <w:tc>
          <w:tcPr>
            <w:tcW w:w="44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2,157,637</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2,007,740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204,131</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166,981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159,949</w:t>
            </w: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3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884</w:t>
            </w:r>
          </w:p>
        </w:tc>
        <w:tc>
          <w:tcPr>
            <w:tcW w:w="44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Intangible amortization</w:t>
            </w: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5,673</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4,519</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r>
      <w:tr>
        <w:trPr>
          <w:trHeight w:val="230"/>
        </w:trPr>
        <w:tc>
          <w:tcPr>
            <w:tcW w:w="20" w:type="dxa"/>
            <w:vAlign w:val="bottom"/>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2,523,375</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2,330,153</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2,170,491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64,386</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44,996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51,876</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20,832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15,352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17,278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43,554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29,644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34,598</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3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166</w:t>
            </w:r>
          </w:p>
        </w:tc>
        <w:tc>
          <w:tcPr>
            <w:tcW w:w="44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3,586</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14,221</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52,736</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57,941</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30,473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90,920</w:t>
            </w: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0.88</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0.61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Gain on sale of discontinued operations</w:t>
            </w:r>
          </w:p>
        </w:tc>
        <w:tc>
          <w:tcPr>
            <w:tcW w:w="1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0.29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1.17</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0.63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0"/>
        </w:trPr>
        <w:tc>
          <w:tcPr>
            <w:tcW w:w="59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0.86</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Income from discontinued operations</w:t>
            </w:r>
          </w:p>
        </w:tc>
        <w:tc>
          <w:tcPr>
            <w:tcW w:w="13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Gain on sale of discontinued operations</w:t>
            </w: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0.29</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1.15</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0.61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49,332</w:t>
            </w:r>
          </w:p>
        </w:tc>
        <w:tc>
          <w:tcPr>
            <w:tcW w:w="440" w:type="dxa"/>
            <w:vAlign w:val="bottom"/>
          </w:tcPr>
          <w:p>
            <w:pPr>
              <w:spacing w:after="0"/>
              <w:rPr>
                <w:sz w:val="18"/>
                <w:szCs w:val="18"/>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48,641</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49,065</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50,367</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50,064</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w:t>
            </w: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STOCKHOLDERS’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Accumulated</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5"/>
                <w:szCs w:val="15"/>
                <w:color w:val="auto"/>
              </w:rPr>
            </w:pP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rPr>
              <w:t>Other</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ind w:right="248"/>
              <w:spacing w:after="0" w:line="129" w:lineRule="exact"/>
              <w:rPr>
                <w:sz w:val="20"/>
                <w:szCs w:val="20"/>
                <w:color w:val="auto"/>
              </w:rPr>
            </w:pPr>
            <w:r>
              <w:rPr>
                <w:rFonts w:ascii="Arial" w:cs="Arial" w:eastAsia="Arial" w:hAnsi="Arial"/>
                <w:sz w:val="14"/>
                <w:szCs w:val="14"/>
                <w:b w:val="1"/>
                <w:bCs w:val="1"/>
                <w:color w:val="auto"/>
                <w:w w:val="98"/>
              </w:rPr>
              <w:t>Paid-in</w:t>
            </w:r>
          </w:p>
        </w:tc>
        <w:tc>
          <w:tcPr>
            <w:tcW w:w="15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Comprehensive</w:t>
            </w:r>
          </w:p>
        </w:tc>
        <w:tc>
          <w:tcPr>
            <w:tcW w:w="1220" w:type="dxa"/>
            <w:vAlign w:val="bottom"/>
          </w:tcPr>
          <w:p>
            <w:pPr>
              <w:jc w:val="right"/>
              <w:ind w:right="348"/>
              <w:spacing w:after="0" w:line="129" w:lineRule="exact"/>
              <w:rPr>
                <w:sz w:val="20"/>
                <w:szCs w:val="20"/>
                <w:color w:val="auto"/>
              </w:rPr>
            </w:pPr>
            <w:r>
              <w:rPr>
                <w:rFonts w:ascii="Arial" w:cs="Arial" w:eastAsia="Arial" w:hAnsi="Arial"/>
                <w:sz w:val="14"/>
                <w:szCs w:val="14"/>
                <w:b w:val="1"/>
                <w:bCs w:val="1"/>
                <w:color w:val="auto"/>
              </w:rPr>
              <w:t>Retained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Capital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November 1, 2002</w:t>
            </w:r>
          </w:p>
        </w:tc>
        <w:tc>
          <w:tcPr>
            <w:tcW w:w="7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50,397</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504</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(1,400)</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(23,632)</w:t>
            </w: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151,135</w:t>
            </w: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(789)</w:t>
            </w:r>
          </w:p>
        </w:tc>
        <w:tc>
          <w:tcPr>
            <w:tcW w:w="122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$ 244,976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$ 372,194</w:t>
            </w:r>
          </w:p>
        </w:tc>
        <w:tc>
          <w:tcPr>
            <w:tcW w:w="100" w:type="dxa"/>
            <w:vAlign w:val="bottom"/>
            <w:shd w:val="clear" w:color="auto" w:fill="CCEEFF"/>
          </w:tcPr>
          <w:p>
            <w:pPr>
              <w:spacing w:after="0"/>
              <w:rPr>
                <w:sz w:val="14"/>
                <w:szCs w:val="14"/>
                <w:color w:val="auto"/>
              </w:rPr>
            </w:pP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90,920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90,920</w:t>
            </w:r>
          </w:p>
        </w:tc>
      </w:tr>
      <w:tr>
        <w:trPr>
          <w:trHeight w:val="169"/>
        </w:trPr>
        <w:tc>
          <w:tcPr>
            <w:tcW w:w="20" w:type="dxa"/>
            <w:vAlign w:val="bottom"/>
          </w:tcPr>
          <w:p>
            <w:pPr>
              <w:spacing w:after="0"/>
              <w:rPr>
                <w:sz w:val="14"/>
                <w:szCs w:val="14"/>
                <w:color w:val="auto"/>
              </w:rPr>
            </w:pPr>
          </w:p>
        </w:tc>
        <w:tc>
          <w:tcPr>
            <w:tcW w:w="322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521</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91,441</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(18,635)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(18,635)</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1,052</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1,052</w:t>
            </w: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Stock purchases</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(30,354)</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(30,354)</w:t>
            </w: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Stock issued under employees’ stock</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2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purchase and option plans</w:t>
            </w:r>
          </w:p>
        </w:tc>
        <w:tc>
          <w:tcPr>
            <w:tcW w:w="7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1,370</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14</w:t>
            </w:r>
          </w:p>
        </w:tc>
        <w:tc>
          <w:tcPr>
            <w:tcW w:w="8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14,310</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14,324</w:t>
            </w: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October 31, 2003</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51,767</w:t>
            </w: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518</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(53,986)</w:t>
            </w:r>
          </w:p>
        </w:tc>
        <w:tc>
          <w:tcPr>
            <w:tcW w:w="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166,497</w:t>
            </w:r>
          </w:p>
        </w:tc>
        <w:tc>
          <w:tcPr>
            <w:tcW w:w="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(268)</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$ 317,261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$ 430,022</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30,473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30,473</w:t>
            </w:r>
          </w:p>
        </w:tc>
      </w:tr>
      <w:tr>
        <w:trPr>
          <w:trHeight w:val="169"/>
        </w:trPr>
        <w:tc>
          <w:tcPr>
            <w:tcW w:w="20" w:type="dxa"/>
            <w:vAlign w:val="bottom"/>
          </w:tcPr>
          <w:p>
            <w:pPr>
              <w:spacing w:after="0"/>
              <w:rPr>
                <w:sz w:val="14"/>
                <w:szCs w:val="14"/>
                <w:color w:val="auto"/>
              </w:rPr>
            </w:pPr>
          </w:p>
        </w:tc>
        <w:tc>
          <w:tcPr>
            <w:tcW w:w="322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160</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30,633</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(19,476)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(19,476)</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2,021</w:t>
            </w: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Stock purchases</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(11,073)</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(11,073)</w:t>
            </w: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Stock issued under employees’ stock</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2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purchase and option plans</w:t>
            </w:r>
          </w:p>
        </w:tc>
        <w:tc>
          <w:tcPr>
            <w:tcW w:w="7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940</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9</w:t>
            </w:r>
          </w:p>
        </w:tc>
        <w:tc>
          <w:tcPr>
            <w:tcW w:w="8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10,025</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10,034</w:t>
            </w: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October 31, 2004</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52,707</w:t>
            </w: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527</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(65,059)</w:t>
            </w:r>
          </w:p>
        </w:tc>
        <w:tc>
          <w:tcPr>
            <w:tcW w:w="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178,543</w:t>
            </w:r>
          </w:p>
        </w:tc>
        <w:tc>
          <w:tcPr>
            <w:tcW w:w="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$ 328,258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$ 442,161</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57,941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57,941</w:t>
            </w:r>
          </w:p>
        </w:tc>
      </w:tr>
      <w:tr>
        <w:trPr>
          <w:trHeight w:val="169"/>
        </w:trPr>
        <w:tc>
          <w:tcPr>
            <w:tcW w:w="20" w:type="dxa"/>
            <w:vAlign w:val="bottom"/>
          </w:tcPr>
          <w:p>
            <w:pPr>
              <w:spacing w:after="0"/>
              <w:rPr>
                <w:sz w:val="14"/>
                <w:szCs w:val="14"/>
                <w:color w:val="auto"/>
              </w:rPr>
            </w:pPr>
          </w:p>
        </w:tc>
        <w:tc>
          <w:tcPr>
            <w:tcW w:w="322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40</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57,981</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(20,744)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(20,744)</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3,203</w:t>
            </w:r>
          </w:p>
        </w:tc>
        <w:tc>
          <w:tcPr>
            <w:tcW w:w="2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3,203</w:t>
            </w: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Stock purchases</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(31,318)</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(31,318)</w:t>
            </w: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Stock issued under employees’ stock</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purchase and option plans and for</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2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acquisition</w:t>
            </w:r>
          </w:p>
        </w:tc>
        <w:tc>
          <w:tcPr>
            <w:tcW w:w="7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1,944</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20</w:t>
            </w:r>
          </w:p>
        </w:tc>
        <w:tc>
          <w:tcPr>
            <w:tcW w:w="8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24,623</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24,643</w:t>
            </w:r>
          </w:p>
        </w:tc>
      </w:tr>
      <w:tr>
        <w:trPr>
          <w:trHeight w:val="162"/>
        </w:trPr>
        <w:tc>
          <w:tcPr>
            <w:tcW w:w="20" w:type="dxa"/>
            <w:vAlign w:val="bottom"/>
          </w:tcPr>
          <w:p>
            <w:pPr>
              <w:spacing w:after="0"/>
              <w:rPr>
                <w:sz w:val="14"/>
                <w:szCs w:val="14"/>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31, 2005</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54,651</w:t>
            </w: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547</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(5,600)</w:t>
            </w: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(96,377)</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206,369</w:t>
            </w:r>
          </w:p>
        </w:tc>
        <w:tc>
          <w:tcPr>
            <w:tcW w:w="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2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$ 365,455</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$ 475,926</w:t>
            </w:r>
          </w:p>
        </w:tc>
      </w:tr>
      <w:tr>
        <w:trPr>
          <w:trHeight w:val="21"/>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gridSpan w:val="2"/>
          </w:tcPr>
          <w:p>
            <w:pPr>
              <w:spacing w:after="0"/>
              <w:rPr>
                <w:sz w:val="20"/>
                <w:szCs w:val="20"/>
                <w:color w:val="auto"/>
              </w:rPr>
            </w:pPr>
            <w:r>
              <w:rPr>
                <w:rFonts w:ascii="Arial" w:cs="Arial" w:eastAsia="Arial" w:hAnsi="Arial"/>
                <w:sz w:val="16"/>
                <w:szCs w:val="16"/>
                <w:b w:val="1"/>
                <w:bCs w:val="1"/>
                <w:color w:val="auto"/>
              </w:rPr>
              <w:t>Years ended October 31,</w:t>
            </w:r>
          </w:p>
        </w:tc>
        <w:tc>
          <w:tcPr>
            <w:tcW w:w="52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2005</w:t>
            </w:r>
          </w:p>
        </w:tc>
        <w:tc>
          <w:tcPr>
            <w:tcW w:w="440" w:type="dxa"/>
            <w:vAlign w:val="bottom"/>
          </w:tcPr>
          <w:p>
            <w:pPr>
              <w:spacing w:after="0"/>
              <w:rPr>
                <w:sz w:val="18"/>
                <w:szCs w:val="18"/>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b w:val="1"/>
                <w:bCs w:val="1"/>
                <w:color w:val="auto"/>
              </w:rPr>
              <w:t>2004</w:t>
            </w:r>
          </w:p>
        </w:tc>
        <w:tc>
          <w:tcPr>
            <w:tcW w:w="4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2003</w:t>
            </w:r>
          </w:p>
        </w:tc>
        <w:tc>
          <w:tcPr>
            <w:tcW w:w="100" w:type="dxa"/>
            <w:vAlign w:val="bottom"/>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57,941</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30,473</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90,920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Less income from discontinued operations</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(14,387)</w:t>
            </w: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(829)</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(56,322)</w:t>
            </w:r>
          </w:p>
        </w:tc>
      </w:tr>
      <w:tr>
        <w:trPr>
          <w:trHeight w:val="210"/>
        </w:trPr>
        <w:tc>
          <w:tcPr>
            <w:tcW w:w="696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5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43,554</w:t>
            </w:r>
          </w:p>
        </w:tc>
        <w:tc>
          <w:tcPr>
            <w:tcW w:w="4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29,644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34,598</w:t>
            </w:r>
          </w:p>
        </w:tc>
        <w:tc>
          <w:tcPr>
            <w:tcW w:w="10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694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Adjustments to reconcile income from continuing operations to net cash provided by</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continuing operating activities: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Depreciation and intangible amortization</w:t>
            </w:r>
          </w:p>
        </w:tc>
        <w:tc>
          <w:tcPr>
            <w:tcW w:w="5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19,591</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17,543</w:t>
            </w: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1,112</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4,482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6,326</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Gain on sale of assets</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(419)</w:t>
            </w:r>
          </w:p>
        </w:tc>
        <w:tc>
          <w:tcPr>
            <w:tcW w:w="4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(225)</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Increase in deferred income taxes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(4,465)</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(12,262)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(5,768)</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(Increase) decrease in trade accounts receivable</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(31,844)</w:t>
            </w:r>
          </w:p>
        </w:tc>
        <w:tc>
          <w:tcPr>
            <w:tcW w:w="4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(35,369)</w:t>
            </w:r>
          </w:p>
        </w:tc>
        <w:tc>
          <w:tcPr>
            <w:tcW w:w="4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1,212</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inventories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(726)</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2,521</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(Increase) decrease in prepaid expenses and other current assets</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(5,888)</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6,643</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(3,086)</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Increase in other assets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(2,132)</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(3,074)</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(5,950)</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(Decrease) increase in prepaid and payable income taxes</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(11,304)</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5,935</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(769)</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in retirement plans and other non-current liabilities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1,483</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384</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Increase in insurance claims liability</w:t>
            </w:r>
          </w:p>
        </w:tc>
        <w:tc>
          <w:tcPr>
            <w:tcW w:w="5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10,630</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37,622</w:t>
            </w:r>
          </w:p>
        </w:tc>
        <w:tc>
          <w:tcPr>
            <w:tcW w:w="4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9,674</w:t>
            </w:r>
          </w:p>
        </w:tc>
      </w:tr>
      <w:tr>
        <w:trPr>
          <w:trHeight w:val="203"/>
        </w:trPr>
        <w:tc>
          <w:tcPr>
            <w:tcW w:w="20" w:type="dxa"/>
            <w:vAlign w:val="bottom"/>
          </w:tcPr>
          <w:p>
            <w:pPr>
              <w:spacing w:after="0"/>
              <w:rPr>
                <w:sz w:val="17"/>
                <w:szCs w:val="17"/>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Increase (decrease) in trade accounts payable and other accrued liabilities</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26,752</w:t>
            </w: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11,981</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(4,047)</w:t>
            </w:r>
          </w:p>
        </w:tc>
      </w:tr>
      <w:tr>
        <w:trPr>
          <w:trHeight w:val="217"/>
        </w:trPr>
        <w:tc>
          <w:tcPr>
            <w:tcW w:w="6960" w:type="dxa"/>
            <w:vAlign w:val="bottom"/>
            <w:gridSpan w:val="2"/>
          </w:tcPr>
          <w:p>
            <w:pPr>
              <w:spacing w:after="0"/>
              <w:rPr>
                <w:sz w:val="20"/>
                <w:szCs w:val="20"/>
                <w:color w:val="auto"/>
              </w:rPr>
            </w:pPr>
            <w:r>
              <w:rPr>
                <w:rFonts w:ascii="Arial" w:cs="Arial" w:eastAsia="Arial" w:hAnsi="Arial"/>
                <w:sz w:val="16"/>
                <w:szCs w:val="16"/>
                <w:color w:val="auto"/>
              </w:rPr>
              <w:t>Total adjustments to income from continuing operations</w:t>
            </w:r>
          </w:p>
        </w:tc>
        <w:tc>
          <w:tcPr>
            <w:tcW w:w="5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1,245</w:t>
            </w:r>
          </w:p>
        </w:tc>
        <w:tc>
          <w:tcPr>
            <w:tcW w:w="4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34,768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16,148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flows from continuing operating activities</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44,799</w:t>
            </w: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64,412</w:t>
            </w: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50,746</w:t>
            </w:r>
          </w:p>
        </w:tc>
        <w:tc>
          <w:tcPr>
            <w:tcW w:w="100" w:type="dxa"/>
            <w:vAlign w:val="bottom"/>
            <w:tcBorders>
              <w:top w:val="single" w:sz="8" w:color="auto"/>
            </w:tcBorders>
            <w:shd w:val="clear" w:color="auto" w:fill="CCEEFF"/>
          </w:tcPr>
          <w:p>
            <w:pPr>
              <w:spacing w:after="0"/>
              <w:rPr>
                <w:sz w:val="17"/>
                <w:szCs w:val="17"/>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6"/>
                <w:szCs w:val="16"/>
                <w:color w:val="auto"/>
              </w:rPr>
              <w:t>Net operational cash flows from discontinued operations</w:t>
            </w:r>
          </w:p>
        </w:tc>
        <w:tc>
          <w:tcPr>
            <w:tcW w:w="5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(7,348)</w:t>
            </w:r>
          </w:p>
        </w:tc>
        <w:tc>
          <w:tcPr>
            <w:tcW w:w="4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(30,722)</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9,396</w:t>
            </w: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37,451</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33,690</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60,142</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Additions to property, plant and equipment</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(17,738)</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(11,535)</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Proceeds from sale of assets</w:t>
            </w:r>
          </w:p>
        </w:tc>
        <w:tc>
          <w:tcPr>
            <w:tcW w:w="5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1,775</w:t>
            </w:r>
          </w:p>
        </w:tc>
        <w:tc>
          <w:tcPr>
            <w:tcW w:w="44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795</w:t>
            </w:r>
          </w:p>
        </w:tc>
        <w:tc>
          <w:tcPr>
            <w:tcW w:w="4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2,448</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investments and long-term receivables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(2,505)</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3,491</w:t>
            </w: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Purchase of businesses</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(26,884)</w:t>
            </w:r>
          </w:p>
        </w:tc>
        <w:tc>
          <w:tcPr>
            <w:tcW w:w="4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(54,152)</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(40,574)</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business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32,250</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112,400</w:t>
            </w:r>
          </w:p>
        </w:tc>
        <w:tc>
          <w:tcPr>
            <w:tcW w:w="100" w:type="dxa"/>
            <w:vAlign w:val="bottom"/>
            <w:shd w:val="clear" w:color="auto" w:fill="CCEEFF"/>
          </w:tcPr>
          <w:p>
            <w:pPr>
              <w:spacing w:after="0"/>
              <w:rPr>
                <w:sz w:val="17"/>
                <w:szCs w:val="17"/>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4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(used in) provided by investing activities</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(13,102)</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(60,753)</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66,054</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21,137</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10,034</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14,324</w:t>
            </w:r>
          </w:p>
        </w:tc>
        <w:tc>
          <w:tcPr>
            <w:tcW w:w="100" w:type="dxa"/>
            <w:vAlign w:val="bottom"/>
            <w:shd w:val="clear" w:color="auto" w:fill="CCEEFF"/>
          </w:tcPr>
          <w:p>
            <w:pPr>
              <w:spacing w:after="0"/>
              <w:rPr>
                <w:sz w:val="17"/>
                <w:szCs w:val="17"/>
                <w:color w:val="auto"/>
              </w:rPr>
            </w:pPr>
          </w:p>
        </w:tc>
      </w:tr>
      <w:tr>
        <w:trPr>
          <w:trHeight w:val="203"/>
        </w:trPr>
        <w:tc>
          <w:tcPr>
            <w:tcW w:w="6960" w:type="dxa"/>
            <w:vAlign w:val="bottom"/>
            <w:gridSpan w:val="2"/>
          </w:tcPr>
          <w:p>
            <w:pPr>
              <w:spacing w:after="0"/>
              <w:rPr>
                <w:sz w:val="20"/>
                <w:szCs w:val="20"/>
                <w:color w:val="auto"/>
              </w:rPr>
            </w:pPr>
            <w:r>
              <w:rPr>
                <w:rFonts w:ascii="Arial" w:cs="Arial" w:eastAsia="Arial" w:hAnsi="Arial"/>
                <w:sz w:val="16"/>
                <w:szCs w:val="16"/>
                <w:color w:val="auto"/>
              </w:rPr>
              <w:t>Common stock purchases</w:t>
            </w:r>
          </w:p>
        </w:tc>
        <w:tc>
          <w:tcPr>
            <w:tcW w:w="52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(31,318)</w:t>
            </w:r>
          </w:p>
        </w:tc>
        <w:tc>
          <w:tcPr>
            <w:tcW w:w="4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(11,073)</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(30,354)</w:t>
            </w:r>
          </w:p>
        </w:tc>
      </w:tr>
      <w:tr>
        <w:trPr>
          <w:trHeight w:val="203"/>
        </w:trPr>
        <w:tc>
          <w:tcPr>
            <w:tcW w:w="20" w:type="dxa"/>
            <w:vAlign w:val="bottom"/>
          </w:tcPr>
          <w:p>
            <w:pPr>
              <w:spacing w:after="0"/>
              <w:rPr>
                <w:sz w:val="17"/>
                <w:szCs w:val="17"/>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(20,744)</w:t>
            </w: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(19,476)</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(18,635)</w:t>
            </w:r>
          </w:p>
        </w:tc>
      </w:tr>
      <w:tr>
        <w:trPr>
          <w:trHeight w:val="217"/>
        </w:trPr>
        <w:tc>
          <w:tcPr>
            <w:tcW w:w="6960" w:type="dxa"/>
            <w:vAlign w:val="bottom"/>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5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(30,925)</w:t>
            </w:r>
          </w:p>
        </w:tc>
        <w:tc>
          <w:tcPr>
            <w:tcW w:w="4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(20,515)</w:t>
            </w:r>
          </w:p>
        </w:tc>
        <w:tc>
          <w:tcPr>
            <w:tcW w:w="4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(34,665)</w:t>
            </w: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(6,576)</w:t>
            </w: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(47,578)</w:t>
            </w: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91,531</w:t>
            </w:r>
          </w:p>
        </w:tc>
        <w:tc>
          <w:tcPr>
            <w:tcW w:w="100" w:type="dxa"/>
            <w:vAlign w:val="bottom"/>
            <w:tcBorders>
              <w:top w:val="single" w:sz="8" w:color="auto"/>
            </w:tcBorders>
            <w:shd w:val="clear" w:color="auto" w:fill="CCEEFF"/>
          </w:tcPr>
          <w:p>
            <w:pPr>
              <w:spacing w:after="0"/>
              <w:rPr>
                <w:sz w:val="17"/>
                <w:szCs w:val="17"/>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year</w:t>
            </w:r>
          </w:p>
        </w:tc>
        <w:tc>
          <w:tcPr>
            <w:tcW w:w="5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63,369</w:t>
            </w:r>
          </w:p>
        </w:tc>
        <w:tc>
          <w:tcPr>
            <w:tcW w:w="4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110,947</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19,416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year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56,793</w:t>
            </w:r>
          </w:p>
        </w:tc>
        <w:tc>
          <w:tcPr>
            <w:tcW w:w="4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63,369</w:t>
            </w:r>
          </w:p>
        </w:tc>
        <w:tc>
          <w:tcPr>
            <w:tcW w:w="4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110,947</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r>
      <w:tr>
        <w:trPr>
          <w:trHeight w:val="21"/>
        </w:trPr>
        <w:tc>
          <w:tcPr>
            <w:tcW w:w="6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Supplemental data:</w:t>
            </w: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43,901</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52,723</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24,570</w:t>
            </w:r>
          </w:p>
        </w:tc>
        <w:tc>
          <w:tcPr>
            <w:tcW w:w="100" w:type="dxa"/>
            <w:vAlign w:val="bottom"/>
            <w:shd w:val="clear" w:color="auto" w:fill="CCEEFF"/>
          </w:tcPr>
          <w:p>
            <w:pPr>
              <w:spacing w:after="0"/>
              <w:rPr>
                <w:sz w:val="17"/>
                <w:szCs w:val="17"/>
                <w:color w:val="auto"/>
              </w:rPr>
            </w:pPr>
          </w:p>
        </w:tc>
      </w:tr>
      <w:tr>
        <w:trPr>
          <w:trHeight w:val="200"/>
        </w:trPr>
        <w:tc>
          <w:tcPr>
            <w:tcW w:w="6960" w:type="dxa"/>
            <w:vAlign w:val="bottom"/>
            <w:gridSpan w:val="2"/>
          </w:tcPr>
          <w:p>
            <w:pPr>
              <w:spacing w:after="0"/>
              <w:rPr>
                <w:sz w:val="20"/>
                <w:szCs w:val="20"/>
                <w:color w:val="auto"/>
              </w:rPr>
            </w:pPr>
            <w:r>
              <w:rPr>
                <w:rFonts w:ascii="Arial" w:cs="Arial" w:eastAsia="Arial" w:hAnsi="Arial"/>
                <w:sz w:val="16"/>
                <w:szCs w:val="16"/>
                <w:color w:val="auto"/>
              </w:rPr>
              <w:t>Non-cash investing activities:</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issued for net assets of business acquired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3,506</w:t>
            </w: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Industries Incorporated (ABM) is a leading facility services contractor in the United States. With annual revenues in excess of</w:t>
      </w:r>
    </w:p>
    <w:p>
      <w:pPr>
        <w:ind w:right="40"/>
        <w:spacing w:after="0"/>
        <w:rPr>
          <w:sz w:val="20"/>
          <w:szCs w:val="20"/>
          <w:color w:val="auto"/>
        </w:rPr>
      </w:pPr>
      <w:r>
        <w:rPr>
          <w:rFonts w:ascii="Arial" w:cs="Arial" w:eastAsia="Arial" w:hAnsi="Arial"/>
          <w:sz w:val="18"/>
          <w:szCs w:val="18"/>
          <w:color w:val="auto"/>
        </w:rPr>
        <w:t>$2.5 billion and approximately 73,000 employees, ABM and its subsidiaries (the Company) provide janitorial, parking, security, engineering and lighting services for thousands of commercial, industrial, institutional and retail facilities in hundreds of cities throughout the United States and in British Columbia, Canada.</w:t>
      </w:r>
    </w:p>
    <w:p>
      <w:pPr>
        <w:spacing w:after="0" w:line="73" w:lineRule="exact"/>
        <w:rPr>
          <w:sz w:val="20"/>
          <w:szCs w:val="20"/>
          <w:color w:val="auto"/>
        </w:rPr>
      </w:pPr>
    </w:p>
    <w:p>
      <w:pPr>
        <w:ind w:right="760" w:firstLine="300"/>
        <w:spacing w:after="0" w:line="271"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ABM and its subsidiaries.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transactions and balances have been eliminated.</w:t>
      </w:r>
    </w:p>
    <w:p>
      <w:pPr>
        <w:spacing w:after="0" w:line="46" w:lineRule="exact"/>
        <w:rPr>
          <w:sz w:val="20"/>
          <w:szCs w:val="20"/>
          <w:color w:val="auto"/>
        </w:rPr>
      </w:pPr>
    </w:p>
    <w:p>
      <w:pPr>
        <w:ind w:right="220" w:firstLine="300"/>
        <w:spacing w:after="0" w:line="271"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the accompanying 2004 financial statements have been reclassified for consistency with the 2005</w:t>
      </w:r>
      <w:r>
        <w:rPr>
          <w:rFonts w:ascii="Arial" w:cs="Arial" w:eastAsia="Arial" w:hAnsi="Arial"/>
          <w:sz w:val="18"/>
          <w:szCs w:val="18"/>
          <w:b w:val="1"/>
          <w:bCs w:val="1"/>
          <w:color w:val="auto"/>
        </w:rPr>
        <w:t xml:space="preserve"> </w:t>
      </w:r>
      <w:r>
        <w:rPr>
          <w:rFonts w:ascii="Arial" w:cs="Arial" w:eastAsia="Arial" w:hAnsi="Arial"/>
          <w:sz w:val="18"/>
          <w:szCs w:val="18"/>
          <w:color w:val="auto"/>
        </w:rPr>
        <w:t>presentation.</w:t>
      </w:r>
    </w:p>
    <w:p>
      <w:pPr>
        <w:spacing w:after="0" w:line="46" w:lineRule="exact"/>
        <w:rPr>
          <w:sz w:val="20"/>
          <w:szCs w:val="20"/>
          <w:color w:val="auto"/>
        </w:rPr>
      </w:pPr>
    </w:p>
    <w:p>
      <w:pPr>
        <w:ind w:firstLine="300"/>
        <w:spacing w:after="0"/>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the Company to make estimates and judgments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of assets, liabilities, sales and expenses. On an ongoing basis, the Company evaluates its estimates, including those related to self-insurance reserves, allowance for doubtful accounts, sales allowance, valuation allowance for the net deferred income tax asset, estimate of useful life of intangible assets, impairment of goodwill and other intangibles,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73" w:lineRule="exact"/>
        <w:rPr>
          <w:sz w:val="20"/>
          <w:szCs w:val="20"/>
          <w:color w:val="auto"/>
        </w:rPr>
      </w:pPr>
    </w:p>
    <w:p>
      <w:pPr>
        <w:ind w:right="40" w:firstLine="300"/>
        <w:spacing w:after="0" w:line="239"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Trade accounts receivable arise from services provided to its customers and are generally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terms varying from the receipt of invoice to net thirty days. The Company records an allowance for doubtful accounts to provide for losses on accounts receivable due to customer and other credit risk. The allowance is typically estimated based on an analysis of the historical rate of credit losses or write-offs (due to customer bankruptcy or failure of a former customer to pay) and specific customer concerns. The accuracy of the estimate is dependent on the future rate of credit losses being consistent with the historical rate. Changes in the financial condition of the customer or adverse development in negotiations or legal proceedings to obtain payment could result in the actual loss exceeding the estimated allowance. If the rate of future credit losses is greater than the historical rate, then the allowance for doubtful accounts may not be sufficient to provide for actual credit losses. Alternatively, if the rate of future credit losses is less than the historical rate, then the allowance for doubtful accounts will be in excess of actual credit losses. The Company does not believe that it has any material exposure due to either industry or regional concentrations of credit risk.</w:t>
      </w:r>
    </w:p>
    <w:p>
      <w:pPr>
        <w:spacing w:after="0" w:line="73"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Sales Allowance. </w:t>
      </w:r>
      <w:r>
        <w:rPr>
          <w:rFonts w:ascii="Arial" w:cs="Arial" w:eastAsia="Arial" w:hAnsi="Arial"/>
          <w:sz w:val="18"/>
          <w:szCs w:val="18"/>
          <w:color w:val="auto"/>
        </w:rPr>
        <w:t>Sales allowance is an estimate for losses on customer receivables resulting from customer credits (</w:t>
      </w:r>
      <w:r>
        <w:rPr>
          <w:rFonts w:ascii="Arial" w:cs="Arial" w:eastAsia="Arial" w:hAnsi="Arial"/>
          <w:sz w:val="18"/>
          <w:szCs w:val="18"/>
          <w:i w:val="1"/>
          <w:iCs w:val="1"/>
          <w:color w:val="auto"/>
        </w:rPr>
        <w:t>e.g.,</w:t>
      </w:r>
      <w:r>
        <w:rPr>
          <w:rFonts w:ascii="Arial" w:cs="Arial" w:eastAsia="Arial" w:hAnsi="Arial"/>
          <w:sz w:val="18"/>
          <w:szCs w:val="18"/>
          <w:b w:val="1"/>
          <w:bCs w:val="1"/>
          <w:color w:val="auto"/>
        </w:rPr>
        <w:t xml:space="preserve"> </w:t>
      </w:r>
      <w:r>
        <w:rPr>
          <w:rFonts w:ascii="Arial" w:cs="Arial" w:eastAsia="Arial" w:hAnsi="Arial"/>
          <w:sz w:val="18"/>
          <w:szCs w:val="18"/>
          <w:color w:val="auto"/>
        </w:rPr>
        <w:t>vacancy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for fixed-price contracts, customer discounts, job cancellations, breakage cost, etc.). The sales allowance estimate is based on an analysis of the historical rate of sales adjustments (credit memos, net of re-bills). The accuracy of the estimate is dependent on the rate of future sales adjustments being consistent with the historical rate. If the rate of future sales adjustments is greater than the historical rate, then the sales allowance may not be sufficient to provide for actual sales adjustments. Alternatively, if the rate of future sales adjustments is less than the historical rate, then the sales allowance will be in excess of actual sales adjustments.</w:t>
      </w:r>
    </w:p>
    <w:p>
      <w:pPr>
        <w:spacing w:after="0" w:line="71" w:lineRule="exact"/>
        <w:rPr>
          <w:sz w:val="20"/>
          <w:szCs w:val="20"/>
          <w:color w:val="auto"/>
        </w:rPr>
      </w:pPr>
    </w:p>
    <w:p>
      <w:pPr>
        <w:jc w:val="both"/>
        <w:ind w:right="400" w:firstLine="300"/>
        <w:spacing w:after="0" w:line="253"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consist of service-related supplies and are valued at amounts approximating the lower of cost (first-in, first-out</w:t>
      </w:r>
      <w:r>
        <w:rPr>
          <w:rFonts w:ascii="Arial" w:cs="Arial" w:eastAsia="Arial" w:hAnsi="Arial"/>
          <w:sz w:val="18"/>
          <w:szCs w:val="18"/>
          <w:b w:val="1"/>
          <w:bCs w:val="1"/>
          <w:color w:val="auto"/>
        </w:rPr>
        <w:t xml:space="preserve"> </w:t>
      </w:r>
      <w:r>
        <w:rPr>
          <w:rFonts w:ascii="Arial" w:cs="Arial" w:eastAsia="Arial" w:hAnsi="Arial"/>
          <w:sz w:val="18"/>
          <w:szCs w:val="18"/>
          <w:color w:val="auto"/>
        </w:rPr>
        <w:t>basis) or market. The cost of inventories is net of vendor rebates in accordance with Emerging Issues Task Force (EITF) Issue No. 02-16, “Accounting by a Customer (Including a Reseller) for Certain Consideration Received from a Vendor.”</w:t>
      </w:r>
    </w:p>
    <w:p>
      <w:pPr>
        <w:spacing w:after="0" w:line="61" w:lineRule="exact"/>
        <w:rPr>
          <w:sz w:val="20"/>
          <w:szCs w:val="20"/>
          <w:color w:val="auto"/>
        </w:rPr>
      </w:pPr>
    </w:p>
    <w:p>
      <w:pPr>
        <w:jc w:val="both"/>
        <w:ind w:right="520" w:firstLine="300"/>
        <w:spacing w:after="0" w:line="253"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The Company has investments in two low income housing tax credit partnerships. Purchased in 1995 and 1998, these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partnerships, organized by independent third parties and sold as investments, are variable interest entities as defined by Financial Accounting Standards Board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(FASB) Financial Interpretation (FIN) No. 46R, “Consolidation of Variable Interest Entities.” In accordance with FIN 46R, these partnerships are not consolidated in the Company’s consolidated financial statements because the Company is not the primary beneficiary of the partnerships. At October 31, 2005 and 2004, the at-risk book value of these investments totaled $2.9 million and $3.9 million, respectively.</w:t>
      </w:r>
    </w:p>
    <w:p>
      <w:pPr>
        <w:spacing w:after="0" w:line="73" w:lineRule="exact"/>
        <w:rPr>
          <w:sz w:val="20"/>
          <w:szCs w:val="20"/>
          <w:color w:val="auto"/>
        </w:rPr>
      </w:pPr>
    </w:p>
    <w:p>
      <w:pPr>
        <w:jc w:val="both"/>
        <w:ind w:right="40" w:firstLine="300"/>
        <w:spacing w:after="0" w:line="253"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stated at cost less accumulated depreciation and amortization.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property, plant and equipment are retired or otherwise disposed of, the cost and accumulated depreciation are removed from the accounts and any resulting gain or loss is reflected in income. Maintenance and repairs are charged against income as incurred.</w:t>
      </w:r>
    </w:p>
    <w:p>
      <w:pPr>
        <w:spacing w:after="0" w:line="83" w:lineRule="exact"/>
        <w:rPr>
          <w:sz w:val="20"/>
          <w:szCs w:val="20"/>
          <w:color w:val="auto"/>
        </w:rPr>
      </w:pPr>
    </w:p>
    <w:p>
      <w:pPr>
        <w:ind w:right="80" w:firstLine="300"/>
        <w:spacing w:after="0" w:line="238" w:lineRule="auto"/>
        <w:rPr>
          <w:sz w:val="20"/>
          <w:szCs w:val="20"/>
          <w:color w:val="auto"/>
        </w:rPr>
      </w:pPr>
      <w:r>
        <w:rPr>
          <w:rFonts w:ascii="Arial" w:cs="Arial" w:eastAsia="Arial" w:hAnsi="Arial"/>
          <w:sz w:val="18"/>
          <w:szCs w:val="18"/>
          <w:color w:val="auto"/>
        </w:rPr>
        <w:t>Depreciation and amortization are calculated using the straight-line method. Useful lives used in computing depreciation for transportation equipment average 3 to 5 years and for machinery and other equipment average 2 to 20 years. Buildings are depreciated over periods of 20 to 40 years. In accordance with the adoption of EITF Issue No. 05-6, “Determining the Amortization Period for Leasehold Improvements” in 2005, leasehold improvements are amortized over the shorter of the terms of the respective leases including renewals that are deemed to be reasonably assured at the date the leasehold improvements are purchased, or the assets’ useful lives.</w:t>
      </w:r>
    </w:p>
    <w:p>
      <w:pPr>
        <w:spacing w:after="0" w:line="73"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In accordance with Statement of Financial Accounting Standards (SFAS) No. 142, “Goodwill and Other Intangibles,” goodwill is</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amortized. Rather, the Company performs a goodwill impairment test on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w:t>
      </w:r>
    </w:p>
    <w:p>
      <w:pPr>
        <w:spacing w:after="0" w:line="71" w:lineRule="exact"/>
        <w:rPr>
          <w:sz w:val="20"/>
          <w:szCs w:val="20"/>
          <w:color w:val="auto"/>
        </w:rPr>
      </w:pPr>
    </w:p>
    <w:p>
      <w:pPr>
        <w:ind w:right="20" w:firstLine="300"/>
        <w:spacing w:after="0" w:line="237" w:lineRule="auto"/>
        <w:rPr>
          <w:sz w:val="20"/>
          <w:szCs w:val="20"/>
          <w:color w:val="auto"/>
        </w:rPr>
      </w:pPr>
      <w:r>
        <w:rPr>
          <w:rFonts w:ascii="Arial" w:cs="Arial" w:eastAsia="Arial" w:hAnsi="Arial"/>
          <w:sz w:val="18"/>
          <w:szCs w:val="18"/>
          <w:b w:val="1"/>
          <w:bCs w:val="1"/>
          <w:color w:val="auto"/>
        </w:rPr>
        <w:t xml:space="preserve">Other Intangibles. </w:t>
      </w:r>
      <w:r>
        <w:rPr>
          <w:rFonts w:ascii="Arial" w:cs="Arial" w:eastAsia="Arial" w:hAnsi="Arial"/>
          <w:sz w:val="18"/>
          <w:szCs w:val="18"/>
          <w:color w:val="auto"/>
        </w:rPr>
        <w:t>The Company engages a third party valuation firm to independently appraise the fair value of intangible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larger sized business combinations. For smaller acquisitions, the Company performs an internal valuation of the intangible assets using the discounted cash flow technique.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 At least annually, in the fourth quarter, the Company evaluates the remaining useful lives of its intangible assets to determine whether events and circumstances warrant a revision to the remaining period of amortization. If the estimate of an asset’s remaining useful life changes, the remaining carrying amount of the intangible asset would be amortized over the revised remaining useful life. Furthermore, the remaining unamortized book value of intangibles is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81" w:lineRule="exact"/>
        <w:rPr>
          <w:sz w:val="20"/>
          <w:szCs w:val="20"/>
          <w:color w:val="auto"/>
        </w:rPr>
      </w:pPr>
    </w:p>
    <w:p>
      <w:pPr>
        <w:ind w:right="60" w:firstLine="300"/>
        <w:spacing w:after="0" w:line="24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 expense is based on reported results of operations before income taxes. Deferred income taxes reflect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temporary differences between the amount of assets and liabilities recognized for financial reporting purposes and such amounts recognized for tax purposes. These deferred taxes are measured using tax rates expected to apply to taxable income in the years in which those temporary differences are expected to be recovered or settled. If the enacted rates in future years differ from the rates expected to apply, an adjustment of the net deferred tax assets will be required. Additionally, if management determines it is more likely than not that a portion of the net deferred tax asset will not be realized, a valuation allowance is recorded. At October 31, 2005, the net deferred tax asset was $93.2 million, net of a $0.2 million valuation allowance related to state net operating loss carryfor-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wards. Should future income be less than anticipated, the net deferred tax asset may not be fully recoverable. (See Note 10.)</w:t>
      </w:r>
    </w:p>
    <w:p>
      <w:pPr>
        <w:spacing w:after="0" w:line="82" w:lineRule="exact"/>
        <w:rPr>
          <w:sz w:val="20"/>
          <w:szCs w:val="20"/>
          <w:color w:val="auto"/>
        </w:rPr>
      </w:pPr>
    </w:p>
    <w:p>
      <w:pPr>
        <w:ind w:right="300" w:firstLine="300"/>
        <w:spacing w:after="0" w:line="241"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ABM and certain of its subsidiaries have been named defendants in certain proceedings arising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including certain environmental matters.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consolidated financial statements when it is both</w:t>
      </w:r>
    </w:p>
    <w:p>
      <w:pPr>
        <w:spacing w:after="0" w:line="1" w:lineRule="exact"/>
        <w:rPr>
          <w:sz w:val="20"/>
          <w:szCs w:val="20"/>
          <w:color w:val="auto"/>
        </w:rPr>
      </w:pPr>
    </w:p>
    <w:p>
      <w:pPr>
        <w:ind w:right="20" w:firstLine="8"/>
        <w:spacing w:after="0" w:line="246"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probable or known that a liability has been incurred and (2) the amount of the loss is reasonably estimable. If the reasonable estimate of the loss is a range and no amount within the range is a better estimate, the minimum amount of the range is recorded as a liability.</w:t>
      </w:r>
    </w:p>
    <w:p>
      <w:pPr>
        <w:spacing w:after="0" w:line="67" w:lineRule="exact"/>
        <w:rPr>
          <w:sz w:val="20"/>
          <w:szCs w:val="20"/>
          <w:color w:val="auto"/>
        </w:rPr>
      </w:pPr>
    </w:p>
    <w:p>
      <w:pPr>
        <w:ind w:firstLine="300"/>
        <w:spacing w:after="0" w:line="247"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earns revenue primarily under service contracts that are either fixed price, cost-plus or are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based. Revenue is recognized when earned, normally when services are performed. In all forms of service provided by the Company, revenue recognition follows the guidelines under Staff Accounting Bulletin (SAB) No. 104, unless another form of guidance takes precedence over SAB No. 104 as mentioned below.</w:t>
      </w:r>
    </w:p>
    <w:p>
      <w:pPr>
        <w:spacing w:after="0" w:line="88" w:lineRule="exact"/>
        <w:rPr>
          <w:sz w:val="20"/>
          <w:szCs w:val="20"/>
          <w:color w:val="auto"/>
        </w:rPr>
      </w:pPr>
    </w:p>
    <w:p>
      <w:pPr>
        <w:ind w:firstLine="297"/>
        <w:spacing w:after="0" w:line="236" w:lineRule="auto"/>
        <w:rPr>
          <w:sz w:val="20"/>
          <w:szCs w:val="20"/>
          <w:color w:val="auto"/>
        </w:rPr>
      </w:pPr>
      <w:r>
        <w:rPr>
          <w:rFonts w:ascii="Arial" w:cs="Arial" w:eastAsia="Arial" w:hAnsi="Arial"/>
          <w:sz w:val="18"/>
          <w:szCs w:val="18"/>
          <w:color w:val="auto"/>
        </w:rPr>
        <w:t>The Janitorial Division primarily earns revenue from the following types of arrangements: fixed price arrangements, cost-plus arrangements, and tag or extra service work. Fixed price arrangements are contracts in which the customer agrees to pay a fixed fee every month over the specified contract term. A variation of a fixed price arrangement is a square-foot arrangement. Square-foot arrangements are ones in which monthly billings are fixed, however, the customer is given a vacancy credit, that is, a credit calculated based on vacant square footage that is not serviced. Cost-plus arrangements are ones in which the customer agrees to reimburse the Company for the agreed upon amount of wages and benefits, payroll taxes, insurance charges and other expenses plus a profit percentage. Tag revenue is additional services requested by the customer outside of the standard contract terms. This work is usually additional work and is performed on short notice due to unforeseen events. The Janitorial Division recognizes revenue on each type of arrangement when services are performed.</w:t>
      </w:r>
    </w:p>
    <w:p>
      <w:pPr>
        <w:spacing w:after="0" w:line="100" w:lineRule="exact"/>
        <w:rPr>
          <w:sz w:val="20"/>
          <w:szCs w:val="20"/>
          <w:color w:val="auto"/>
        </w:rPr>
      </w:pPr>
    </w:p>
    <w:p>
      <w:pPr>
        <w:ind w:firstLine="297"/>
        <w:spacing w:after="0" w:line="236" w:lineRule="auto"/>
        <w:rPr>
          <w:sz w:val="20"/>
          <w:szCs w:val="20"/>
          <w:color w:val="auto"/>
        </w:rPr>
      </w:pPr>
      <w:r>
        <w:rPr>
          <w:rFonts w:ascii="Arial" w:cs="Arial" w:eastAsia="Arial" w:hAnsi="Arial"/>
          <w:sz w:val="18"/>
          <w:szCs w:val="18"/>
          <w:color w:val="auto"/>
        </w:rPr>
        <w:t>The Parking Division has primarily two types of arrangements: managed lot and leased lot. Under the managed lot arrangements, the Company manages the parking lot for the owner in exchange for a management fee, which could be a fixed fee, a performance-based fee such as a percentage of gross or net revenues, or a combination of both. The revenue and expenses are passed through by the Company to the owner under the terms and conditions of the management contract. The management fee revenue is recognized when services are performed. The Company also reports both revenue and expenses recognized, in equal amounts, for costs directly reimbursed from its managed parking lot clients in accordance with EITF Issue No. 01-14, “Income Statement Characterization of Reimbursements Received for Out-of-Pocket Expenses Incurred.” Parking sales related solely to the reimbursement of expenses totaled $231.5 million, $215.8 million and $215.3 million for years ended October 31, 2005, 2004 and 2003, respectively. Under leased lot arrangements, the Company leases the parking lot from the owner and is responsible for all expenses incurred, retains all revenues from monthly and transient parkers and pays rent to the owner per the terms and conditions of the lease. Revenues from monthly and transient parkers are recognized when cash is received.</w:t>
      </w:r>
    </w:p>
    <w:p>
      <w:pPr>
        <w:spacing w:after="0" w:line="98" w:lineRule="exact"/>
        <w:rPr>
          <w:sz w:val="20"/>
          <w:szCs w:val="20"/>
          <w:color w:val="auto"/>
        </w:rPr>
      </w:pPr>
    </w:p>
    <w:p>
      <w:pPr>
        <w:ind w:right="180" w:firstLine="297"/>
        <w:spacing w:after="0" w:line="239" w:lineRule="auto"/>
        <w:rPr>
          <w:sz w:val="20"/>
          <w:szCs w:val="20"/>
          <w:color w:val="auto"/>
        </w:rPr>
      </w:pPr>
      <w:r>
        <w:rPr>
          <w:rFonts w:ascii="Arial" w:cs="Arial" w:eastAsia="Arial" w:hAnsi="Arial"/>
          <w:sz w:val="18"/>
          <w:szCs w:val="18"/>
          <w:color w:val="auto"/>
        </w:rPr>
        <w:t>The Security Division primarily performs scheduled post assignments under one-year service arrangements. Security services for special events may be performed under temporary service agreements. Scheduled post assignments and temporary service agreements are billed based on actual hours of service at contractually specified rates. Revenues for both types of arrangements are recognized when services are performed.</w:t>
      </w:r>
    </w:p>
    <w:p>
      <w:pPr>
        <w:spacing w:after="0" w:line="94" w:lineRule="exact"/>
        <w:rPr>
          <w:sz w:val="20"/>
          <w:szCs w:val="20"/>
          <w:color w:val="auto"/>
        </w:rPr>
      </w:pPr>
    </w:p>
    <w:p>
      <w:pPr>
        <w:ind w:right="180" w:firstLine="297"/>
        <w:spacing w:after="0"/>
        <w:rPr>
          <w:sz w:val="20"/>
          <w:szCs w:val="20"/>
          <w:color w:val="auto"/>
        </w:rPr>
      </w:pPr>
      <w:r>
        <w:rPr>
          <w:rFonts w:ascii="Arial" w:cs="Arial" w:eastAsia="Arial" w:hAnsi="Arial"/>
          <w:sz w:val="18"/>
          <w:szCs w:val="18"/>
          <w:color w:val="auto"/>
        </w:rPr>
        <w:t>The Engineering Division provides services primarily under cost-plus arrangements in which the customer agrees to reimburse the Company for the full amount of wages, payroll taxes, insurance charges and other expenses plus a profit percentage. Revenue is recognized for these contracts when services are performed.</w:t>
      </w:r>
    </w:p>
    <w:p>
      <w:pPr>
        <w:spacing w:after="0" w:line="95" w:lineRule="exact"/>
        <w:rPr>
          <w:sz w:val="20"/>
          <w:szCs w:val="20"/>
          <w:color w:val="auto"/>
        </w:rPr>
      </w:pPr>
    </w:p>
    <w:p>
      <w:pPr>
        <w:ind w:right="80" w:firstLine="297"/>
        <w:spacing w:after="0" w:line="246" w:lineRule="auto"/>
        <w:rPr>
          <w:sz w:val="20"/>
          <w:szCs w:val="20"/>
          <w:color w:val="auto"/>
        </w:rPr>
      </w:pPr>
      <w:r>
        <w:rPr>
          <w:rFonts w:ascii="Arial" w:cs="Arial" w:eastAsia="Arial" w:hAnsi="Arial"/>
          <w:sz w:val="18"/>
          <w:szCs w:val="18"/>
          <w:color w:val="auto"/>
        </w:rPr>
        <w:t>The Lighting Division provides services under the following types of contracts: long-term full service contracts, maintenance only contracts, project work, and time and materials based. A long-term full service contract is a multiple deliverable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wherein the Company initially provides services involving washing light fixtures and replacing all the lamps, followed by periodic lighting maintenance services. Lighting’s multiple deliverable contracts do not meet the criteria for treating the deliverables as separate units of accounting, hence the revenues and direct costs associated with the initial service are deferred and amortized over the service period on a straight-line basis, in accordance with EITF Issue No. 00-21, “Accounting for Revenue Arrangements with Multiple Deliverables.” Typically, the payment terms require a monthly fixed fee payment. If any payment is received upfront for the initial service, revenue is deferred and amortized over the maintenance period. A maintenance only contract is one in which the Company provides periodic lighting maintenance services only, usually covering only labor costs. In accordance with FTB 90-1, “Accounting for Separately Priced Extended Warranty and Product Maintenance Contracts,” revenue for maintenance only contracts is recognized on a straight-line basis and costs are recorded as incurred. Project work denotes construction-type arrangements that require several months to complete. Revenue for construction-type arrangements is recognized under the percentage-of-completion method and is based upon the total gross profit projected for the project at the time of completion and the expenses incurred to date. For Lighting, the percentage-of-completion is measured using the proportion of the cost of direct material installed. Time and materials arrangements are contracts under which the customer is billed based on the number of hours of service and materials used at an agreed upon price per hour of labor and price per unit of material. Revenue from time and materials arrangements is recognized when services are performed unless services consist of multiple deliverables as discussed above.</w:t>
      </w:r>
    </w:p>
    <w:p>
      <w:pPr>
        <w:spacing w:after="0" w:line="73" w:lineRule="exact"/>
        <w:rPr>
          <w:sz w:val="20"/>
          <w:szCs w:val="20"/>
          <w:color w:val="auto"/>
        </w:rPr>
      </w:pPr>
    </w:p>
    <w:p>
      <w:pPr>
        <w:ind w:right="40" w:firstLine="30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The Company has reported its earnings in accordance with SFAS No. 128, “Earnings per Share.” Basic</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per common share is based on the weighted average number of shares outstanding during the period. Diluted net income per common share is based on the weighted average number of shares outstanding during the period, including common stock equivalents. Stock options account for the entire difference between basic average common shares outstanding and diluted average common shares outstanding. For purposes of computing diluted net income per common share, weighted average common share equivalents do not include stock options with an exercise price that exceeds the average fair market value of the Company’s common stock for the period (</w:t>
      </w:r>
      <w:r>
        <w:rPr>
          <w:rFonts w:ascii="Arial" w:cs="Arial" w:eastAsia="Arial" w:hAnsi="Arial"/>
          <w:sz w:val="18"/>
          <w:szCs w:val="18"/>
          <w:i w:val="1"/>
          <w:iCs w:val="1"/>
          <w:color w:val="auto"/>
        </w:rPr>
        <w:t>i.e.</w:t>
      </w:r>
      <w:r>
        <w:rPr>
          <w:rFonts w:ascii="Arial" w:cs="Arial" w:eastAsia="Arial" w:hAnsi="Arial"/>
          <w:sz w:val="18"/>
          <w:szCs w:val="18"/>
          <w:color w:val="auto"/>
        </w:rPr>
        <w:t>, “out-of-the-money” options). For the years ended October 31, 2005, 2004 and 2003, options to purchase common shares of 0.5 million, 17 thousand, and 2.8 million at weighted average exercise prices of $21.32, $20.40 and $16.26, respectively, were excluded from the computation.</w:t>
      </w:r>
    </w:p>
    <w:p>
      <w:pPr>
        <w:spacing w:after="0" w:line="73" w:lineRule="exact"/>
        <w:rPr>
          <w:sz w:val="20"/>
          <w:szCs w:val="20"/>
          <w:color w:val="auto"/>
        </w:rPr>
      </w:pPr>
    </w:p>
    <w:p>
      <w:pPr>
        <w:ind w:firstLine="300"/>
        <w:spacing w:after="0" w:line="24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During the periods presented, the Company accounted for stock-based employee compensation plans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intrinsic value method under the recognition and measurement principles of Accounting Principles Board (APB) Opinion No. 25, “Accounting for Stock Issued to Employees.” The Company’s application of APB Opinion No. 25 does not result in compensation cost because the exercise price of the options is equal to the fair value of the stock at the grant date. Under the intrinsic value method, if the fair value of the stock is greater than the exercise price at grant date, the excess is amortized to compensation expense over the estimated service life of the recipient.</w:t>
      </w:r>
    </w:p>
    <w:p>
      <w:pPr>
        <w:spacing w:after="0" w:line="71" w:lineRule="exact"/>
        <w:rPr>
          <w:sz w:val="20"/>
          <w:szCs w:val="20"/>
          <w:color w:val="auto"/>
        </w:rPr>
      </w:pPr>
    </w:p>
    <w:p>
      <w:pPr>
        <w:ind w:right="340" w:firstLine="300"/>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instruments with original maturities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w:t>
      </w:r>
    </w:p>
    <w:p>
      <w:pPr>
        <w:spacing w:after="0" w:line="46" w:lineRule="exact"/>
        <w:rPr>
          <w:sz w:val="20"/>
          <w:szCs w:val="20"/>
          <w:color w:val="auto"/>
        </w:rPr>
      </w:pPr>
    </w:p>
    <w:p>
      <w:pPr>
        <w:ind w:right="100" w:firstLine="300"/>
        <w:spacing w:after="0" w:line="253"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and other related gains and losses affecting stockholders’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under generally accepted accounting principles, are excluded from net income. For the Company, such other comprehensive income items consist of unrealized foreign currency translation gains and losses.</w:t>
      </w:r>
    </w:p>
    <w:p>
      <w:pPr>
        <w:spacing w:after="0" w:line="61" w:lineRule="exact"/>
        <w:rPr>
          <w:sz w:val="20"/>
          <w:szCs w:val="20"/>
          <w:color w:val="auto"/>
        </w:rPr>
      </w:pPr>
    </w:p>
    <w:p>
      <w:pPr>
        <w:ind w:firstLine="300"/>
        <w:spacing w:after="0" w:line="241" w:lineRule="auto"/>
        <w:rPr>
          <w:sz w:val="20"/>
          <w:szCs w:val="20"/>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The Company has a current receivable which is included in prepaid expenses and other current assets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due from Security Services of America, LLC (SSA LLC), the seller of contract security guard assets and operations that were acquired by the Company in 2004. The receivable arose from overpayments in connection with subcontracting the services of licensed security officers from SSA LLC while certain state operating licenses were being obtained by the Company. Current employees of the Company indirectly own approximately 40% of the equity in SSA LLC. At October 31, 2005 the outstanding amount of the receivable totaled $3.4 million. Because SSA LLC disputes the amount owed, the Company has fully reserved for this receivable. However, the Company intends to continue to vigorously pursue collection.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300"/>
        <w:spacing w:after="0" w:line="238" w:lineRule="auto"/>
        <w:rPr>
          <w:sz w:val="20"/>
          <w:szCs w:val="20"/>
          <w:color w:val="auto"/>
        </w:rPr>
      </w:pPr>
      <w:r>
        <w:rPr>
          <w:rFonts w:ascii="Arial" w:cs="Arial" w:eastAsia="Arial" w:hAnsi="Arial"/>
          <w:sz w:val="18"/>
          <w:szCs w:val="18"/>
          <w:color w:val="auto"/>
        </w:rPr>
        <w:t>In connection with the sale of substantially all of the assets of CommAir Mechanical Services on June 2, 2005, ABM entered into an Interim Services Agreement with Carrier Corporation (Carrier) to provide risk management, information technology, human resources, operational and financial services to Carrier to aid in the transition of the business, and entered into subleases by which Carrier subleased various facilities. All of the subleases had terminated as of December 2, 2005 and all of the interim services had terminated as of December 31, 2005. The total consideration recorded by ABM from the Interim Service Agreement and subleases was $0.5 million for fiscal 2005.</w:t>
      </w:r>
    </w:p>
    <w:p>
      <w:pPr>
        <w:spacing w:after="0" w:line="73" w:lineRule="exact"/>
        <w:rPr>
          <w:sz w:val="20"/>
          <w:szCs w:val="20"/>
          <w:color w:val="auto"/>
        </w:rPr>
      </w:pPr>
    </w:p>
    <w:p>
      <w:pPr>
        <w:ind w:right="80" w:firstLine="300"/>
        <w:spacing w:after="0"/>
        <w:rPr>
          <w:sz w:val="20"/>
          <w:szCs w:val="20"/>
          <w:color w:val="auto"/>
        </w:rPr>
      </w:pPr>
      <w:r>
        <w:rPr>
          <w:rFonts w:ascii="Arial" w:cs="Arial" w:eastAsia="Arial" w:hAnsi="Arial"/>
          <w:sz w:val="18"/>
          <w:szCs w:val="18"/>
          <w:b w:val="1"/>
          <w:bCs w:val="1"/>
          <w:color w:val="auto"/>
        </w:rPr>
        <w:t xml:space="preserve">Accounting Standards Adopted. </w:t>
      </w:r>
      <w:r>
        <w:rPr>
          <w:rFonts w:ascii="Arial" w:cs="Arial" w:eastAsia="Arial" w:hAnsi="Arial"/>
          <w:sz w:val="18"/>
          <w:szCs w:val="18"/>
          <w:color w:val="auto"/>
        </w:rPr>
        <w:t>In December 2004, the FASB issued SFAS No. 153, “Exchanges for Nonmonetary Assets — an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of APB Opinion No. 29.” APB Opinion No. 29 is based on the premise that nonmonetary transactions should be measured based on the fair value of the assets exchanged. SFAS 153 incorporates a general exception for nonmonetary exchange transactions that have commercial substance. Under SFAS No. 153, a nonmonetary exchange shall be measured based on the recorded amount (after reduction of any indicated impairment) of the nonmonetary asset relinquished and not on the fair values of the exchanged assets if any of the following conditions apply: fair value is not determinable, the transaction is made to facilitate sales to customers, or the transaction lacks commercial substance. SFAS No. 153 was effective for nonmonetary asset exchanges beginning in the fourth quarter of 2005. The Company’s adoption of SFAS No. 153 did not have a material impact on its financial position, results of operations or liquidity.</w:t>
      </w:r>
    </w:p>
    <w:p>
      <w:pPr>
        <w:spacing w:after="0" w:line="95" w:lineRule="exact"/>
        <w:rPr>
          <w:sz w:val="20"/>
          <w:szCs w:val="20"/>
          <w:color w:val="auto"/>
        </w:rPr>
      </w:pPr>
    </w:p>
    <w:p>
      <w:pPr>
        <w:ind w:right="240" w:firstLine="300"/>
        <w:spacing w:after="0" w:line="236" w:lineRule="auto"/>
        <w:rPr>
          <w:sz w:val="20"/>
          <w:szCs w:val="20"/>
          <w:color w:val="auto"/>
        </w:rPr>
      </w:pPr>
      <w:r>
        <w:rPr>
          <w:rFonts w:ascii="Arial" w:cs="Arial" w:eastAsia="Arial" w:hAnsi="Arial"/>
          <w:sz w:val="18"/>
          <w:szCs w:val="18"/>
          <w:color w:val="auto"/>
        </w:rPr>
        <w:t>In June 2005, the EITF ratified their conclusions on EITF Issue No. 05-6, “Determining the Amortization Period for Leasehold Improvements.” EITF Issue No. 05-6 clarifies the life assigned to leasehold improvements acquired in a business combination and leasehold improvements that are placed in service significantly after and not contemplated at or near the beginning of the lease term. For leasehold improvements acquired in a business combination, amortization should be over the shorter of the useful lives of the assets or a term that includes required lease periods and renewals that are deemed to be reasonably assured at the date of acquisition. Leasehold improvements that are placed in service significantly after and not contemplated at or near the beginning of the lease term should be amortized over the shorter of the useful lives of the assets or a term that includes lease periods and renewals that are deemed to be reasonably assured at the date the leasehold improvements are purchased. This was effective for all leasehold improvements purchased or acquired beginning in the fourth quarter of 2005 for the Company. The Company’s adoption of EITF Issue No. 05-6 did not have a material impact on its financial position, results of operations or liquidity.</w:t>
      </w:r>
    </w:p>
    <w:p>
      <w:pPr>
        <w:spacing w:after="0" w:line="76"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In December 2004, FASB issued SFAS No. 123R, “Share-Based Payment.” This statement is a</w:t>
      </w:r>
      <w:r>
        <w:rPr>
          <w:rFonts w:ascii="Arial" w:cs="Arial" w:eastAsia="Arial" w:hAnsi="Arial"/>
          <w:sz w:val="18"/>
          <w:szCs w:val="18"/>
          <w:b w:val="1"/>
          <w:bCs w:val="1"/>
          <w:color w:val="auto"/>
        </w:rPr>
        <w:t xml:space="preserve"> </w:t>
      </w:r>
      <w:r>
        <w:rPr>
          <w:rFonts w:ascii="Arial" w:cs="Arial" w:eastAsia="Arial" w:hAnsi="Arial"/>
          <w:sz w:val="18"/>
          <w:szCs w:val="18"/>
          <w:color w:val="auto"/>
        </w:rPr>
        <w:t>revision to SFAS No. 123, “Accounting for Stock-Based Compensation” and supersedes APB Opinion No. 25, “Accounting for Stock Issued to Employees.”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SFAS No. 123R is effective as of the beginning of the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below in Note 9.</w:t>
      </w:r>
    </w:p>
    <w:p>
      <w:pPr>
        <w:spacing w:after="0" w:line="95" w:lineRule="exact"/>
        <w:rPr>
          <w:sz w:val="20"/>
          <w:szCs w:val="20"/>
          <w:color w:val="auto"/>
        </w:rPr>
      </w:pPr>
    </w:p>
    <w:p>
      <w:pPr>
        <w:ind w:right="20" w:firstLine="300"/>
        <w:spacing w:after="0" w:line="237" w:lineRule="auto"/>
        <w:rPr>
          <w:sz w:val="20"/>
          <w:szCs w:val="20"/>
          <w:color w:val="auto"/>
        </w:rPr>
      </w:pPr>
      <w:r>
        <w:rPr>
          <w:rFonts w:ascii="Arial" w:cs="Arial" w:eastAsia="Arial" w:hAnsi="Arial"/>
          <w:sz w:val="18"/>
          <w:szCs w:val="18"/>
          <w:color w:val="auto"/>
        </w:rPr>
        <w:t>In May 2005, the FASB issued SFAS No. 154, “Accounting Changes and Error Corrections.” This Statement replaces APB Opinion No. 20, “Accounting Changes” and SFAS No. 3, “Reporting Accounting Changes in Interim Financial Statements.” SFAS No. 154 applies to all voluntary changes in accounting principle, and changes the requirements for accounting for and reporting of a change in accounting principle. SFAS 154 requires retrospective application to prior periods’ financial statements of a voluntary change in accounting principle unless it is impracticable. Opinion No. 20 previously required that most voluntary changes in accounting principle be recognized by including in net income of the period of the change the cumulative effect of changing to the new accounting principle. SFAS No. 154 also requires that a change in method of depreciation, amortization 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depletion for long-lived, nonfinancial assets be accounted for as a change in accounting estimate that is effected by a change in accounting principle. Opinion No. 20 previously required that such a change be reported as a change in accounting principle. Statement No. 154 is effective for accounting changes and corrections of errors made in fiscal years beginning after December 15, 2005. Earlier application is permitted for accounting changes and corrections of errors made occurring in fiscal years beginning after June 1, 2005. The Company will adopt SFAS No. 154 effective November 1, 2005.</w:t>
      </w:r>
    </w:p>
    <w:p>
      <w:pPr>
        <w:spacing w:after="0" w:line="95" w:lineRule="exact"/>
        <w:rPr>
          <w:sz w:val="20"/>
          <w:szCs w:val="20"/>
          <w:color w:val="auto"/>
        </w:rPr>
      </w:pPr>
    </w:p>
    <w:p>
      <w:pPr>
        <w:ind w:right="240" w:firstLine="300"/>
        <w:spacing w:after="0" w:line="238" w:lineRule="auto"/>
        <w:rPr>
          <w:sz w:val="20"/>
          <w:szCs w:val="20"/>
          <w:color w:val="auto"/>
        </w:rPr>
      </w:pPr>
      <w:r>
        <w:rPr>
          <w:rFonts w:ascii="Arial" w:cs="Arial" w:eastAsia="Arial" w:hAnsi="Arial"/>
          <w:sz w:val="18"/>
          <w:szCs w:val="18"/>
          <w:color w:val="auto"/>
        </w:rPr>
        <w:t>In October 2005, the FASB issued FASB Staff Position (FSP) No. FAS 13-1, “Accounting for Rental Costs Incurred during a Construction Period.” FSP No. FAS 13-1 provides guidance to the treatment of rental expense incurred during a construction period. The guidance in FSP No. FAS 13-1 prohibits the capitalization of rental expense as leasehold improvement costs and is effective in the first reporting period beginning after December 15, 2005. The Company does not expect the adoption of FSP No. FAS 13-1 will have a material impact on its financial position,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INSURANCE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w:t>
      </w:r>
    </w:p>
    <w:p>
      <w:pPr>
        <w:spacing w:after="0" w:line="234" w:lineRule="auto"/>
        <w:rPr>
          <w:sz w:val="20"/>
          <w:szCs w:val="20"/>
          <w:color w:val="auto"/>
        </w:rPr>
      </w:pPr>
      <w:r>
        <w:rPr>
          <w:rFonts w:ascii="Arial" w:cs="Arial" w:eastAsia="Arial" w:hAnsi="Arial"/>
          <w:sz w:val="18"/>
          <w:szCs w:val="18"/>
          <w:color w:val="auto"/>
        </w:rPr>
        <w:t>Commercial policies are obtained to provide for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deductibles). For claims incurred after November 1, 2002, substantially all of the self-insured retentions increased from $0.5 million (inclusive of</w:t>
      </w:r>
    </w:p>
    <w:p>
      <w:pPr>
        <w:spacing w:after="0" w:line="235" w:lineRule="auto"/>
        <w:rPr>
          <w:sz w:val="20"/>
          <w:szCs w:val="20"/>
          <w:color w:val="auto"/>
        </w:rPr>
      </w:pPr>
      <w:r>
        <w:rPr>
          <w:rFonts w:ascii="Arial" w:cs="Arial" w:eastAsia="Arial" w:hAnsi="Arial"/>
          <w:sz w:val="18"/>
          <w:szCs w:val="18"/>
          <w:color w:val="auto"/>
        </w:rPr>
        <w:t>legal fees) to $1.0 million (exclusive of legal fees) except for California workers’ compensation insurance which increased to $2.0 million</w:t>
      </w:r>
    </w:p>
    <w:p>
      <w:pPr>
        <w:spacing w:after="0" w:line="235" w:lineRule="auto"/>
        <w:rPr>
          <w:sz w:val="20"/>
          <w:szCs w:val="20"/>
          <w:color w:val="auto"/>
        </w:rPr>
      </w:pPr>
      <w:r>
        <w:rPr>
          <w:rFonts w:ascii="Arial" w:cs="Arial" w:eastAsia="Arial" w:hAnsi="Arial"/>
          <w:sz w:val="18"/>
          <w:szCs w:val="18"/>
          <w:color w:val="auto"/>
        </w:rPr>
        <w:t>effective April 14, 2003. However, effective April 14, 2005, the deductible for California workers’ compensation insurance decreased from</w:t>
      </w:r>
    </w:p>
    <w:p>
      <w:pPr>
        <w:spacing w:after="0" w:line="235" w:lineRule="auto"/>
        <w:rPr>
          <w:sz w:val="20"/>
          <w:szCs w:val="20"/>
          <w:color w:val="auto"/>
        </w:rPr>
      </w:pPr>
      <w:r>
        <w:rPr>
          <w:rFonts w:ascii="Arial" w:cs="Arial" w:eastAsia="Arial" w:hAnsi="Arial"/>
          <w:sz w:val="18"/>
          <w:szCs w:val="18"/>
          <w:color w:val="auto"/>
        </w:rPr>
        <w:t>$2.0 million to $1.0 million per occurrence, plus an additional $1.0 million annually in the aggregate, due to improvements in general insurance</w:t>
      </w:r>
    </w:p>
    <w:p>
      <w:pPr>
        <w:spacing w:after="0"/>
        <w:rPr>
          <w:sz w:val="20"/>
          <w:szCs w:val="20"/>
          <w:color w:val="auto"/>
        </w:rPr>
      </w:pPr>
      <w:r>
        <w:rPr>
          <w:rFonts w:ascii="Arial" w:cs="Arial" w:eastAsia="Arial" w:hAnsi="Arial"/>
          <w:sz w:val="18"/>
          <w:szCs w:val="18"/>
          <w:color w:val="auto"/>
        </w:rPr>
        <w:t>market conditions.</w:t>
      </w:r>
    </w:p>
    <w:p>
      <w:pPr>
        <w:spacing w:after="0" w:line="104" w:lineRule="exact"/>
        <w:rPr>
          <w:sz w:val="20"/>
          <w:szCs w:val="20"/>
          <w:color w:val="auto"/>
        </w:rPr>
      </w:pPr>
    </w:p>
    <w:p>
      <w:pPr>
        <w:ind w:firstLine="297"/>
        <w:spacing w:after="0" w:line="236" w:lineRule="auto"/>
        <w:rPr>
          <w:sz w:val="20"/>
          <w:szCs w:val="20"/>
          <w:color w:val="auto"/>
        </w:rPr>
      </w:pPr>
      <w:r>
        <w:rPr>
          <w:rFonts w:ascii="Arial" w:cs="Arial" w:eastAsia="Arial" w:hAnsi="Arial"/>
          <w:sz w:val="18"/>
          <w:szCs w:val="18"/>
          <w:color w:val="auto"/>
        </w:rPr>
        <w:t>The Company uses an independent actuary to evaluate the Company’s estimated claim costs and liabilities at least annually and accrues self-insurance reserves in an amount that is equal to the actuarial point estimate. Using the annual actuarial report, management develops annual insurance costs for each operation, expressed as a rate per $100 of exposure (labor and revenue) to estimate insurance costs.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has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98" w:lineRule="exact"/>
        <w:rPr>
          <w:sz w:val="20"/>
          <w:szCs w:val="20"/>
          <w:color w:val="auto"/>
        </w:rPr>
      </w:pPr>
    </w:p>
    <w:p>
      <w:pPr>
        <w:ind w:right="40" w:firstLine="297"/>
        <w:spacing w:after="0" w:line="236" w:lineRule="auto"/>
        <w:rPr>
          <w:sz w:val="20"/>
          <w:szCs w:val="20"/>
          <w:color w:val="auto"/>
        </w:rPr>
      </w:pPr>
      <w:r>
        <w:rPr>
          <w:rFonts w:ascii="Arial" w:cs="Arial" w:eastAsia="Arial" w:hAnsi="Arial"/>
          <w:sz w:val="18"/>
          <w:szCs w:val="18"/>
          <w:color w:val="auto"/>
        </w:rPr>
        <w:t>The 2005 actuarial report covering substantially all of the Company’s general liability and workers’ compensation reserves was completed in the third quarter of 2005 resulting in a $5.5 million insurance benefit. The report showed favorable developments in the Company’s California workers’ compensation and general and auto liability claims, offset in part by adverse developments in the Company’s workers’ compensation claims outside of California. The $5.5 million was recorded by Corporate and was attributable to reserves for 2004 and prior years, of which $1.4 million was attributable to a correction of an overstatement of reserves at October 31, 2004. The 2005 actuarial reports covering the rest of the Company’s self-insurance reserves including low deductible self-insurance programs that cover general liability expenses at malls, special event facilities and airport shuttles, as well as workers’ compensation for certain employees in certain states were completed in the fourth quarter of 2005 resulting in the reduction of these reserves by $2.7 million. The $2.7 million was recorded by Janitorial and Parking and was mostly attributable to reserves for 2004 and prior years.</w:t>
      </w:r>
    </w:p>
    <w:p>
      <w:pPr>
        <w:spacing w:after="0" w:line="99" w:lineRule="exact"/>
        <w:rPr>
          <w:sz w:val="20"/>
          <w:szCs w:val="20"/>
          <w:color w:val="auto"/>
        </w:rPr>
      </w:pPr>
    </w:p>
    <w:p>
      <w:pPr>
        <w:ind w:right="300" w:firstLine="297"/>
        <w:spacing w:after="0" w:line="234" w:lineRule="auto"/>
        <w:rPr>
          <w:sz w:val="20"/>
          <w:szCs w:val="20"/>
          <w:color w:val="auto"/>
        </w:rPr>
      </w:pPr>
      <w:r>
        <w:rPr>
          <w:rFonts w:ascii="Arial" w:cs="Arial" w:eastAsia="Arial" w:hAnsi="Arial"/>
          <w:sz w:val="18"/>
          <w:szCs w:val="18"/>
          <w:color w:val="auto"/>
        </w:rPr>
        <w:t>The 2004 actuarial report completed in November 2004 indicated that there were adverse developments in the Company’s insurance reserves primarily related to workers’ compensation claims in the State of California during the four-year period ended October 31, 2003, for which Corporate recorded a charge of $17.2 million in the fourth quarter of 2004. The Company believes a substantial portion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$17.2 million was related to poor claims management by a third party administrator, who no longer performs these services for the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total estimated liability for claims incurred but unpaid at October 31, 2005 and 2004 was $198.6 million and $187.9 million, respectively.</w:t>
      </w:r>
    </w:p>
    <w:p>
      <w:pPr>
        <w:spacing w:after="0" w:line="104" w:lineRule="exact"/>
        <w:rPr>
          <w:sz w:val="20"/>
          <w:szCs w:val="20"/>
          <w:color w:val="auto"/>
        </w:rPr>
      </w:pPr>
    </w:p>
    <w:p>
      <w:pPr>
        <w:ind w:right="340" w:firstLine="300"/>
        <w:spacing w:after="0" w:line="246" w:lineRule="auto"/>
        <w:rPr>
          <w:sz w:val="20"/>
          <w:szCs w:val="20"/>
          <w:color w:val="auto"/>
        </w:rPr>
      </w:pPr>
      <w:r>
        <w:rPr>
          <w:rFonts w:ascii="Arial" w:cs="Arial" w:eastAsia="Arial" w:hAnsi="Arial"/>
          <w:sz w:val="18"/>
          <w:szCs w:val="18"/>
          <w:color w:val="auto"/>
        </w:rPr>
        <w:t>In connection with certain self-insurance programs, the Company had standby letters of credit at October 31, 2005 and 2004 supporting estimated unpaid liabilities in the amounts of $82.1 million and $88.3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Property, plant and equipment at October 31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7"/>
                <w:szCs w:val="17"/>
                <w:color w:val="auto"/>
              </w:rPr>
            </w:pP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29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808</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879</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Buildings</w:t>
            </w:r>
          </w:p>
        </w:tc>
        <w:tc>
          <w:tcPr>
            <w:tcW w:w="29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3,816</w:t>
            </w:r>
          </w:p>
        </w:tc>
        <w:tc>
          <w:tcPr>
            <w:tcW w:w="5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4,175</w:t>
            </w:r>
          </w:p>
        </w:tc>
      </w:tr>
      <w:tr>
        <w:trPr>
          <w:trHeight w:val="162"/>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Transportation equipment</w:t>
            </w:r>
          </w:p>
        </w:tc>
        <w:tc>
          <w:tcPr>
            <w:tcW w:w="29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14,119</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14,039</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Machinery and other equipment</w:t>
            </w:r>
          </w:p>
        </w:tc>
        <w:tc>
          <w:tcPr>
            <w:tcW w:w="29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79,406</w:t>
            </w:r>
          </w:p>
        </w:tc>
        <w:tc>
          <w:tcPr>
            <w:tcW w:w="5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77,506</w:t>
            </w:r>
          </w:p>
        </w:tc>
      </w:tr>
      <w:tr>
        <w:trPr>
          <w:trHeight w:val="162"/>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29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16,491</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14,176</w:t>
            </w:r>
          </w:p>
        </w:tc>
      </w:tr>
      <w:tr>
        <w:trPr>
          <w:trHeight w:val="169"/>
        </w:trPr>
        <w:tc>
          <w:tcPr>
            <w:tcW w:w="5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114,640</w:t>
            </w:r>
          </w:p>
        </w:tc>
        <w:tc>
          <w:tcPr>
            <w:tcW w:w="5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110,775</w:t>
            </w:r>
          </w:p>
        </w:tc>
      </w:tr>
      <w:tr>
        <w:trPr>
          <w:trHeight w:val="162"/>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Less accumulated depreciation and amortization</w:t>
            </w:r>
          </w:p>
        </w:tc>
        <w:tc>
          <w:tcPr>
            <w:tcW w:w="29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80,370</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79,584</w:t>
            </w: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34,270</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31,191</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INTANGIBLES</w:t>
      </w:r>
    </w:p>
    <w:p>
      <w:pPr>
        <w:spacing w:after="0" w:line="104" w:lineRule="exact"/>
        <w:rPr>
          <w:sz w:val="20"/>
          <w:szCs w:val="20"/>
          <w:color w:val="auto"/>
        </w:rPr>
      </w:pPr>
    </w:p>
    <w:p>
      <w:pPr>
        <w:ind w:right="300" w:firstLine="300"/>
        <w:spacing w:after="0" w:line="27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years ended October 31, 2005 and 2004 were as follows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discussed in Note 11):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Balance as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Initial</w:t>
            </w: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Balance as</w:t>
            </w:r>
          </w:p>
        </w:tc>
        <w:tc>
          <w:tcPr>
            <w:tcW w:w="100" w:type="dxa"/>
            <w:vAlign w:val="bottom"/>
          </w:tcPr>
          <w:p>
            <w:pPr>
              <w:spacing w:after="0"/>
              <w:rPr>
                <w:sz w:val="15"/>
                <w:szCs w:val="15"/>
                <w:color w:val="auto"/>
              </w:rPr>
            </w:pPr>
          </w:p>
        </w:tc>
      </w:tr>
      <w:tr>
        <w:trPr>
          <w:trHeight w:val="162"/>
        </w:trPr>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80" w:type="dxa"/>
            <w:vAlign w:val="bottom"/>
          </w:tcPr>
          <w:p>
            <w:pPr>
              <w:jc w:val="center"/>
              <w:ind w:right="228"/>
              <w:spacing w:after="0"/>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w:t>
            </w:r>
          </w:p>
        </w:tc>
      </w:tr>
      <w:tr>
        <w:trPr>
          <w:trHeight w:val="162"/>
        </w:trPr>
        <w:tc>
          <w:tcPr>
            <w:tcW w:w="3620" w:type="dxa"/>
            <w:vAlign w:val="bottom"/>
          </w:tcPr>
          <w:p>
            <w:pPr>
              <w:spacing w:after="0"/>
              <w:rPr>
                <w:sz w:val="14"/>
                <w:szCs w:val="14"/>
                <w:color w:val="auto"/>
              </w:rPr>
            </w:pPr>
          </w:p>
        </w:tc>
        <w:tc>
          <w:tcPr>
            <w:tcW w:w="3840" w:type="dxa"/>
            <w:vAlign w:val="bottom"/>
            <w:gridSpan w:val="2"/>
          </w:tcPr>
          <w:p>
            <w:pPr>
              <w:jc w:val="center"/>
              <w:ind w:left="2388"/>
              <w:spacing w:after="0"/>
              <w:rPr>
                <w:sz w:val="20"/>
                <w:szCs w:val="20"/>
                <w:color w:val="auto"/>
              </w:rPr>
            </w:pPr>
            <w:r>
              <w:rPr>
                <w:rFonts w:ascii="Arial" w:cs="Arial" w:eastAsia="Arial" w:hAnsi="Arial"/>
                <w:sz w:val="14"/>
                <w:szCs w:val="14"/>
                <w:b w:val="1"/>
                <w:bCs w:val="1"/>
                <w:color w:val="auto"/>
              </w:rPr>
              <w:t>October 31,</w:t>
            </w:r>
          </w:p>
        </w:tc>
        <w:tc>
          <w:tcPr>
            <w:tcW w:w="34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for</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Contingent</w:t>
            </w:r>
          </w:p>
        </w:tc>
        <w:tc>
          <w:tcPr>
            <w:tcW w:w="3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October 31,</w:t>
            </w:r>
          </w:p>
        </w:tc>
      </w:tr>
      <w:tr>
        <w:trPr>
          <w:trHeight w:val="182"/>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2004</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Janitorial</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139,221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3,758</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8,328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151,307</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Parking</w:t>
            </w:r>
          </w:p>
        </w:tc>
        <w:tc>
          <w:tcPr>
            <w:tcW w:w="27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28,749</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786</w:t>
            </w:r>
          </w:p>
        </w:tc>
        <w:tc>
          <w:tcPr>
            <w:tcW w:w="3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29,535</w:t>
            </w: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Security</w:t>
            </w:r>
          </w:p>
        </w:tc>
        <w:tc>
          <w:tcPr>
            <w:tcW w:w="27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37,605</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2,563</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2,373</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42,541</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Engineering</w:t>
            </w:r>
          </w:p>
        </w:tc>
        <w:tc>
          <w:tcPr>
            <w:tcW w:w="27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2,174</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2,174</w:t>
            </w:r>
          </w:p>
        </w:tc>
      </w:tr>
      <w:tr>
        <w:trPr>
          <w:trHeight w:val="162"/>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Lighting</w:t>
            </w:r>
          </w:p>
        </w:tc>
        <w:tc>
          <w:tcPr>
            <w:tcW w:w="27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17,746</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256</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18,002</w:t>
            </w:r>
          </w:p>
        </w:tc>
      </w:tr>
      <w:tr>
        <w:trPr>
          <w:trHeight w:val="169"/>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225,495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6,321</w:t>
            </w:r>
          </w:p>
        </w:tc>
        <w:tc>
          <w:tcPr>
            <w:tcW w:w="300" w:type="dxa"/>
            <w:vAlign w:val="bottom"/>
            <w:tcBorders>
              <w:bottom w:val="single" w:sz="8" w:color="auto"/>
            </w:tcBorders>
          </w:tcPr>
          <w:p>
            <w:pPr>
              <w:ind w:left="2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11,743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243,559</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97"/>
        <w:spacing w:after="0" w:line="239" w:lineRule="auto"/>
        <w:rPr>
          <w:sz w:val="20"/>
          <w:szCs w:val="20"/>
          <w:color w:val="auto"/>
        </w:rPr>
      </w:pPr>
      <w:r>
        <w:rPr>
          <w:rFonts w:ascii="Arial" w:cs="Arial" w:eastAsia="Arial" w:hAnsi="Arial"/>
          <w:sz w:val="18"/>
          <w:szCs w:val="18"/>
          <w:color w:val="auto"/>
        </w:rPr>
        <w:t>The $2.6 million increase in Security’s goodwill for initial payments for acquisitions includes $ 1.0 million that resulted from recording a deferred tax liability from the Sentinel Guard Systems (Sentinel) transaction in the first quarter of 2005. (See Note 11.) Of the $ 243.6 million carrying amount of goodwill as of October 31, 2005, $44.8 million is not amortizable for income tax purposes because of being acquired prior to 1991 or through stock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Balance as</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Initial</w:t>
            </w: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Balance as</w:t>
            </w:r>
          </w:p>
        </w:tc>
        <w:tc>
          <w:tcPr>
            <w:tcW w:w="100" w:type="dxa"/>
            <w:vAlign w:val="bottom"/>
          </w:tcPr>
          <w:p>
            <w:pPr>
              <w:spacing w:after="0"/>
              <w:rPr>
                <w:sz w:val="15"/>
                <w:szCs w:val="15"/>
                <w:color w:val="auto"/>
              </w:rPr>
            </w:pPr>
          </w:p>
        </w:tc>
      </w:tr>
      <w:tr>
        <w:trPr>
          <w:trHeight w:val="162"/>
        </w:trPr>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80" w:type="dxa"/>
            <w:vAlign w:val="bottom"/>
          </w:tcPr>
          <w:p>
            <w:pPr>
              <w:jc w:val="center"/>
              <w:ind w:right="228"/>
              <w:spacing w:after="0"/>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w:t>
            </w:r>
          </w:p>
        </w:tc>
      </w:tr>
      <w:tr>
        <w:trPr>
          <w:trHeight w:val="162"/>
        </w:trPr>
        <w:tc>
          <w:tcPr>
            <w:tcW w:w="3620" w:type="dxa"/>
            <w:vAlign w:val="bottom"/>
          </w:tcPr>
          <w:p>
            <w:pPr>
              <w:spacing w:after="0"/>
              <w:rPr>
                <w:sz w:val="14"/>
                <w:szCs w:val="14"/>
                <w:color w:val="auto"/>
              </w:rPr>
            </w:pPr>
          </w:p>
        </w:tc>
        <w:tc>
          <w:tcPr>
            <w:tcW w:w="3840" w:type="dxa"/>
            <w:vAlign w:val="bottom"/>
            <w:gridSpan w:val="2"/>
          </w:tcPr>
          <w:p>
            <w:pPr>
              <w:jc w:val="center"/>
              <w:ind w:left="2388"/>
              <w:spacing w:after="0"/>
              <w:rPr>
                <w:sz w:val="20"/>
                <w:szCs w:val="20"/>
                <w:color w:val="auto"/>
              </w:rPr>
            </w:pPr>
            <w:r>
              <w:rPr>
                <w:rFonts w:ascii="Arial" w:cs="Arial" w:eastAsia="Arial" w:hAnsi="Arial"/>
                <w:sz w:val="14"/>
                <w:szCs w:val="14"/>
                <w:b w:val="1"/>
                <w:bCs w:val="1"/>
                <w:color w:val="auto"/>
              </w:rPr>
              <w:t>October 31,</w:t>
            </w:r>
          </w:p>
        </w:tc>
        <w:tc>
          <w:tcPr>
            <w:tcW w:w="340" w:type="dxa"/>
            <w:vAlign w:val="bottom"/>
          </w:tcPr>
          <w:p>
            <w:pPr>
              <w:spacing w:after="0"/>
              <w:rPr>
                <w:sz w:val="14"/>
                <w:szCs w:val="14"/>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for</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Contingent</w:t>
            </w:r>
          </w:p>
        </w:tc>
        <w:tc>
          <w:tcPr>
            <w:tcW w:w="3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October 31,</w:t>
            </w:r>
          </w:p>
        </w:tc>
      </w:tr>
      <w:tr>
        <w:trPr>
          <w:trHeight w:val="182"/>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2003</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Janitorial</w:t>
            </w: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131,258</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7,963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139,221</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Parking</w:t>
            </w:r>
          </w:p>
        </w:tc>
        <w:tc>
          <w:tcPr>
            <w:tcW w:w="27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28,263</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486</w:t>
            </w:r>
          </w:p>
        </w:tc>
        <w:tc>
          <w:tcPr>
            <w:tcW w:w="3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28,749</w:t>
            </w: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Security</w:t>
            </w:r>
          </w:p>
        </w:tc>
        <w:tc>
          <w:tcPr>
            <w:tcW w:w="27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7,806</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28,991</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808</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37,605</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Engineering</w:t>
            </w:r>
          </w:p>
        </w:tc>
        <w:tc>
          <w:tcPr>
            <w:tcW w:w="27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2,174</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2,174</w:t>
            </w:r>
          </w:p>
        </w:tc>
      </w:tr>
      <w:tr>
        <w:trPr>
          <w:trHeight w:val="162"/>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Lighting</w:t>
            </w:r>
          </w:p>
        </w:tc>
        <w:tc>
          <w:tcPr>
            <w:tcW w:w="27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17,356</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390</w:t>
            </w: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17,746</w:t>
            </w:r>
          </w:p>
        </w:tc>
      </w:tr>
      <w:tr>
        <w:trPr>
          <w:trHeight w:val="169"/>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186,857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28,991</w:t>
            </w:r>
          </w:p>
        </w:tc>
        <w:tc>
          <w:tcPr>
            <w:tcW w:w="300" w:type="dxa"/>
            <w:vAlign w:val="bottom"/>
            <w:tcBorders>
              <w:bottom w:val="single" w:sz="8" w:color="auto"/>
            </w:tcBorders>
          </w:tcPr>
          <w:p>
            <w:pPr>
              <w:ind w:left="2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9,647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225,495</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300"/>
        <w:spacing w:after="0" w:line="271" w:lineRule="auto"/>
        <w:rPr>
          <w:sz w:val="20"/>
          <w:szCs w:val="20"/>
          <w:color w:val="auto"/>
        </w:rPr>
      </w:pPr>
      <w:r>
        <w:rPr>
          <w:rFonts w:ascii="Arial" w:cs="Arial" w:eastAsia="Arial" w:hAnsi="Arial"/>
          <w:sz w:val="18"/>
          <w:szCs w:val="18"/>
          <w:b w:val="1"/>
          <w:bCs w:val="1"/>
          <w:color w:val="auto"/>
        </w:rPr>
        <w:t xml:space="preserve">Other Intangibles: </w:t>
      </w:r>
      <w:r>
        <w:rPr>
          <w:rFonts w:ascii="Arial" w:cs="Arial" w:eastAsia="Arial" w:hAnsi="Arial"/>
          <w:sz w:val="18"/>
          <w:szCs w:val="18"/>
          <w:color w:val="auto"/>
        </w:rPr>
        <w:t>The changes in the gross carrying amount and accumulated amortization of other intangibles apart from goodwill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ended October 31, 2005 and 2004 were as follows (acquisitions are discussed in Note 11):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gridSpan w:val="3"/>
          </w:tcPr>
          <w:p>
            <w:pPr>
              <w:jc w:val="right"/>
              <w:ind w:right="388"/>
              <w:spacing w:after="0"/>
              <w:rPr>
                <w:sz w:val="20"/>
                <w:szCs w:val="20"/>
                <w:color w:val="auto"/>
              </w:rPr>
            </w:pPr>
            <w:r>
              <w:rPr>
                <w:rFonts w:ascii="Arial" w:cs="Arial" w:eastAsia="Arial" w:hAnsi="Arial"/>
                <w:sz w:val="13"/>
                <w:szCs w:val="13"/>
                <w:b w:val="1"/>
                <w:bCs w:val="1"/>
                <w:color w:val="auto"/>
                <w:w w:val="96"/>
              </w:rPr>
              <w:t>Gross Carrying Amount</w:t>
            </w:r>
          </w:p>
        </w:tc>
        <w:tc>
          <w:tcPr>
            <w:tcW w:w="3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3"/>
          </w:tcPr>
          <w:p>
            <w:pPr>
              <w:jc w:val="right"/>
              <w:ind w:right="168"/>
              <w:spacing w:after="0"/>
              <w:rPr>
                <w:sz w:val="20"/>
                <w:szCs w:val="20"/>
                <w:color w:val="auto"/>
              </w:rPr>
            </w:pPr>
            <w:r>
              <w:rPr>
                <w:rFonts w:ascii="Arial" w:cs="Arial" w:eastAsia="Arial" w:hAnsi="Arial"/>
                <w:sz w:val="13"/>
                <w:szCs w:val="13"/>
                <w:b w:val="1"/>
                <w:bCs w:val="1"/>
                <w:color w:val="auto"/>
                <w:w w:val="97"/>
              </w:rPr>
              <w:t>Accumulated Amortization</w:t>
            </w: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0"/>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251"/>
              <w:spacing w:after="0" w:line="120" w:lineRule="exact"/>
              <w:rPr>
                <w:sz w:val="20"/>
                <w:szCs w:val="20"/>
                <w:color w:val="auto"/>
              </w:rPr>
            </w:pPr>
            <w:r>
              <w:rPr>
                <w:rFonts w:ascii="Arial" w:cs="Arial" w:eastAsia="Arial" w:hAnsi="Arial"/>
                <w:sz w:val="13"/>
                <w:szCs w:val="13"/>
                <w:b w:val="1"/>
                <w:bCs w:val="1"/>
                <w:color w:val="auto"/>
                <w:w w:val="97"/>
              </w:rPr>
              <w:t>October 31,</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jc w:val="right"/>
              <w:spacing w:after="0" w:line="120" w:lineRule="exact"/>
              <w:rPr>
                <w:sz w:val="20"/>
                <w:szCs w:val="20"/>
                <w:color w:val="auto"/>
              </w:rPr>
            </w:pPr>
            <w:r>
              <w:rPr>
                <w:rFonts w:ascii="Arial" w:cs="Arial" w:eastAsia="Arial" w:hAnsi="Arial"/>
                <w:sz w:val="13"/>
                <w:szCs w:val="13"/>
                <w:b w:val="1"/>
                <w:bCs w:val="1"/>
                <w:color w:val="auto"/>
              </w:rPr>
              <w:t>October 31,</w:t>
            </w:r>
          </w:p>
        </w:tc>
        <w:tc>
          <w:tcPr>
            <w:tcW w:w="440" w:type="dxa"/>
            <w:vAlign w:val="bottom"/>
          </w:tcPr>
          <w:p>
            <w:pPr>
              <w:spacing w:after="0"/>
              <w:rPr>
                <w:sz w:val="10"/>
                <w:szCs w:val="10"/>
                <w:color w:val="auto"/>
              </w:rPr>
            </w:pPr>
          </w:p>
        </w:tc>
        <w:tc>
          <w:tcPr>
            <w:tcW w:w="1020" w:type="dxa"/>
            <w:vAlign w:val="bottom"/>
            <w:gridSpan w:val="2"/>
          </w:tcPr>
          <w:p>
            <w:pPr>
              <w:jc w:val="right"/>
              <w:ind w:right="210"/>
              <w:spacing w:after="0" w:line="120" w:lineRule="exact"/>
              <w:rPr>
                <w:sz w:val="20"/>
                <w:szCs w:val="20"/>
                <w:color w:val="auto"/>
              </w:rPr>
            </w:pPr>
            <w:r>
              <w:rPr>
                <w:rFonts w:ascii="Arial" w:cs="Arial" w:eastAsia="Arial" w:hAnsi="Arial"/>
                <w:sz w:val="13"/>
                <w:szCs w:val="13"/>
                <w:b w:val="1"/>
                <w:bCs w:val="1"/>
                <w:color w:val="auto"/>
              </w:rPr>
              <w:t>October 31,</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ind w:right="31"/>
              <w:spacing w:after="0" w:line="120" w:lineRule="exact"/>
              <w:rPr>
                <w:sz w:val="20"/>
                <w:szCs w:val="20"/>
                <w:color w:val="auto"/>
              </w:rPr>
            </w:pPr>
            <w:r>
              <w:rPr>
                <w:rFonts w:ascii="Arial" w:cs="Arial" w:eastAsia="Arial" w:hAnsi="Arial"/>
                <w:sz w:val="13"/>
                <w:szCs w:val="13"/>
                <w:b w:val="1"/>
                <w:bCs w:val="1"/>
                <w:color w:val="auto"/>
                <w:w w:val="95"/>
              </w:rPr>
              <w:t>October 31,</w:t>
            </w:r>
          </w:p>
        </w:tc>
        <w:tc>
          <w:tcPr>
            <w:tcW w:w="100" w:type="dxa"/>
            <w:vAlign w:val="bottom"/>
          </w:tcPr>
          <w:p>
            <w:pPr>
              <w:spacing w:after="0"/>
              <w:rPr>
                <w:sz w:val="10"/>
                <w:szCs w:val="10"/>
                <w:color w:val="auto"/>
              </w:rPr>
            </w:pPr>
          </w:p>
        </w:tc>
      </w:tr>
      <w:tr>
        <w:trPr>
          <w:trHeight w:val="164"/>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2004</w:t>
            </w: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Additions</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Retirements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2005</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2004</w:t>
            </w: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Additions</w:t>
            </w: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Retirements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4"/>
                <w:szCs w:val="14"/>
                <w:color w:val="auto"/>
              </w:rPr>
            </w:pPr>
          </w:p>
        </w:tc>
      </w:tr>
      <w:tr>
        <w:trPr>
          <w:trHeight w:val="167"/>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9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related relationships</w:t>
            </w:r>
          </w:p>
        </w:tc>
        <w:tc>
          <w:tcPr>
            <w:tcW w:w="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51"/>
              <w:spacing w:after="0" w:line="157" w:lineRule="exact"/>
              <w:rPr>
                <w:sz w:val="20"/>
                <w:szCs w:val="20"/>
                <w:color w:val="auto"/>
              </w:rPr>
            </w:pPr>
            <w:r>
              <w:rPr>
                <w:rFonts w:ascii="Arial" w:cs="Arial" w:eastAsia="Arial" w:hAnsi="Arial"/>
                <w:sz w:val="14"/>
                <w:szCs w:val="14"/>
                <w:color w:val="auto"/>
              </w:rPr>
              <w:t>21,217</w:t>
            </w:r>
          </w:p>
        </w:tc>
        <w:tc>
          <w:tcPr>
            <w:tcW w:w="32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7,050</w:t>
            </w:r>
          </w:p>
        </w:tc>
        <w:tc>
          <w:tcPr>
            <w:tcW w:w="4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1"/>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28,267</w:t>
            </w:r>
          </w:p>
        </w:tc>
        <w:tc>
          <w:tcPr>
            <w:tcW w:w="160" w:type="dxa"/>
            <w:vAlign w:val="bottom"/>
            <w:shd w:val="clear" w:color="auto" w:fill="CCEEFF"/>
          </w:tcPr>
          <w:p>
            <w:pPr>
              <w:jc w:val="right"/>
              <w:ind w:right="11"/>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(3,546)</w:t>
            </w:r>
          </w:p>
        </w:tc>
        <w:tc>
          <w:tcPr>
            <w:tcW w:w="3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(3,994)</w:t>
            </w:r>
          </w:p>
        </w:tc>
        <w:tc>
          <w:tcPr>
            <w:tcW w:w="4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(7,540)</w:t>
            </w:r>
          </w:p>
        </w:tc>
      </w:tr>
      <w:tr>
        <w:trPr>
          <w:trHeight w:val="167"/>
        </w:trPr>
        <w:tc>
          <w:tcPr>
            <w:tcW w:w="1960" w:type="dxa"/>
            <w:vAlign w:val="bottom"/>
          </w:tcPr>
          <w:p>
            <w:pPr>
              <w:spacing w:after="0"/>
              <w:rPr>
                <w:sz w:val="20"/>
                <w:szCs w:val="20"/>
                <w:color w:val="auto"/>
              </w:rPr>
            </w:pPr>
            <w:r>
              <w:rPr>
                <w:rFonts w:ascii="Arial" w:cs="Arial" w:eastAsia="Arial" w:hAnsi="Arial"/>
                <w:sz w:val="14"/>
                <w:szCs w:val="14"/>
                <w:color w:val="auto"/>
              </w:rPr>
              <w:t>Trademarks and trade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960" w:type="dxa"/>
            <w:vAlign w:val="bottom"/>
          </w:tcPr>
          <w:p>
            <w:pPr>
              <w:ind w:left="140"/>
              <w:spacing w:after="0" w:line="157" w:lineRule="exact"/>
              <w:rPr>
                <w:sz w:val="20"/>
                <w:szCs w:val="20"/>
                <w:color w:val="auto"/>
              </w:rPr>
            </w:pPr>
            <w:r>
              <w:rPr>
                <w:rFonts w:ascii="Arial" w:cs="Arial" w:eastAsia="Arial" w:hAnsi="Arial"/>
                <w:sz w:val="14"/>
                <w:szCs w:val="14"/>
                <w:color w:val="auto"/>
              </w:rPr>
              <w:t>names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151"/>
              <w:spacing w:after="0" w:line="157" w:lineRule="exact"/>
              <w:rPr>
                <w:sz w:val="20"/>
                <w:szCs w:val="20"/>
                <w:color w:val="auto"/>
              </w:rPr>
            </w:pPr>
            <w:r>
              <w:rPr>
                <w:rFonts w:ascii="Arial" w:cs="Arial" w:eastAsia="Arial" w:hAnsi="Arial"/>
                <w:sz w:val="14"/>
                <w:szCs w:val="14"/>
                <w:color w:val="auto"/>
              </w:rPr>
              <w:t>3,000</w:t>
            </w:r>
          </w:p>
        </w:tc>
        <w:tc>
          <w:tcPr>
            <w:tcW w:w="320" w:type="dxa"/>
            <w:vAlign w:val="bottom"/>
          </w:tcPr>
          <w:p>
            <w:pPr>
              <w:spacing w:after="0"/>
              <w:rPr>
                <w:sz w:val="13"/>
                <w:szCs w:val="13"/>
                <w:color w:val="auto"/>
              </w:rPr>
            </w:pPr>
          </w:p>
        </w:tc>
        <w:tc>
          <w:tcPr>
            <w:tcW w:w="720" w:type="dxa"/>
            <w:vAlign w:val="bottom"/>
          </w:tcPr>
          <w:p>
            <w:pPr>
              <w:jc w:val="right"/>
              <w:ind w:right="170"/>
              <w:spacing w:after="0" w:line="157" w:lineRule="exact"/>
              <w:rPr>
                <w:sz w:val="20"/>
                <w:szCs w:val="20"/>
                <w:color w:val="auto"/>
              </w:rPr>
            </w:pPr>
            <w:r>
              <w:rPr>
                <w:rFonts w:ascii="Arial" w:cs="Arial" w:eastAsia="Arial" w:hAnsi="Arial"/>
                <w:sz w:val="14"/>
                <w:szCs w:val="14"/>
                <w:color w:val="auto"/>
              </w:rPr>
              <w:t>50</w:t>
            </w:r>
          </w:p>
        </w:tc>
        <w:tc>
          <w:tcPr>
            <w:tcW w:w="480" w:type="dxa"/>
            <w:vAlign w:val="bottom"/>
          </w:tcPr>
          <w:p>
            <w:pPr>
              <w:spacing w:after="0"/>
              <w:rPr>
                <w:sz w:val="13"/>
                <w:szCs w:val="13"/>
                <w:color w:val="auto"/>
              </w:rPr>
            </w:pPr>
          </w:p>
        </w:tc>
        <w:tc>
          <w:tcPr>
            <w:tcW w:w="70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Arial" w:cs="Arial" w:eastAsia="Arial" w:hAnsi="Arial"/>
                <w:sz w:val="14"/>
                <w:szCs w:val="14"/>
                <w:color w:val="auto"/>
              </w:rPr>
              <w:t>3,050</w:t>
            </w:r>
          </w:p>
        </w:tc>
        <w:tc>
          <w:tcPr>
            <w:tcW w:w="160" w:type="dxa"/>
            <w:vAlign w:val="bottom"/>
          </w:tcPr>
          <w:p>
            <w:pPr>
              <w:spacing w:after="0"/>
              <w:rPr>
                <w:sz w:val="13"/>
                <w:szCs w:val="13"/>
                <w:color w:val="auto"/>
              </w:rPr>
            </w:pPr>
          </w:p>
        </w:tc>
        <w:tc>
          <w:tcPr>
            <w:tcW w:w="86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(570)</w:t>
            </w:r>
          </w:p>
        </w:tc>
        <w:tc>
          <w:tcPr>
            <w:tcW w:w="320" w:type="dxa"/>
            <w:vAlign w:val="bottom"/>
          </w:tcPr>
          <w:p>
            <w:pPr>
              <w:spacing w:after="0"/>
              <w:rPr>
                <w:sz w:val="13"/>
                <w:szCs w:val="13"/>
                <w:color w:val="auto"/>
              </w:rPr>
            </w:pPr>
          </w:p>
        </w:tc>
        <w:tc>
          <w:tcPr>
            <w:tcW w:w="72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(657)</w:t>
            </w:r>
          </w:p>
        </w:tc>
        <w:tc>
          <w:tcPr>
            <w:tcW w:w="480" w:type="dxa"/>
            <w:vAlign w:val="bottom"/>
          </w:tcPr>
          <w:p>
            <w:pPr>
              <w:spacing w:after="0"/>
              <w:rPr>
                <w:sz w:val="13"/>
                <w:szCs w:val="13"/>
                <w:color w:val="auto"/>
              </w:rPr>
            </w:pPr>
          </w:p>
        </w:tc>
        <w:tc>
          <w:tcPr>
            <w:tcW w:w="6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(1,227)</w:t>
            </w:r>
          </w:p>
        </w:tc>
      </w:tr>
      <w:tr>
        <w:trPr>
          <w:trHeight w:val="162"/>
        </w:trPr>
        <w:tc>
          <w:tcPr>
            <w:tcW w:w="1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6,061</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746</w:t>
            </w:r>
          </w:p>
        </w:tc>
        <w:tc>
          <w:tcPr>
            <w:tcW w:w="4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(183)</w:t>
            </w: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6,624</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(3,872)</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(1,022)</w:t>
            </w:r>
          </w:p>
        </w:tc>
        <w:tc>
          <w:tcPr>
            <w:tcW w:w="4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183</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(4,711)</w:t>
            </w:r>
          </w:p>
        </w:tc>
      </w:tr>
      <w:tr>
        <w:trPr>
          <w:trHeight w:val="169"/>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30,278</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7,846</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(183)</w:t>
            </w:r>
          </w:p>
        </w:tc>
        <w:tc>
          <w:tcPr>
            <w:tcW w:w="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37,941</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(7,988)</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(5,673)</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(13,478)</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gridSpan w:val="3"/>
          </w:tcPr>
          <w:p>
            <w:pPr>
              <w:jc w:val="right"/>
              <w:ind w:right="328"/>
              <w:spacing w:after="0"/>
              <w:rPr>
                <w:sz w:val="20"/>
                <w:szCs w:val="20"/>
                <w:color w:val="auto"/>
              </w:rPr>
            </w:pPr>
            <w:r>
              <w:rPr>
                <w:rFonts w:ascii="Arial" w:cs="Arial" w:eastAsia="Arial" w:hAnsi="Arial"/>
                <w:sz w:val="13"/>
                <w:szCs w:val="13"/>
                <w:b w:val="1"/>
                <w:bCs w:val="1"/>
                <w:color w:val="auto"/>
                <w:w w:val="99"/>
              </w:rPr>
              <w:t>Gross Carrying Amount</w:t>
            </w:r>
          </w:p>
        </w:tc>
        <w:tc>
          <w:tcPr>
            <w:tcW w:w="3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3"/>
          </w:tcPr>
          <w:p>
            <w:pPr>
              <w:jc w:val="right"/>
              <w:ind w:right="168"/>
              <w:spacing w:after="0"/>
              <w:rPr>
                <w:sz w:val="20"/>
                <w:szCs w:val="20"/>
                <w:color w:val="auto"/>
              </w:rPr>
            </w:pPr>
            <w:r>
              <w:rPr>
                <w:rFonts w:ascii="Arial" w:cs="Arial" w:eastAsia="Arial" w:hAnsi="Arial"/>
                <w:sz w:val="13"/>
                <w:szCs w:val="13"/>
                <w:b w:val="1"/>
                <w:bCs w:val="1"/>
                <w:color w:val="auto"/>
                <w:w w:val="97"/>
              </w:rPr>
              <w:t>Accumulated Amortization</w:t>
            </w: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0"/>
        </w:trPr>
        <w:tc>
          <w:tcPr>
            <w:tcW w:w="2300" w:type="dxa"/>
            <w:vAlign w:val="bottom"/>
          </w:tcPr>
          <w:p>
            <w:pPr>
              <w:spacing w:after="0"/>
              <w:rPr>
                <w:sz w:val="10"/>
                <w:szCs w:val="10"/>
                <w:color w:val="auto"/>
              </w:rPr>
            </w:pPr>
          </w:p>
        </w:tc>
        <w:tc>
          <w:tcPr>
            <w:tcW w:w="1020" w:type="dxa"/>
            <w:vAlign w:val="bottom"/>
            <w:gridSpan w:val="2"/>
          </w:tcPr>
          <w:p>
            <w:pPr>
              <w:jc w:val="right"/>
              <w:ind w:right="210"/>
              <w:spacing w:after="0" w:line="120" w:lineRule="exact"/>
              <w:rPr>
                <w:sz w:val="20"/>
                <w:szCs w:val="20"/>
                <w:color w:val="auto"/>
              </w:rPr>
            </w:pPr>
            <w:r>
              <w:rPr>
                <w:rFonts w:ascii="Arial" w:cs="Arial" w:eastAsia="Arial" w:hAnsi="Arial"/>
                <w:sz w:val="13"/>
                <w:szCs w:val="13"/>
                <w:b w:val="1"/>
                <w:bCs w:val="1"/>
                <w:color w:val="auto"/>
              </w:rPr>
              <w:t>October 31,</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gridSpan w:val="2"/>
          </w:tcPr>
          <w:p>
            <w:pPr>
              <w:jc w:val="right"/>
              <w:spacing w:after="0" w:line="120" w:lineRule="exact"/>
              <w:rPr>
                <w:sz w:val="20"/>
                <w:szCs w:val="20"/>
                <w:color w:val="auto"/>
              </w:rPr>
            </w:pPr>
            <w:r>
              <w:rPr>
                <w:rFonts w:ascii="Arial" w:cs="Arial" w:eastAsia="Arial" w:hAnsi="Arial"/>
                <w:sz w:val="13"/>
                <w:szCs w:val="13"/>
                <w:b w:val="1"/>
                <w:bCs w:val="1"/>
                <w:color w:val="auto"/>
              </w:rPr>
              <w:t>October 31,</w:t>
            </w:r>
          </w:p>
        </w:tc>
        <w:tc>
          <w:tcPr>
            <w:tcW w:w="440" w:type="dxa"/>
            <w:vAlign w:val="bottom"/>
          </w:tcPr>
          <w:p>
            <w:pPr>
              <w:spacing w:after="0"/>
              <w:rPr>
                <w:sz w:val="10"/>
                <w:szCs w:val="10"/>
                <w:color w:val="auto"/>
              </w:rPr>
            </w:pPr>
          </w:p>
        </w:tc>
        <w:tc>
          <w:tcPr>
            <w:tcW w:w="1020" w:type="dxa"/>
            <w:vAlign w:val="bottom"/>
            <w:gridSpan w:val="2"/>
          </w:tcPr>
          <w:p>
            <w:pPr>
              <w:jc w:val="right"/>
              <w:ind w:right="210"/>
              <w:spacing w:after="0" w:line="120" w:lineRule="exact"/>
              <w:rPr>
                <w:sz w:val="20"/>
                <w:szCs w:val="20"/>
                <w:color w:val="auto"/>
              </w:rPr>
            </w:pPr>
            <w:r>
              <w:rPr>
                <w:rFonts w:ascii="Arial" w:cs="Arial" w:eastAsia="Arial" w:hAnsi="Arial"/>
                <w:sz w:val="13"/>
                <w:szCs w:val="13"/>
                <w:b w:val="1"/>
                <w:bCs w:val="1"/>
                <w:color w:val="auto"/>
              </w:rPr>
              <w:t>October 31,</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ind w:right="31"/>
              <w:spacing w:after="0" w:line="120" w:lineRule="exact"/>
              <w:rPr>
                <w:sz w:val="20"/>
                <w:szCs w:val="20"/>
                <w:color w:val="auto"/>
              </w:rPr>
            </w:pPr>
            <w:r>
              <w:rPr>
                <w:rFonts w:ascii="Arial" w:cs="Arial" w:eastAsia="Arial" w:hAnsi="Arial"/>
                <w:sz w:val="13"/>
                <w:szCs w:val="13"/>
                <w:b w:val="1"/>
                <w:bCs w:val="1"/>
                <w:color w:val="auto"/>
                <w:w w:val="95"/>
              </w:rPr>
              <w:t>October 31,</w:t>
            </w:r>
          </w:p>
        </w:tc>
        <w:tc>
          <w:tcPr>
            <w:tcW w:w="100" w:type="dxa"/>
            <w:vAlign w:val="bottom"/>
          </w:tcPr>
          <w:p>
            <w:pPr>
              <w:spacing w:after="0"/>
              <w:rPr>
                <w:sz w:val="10"/>
                <w:szCs w:val="10"/>
                <w:color w:val="auto"/>
              </w:rPr>
            </w:pPr>
          </w:p>
        </w:tc>
      </w:tr>
      <w:tr>
        <w:trPr>
          <w:trHeight w:val="164"/>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2003</w:t>
            </w: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Additions</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Retirements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2004</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2003</w:t>
            </w: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Additions</w:t>
            </w: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Retirements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4"/>
                <w:szCs w:val="14"/>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23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related relationships</w:t>
            </w:r>
          </w:p>
        </w:tc>
        <w:tc>
          <w:tcPr>
            <w:tcW w:w="180" w:type="dxa"/>
            <w:vAlign w:val="bottom"/>
            <w:shd w:val="clear" w:color="auto" w:fill="CCEEFF"/>
          </w:tcPr>
          <w:p>
            <w:pPr>
              <w:jc w:val="right"/>
              <w:ind w:right="31"/>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rPr>
              <w:t>12,957</w:t>
            </w:r>
          </w:p>
        </w:tc>
        <w:tc>
          <w:tcPr>
            <w:tcW w:w="3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8,260</w:t>
            </w:r>
          </w:p>
        </w:tc>
        <w:tc>
          <w:tcPr>
            <w:tcW w:w="3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1"/>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21,217</w:t>
            </w:r>
          </w:p>
        </w:tc>
        <w:tc>
          <w:tcPr>
            <w:tcW w:w="160" w:type="dxa"/>
            <w:vAlign w:val="bottom"/>
            <w:shd w:val="clear" w:color="auto" w:fill="CCEEFF"/>
          </w:tcPr>
          <w:p>
            <w:pPr>
              <w:jc w:val="right"/>
              <w:ind w:right="11"/>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(866)</w:t>
            </w:r>
          </w:p>
        </w:tc>
        <w:tc>
          <w:tcPr>
            <w:tcW w:w="3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(2,680)</w:t>
            </w:r>
          </w:p>
        </w:tc>
        <w:tc>
          <w:tcPr>
            <w:tcW w:w="4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(3,546)</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180" w:type="dxa"/>
            <w:vAlign w:val="bottom"/>
          </w:tcPr>
          <w:p>
            <w:pPr>
              <w:spacing w:after="0"/>
              <w:rPr>
                <w:sz w:val="14"/>
                <w:szCs w:val="14"/>
                <w:color w:val="auto"/>
              </w:rPr>
            </w:pP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300</w:t>
            </w:r>
          </w:p>
        </w:tc>
        <w:tc>
          <w:tcPr>
            <w:tcW w:w="340" w:type="dxa"/>
            <w:vAlign w:val="bottom"/>
          </w:tcPr>
          <w:p>
            <w:pPr>
              <w:spacing w:after="0"/>
              <w:rPr>
                <w:sz w:val="14"/>
                <w:szCs w:val="14"/>
                <w:color w:val="auto"/>
              </w:rPr>
            </w:pPr>
          </w:p>
        </w:tc>
        <w:tc>
          <w:tcPr>
            <w:tcW w:w="700" w:type="dxa"/>
            <w:vAlign w:val="bottom"/>
          </w:tcPr>
          <w:p>
            <w:pPr>
              <w:jc w:val="right"/>
              <w:ind w:right="170"/>
              <w:spacing w:after="0"/>
              <w:rPr>
                <w:sz w:val="20"/>
                <w:szCs w:val="20"/>
                <w:color w:val="auto"/>
              </w:rPr>
            </w:pPr>
            <w:r>
              <w:rPr>
                <w:rFonts w:ascii="Arial" w:cs="Arial" w:eastAsia="Arial" w:hAnsi="Arial"/>
                <w:sz w:val="14"/>
                <w:szCs w:val="14"/>
                <w:color w:val="auto"/>
              </w:rPr>
              <w:t>2,700</w:t>
            </w:r>
          </w:p>
        </w:tc>
        <w:tc>
          <w:tcPr>
            <w:tcW w:w="3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3,000</w:t>
            </w:r>
          </w:p>
        </w:tc>
        <w:tc>
          <w:tcPr>
            <w:tcW w:w="160" w:type="dxa"/>
            <w:vAlign w:val="bottom"/>
          </w:tcPr>
          <w:p>
            <w:pPr>
              <w:spacing w:after="0"/>
              <w:rPr>
                <w:sz w:val="14"/>
                <w:szCs w:val="14"/>
                <w:color w:val="auto"/>
              </w:rPr>
            </w:pPr>
          </w:p>
        </w:tc>
        <w:tc>
          <w:tcPr>
            <w:tcW w:w="860" w:type="dxa"/>
            <w:vAlign w:val="bottom"/>
          </w:tcPr>
          <w:p>
            <w:pPr>
              <w:jc w:val="right"/>
              <w:ind w:right="130"/>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(537)</w:t>
            </w:r>
          </w:p>
        </w:tc>
        <w:tc>
          <w:tcPr>
            <w:tcW w:w="4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(570)</w:t>
            </w:r>
          </w:p>
        </w:tc>
      </w:tr>
      <w:tr>
        <w:trPr>
          <w:trHeight w:val="162"/>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7,437</w:t>
            </w:r>
          </w:p>
        </w:tc>
        <w:tc>
          <w:tcPr>
            <w:tcW w:w="3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(1,376)</w:t>
            </w: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6,061</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(3,946)</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(1,302)</w:t>
            </w:r>
          </w:p>
        </w:tc>
        <w:tc>
          <w:tcPr>
            <w:tcW w:w="4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1,376</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(3,872)</w:t>
            </w:r>
          </w:p>
        </w:tc>
      </w:tr>
      <w:tr>
        <w:trPr>
          <w:trHeight w:val="16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20,694</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10,960</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$(1,376)</w:t>
            </w:r>
          </w:p>
        </w:tc>
        <w:tc>
          <w:tcPr>
            <w:tcW w:w="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30,278</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(4,845)</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(4,519)</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1,376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(7,988)</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firstLine="297"/>
        <w:spacing w:after="0"/>
        <w:rPr>
          <w:sz w:val="20"/>
          <w:szCs w:val="20"/>
          <w:color w:val="auto"/>
        </w:rPr>
      </w:pPr>
      <w:r>
        <w:rPr>
          <w:rFonts w:ascii="Arial" w:cs="Arial" w:eastAsia="Arial" w:hAnsi="Arial"/>
          <w:sz w:val="18"/>
          <w:szCs w:val="18"/>
          <w:color w:val="auto"/>
        </w:rPr>
        <w:t>The weighted average remaining lives as of October 31, 2005 and the amortization expense for the years ended October 31, 2005, 2004 and 2003 of intangibles other than goodwill, as well as the estimated amortization expense for such intangibles for each of the five succeeding fiscal years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Weighted</w:t>
            </w:r>
          </w:p>
        </w:tc>
        <w:tc>
          <w:tcPr>
            <w:tcW w:w="6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600" w:type="dxa"/>
            <w:vAlign w:val="bottom"/>
          </w:tcPr>
          <w:p>
            <w:pPr>
              <w:spacing w:after="0"/>
              <w:rPr>
                <w:sz w:val="15"/>
                <w:szCs w:val="15"/>
                <w:color w:val="auto"/>
              </w:rPr>
            </w:pPr>
          </w:p>
        </w:tc>
        <w:tc>
          <w:tcPr>
            <w:tcW w:w="2040" w:type="dxa"/>
            <w:vAlign w:val="bottom"/>
          </w:tcPr>
          <w:p>
            <w:pPr>
              <w:jc w:val="center"/>
              <w:ind w:left="48"/>
              <w:spacing w:after="0"/>
              <w:rPr>
                <w:sz w:val="20"/>
                <w:szCs w:val="20"/>
                <w:color w:val="auto"/>
              </w:rPr>
            </w:pPr>
            <w:r>
              <w:rPr>
                <w:rFonts w:ascii="Arial" w:cs="Arial" w:eastAsia="Arial" w:hAnsi="Arial"/>
                <w:sz w:val="14"/>
                <w:szCs w:val="14"/>
                <w:b w:val="1"/>
                <w:bCs w:val="1"/>
                <w:color w:val="auto"/>
              </w:rPr>
              <w:t>Average</w:t>
            </w: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Amortization Expense</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Estimated Amortization Expense</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9"/>
        </w:trPr>
        <w:tc>
          <w:tcPr>
            <w:tcW w:w="2600" w:type="dxa"/>
            <w:vAlign w:val="bottom"/>
          </w:tcPr>
          <w:p>
            <w:pPr>
              <w:spacing w:after="0"/>
              <w:rPr>
                <w:sz w:val="11"/>
                <w:szCs w:val="11"/>
                <w:color w:val="auto"/>
              </w:rPr>
            </w:pPr>
          </w:p>
        </w:tc>
        <w:tc>
          <w:tcPr>
            <w:tcW w:w="2040" w:type="dxa"/>
            <w:vAlign w:val="bottom"/>
          </w:tcPr>
          <w:p>
            <w:pPr>
              <w:jc w:val="center"/>
              <w:ind w:left="68"/>
              <w:spacing w:after="0" w:line="129" w:lineRule="exact"/>
              <w:rPr>
                <w:sz w:val="20"/>
                <w:szCs w:val="20"/>
                <w:color w:val="auto"/>
              </w:rPr>
            </w:pPr>
            <w:r>
              <w:rPr>
                <w:rFonts w:ascii="Arial" w:cs="Arial" w:eastAsia="Arial" w:hAnsi="Arial"/>
                <w:sz w:val="14"/>
                <w:szCs w:val="14"/>
                <w:b w:val="1"/>
                <w:bCs w:val="1"/>
                <w:color w:val="auto"/>
              </w:rPr>
              <w:t>Remaining Life</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(Years)</w:t>
            </w: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2005</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r>
      <w:tr>
        <w:trPr>
          <w:trHeight w:val="167"/>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 related</w:t>
            </w:r>
          </w:p>
        </w:tc>
        <w:tc>
          <w:tcPr>
            <w:tcW w:w="2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26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relationships</w:t>
            </w:r>
          </w:p>
        </w:tc>
        <w:tc>
          <w:tcPr>
            <w:tcW w:w="2040" w:type="dxa"/>
            <w:vAlign w:val="bottom"/>
            <w:shd w:val="clear" w:color="auto" w:fill="CCEEFF"/>
          </w:tcPr>
          <w:p>
            <w:pPr>
              <w:jc w:val="right"/>
              <w:ind w:right="328"/>
              <w:spacing w:after="0" w:line="157" w:lineRule="exact"/>
              <w:rPr>
                <w:sz w:val="20"/>
                <w:szCs w:val="20"/>
                <w:color w:val="auto"/>
              </w:rPr>
            </w:pPr>
            <w:r>
              <w:rPr>
                <w:rFonts w:ascii="Arial" w:cs="Arial" w:eastAsia="Arial" w:hAnsi="Arial"/>
                <w:sz w:val="14"/>
                <w:szCs w:val="14"/>
                <w:color w:val="auto"/>
              </w:rPr>
              <w:t>10.6</w:t>
            </w:r>
          </w:p>
        </w:tc>
        <w:tc>
          <w:tcPr>
            <w:tcW w:w="68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w w:val="98"/>
              </w:rPr>
              <w:t>$ 3,994</w:t>
            </w:r>
          </w:p>
        </w:tc>
        <w:tc>
          <w:tcPr>
            <w:tcW w:w="92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$ 2,680</w:t>
            </w: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866</w:t>
            </w: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$ 3,803</w:t>
            </w:r>
          </w:p>
        </w:tc>
        <w:tc>
          <w:tcPr>
            <w:tcW w:w="88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$ 3,400</w:t>
            </w:r>
          </w:p>
        </w:tc>
        <w:tc>
          <w:tcPr>
            <w:tcW w:w="88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$ 2,997</w:t>
            </w:r>
          </w:p>
        </w:tc>
        <w:tc>
          <w:tcPr>
            <w:tcW w:w="88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$ 2,594</w:t>
            </w: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$ 2,191</w:t>
            </w: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2040" w:type="dxa"/>
            <w:vAlign w:val="bottom"/>
          </w:tcPr>
          <w:p>
            <w:pPr>
              <w:jc w:val="right"/>
              <w:ind w:right="328"/>
              <w:spacing w:after="0"/>
              <w:rPr>
                <w:sz w:val="20"/>
                <w:szCs w:val="20"/>
                <w:color w:val="auto"/>
              </w:rPr>
            </w:pPr>
            <w:r>
              <w:rPr>
                <w:rFonts w:ascii="Arial" w:cs="Arial" w:eastAsia="Arial" w:hAnsi="Arial"/>
                <w:sz w:val="14"/>
                <w:szCs w:val="14"/>
                <w:color w:val="auto"/>
              </w:rPr>
              <w:t>3.4</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657</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537</w:t>
            </w:r>
          </w:p>
        </w:tc>
        <w:tc>
          <w:tcPr>
            <w:tcW w:w="3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33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540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540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540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203</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20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6.5</w:t>
            </w:r>
          </w:p>
        </w:tc>
        <w:tc>
          <w:tcPr>
            <w:tcW w:w="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1,022</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1,302</w:t>
            </w:r>
          </w:p>
        </w:tc>
        <w:tc>
          <w:tcPr>
            <w:tcW w:w="3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1,145</w:t>
            </w: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751</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166</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158</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147</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w:t>
            </w:r>
          </w:p>
        </w:tc>
      </w:tr>
      <w:tr>
        <w:trPr>
          <w:trHeight w:val="169"/>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9.8</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$ 5,673</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$ 4,519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6"/>
              </w:rPr>
              <w:t>2,044</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$ 5,094</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$ 4,106</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$ 3,695</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$ 2,944</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$ 2,312</w:t>
            </w: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97"/>
        <w:spacing w:after="0" w:line="238" w:lineRule="auto"/>
        <w:rPr>
          <w:sz w:val="20"/>
          <w:szCs w:val="20"/>
          <w:color w:val="auto"/>
        </w:rPr>
      </w:pPr>
      <w:r>
        <w:rPr>
          <w:rFonts w:ascii="Arial" w:cs="Arial" w:eastAsia="Arial" w:hAnsi="Arial"/>
          <w:sz w:val="18"/>
          <w:szCs w:val="18"/>
          <w:color w:val="auto"/>
        </w:rPr>
        <w:t>The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assets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LINE OF CREDIT FACILITY</w:t>
      </w:r>
    </w:p>
    <w:p>
      <w:pPr>
        <w:spacing w:after="0" w:line="126"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In May 2005, ABM entered into a $300 million syndicated line of credit scheduled to expire in May 2010. No compensating balances are required under the facility and the interest rate is determined at the time of borrowing based on the London Interbank Offered Rate (LIBOR) plus a spread of 0.375% to 1.125% or, for overnight borrowings, at the prime rate or, for overnight to one week, at the Interbank Offered Rate (IBOR) plus a spread of 0.375% to 1.125%. The spreads for LIBOR and IBOR borrowings are based on the Company’s leverage ratio. The facility calls for a non-use fee payable quarterly, in arrears, of 0.125%, based on the average daily unused portion. For purposes of this calculation, irrevocable standby letters of credit issued primarily in conjunction with the Company’s self-insurance program plus cash borrowings are considered to be outstanding amounts. As of October 31, 2005, the total outstanding amount under the facility was $84.4 million in the form of standby letters of credit. As of October 31, 2004, $96.5 million (also in the form of standby letters of credit) was outstanding under the prior facility.</w:t>
      </w:r>
    </w:p>
    <w:p>
      <w:pPr>
        <w:spacing w:after="0" w:line="99" w:lineRule="exact"/>
        <w:rPr>
          <w:sz w:val="20"/>
          <w:szCs w:val="20"/>
          <w:color w:val="auto"/>
        </w:rPr>
      </w:pPr>
    </w:p>
    <w:p>
      <w:pPr>
        <w:ind w:right="420" w:firstLine="297"/>
        <w:spacing w:after="0" w:line="234" w:lineRule="auto"/>
        <w:rPr>
          <w:sz w:val="20"/>
          <w:szCs w:val="20"/>
          <w:color w:val="auto"/>
        </w:rPr>
      </w:pPr>
      <w:r>
        <w:rPr>
          <w:rFonts w:ascii="Arial" w:cs="Arial" w:eastAsia="Arial" w:hAnsi="Arial"/>
          <w:sz w:val="18"/>
          <w:szCs w:val="18"/>
          <w:color w:val="auto"/>
        </w:rPr>
        <w:t>The facility includes usual and customary covenants for a credit facility of this type, including covenants limiting liens, dispositions, fundamental changes, investments, indebtedness, and certain transactions and payments. In addition, the facility also requires that the Company satisfy three financial covenants: (1) a fixed charge coverage ratio greater than or equal to 1.50 to 1.0 at fiscal quarter-end; (2) a leverage ratio of less than or equal to 3.25 to 1.0 at fiscal quarter-end; and (3) consolidated net worth greater than or equal to the sum of</w:t>
      </w:r>
    </w:p>
    <w:p>
      <w:pPr>
        <w:spacing w:after="0" w:line="3" w:lineRule="exact"/>
        <w:rPr>
          <w:sz w:val="20"/>
          <w:szCs w:val="20"/>
          <w:color w:val="auto"/>
        </w:rPr>
      </w:pPr>
    </w:p>
    <w:p>
      <w:pPr>
        <w:ind w:right="20" w:firstLine="8"/>
        <w:spacing w:after="0" w:line="239"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$341.9 million, (ii) an amount equal to 50% of the consolidated net income earned in each full fiscal quarter ending after the effective time (with no deduction for a net loss in any such fiscal quarter) and (iii) an amount equal to 100% of the aggregate increases in stockholders’ equity of ABM after the effective time by reason of the issuance and sale of capital stock or other equity interests of ABM, including upon any conversion of debt securities of ABM into such capital stock or other equity interests, but excluding by reason of the issuance and sale of</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capital stock pursuant to ABM’s employee stock purchase plans, employee stock option plans and similar programs.</w:t>
      </w:r>
    </w:p>
    <w:p>
      <w:pPr>
        <w:spacing w:after="0" w:line="200" w:lineRule="exact"/>
        <w:rPr>
          <w:sz w:val="20"/>
          <w:szCs w:val="20"/>
          <w:color w:val="auto"/>
        </w:rPr>
      </w:pPr>
    </w:p>
    <w:p>
      <w:pPr>
        <w:spacing w:after="0" w:line="214" w:lineRule="exact"/>
        <w:rPr>
          <w:sz w:val="20"/>
          <w:szCs w:val="20"/>
          <w:color w:val="auto"/>
        </w:rPr>
      </w:pPr>
    </w:p>
    <w:p>
      <w:pPr>
        <w:ind w:firstLine="297"/>
        <w:spacing w:after="0" w:line="239" w:lineRule="auto"/>
        <w:rPr>
          <w:sz w:val="20"/>
          <w:szCs w:val="20"/>
          <w:color w:val="auto"/>
        </w:rPr>
      </w:pPr>
      <w:r>
        <w:rPr>
          <w:rFonts w:ascii="Arial" w:cs="Arial" w:eastAsia="Arial" w:hAnsi="Arial"/>
          <w:sz w:val="18"/>
          <w:szCs w:val="18"/>
          <w:color w:val="auto"/>
        </w:rPr>
        <w:t>The lenders waived the event of default that would have existed under the facility for failure to deliver audited financial statements for 2005 and a corresponding compliance certificate occasioned by the delay in filing the Annual Report on Form 10-K provided these were delivered no later than March 31, 2006. The Company is otherwise in compliance with the covenants and expects to make the required deliveries by March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 PLANS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offers the following employee benefit plans to its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6" w:lineRule="exact"/>
        <w:rPr>
          <w:sz w:val="20"/>
          <w:szCs w:val="20"/>
          <w:color w:val="auto"/>
        </w:rPr>
      </w:pPr>
    </w:p>
    <w:p>
      <w:pPr>
        <w:ind w:right="40" w:firstLine="297"/>
        <w:spacing w:after="0" w:line="238" w:lineRule="auto"/>
        <w:rPr>
          <w:sz w:val="20"/>
          <w:szCs w:val="20"/>
          <w:color w:val="auto"/>
        </w:rPr>
      </w:pPr>
      <w:r>
        <w:rPr>
          <w:rFonts w:ascii="Arial" w:cs="Arial" w:eastAsia="Arial" w:hAnsi="Arial"/>
          <w:sz w:val="18"/>
          <w:szCs w:val="18"/>
          <w:color w:val="auto"/>
        </w:rPr>
        <w:t>The Company has two 401(k) plans covering certain qualified non-union employees, which provided for employer participation in accordance with the provisions of Section 401(k) of the Internal Revenue Code. The plans allow participants to make pre-tax contributions that the Company matches at various percentages of employee contributions depending on the particular employee group. All amounts contributed to the plans are deposited into a trust fund administered by independent trustees. The Company made matching 401(k) contributions required by the 401(k) plans for 2005, 2004 and 2003 in the amounts of $5.3 million, $5.5 million and $5.0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Post-Retirement Plans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has the following unfunded defined benefit plans:</w:t>
      </w:r>
    </w:p>
    <w:p>
      <w:pPr>
        <w:spacing w:after="0" w:line="82" w:lineRule="exact"/>
        <w:rPr>
          <w:sz w:val="20"/>
          <w:szCs w:val="20"/>
          <w:color w:val="auto"/>
        </w:rPr>
      </w:pPr>
    </w:p>
    <w:p>
      <w:pPr>
        <w:ind w:right="420" w:firstLine="300"/>
        <w:spacing w:after="0" w:line="247" w:lineRule="auto"/>
        <w:rPr>
          <w:sz w:val="20"/>
          <w:szCs w:val="20"/>
          <w:color w:val="auto"/>
        </w:rPr>
      </w:pPr>
      <w:r>
        <w:rPr>
          <w:rFonts w:ascii="Arial" w:cs="Arial" w:eastAsia="Arial" w:hAnsi="Arial"/>
          <w:sz w:val="18"/>
          <w:szCs w:val="18"/>
          <w:b w:val="1"/>
          <w:bCs w:val="1"/>
          <w:color w:val="auto"/>
        </w:rPr>
        <w:t xml:space="preserve">Supplemental Executive Retirement Plan. </w:t>
      </w:r>
      <w:r>
        <w:rPr>
          <w:rFonts w:ascii="Arial" w:cs="Arial" w:eastAsia="Arial" w:hAnsi="Arial"/>
          <w:sz w:val="18"/>
          <w:szCs w:val="18"/>
          <w:color w:val="auto"/>
        </w:rPr>
        <w:t>The Company has unfunded retirement agreements for 46 current and former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including two current directors who were former senior executives, many of which are fully vested. The retirement agreements provide for monthly benefits for ten years commencing at the later of the respective retirement dates of those executives or age 65. The benefits are accrued over the vesting period. Effective December 31, 2002, this plan was amended to preclude new participants.</w:t>
      </w:r>
    </w:p>
    <w:p>
      <w:pPr>
        <w:spacing w:after="0" w:line="66" w:lineRule="exact"/>
        <w:rPr>
          <w:sz w:val="20"/>
          <w:szCs w:val="20"/>
          <w:color w:val="auto"/>
        </w:rPr>
      </w:pPr>
    </w:p>
    <w:p>
      <w:pPr>
        <w:ind w:right="140" w:firstLine="300"/>
        <w:spacing w:after="0" w:line="244" w:lineRule="auto"/>
        <w:rPr>
          <w:sz w:val="20"/>
          <w:szCs w:val="20"/>
          <w:color w:val="auto"/>
        </w:rPr>
      </w:pPr>
      <w:r>
        <w:rPr>
          <w:rFonts w:ascii="Arial" w:cs="Arial" w:eastAsia="Arial" w:hAnsi="Arial"/>
          <w:sz w:val="18"/>
          <w:szCs w:val="18"/>
          <w:b w:val="1"/>
          <w:bCs w:val="1"/>
          <w:color w:val="auto"/>
        </w:rPr>
        <w:t xml:space="preserve">Non-Employee Director Retirement Plan. </w:t>
      </w:r>
      <w:r>
        <w:rPr>
          <w:rFonts w:ascii="Arial" w:cs="Arial" w:eastAsia="Arial" w:hAnsi="Arial"/>
          <w:sz w:val="18"/>
          <w:szCs w:val="18"/>
          <w:color w:val="auto"/>
        </w:rPr>
        <w:t>Non-employee directors who have completed at least five years of service are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ten years of monthly retirement benefits equal to the monthly retainer fee received prior to retirement, reduced on a pro-rata basis for fewer than ten years of service. Benefit payments commence at the later of the respective retirement dates of those directors or age 62 (early retirement) or 72 (senior retirement) and end at the earlier of the 121</w:t>
      </w:r>
      <w:r>
        <w:rPr>
          <w:rFonts w:ascii="Arial" w:cs="Arial" w:eastAsia="Arial" w:hAnsi="Arial"/>
          <w:sz w:val="15"/>
          <w:szCs w:val="15"/>
          <w:color w:val="auto"/>
        </w:rPr>
        <w:t>st</w:t>
      </w:r>
      <w:r>
        <w:rPr>
          <w:rFonts w:ascii="Arial" w:cs="Arial" w:eastAsia="Arial" w:hAnsi="Arial"/>
          <w:sz w:val="18"/>
          <w:szCs w:val="18"/>
          <w:color w:val="auto"/>
        </w:rPr>
        <w:t xml:space="preserve"> month after retirement or the death of the director. The benefits are accrued over the vesting periods.</w:t>
      </w:r>
    </w:p>
    <w:p>
      <w:pPr>
        <w:spacing w:after="0" w:line="69" w:lineRule="exact"/>
        <w:rPr>
          <w:sz w:val="20"/>
          <w:szCs w:val="20"/>
          <w:color w:val="auto"/>
        </w:rPr>
      </w:pPr>
    </w:p>
    <w:p>
      <w:pPr>
        <w:ind w:firstLine="300"/>
        <w:spacing w:after="0" w:line="242" w:lineRule="auto"/>
        <w:rPr>
          <w:sz w:val="20"/>
          <w:szCs w:val="20"/>
          <w:color w:val="auto"/>
        </w:rPr>
      </w:pPr>
      <w:r>
        <w:rPr>
          <w:rFonts w:ascii="Arial" w:cs="Arial" w:eastAsia="Arial" w:hAnsi="Arial"/>
          <w:sz w:val="18"/>
          <w:szCs w:val="18"/>
          <w:b w:val="1"/>
          <w:bCs w:val="1"/>
          <w:color w:val="auto"/>
        </w:rPr>
        <w:t xml:space="preserve">Service Award Benefit Plan. </w:t>
      </w:r>
      <w:r>
        <w:rPr>
          <w:rFonts w:ascii="Arial" w:cs="Arial" w:eastAsia="Arial" w:hAnsi="Arial"/>
          <w:sz w:val="18"/>
          <w:szCs w:val="18"/>
          <w:color w:val="auto"/>
        </w:rPr>
        <w:t>The Company has an unfunded service award benefit plan, with a retroactive vesting period of five years.</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is a “severance pay plan” as defined by the Employee Retirement Income Security Act (ERISA) and covers certain qualified employees. The plan provides participants, upon termination, with a guaranteed seven days pay for each year of employment subsequent to November 1, 1989. Effective January 1, 2002, this plan was frozen. The Company will continue to incur interest costs related to this plan as the value of the previously earned benefits continues to increase. The Company uses an independent actuary to measure the value of this liability. The measurement date used is September 30.</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has the following unfunded post-retirement benefit plan:</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Death Benefit Plan. </w:t>
      </w:r>
      <w:r>
        <w:rPr>
          <w:rFonts w:ascii="Arial" w:cs="Arial" w:eastAsia="Arial" w:hAnsi="Arial"/>
          <w:sz w:val="18"/>
          <w:szCs w:val="18"/>
          <w:color w:val="auto"/>
        </w:rPr>
        <w:t>The Death Benefit Plan covers certain qualified employees and, upon retirement on or after the employee’s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15"/>
          <w:szCs w:val="15"/>
          <w:color w:val="auto"/>
        </w:rPr>
        <w:t>nd</w:t>
      </w:r>
      <w:r>
        <w:rPr>
          <w:rFonts w:ascii="Arial" w:cs="Arial" w:eastAsia="Arial" w:hAnsi="Arial"/>
          <w:sz w:val="18"/>
          <w:szCs w:val="18"/>
          <w:color w:val="auto"/>
        </w:rPr>
        <w:t xml:space="preserve"> birthday, provides 50% of the death benefit that the employee was entitled to prior to retirement subject to a maximum of $150,000.</w:t>
      </w:r>
    </w:p>
    <w:p>
      <w:pPr>
        <w:spacing w:after="0" w:line="234" w:lineRule="auto"/>
        <w:rPr>
          <w:sz w:val="20"/>
          <w:szCs w:val="20"/>
          <w:color w:val="auto"/>
        </w:rPr>
      </w:pPr>
      <w:r>
        <w:rPr>
          <w:rFonts w:ascii="Arial" w:cs="Arial" w:eastAsia="Arial" w:hAnsi="Arial"/>
          <w:sz w:val="18"/>
          <w:szCs w:val="18"/>
          <w:color w:val="auto"/>
        </w:rPr>
        <w:t>Coverage during retirement continues until death for retired employees hired before September 1, 1980. On March 1, 2003, the post-retirement</w:t>
      </w:r>
    </w:p>
    <w:p>
      <w:pPr>
        <w:spacing w:after="0" w:line="235" w:lineRule="auto"/>
        <w:rPr>
          <w:sz w:val="20"/>
          <w:szCs w:val="20"/>
          <w:color w:val="auto"/>
        </w:rPr>
      </w:pPr>
      <w:r>
        <w:rPr>
          <w:rFonts w:ascii="Arial" w:cs="Arial" w:eastAsia="Arial" w:hAnsi="Arial"/>
          <w:sz w:val="18"/>
          <w:szCs w:val="18"/>
          <w:color w:val="auto"/>
        </w:rPr>
        <w:t>death benefit for any active employees hired after September 1, 1980 was eliminated, although active employees hired before September 1,</w:t>
      </w:r>
    </w:p>
    <w:p>
      <w:pPr>
        <w:spacing w:after="0" w:line="235" w:lineRule="auto"/>
        <w:rPr>
          <w:sz w:val="20"/>
          <w:szCs w:val="20"/>
          <w:color w:val="auto"/>
        </w:rPr>
      </w:pPr>
      <w:r>
        <w:rPr>
          <w:rFonts w:ascii="Arial" w:cs="Arial" w:eastAsia="Arial" w:hAnsi="Arial"/>
          <w:sz w:val="18"/>
          <w:szCs w:val="18"/>
          <w:color w:val="auto"/>
        </w:rPr>
        <w:t>1980 who retire on or after their 62</w:t>
      </w:r>
      <w:r>
        <w:rPr>
          <w:rFonts w:ascii="Arial" w:cs="Arial" w:eastAsia="Arial" w:hAnsi="Arial"/>
          <w:sz w:val="15"/>
          <w:szCs w:val="15"/>
          <w:color w:val="auto"/>
        </w:rPr>
        <w:t>nd</w:t>
      </w:r>
      <w:r>
        <w:rPr>
          <w:rFonts w:ascii="Arial" w:cs="Arial" w:eastAsia="Arial" w:hAnsi="Arial"/>
          <w:sz w:val="18"/>
          <w:szCs w:val="18"/>
          <w:color w:val="auto"/>
        </w:rPr>
        <w:t xml:space="preserve"> birthday will continue to be covered between retirement and death. For certain plan participants who</w:t>
      </w:r>
    </w:p>
    <w:p>
      <w:pPr>
        <w:spacing w:after="0" w:line="235" w:lineRule="auto"/>
        <w:rPr>
          <w:sz w:val="20"/>
          <w:szCs w:val="20"/>
          <w:color w:val="auto"/>
        </w:rPr>
      </w:pPr>
      <w:r>
        <w:rPr>
          <w:rFonts w:ascii="Arial" w:cs="Arial" w:eastAsia="Arial" w:hAnsi="Arial"/>
          <w:sz w:val="18"/>
          <w:szCs w:val="18"/>
          <w:color w:val="auto"/>
        </w:rPr>
        <w:t>retired before March 1, 2003, the post-retirement death benefit continues until the retired employees 70</w:t>
      </w:r>
      <w:r>
        <w:rPr>
          <w:rFonts w:ascii="Arial" w:cs="Arial" w:eastAsia="Arial" w:hAnsi="Arial"/>
          <w:sz w:val="15"/>
          <w:szCs w:val="15"/>
          <w:color w:val="auto"/>
        </w:rPr>
        <w:t>th</w:t>
      </w:r>
      <w:r>
        <w:rPr>
          <w:rFonts w:ascii="Arial" w:cs="Arial" w:eastAsia="Arial" w:hAnsi="Arial"/>
          <w:sz w:val="18"/>
          <w:szCs w:val="18"/>
          <w:color w:val="auto"/>
        </w:rPr>
        <w:t xml:space="preserve"> birthday. The Company uses an</w:t>
      </w:r>
    </w:p>
    <w:p>
      <w:pPr>
        <w:spacing w:after="0"/>
        <w:rPr>
          <w:sz w:val="20"/>
          <w:szCs w:val="20"/>
          <w:color w:val="auto"/>
        </w:rPr>
      </w:pPr>
      <w:r>
        <w:rPr>
          <w:rFonts w:ascii="Arial" w:cs="Arial" w:eastAsia="Arial" w:hAnsi="Arial"/>
          <w:sz w:val="18"/>
          <w:szCs w:val="18"/>
          <w:color w:val="auto"/>
        </w:rPr>
        <w:t>independent actuary to measure the value of this liability. The measurement date used is September 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 Obligations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Post-</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388"/>
              <w:spacing w:after="0"/>
              <w:rPr>
                <w:sz w:val="20"/>
                <w:szCs w:val="20"/>
                <w:color w:val="auto"/>
              </w:rPr>
            </w:pPr>
            <w:r>
              <w:rPr>
                <w:rFonts w:ascii="Arial" w:cs="Arial" w:eastAsia="Arial" w:hAnsi="Arial"/>
                <w:sz w:val="14"/>
                <w:szCs w:val="14"/>
                <w:b w:val="1"/>
                <w:bCs w:val="1"/>
                <w:color w:val="auto"/>
              </w:rPr>
              <w:t>Defined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rPr>
              <w:t>Retirement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Benefit Plans at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Benefit Plan at</w:t>
            </w: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rPr>
              <w:t>October 31,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auto"/>
              </w:rPr>
              <w:t>October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588"/>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Change in benefit obligation</w:t>
            </w:r>
          </w:p>
        </w:tc>
        <w:tc>
          <w:tcPr>
            <w:tcW w:w="2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40" w:type="dxa"/>
            <w:vAlign w:val="bottom"/>
            <w:gridSpan w:val="2"/>
          </w:tcPr>
          <w:p>
            <w:pPr>
              <w:spacing w:after="0"/>
              <w:rPr>
                <w:sz w:val="20"/>
                <w:szCs w:val="20"/>
                <w:color w:val="auto"/>
              </w:rPr>
            </w:pPr>
            <w:r>
              <w:rPr>
                <w:rFonts w:ascii="Arial" w:cs="Arial" w:eastAsia="Arial" w:hAnsi="Arial"/>
                <w:sz w:val="14"/>
                <w:szCs w:val="14"/>
                <w:color w:val="auto"/>
              </w:rPr>
              <w:t>Benefit obligation at beginning of year</w:t>
            </w:r>
          </w:p>
        </w:tc>
        <w:tc>
          <w:tcPr>
            <w:tcW w:w="2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9,679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9,370</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4,492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4,177</w:t>
            </w: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2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199</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w:t>
            </w:r>
          </w:p>
        </w:tc>
      </w:tr>
      <w:tr>
        <w:trPr>
          <w:trHeight w:val="162"/>
        </w:trPr>
        <w:tc>
          <w:tcPr>
            <w:tcW w:w="524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539</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759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271</w:t>
            </w:r>
          </w:p>
        </w:tc>
        <w:tc>
          <w:tcPr>
            <w:tcW w:w="6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275</w:t>
            </w: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actuarial loss</w:t>
            </w:r>
          </w:p>
        </w:tc>
        <w:tc>
          <w:tcPr>
            <w:tcW w:w="2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43</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40" w:type="dxa"/>
            <w:vAlign w:val="bottom"/>
            <w:gridSpan w:val="2"/>
          </w:tcPr>
          <w:p>
            <w:pPr>
              <w:spacing w:after="0"/>
              <w:rPr>
                <w:sz w:val="20"/>
                <w:szCs w:val="20"/>
                <w:color w:val="auto"/>
              </w:rPr>
            </w:pPr>
            <w:r>
              <w:rPr>
                <w:rFonts w:ascii="Arial" w:cs="Arial" w:eastAsia="Arial" w:hAnsi="Arial"/>
                <w:sz w:val="14"/>
                <w:szCs w:val="14"/>
                <w:color w:val="auto"/>
              </w:rPr>
              <w:t>Termination benefits accrued upon divestiture</w:t>
            </w: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93</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Benefits paid</w:t>
            </w:r>
          </w:p>
        </w:tc>
        <w:tc>
          <w:tcPr>
            <w:tcW w:w="23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(2,492)</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(942)</w:t>
            </w: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Benefit obligation at end of year</w:t>
            </w:r>
          </w:p>
        </w:tc>
        <w:tc>
          <w:tcPr>
            <w:tcW w:w="2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8,061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9,679</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4,802</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4,492</w:t>
            </w:r>
          </w:p>
        </w:tc>
      </w:tr>
      <w:tr>
        <w:trPr>
          <w:trHeight w:val="21"/>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Components of Net Period Benefit Cost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components of net periodic benefit cost of the defined benefit retirement plans and the post-retirement benefit plan for the years ended</w:t>
      </w:r>
    </w:p>
    <w:p>
      <w:pPr>
        <w:spacing w:after="0"/>
        <w:rPr>
          <w:sz w:val="20"/>
          <w:szCs w:val="20"/>
          <w:color w:val="auto"/>
        </w:rPr>
      </w:pPr>
      <w:r>
        <w:rPr>
          <w:rFonts w:ascii="Arial" w:cs="Arial" w:eastAsia="Arial" w:hAnsi="Arial"/>
          <w:sz w:val="18"/>
          <w:szCs w:val="18"/>
          <w:color w:val="auto"/>
        </w:rPr>
        <w:t>October 31, 2005, 2004 and 2003 were: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3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Defined Benefit Plans</w:t>
            </w:r>
          </w:p>
        </w:tc>
        <w:tc>
          <w:tcPr>
            <w:tcW w:w="33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3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199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492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r>
      <w:tr>
        <w:trPr>
          <w:trHeight w:val="16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Interest</w:t>
            </w:r>
          </w:p>
        </w:tc>
        <w:tc>
          <w:tcPr>
            <w:tcW w:w="33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539</w:t>
            </w: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759</w:t>
            </w:r>
          </w:p>
        </w:tc>
        <w:tc>
          <w:tcPr>
            <w:tcW w:w="3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803</w:t>
            </w:r>
          </w:p>
        </w:tc>
      </w:tr>
      <w:tr>
        <w:trPr>
          <w:trHeight w:val="169"/>
        </w:trPr>
        <w:tc>
          <w:tcPr>
            <w:tcW w:w="5220" w:type="dxa"/>
            <w:vAlign w:val="bottom"/>
            <w:gridSpan w:val="2"/>
          </w:tcPr>
          <w:p>
            <w:pPr>
              <w:spacing w:after="0"/>
              <w:rPr>
                <w:sz w:val="20"/>
                <w:szCs w:val="20"/>
                <w:color w:val="auto"/>
              </w:rPr>
            </w:pPr>
            <w:r>
              <w:rPr>
                <w:rFonts w:ascii="Arial" w:cs="Arial" w:eastAsia="Arial" w:hAnsi="Arial"/>
                <w:sz w:val="14"/>
                <w:szCs w:val="14"/>
                <w:color w:val="auto"/>
              </w:rPr>
              <w:t>Amortization of actuarial loss</w:t>
            </w:r>
          </w:p>
        </w:tc>
        <w:tc>
          <w:tcPr>
            <w:tcW w:w="33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43</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expense</w:t>
            </w:r>
          </w:p>
        </w:tc>
        <w:tc>
          <w:tcPr>
            <w:tcW w:w="3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781</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1,251</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1,120</w:t>
            </w:r>
          </w:p>
        </w:tc>
      </w:tr>
      <w:tr>
        <w:trPr>
          <w:trHeight w:val="21"/>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Post-Retirement Benefit Plan</w:t>
            </w: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3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r>
      <w:tr>
        <w:trPr>
          <w:trHeight w:val="169"/>
        </w:trPr>
        <w:tc>
          <w:tcPr>
            <w:tcW w:w="522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33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271</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275</w:t>
            </w:r>
          </w:p>
        </w:tc>
        <w:tc>
          <w:tcPr>
            <w:tcW w:w="3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277</w:t>
            </w:r>
          </w:p>
        </w:tc>
      </w:tr>
      <w:tr>
        <w:trPr>
          <w:trHeight w:val="162"/>
        </w:trPr>
        <w:tc>
          <w:tcPr>
            <w:tcW w:w="20" w:type="dxa"/>
            <w:vAlign w:val="bottom"/>
          </w:tcPr>
          <w:p>
            <w:pPr>
              <w:spacing w:after="0"/>
              <w:rPr>
                <w:sz w:val="14"/>
                <w:szCs w:val="14"/>
                <w:color w:val="auto"/>
              </w:rPr>
            </w:pPr>
          </w:p>
        </w:tc>
        <w:tc>
          <w:tcPr>
            <w:tcW w:w="5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expense</w:t>
            </w:r>
          </w:p>
        </w:tc>
        <w:tc>
          <w:tcPr>
            <w:tcW w:w="3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310</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315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328</w:t>
            </w:r>
          </w:p>
        </w:tc>
      </w:tr>
      <w:tr>
        <w:trPr>
          <w:trHeight w:val="21"/>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Assumptions</w:t>
      </w:r>
    </w:p>
    <w:p>
      <w:pPr>
        <w:spacing w:after="0" w:line="122" w:lineRule="exact"/>
        <w:rPr>
          <w:sz w:val="20"/>
          <w:szCs w:val="20"/>
          <w:color w:val="auto"/>
        </w:rPr>
      </w:pPr>
    </w:p>
    <w:p>
      <w:pPr>
        <w:jc w:val="both"/>
        <w:ind w:right="20" w:firstLine="297"/>
        <w:spacing w:after="0" w:line="246" w:lineRule="auto"/>
        <w:rPr>
          <w:sz w:val="20"/>
          <w:szCs w:val="20"/>
          <w:color w:val="auto"/>
        </w:rPr>
      </w:pPr>
      <w:r>
        <w:rPr>
          <w:rFonts w:ascii="Arial" w:cs="Arial" w:eastAsia="Arial" w:hAnsi="Arial"/>
          <w:sz w:val="18"/>
          <w:szCs w:val="18"/>
          <w:color w:val="auto"/>
        </w:rPr>
        <w:t>The weighted average rate assumptions used to determine benefit obligations and net periodic benefit cost for the years ended October 31, 2005, 2004 and 2003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Post-Retirement</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100" w:type="dxa"/>
            <w:vAlign w:val="bottom"/>
          </w:tcPr>
          <w:p>
            <w:pPr>
              <w:spacing w:after="0"/>
              <w:rPr>
                <w:sz w:val="15"/>
                <w:szCs w:val="15"/>
                <w:color w:val="auto"/>
              </w:rPr>
            </w:pPr>
          </w:p>
        </w:tc>
        <w:tc>
          <w:tcPr>
            <w:tcW w:w="19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Defined Benefit Plans</w:t>
            </w:r>
          </w:p>
        </w:tc>
        <w:tc>
          <w:tcPr>
            <w:tcW w:w="4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2005</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2003</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2005</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156"/>
        </w:trPr>
        <w:tc>
          <w:tcPr>
            <w:tcW w:w="6100" w:type="dxa"/>
            <w:vAlign w:val="bottom"/>
          </w:tcPr>
          <w:p>
            <w:pPr>
              <w:spacing w:after="0" w:line="156" w:lineRule="exact"/>
              <w:rPr>
                <w:sz w:val="20"/>
                <w:szCs w:val="20"/>
                <w:color w:val="auto"/>
              </w:rPr>
            </w:pPr>
            <w:r>
              <w:rPr>
                <w:rFonts w:ascii="Arial" w:cs="Arial" w:eastAsia="Arial" w:hAnsi="Arial"/>
                <w:sz w:val="14"/>
                <w:szCs w:val="14"/>
                <w:color w:val="auto"/>
              </w:rPr>
              <w:t>Discount rate</w:t>
            </w:r>
          </w:p>
        </w:tc>
        <w:tc>
          <w:tcPr>
            <w:tcW w:w="78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5.75%</w:t>
            </w:r>
          </w:p>
        </w:tc>
        <w:tc>
          <w:tcPr>
            <w:tcW w:w="1160" w:type="dxa"/>
            <w:vAlign w:val="bottom"/>
          </w:tcPr>
          <w:p>
            <w:pPr>
              <w:ind w:left="260"/>
              <w:spacing w:after="0" w:line="156" w:lineRule="exact"/>
              <w:rPr>
                <w:sz w:val="20"/>
                <w:szCs w:val="20"/>
                <w:color w:val="auto"/>
              </w:rPr>
            </w:pPr>
            <w:r>
              <w:rPr>
                <w:rFonts w:ascii="Arial" w:cs="Arial" w:eastAsia="Arial" w:hAnsi="Arial"/>
                <w:sz w:val="14"/>
                <w:szCs w:val="14"/>
                <w:color w:val="auto"/>
              </w:rPr>
              <w:t>5.75%</w:t>
            </w:r>
          </w:p>
        </w:tc>
        <w:tc>
          <w:tcPr>
            <w:tcW w:w="860" w:type="dxa"/>
            <w:vAlign w:val="bottom"/>
            <w:gridSpan w:val="2"/>
          </w:tcPr>
          <w:p>
            <w:pPr>
              <w:ind w:left="40"/>
              <w:spacing w:after="0" w:line="156" w:lineRule="exact"/>
              <w:rPr>
                <w:sz w:val="20"/>
                <w:szCs w:val="20"/>
                <w:color w:val="auto"/>
              </w:rPr>
            </w:pPr>
            <w:r>
              <w:rPr>
                <w:rFonts w:ascii="Arial" w:cs="Arial" w:eastAsia="Arial" w:hAnsi="Arial"/>
                <w:sz w:val="14"/>
                <w:szCs w:val="14"/>
                <w:color w:val="auto"/>
              </w:rPr>
              <w:t>6.67%</w:t>
            </w:r>
          </w:p>
        </w:tc>
        <w:tc>
          <w:tcPr>
            <w:tcW w:w="58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5.75%</w:t>
            </w:r>
          </w:p>
        </w:tc>
        <w:tc>
          <w:tcPr>
            <w:tcW w:w="1300" w:type="dxa"/>
            <w:vAlign w:val="bottom"/>
          </w:tcPr>
          <w:p>
            <w:pPr>
              <w:ind w:left="480"/>
              <w:spacing w:after="0" w:line="156" w:lineRule="exact"/>
              <w:rPr>
                <w:sz w:val="20"/>
                <w:szCs w:val="20"/>
                <w:color w:val="auto"/>
              </w:rPr>
            </w:pPr>
            <w:r>
              <w:rPr>
                <w:rFonts w:ascii="Arial" w:cs="Arial" w:eastAsia="Arial" w:hAnsi="Arial"/>
                <w:sz w:val="14"/>
                <w:szCs w:val="14"/>
                <w:color w:val="auto"/>
              </w:rPr>
              <w:t>5.75%</w:t>
            </w:r>
          </w:p>
        </w:tc>
        <w:tc>
          <w:tcPr>
            <w:tcW w:w="64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6.25%</w:t>
            </w:r>
          </w:p>
        </w:tc>
      </w:tr>
      <w:tr>
        <w:trPr>
          <w:trHeight w:val="17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Rate of compensation increase</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0.87%</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1.25%</w:t>
            </w: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1.38%</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3.00%</w:t>
            </w: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3.00%</w:t>
            </w: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3.00%</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discount rates are based on Moody’s AA-rated long-term corporate bonds (</w:t>
      </w:r>
      <w:r>
        <w:rPr>
          <w:rFonts w:ascii="Arial" w:cs="Arial" w:eastAsia="Arial" w:hAnsi="Arial"/>
          <w:sz w:val="18"/>
          <w:szCs w:val="18"/>
          <w:i w:val="1"/>
          <w:iCs w:val="1"/>
          <w:color w:val="auto"/>
        </w:rPr>
        <w:t>i.e.</w:t>
      </w:r>
      <w:r>
        <w:rPr>
          <w:rFonts w:ascii="Arial" w:cs="Arial" w:eastAsia="Arial" w:hAnsi="Arial"/>
          <w:sz w:val="18"/>
          <w:szCs w:val="18"/>
          <w:color w:val="auto"/>
        </w:rPr>
        <w:t>, 20 years).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Future Benefit Payments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retirement and post-retirement benefit plans are unfunded agreements, therefore, no contributions are expected to be made.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illustrates estimated future benefit payments, which are calculated using the same assumptions used to measure the</w:t>
      </w:r>
    </w:p>
    <w:p>
      <w:pPr>
        <w:spacing w:after="0"/>
        <w:rPr>
          <w:sz w:val="20"/>
          <w:szCs w:val="20"/>
          <w:color w:val="auto"/>
        </w:rPr>
      </w:pPr>
      <w:r>
        <w:rPr>
          <w:rFonts w:ascii="Arial" w:cs="Arial" w:eastAsia="Arial" w:hAnsi="Arial"/>
          <w:sz w:val="18"/>
          <w:szCs w:val="18"/>
          <w:color w:val="auto"/>
        </w:rPr>
        <w:t>Company’s benefit obligation and are based upon expected future service: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Borders>
              <w:top w:val="single" w:sz="8" w:color="auto"/>
            </w:tcBorders>
          </w:tcPr>
          <w:p>
            <w:pPr>
              <w:spacing w:after="0"/>
              <w:rPr>
                <w:sz w:val="15"/>
                <w:szCs w:val="15"/>
                <w:color w:val="auto"/>
              </w:rPr>
            </w:pPr>
          </w:p>
        </w:tc>
        <w:tc>
          <w:tcPr>
            <w:tcW w:w="35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Defined</w:t>
            </w:r>
          </w:p>
        </w:tc>
        <w:tc>
          <w:tcPr>
            <w:tcW w:w="4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5"/>
                <w:szCs w:val="15"/>
                <w:color w:val="auto"/>
              </w:rPr>
            </w:pPr>
          </w:p>
        </w:tc>
      </w:tr>
      <w:tr>
        <w:trPr>
          <w:trHeight w:val="182"/>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Benefit Plans</w:t>
            </w: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Benefit Plan</w:t>
            </w:r>
          </w:p>
        </w:tc>
        <w:tc>
          <w:tcPr>
            <w:tcW w:w="100" w:type="dxa"/>
            <w:vAlign w:val="bottom"/>
          </w:tcPr>
          <w:p>
            <w:pPr>
              <w:spacing w:after="0"/>
              <w:rPr>
                <w:sz w:val="15"/>
                <w:szCs w:val="15"/>
                <w:color w:val="auto"/>
              </w:rPr>
            </w:pP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3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1,744</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2007</w:t>
            </w:r>
          </w:p>
        </w:tc>
        <w:tc>
          <w:tcPr>
            <w:tcW w:w="350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Arial" w:cs="Arial" w:eastAsia="Arial" w:hAnsi="Arial"/>
                <w:sz w:val="14"/>
                <w:szCs w:val="14"/>
                <w:color w:val="auto"/>
              </w:rPr>
              <w:t>905</w:t>
            </w:r>
          </w:p>
        </w:tc>
        <w:tc>
          <w:tcPr>
            <w:tcW w:w="44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247</w:t>
            </w: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35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944</w:t>
            </w:r>
          </w:p>
        </w:tc>
        <w:tc>
          <w:tcPr>
            <w:tcW w:w="4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2009</w:t>
            </w:r>
          </w:p>
        </w:tc>
        <w:tc>
          <w:tcPr>
            <w:tcW w:w="350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Arial" w:cs="Arial" w:eastAsia="Arial" w:hAnsi="Arial"/>
                <w:sz w:val="14"/>
                <w:szCs w:val="14"/>
                <w:color w:val="auto"/>
              </w:rPr>
              <w:t>806</w:t>
            </w:r>
          </w:p>
        </w:tc>
        <w:tc>
          <w:tcPr>
            <w:tcW w:w="44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251</w:t>
            </w: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2010</w:t>
            </w:r>
          </w:p>
        </w:tc>
        <w:tc>
          <w:tcPr>
            <w:tcW w:w="35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1,105</w:t>
            </w:r>
          </w:p>
        </w:tc>
        <w:tc>
          <w:tcPr>
            <w:tcW w:w="4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w:t>
            </w:r>
          </w:p>
        </w:tc>
      </w:tr>
      <w:tr>
        <w:trPr>
          <w:trHeight w:val="162"/>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2011-2015</w:t>
            </w:r>
          </w:p>
        </w:tc>
        <w:tc>
          <w:tcPr>
            <w:tcW w:w="3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3,691</w:t>
            </w: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1,436</w:t>
            </w: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6" w:lineRule="exact"/>
        <w:rPr>
          <w:sz w:val="20"/>
          <w:szCs w:val="20"/>
          <w:color w:val="auto"/>
        </w:rPr>
      </w:pPr>
    </w:p>
    <w:p>
      <w:pPr>
        <w:ind w:firstLine="297"/>
        <w:spacing w:after="0" w:line="237" w:lineRule="auto"/>
        <w:rPr>
          <w:sz w:val="20"/>
          <w:szCs w:val="20"/>
          <w:color w:val="auto"/>
        </w:rPr>
      </w:pPr>
      <w:r>
        <w:rPr>
          <w:rFonts w:ascii="Arial" w:cs="Arial" w:eastAsia="Arial" w:hAnsi="Arial"/>
          <w:sz w:val="18"/>
          <w:szCs w:val="18"/>
          <w:color w:val="auto"/>
        </w:rPr>
        <w:t>The Company has an unfunded deferred compensation plan available to executive, management, administrative or sales employees whose annualized base salary exceeds $95,000. The plan allows employees to defer from 1% to 20% of their pre-tax compensation. The deferred amount earns interest equal to the prime interest rate on the last day of the calendar quarter up to 6%. If the prime rate exceeds 6%, the deferred compensation interest rate is equal to 6% plus one half of the excess over 6%. The average interest rates credited to the deferred compensation amounts for 2005, 2004 and 2003 were 5.99%, 4.35% and 4.10%, respectively. At October 31, 2005, there were 68 active participants and 36 retired or terminated employees participating in the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7"/>
                <w:szCs w:val="17"/>
                <w:color w:val="auto"/>
              </w:rPr>
            </w:pPr>
          </w:p>
        </w:tc>
      </w:tr>
      <w:tr>
        <w:trPr>
          <w:trHeight w:val="162"/>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Deferred compensation liability at beginning of year</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11,198</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10,315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9,894</w:t>
            </w: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Employee contributions</w:t>
            </w:r>
          </w:p>
        </w:tc>
        <w:tc>
          <w:tcPr>
            <w:tcW w:w="25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1,034</w:t>
            </w:r>
          </w:p>
        </w:tc>
        <w:tc>
          <w:tcPr>
            <w:tcW w:w="36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1,222</w:t>
            </w:r>
          </w:p>
        </w:tc>
        <w:tc>
          <w:tcPr>
            <w:tcW w:w="3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1,170</w:t>
            </w:r>
          </w:p>
        </w:tc>
      </w:tr>
      <w:tr>
        <w:trPr>
          <w:trHeight w:val="162"/>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Interest accrued</w:t>
            </w:r>
          </w:p>
        </w:tc>
        <w:tc>
          <w:tcPr>
            <w:tcW w:w="25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594</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470</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414</w:t>
            </w:r>
          </w:p>
        </w:tc>
      </w:tr>
      <w:tr>
        <w:trPr>
          <w:trHeight w:val="169"/>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Payments</w:t>
            </w:r>
          </w:p>
        </w:tc>
        <w:tc>
          <w:tcPr>
            <w:tcW w:w="2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(2,871)</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(809)</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(1,163)</w:t>
            </w:r>
          </w:p>
        </w:tc>
      </w:tr>
      <w:tr>
        <w:trPr>
          <w:trHeight w:val="162"/>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Deferred compensation liability at end of year</w:t>
            </w:r>
          </w:p>
        </w:tc>
        <w:tc>
          <w:tcPr>
            <w:tcW w:w="2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9,955</w:t>
            </w: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11,198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10,315</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Under Collective Bargaining</w:t>
      </w:r>
    </w:p>
    <w:p>
      <w:pPr>
        <w:spacing w:after="0" w:line="126" w:lineRule="exact"/>
        <w:rPr>
          <w:sz w:val="20"/>
          <w:szCs w:val="20"/>
          <w:color w:val="auto"/>
        </w:rPr>
      </w:pPr>
    </w:p>
    <w:p>
      <w:pPr>
        <w:jc w:val="both"/>
        <w:ind w:right="180" w:firstLine="300"/>
        <w:spacing w:after="0"/>
        <w:rPr>
          <w:sz w:val="20"/>
          <w:szCs w:val="20"/>
          <w:color w:val="auto"/>
        </w:rPr>
      </w:pPr>
      <w:r>
        <w:rPr>
          <w:rFonts w:ascii="Arial" w:cs="Arial" w:eastAsia="Arial" w:hAnsi="Arial"/>
          <w:sz w:val="18"/>
          <w:szCs w:val="18"/>
          <w:color w:val="auto"/>
        </w:rPr>
        <w:t>Certain qualified employees of the Company are covered under union-sponsored multi-employer defined benefit plans. Contributions paid for these plans were $34.4 million, $33.5 million and $27.6 million in 2005, 2004 and 2003, respectively. These plans are not administered by the Company</w:t>
      </w:r>
    </w:p>
    <w:p>
      <w:pPr>
        <w:sectPr>
          <w:pgSz w:w="11900" w:h="16838" w:orient="portrait"/>
          <w:cols w:equalWidth="0" w:num="1">
            <w:col w:w="11420"/>
          </w:cols>
          <w:pgMar w:left="240" w:top="419" w:right="239" w:bottom="192" w:gutter="0" w:footer="0" w:header="0"/>
        </w:sectPr>
      </w:pPr>
    </w:p>
    <w:p>
      <w:pPr>
        <w:spacing w:after="0" w:line="176"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92"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and contributions are determined in accordance with provisions of negotiated labor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COMMITMENTS AND RENTAL EXPENSE</w:t>
      </w:r>
    </w:p>
    <w:p>
      <w:pPr>
        <w:spacing w:after="0" w:line="126" w:lineRule="exact"/>
        <w:rPr>
          <w:sz w:val="20"/>
          <w:szCs w:val="20"/>
          <w:color w:val="auto"/>
        </w:rPr>
      </w:pPr>
    </w:p>
    <w:p>
      <w:pPr>
        <w:ind w:right="300" w:firstLine="297"/>
        <w:spacing w:after="0"/>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October 31, 2005, future minimum lease commitments under noncancelable operating leases for the succeeding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78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2007</w:t>
            </w:r>
          </w:p>
        </w:tc>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25,495</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20,421</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2009</w:t>
            </w:r>
          </w:p>
        </w:tc>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14,771</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10,090</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31,502</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minimum lease commitments</w:t>
            </w:r>
          </w:p>
        </w:tc>
        <w:tc>
          <w:tcPr>
            <w:tcW w:w="2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137,814</w:t>
            </w:r>
          </w:p>
        </w:tc>
      </w:tr>
      <w:tr>
        <w:trPr>
          <w:trHeight w:val="21"/>
        </w:trPr>
        <w:tc>
          <w:tcPr>
            <w:tcW w:w="20" w:type="dxa"/>
            <w:vAlign w:val="bottom"/>
          </w:tcPr>
          <w:p>
            <w:pPr>
              <w:spacing w:after="0" w:line="20" w:lineRule="exact"/>
              <w:rPr>
                <w:sz w:val="1"/>
                <w:szCs w:val="1"/>
                <w:color w:val="auto"/>
              </w:rPr>
            </w:pPr>
          </w:p>
        </w:tc>
        <w:tc>
          <w:tcPr>
            <w:tcW w:w="92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260" w:type="dxa"/>
            <w:vAlign w:val="bottom"/>
            <w:gridSpan w:val="3"/>
          </w:tcPr>
          <w:p>
            <w:pPr>
              <w:jc w:val="right"/>
              <w:spacing w:after="0"/>
              <w:rPr>
                <w:sz w:val="20"/>
                <w:szCs w:val="20"/>
                <w:color w:val="auto"/>
              </w:rPr>
            </w:pPr>
            <w:r>
              <w:rPr>
                <w:rFonts w:ascii="Arial" w:cs="Arial" w:eastAsia="Arial" w:hAnsi="Arial"/>
                <w:sz w:val="18"/>
                <w:szCs w:val="18"/>
                <w:color w:val="auto"/>
              </w:rPr>
              <w:t>Rental expense for continuing operations for the years ended October 31, 2005, 2004 and 2003 were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76"/>
        </w:trPr>
        <w:tc>
          <w:tcPr>
            <w:tcW w:w="5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340" w:type="dxa"/>
            <w:vAlign w:val="bottom"/>
          </w:tcPr>
          <w:p>
            <w:pPr>
              <w:spacing w:after="0"/>
              <w:rPr>
                <w:sz w:val="15"/>
                <w:szCs w:val="15"/>
                <w:color w:val="auto"/>
              </w:rPr>
            </w:pPr>
          </w:p>
        </w:tc>
        <w:tc>
          <w:tcPr>
            <w:tcW w:w="1180" w:type="dxa"/>
            <w:vAlign w:val="bottom"/>
          </w:tcPr>
          <w:p>
            <w:pPr>
              <w:jc w:val="right"/>
              <w:ind w:right="67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color w:val="auto"/>
              </w:rPr>
              <w:t>2004</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Minimum rentals under noncancelable leases</w:t>
            </w:r>
          </w:p>
        </w:tc>
        <w:tc>
          <w:tcPr>
            <w:tcW w:w="2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rPr>
              <w:t>54,019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57,935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$ 53,772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Contingent rentals</w:t>
            </w:r>
          </w:p>
        </w:tc>
        <w:tc>
          <w:tcPr>
            <w:tcW w:w="2340" w:type="dxa"/>
            <w:vAlign w:val="bottom"/>
          </w:tcPr>
          <w:p>
            <w:pPr>
              <w:spacing w:after="0"/>
              <w:rPr>
                <w:sz w:val="18"/>
                <w:szCs w:val="18"/>
                <w:color w:val="auto"/>
              </w:rPr>
            </w:pPr>
          </w:p>
        </w:tc>
        <w:tc>
          <w:tcPr>
            <w:tcW w:w="1180" w:type="dxa"/>
            <w:vAlign w:val="bottom"/>
          </w:tcPr>
          <w:p>
            <w:pPr>
              <w:jc w:val="right"/>
              <w:ind w:right="374"/>
              <w:spacing w:after="0"/>
              <w:rPr>
                <w:sz w:val="20"/>
                <w:szCs w:val="20"/>
                <w:color w:val="auto"/>
              </w:rPr>
            </w:pPr>
            <w:r>
              <w:rPr>
                <w:rFonts w:ascii="Arial" w:cs="Arial" w:eastAsia="Arial" w:hAnsi="Arial"/>
                <w:sz w:val="18"/>
                <w:szCs w:val="18"/>
                <w:b w:val="1"/>
                <w:bCs w:val="1"/>
                <w:color w:val="auto"/>
              </w:rPr>
              <w:t>33,809</w:t>
            </w:r>
          </w:p>
        </w:tc>
        <w:tc>
          <w:tcPr>
            <w:tcW w:w="20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32,697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34,390</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rental agreements</w:t>
            </w:r>
          </w:p>
        </w:tc>
        <w:tc>
          <w:tcPr>
            <w:tcW w:w="2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rPr>
              <w:t>9,519</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4,726</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97,347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95,358</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$ 95,324</w:t>
            </w:r>
          </w:p>
        </w:tc>
      </w:tr>
      <w:tr>
        <w:trPr>
          <w:trHeight w:val="21"/>
        </w:trPr>
        <w:tc>
          <w:tcPr>
            <w:tcW w:w="20" w:type="dxa"/>
            <w:vAlign w:val="bottom"/>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60" w:firstLine="300"/>
        <w:spacing w:after="0" w:line="246" w:lineRule="auto"/>
        <w:rPr>
          <w:sz w:val="20"/>
          <w:szCs w:val="20"/>
          <w:color w:val="auto"/>
        </w:rPr>
      </w:pPr>
      <w:r>
        <w:rPr>
          <w:rFonts w:ascii="Arial" w:cs="Arial" w:eastAsia="Arial" w:hAnsi="Arial"/>
          <w:sz w:val="18"/>
          <w:szCs w:val="18"/>
          <w:color w:val="auto"/>
        </w:rPr>
        <w:t>Contingent rentals are applicable to leases of parking lots and garages and are based on percentages of the gross receipts or other financial parameters attributable to the related facilities.</w:t>
      </w:r>
    </w:p>
    <w:p>
      <w:pPr>
        <w:spacing w:after="0" w:line="175" w:lineRule="exact"/>
        <w:rPr>
          <w:sz w:val="20"/>
          <w:szCs w:val="20"/>
          <w:color w:val="auto"/>
        </w:rPr>
      </w:pPr>
    </w:p>
    <w:p>
      <w:pPr>
        <w:ind w:right="9760" w:firstLine="8"/>
        <w:spacing w:after="0" w:line="394" w:lineRule="auto"/>
        <w:tabs>
          <w:tab w:leader="none" w:pos="2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Treasury Stock</w:t>
      </w:r>
    </w:p>
    <w:p>
      <w:pPr>
        <w:spacing w:after="0" w:line="1" w:lineRule="exact"/>
        <w:rPr>
          <w:sz w:val="20"/>
          <w:szCs w:val="20"/>
          <w:color w:val="auto"/>
        </w:rPr>
      </w:pPr>
    </w:p>
    <w:p>
      <w:pPr>
        <w:ind w:right="60" w:firstLine="300"/>
        <w:spacing w:after="0" w:line="239" w:lineRule="auto"/>
        <w:rPr>
          <w:sz w:val="20"/>
          <w:szCs w:val="20"/>
          <w:color w:val="auto"/>
        </w:rPr>
      </w:pPr>
      <w:r>
        <w:rPr>
          <w:rFonts w:ascii="Arial" w:cs="Arial" w:eastAsia="Arial" w:hAnsi="Arial"/>
          <w:sz w:val="18"/>
          <w:szCs w:val="18"/>
          <w:color w:val="auto"/>
        </w:rPr>
        <w:t>Under a series of Board of Directors authorizations, the Company has made the following repurchases of ABM common stock: year ended October 31, 2003, 2.0 million shares at a cost of $30.4 million (an average price of $15.20 per share); year ended October 31, 2004, 0.6 million shares at a cost of $11.1 million (an average price of $18.50 per share); and year ended October 31, 2005, 1.6 million shares at a cost of $31.3 million (an average price of $19.57 per share). At October 31, 2005, the existing authorization for additional repurchases expired.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is authorized to issue 0.5 million shares of preferred stock. None of these preferred shares are currently issued.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Rights Plan</w:t>
      </w:r>
    </w:p>
    <w:p>
      <w:pPr>
        <w:spacing w:after="0" w:line="126"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Under ABM’s stockholder rights plan one preferred stock purchase right (a Right) attached to each outstanding share of common stock on April 22, 1998, and a Right has attached or will attach to each subsequently issued share of common stock. The Rights are exercisable only if a person or group acquires 20% or more of ABM’s common stock (an Acquiring Person) or announces a tender offer for 20% or more of the common stock. Each Right entitles stockholders to buy one-two thousandths of a share of newly created participating preferred stock, par value $0.01 per share, of ABM at an initial exercise price of $87.50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ABM having a market value at that time of twice the Right’s exercise price. These Rights holders would also be entitled to purchase an equivalent number of shares at the exercise price if the Acquiring Person were to control ABM’s Board of Directors and cause the Company to enter into certain mergers or other transactions. In addition, if an Acquiring Person acquired between 20% and 50% of ABM’s voting stock, ABM’s Board of Directors may, at its option, exchange one share of ABM’s common stock for each Right held (other than Rights held by the Acquiring Person). Rights held by the Acquiring Person will become void. Theodore Rosenberg and The Theodore Rosenberg Trust and those receiving stock therefrom without payment, cannot be Acquiring Persons under the Rights plan, therefore, changes in their holdings will not cause the Rights to become exercisable or non-redeemable or trigger the other features of the Rights. The Rights will expire on April 22, 2008, unless earlier redeemed by ABM’s Board of Directors at $0.005 per Right.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has four stock option plans which are described below.</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“Time-Vested” Incentive Stock Option Plan</w:t>
      </w:r>
    </w:p>
    <w:p>
      <w:pPr>
        <w:spacing w:after="0" w:line="122" w:lineRule="exact"/>
        <w:rPr>
          <w:sz w:val="20"/>
          <w:szCs w:val="20"/>
          <w:color w:val="auto"/>
        </w:rPr>
      </w:pPr>
    </w:p>
    <w:p>
      <w:pPr>
        <w:ind w:right="200" w:firstLine="300"/>
        <w:spacing w:after="0" w:line="238" w:lineRule="auto"/>
        <w:rPr>
          <w:sz w:val="20"/>
          <w:szCs w:val="20"/>
          <w:color w:val="auto"/>
        </w:rPr>
      </w:pPr>
      <w:r>
        <w:rPr>
          <w:rFonts w:ascii="Arial" w:cs="Arial" w:eastAsia="Arial" w:hAnsi="Arial"/>
          <w:sz w:val="18"/>
          <w:szCs w:val="18"/>
          <w:color w:val="auto"/>
        </w:rPr>
        <w:t>In 1987, ABM adopted a stock option plan under which 2.4 million shares were reserved for grant. In March 1994, this plan was amended to reserve an additional 2.0 million shares. In March 1996, the plan was amended again to reserve another 4.0 million shares. The options become exercisable at a rate of 20% of the shares per year beginning one year after date of grant and terminate no later than 10 years plus one month after date of grant. Options which terminate without being exercised may be reissued. At October 31, 2005, 0.5 million shares remained available for grant.</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Transactions under this plan are summarized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left="670"/>
              <w:spacing w:after="0"/>
              <w:rPr>
                <w:sz w:val="20"/>
                <w:szCs w:val="20"/>
                <w:color w:val="auto"/>
              </w:rPr>
            </w:pPr>
            <w:r>
              <w:rPr>
                <w:rFonts w:ascii="Arial" w:cs="Arial" w:eastAsia="Arial" w:hAnsi="Arial"/>
                <w:sz w:val="14"/>
                <w:szCs w:val="14"/>
                <w:color w:val="auto"/>
              </w:rPr>
              <w:t>Weighted</w:t>
            </w:r>
          </w:p>
        </w:tc>
      </w:tr>
      <w:tr>
        <w:trPr>
          <w:trHeight w:val="162"/>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Number</w:t>
            </w:r>
          </w:p>
        </w:tc>
        <w:tc>
          <w:tcPr>
            <w:tcW w:w="2220" w:type="dxa"/>
            <w:vAlign w:val="bottom"/>
          </w:tcPr>
          <w:p>
            <w:pPr>
              <w:ind w:left="1220"/>
              <w:spacing w:after="0"/>
              <w:rPr>
                <w:sz w:val="20"/>
                <w:szCs w:val="20"/>
                <w:color w:val="auto"/>
              </w:rPr>
            </w:pPr>
            <w:r>
              <w:rPr>
                <w:rFonts w:ascii="Arial" w:cs="Arial" w:eastAsia="Arial" w:hAnsi="Arial"/>
                <w:sz w:val="14"/>
                <w:szCs w:val="14"/>
                <w:color w:val="auto"/>
              </w:rPr>
              <w:t>Average</w:t>
            </w:r>
          </w:p>
        </w:tc>
      </w:tr>
      <w:tr>
        <w:trPr>
          <w:trHeight w:val="162"/>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color w:val="auto"/>
              </w:rPr>
              <w:t>of</w:t>
            </w:r>
          </w:p>
        </w:tc>
        <w:tc>
          <w:tcPr>
            <w:tcW w:w="2220" w:type="dxa"/>
            <w:vAlign w:val="bottom"/>
          </w:tcPr>
          <w:p>
            <w:pPr>
              <w:ind w:left="1200"/>
              <w:spacing w:after="0"/>
              <w:rPr>
                <w:sz w:val="20"/>
                <w:szCs w:val="20"/>
                <w:color w:val="auto"/>
              </w:rPr>
            </w:pPr>
            <w:r>
              <w:rPr>
                <w:rFonts w:ascii="Arial" w:cs="Arial" w:eastAsia="Arial" w:hAnsi="Arial"/>
                <w:sz w:val="14"/>
                <w:szCs w:val="14"/>
                <w:color w:val="auto"/>
              </w:rPr>
              <w:t>Exercise</w:t>
            </w:r>
          </w:p>
        </w:tc>
      </w:tr>
      <w:tr>
        <w:trPr>
          <w:trHeight w:val="164"/>
        </w:trPr>
        <w:tc>
          <w:tcPr>
            <w:tcW w:w="2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3"/>
              <w:spacing w:after="0" w:line="157" w:lineRule="exact"/>
              <w:rPr>
                <w:sz w:val="20"/>
                <w:szCs w:val="20"/>
                <w:color w:val="auto"/>
              </w:rPr>
            </w:pPr>
            <w:r>
              <w:rPr>
                <w:rFonts w:ascii="Arial" w:cs="Arial" w:eastAsia="Arial" w:hAnsi="Arial"/>
                <w:sz w:val="14"/>
                <w:szCs w:val="14"/>
                <w:color w:val="auto"/>
              </w:rPr>
              <w:t>Options</w:t>
            </w:r>
          </w:p>
        </w:tc>
        <w:tc>
          <w:tcPr>
            <w:tcW w:w="2220" w:type="dxa"/>
            <w:vAlign w:val="bottom"/>
            <w:tcBorders>
              <w:bottom w:val="single" w:sz="8" w:color="auto"/>
            </w:tcBorders>
          </w:tcPr>
          <w:p>
            <w:pPr>
              <w:jc w:val="center"/>
              <w:ind w:left="670"/>
              <w:spacing w:after="0" w:line="157" w:lineRule="exact"/>
              <w:rPr>
                <w:sz w:val="20"/>
                <w:szCs w:val="20"/>
                <w:color w:val="auto"/>
              </w:rPr>
            </w:pPr>
            <w:r>
              <w:rPr>
                <w:rFonts w:ascii="Arial" w:cs="Arial" w:eastAsia="Arial" w:hAnsi="Arial"/>
                <w:sz w:val="14"/>
                <w:szCs w:val="14"/>
                <w:color w:val="auto"/>
              </w:rPr>
              <w:t>Price</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2002</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2,628,000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$11.86</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$3.15)</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483,000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$14.88</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(381,000)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$ 7.35</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$15.35</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2003</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2,630,000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$12.93</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$4.04)</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266,000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$16.62</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(399,000)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$10.14</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(119,000)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$15.38</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2004</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2,378,000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$13.69</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$5.38)</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390,000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$21.33</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$10.45</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(111,000)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$15.73</w:t>
            </w:r>
          </w:p>
        </w:tc>
      </w:tr>
      <w:tr>
        <w:trPr>
          <w:trHeight w:val="16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October 31, 2005</w:t>
            </w:r>
          </w:p>
        </w:tc>
        <w:tc>
          <w:tcPr>
            <w:tcW w:w="1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2,285,000</w:t>
            </w:r>
          </w:p>
        </w:tc>
        <w:tc>
          <w:tcPr>
            <w:tcW w:w="22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rPr>
              <w:t>$15.42</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2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r>
      <w:tr>
        <w:trPr>
          <w:trHeight w:val="136"/>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ind w:left="100"/>
              <w:spacing w:after="0" w:line="136" w:lineRule="exact"/>
              <w:rPr>
                <w:sz w:val="20"/>
                <w:szCs w:val="20"/>
                <w:color w:val="auto"/>
              </w:rPr>
            </w:pPr>
            <w:r>
              <w:rPr>
                <w:rFonts w:ascii="Arial" w:cs="Arial" w:eastAsia="Arial" w:hAnsi="Arial"/>
                <w:sz w:val="13"/>
                <w:szCs w:val="13"/>
                <w:color w:val="auto"/>
              </w:rPr>
              <w:t>Exercisable at</w:t>
            </w:r>
          </w:p>
        </w:tc>
      </w:tr>
      <w:tr>
        <w:trPr>
          <w:trHeight w:val="141"/>
        </w:trPr>
        <w:tc>
          <w:tcPr>
            <w:tcW w:w="236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gridSpan w:val="2"/>
          </w:tcPr>
          <w:p>
            <w:pPr>
              <w:jc w:val="right"/>
              <w:ind w:right="1134"/>
              <w:spacing w:after="0" w:line="141" w:lineRule="exact"/>
              <w:rPr>
                <w:sz w:val="20"/>
                <w:szCs w:val="20"/>
                <w:color w:val="auto"/>
              </w:rPr>
            </w:pPr>
            <w:r>
              <w:rPr>
                <w:rFonts w:ascii="Arial" w:cs="Arial" w:eastAsia="Arial" w:hAnsi="Arial"/>
                <w:sz w:val="13"/>
                <w:szCs w:val="13"/>
                <w:color w:val="auto"/>
              </w:rPr>
              <w:t>Outstanding at October 31, 2005</w:t>
            </w:r>
          </w:p>
        </w:tc>
        <w:tc>
          <w:tcPr>
            <w:tcW w:w="17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October 31, 2005</w:t>
            </w:r>
          </w:p>
        </w:tc>
      </w:tr>
      <w:tr>
        <w:trPr>
          <w:trHeight w:val="136"/>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jc w:val="center"/>
              <w:spacing w:after="0" w:line="136" w:lineRule="exact"/>
              <w:rPr>
                <w:sz w:val="20"/>
                <w:szCs w:val="20"/>
                <w:color w:val="auto"/>
              </w:rPr>
            </w:pPr>
            <w:r>
              <w:rPr>
                <w:rFonts w:ascii="Arial" w:cs="Arial" w:eastAsia="Arial" w:hAnsi="Arial"/>
                <w:sz w:val="13"/>
                <w:szCs w:val="13"/>
                <w:color w:val="auto"/>
                <w:w w:val="94"/>
              </w:rPr>
              <w:t>Weighted</w:t>
            </w: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4"/>
              </w:rPr>
              <w:t>Average</w:t>
            </w:r>
          </w:p>
        </w:tc>
        <w:tc>
          <w:tcPr>
            <w:tcW w:w="1720" w:type="dxa"/>
            <w:vAlign w:val="bottom"/>
          </w:tcPr>
          <w:p>
            <w:pPr>
              <w:ind w:left="680"/>
              <w:spacing w:after="0" w:line="135" w:lineRule="exact"/>
              <w:rPr>
                <w:sz w:val="20"/>
                <w:szCs w:val="20"/>
                <w:color w:val="auto"/>
              </w:rPr>
            </w:pPr>
            <w:r>
              <w:rPr>
                <w:rFonts w:ascii="Arial" w:cs="Arial" w:eastAsia="Arial" w:hAnsi="Arial"/>
                <w:sz w:val="13"/>
                <w:szCs w:val="13"/>
                <w:color w:val="auto"/>
              </w:rPr>
              <w:t>Weighted</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ind w:left="1220"/>
              <w:spacing w:after="0" w:line="135" w:lineRule="exact"/>
              <w:rPr>
                <w:sz w:val="20"/>
                <w:szCs w:val="20"/>
                <w:color w:val="auto"/>
              </w:rPr>
            </w:pPr>
            <w:r>
              <w:rPr>
                <w:rFonts w:ascii="Arial" w:cs="Arial" w:eastAsia="Arial" w:hAnsi="Arial"/>
                <w:sz w:val="13"/>
                <w:szCs w:val="13"/>
                <w:color w:val="auto"/>
              </w:rPr>
              <w:t>Weighted</w:t>
            </w:r>
          </w:p>
        </w:tc>
      </w:tr>
      <w:tr>
        <w:trPr>
          <w:trHeight w:val="135"/>
        </w:trPr>
        <w:tc>
          <w:tcPr>
            <w:tcW w:w="2360" w:type="dxa"/>
            <w:vAlign w:val="bottom"/>
          </w:tcPr>
          <w:p>
            <w:pPr>
              <w:spacing w:after="0"/>
              <w:rPr>
                <w:sz w:val="11"/>
                <w:szCs w:val="11"/>
                <w:color w:val="auto"/>
              </w:rPr>
            </w:pPr>
          </w:p>
        </w:tc>
        <w:tc>
          <w:tcPr>
            <w:tcW w:w="1640" w:type="dxa"/>
            <w:vAlign w:val="bottom"/>
          </w:tcPr>
          <w:p>
            <w:pPr>
              <w:jc w:val="center"/>
              <w:ind w:right="333"/>
              <w:spacing w:after="0" w:line="135" w:lineRule="exact"/>
              <w:rPr>
                <w:sz w:val="20"/>
                <w:szCs w:val="20"/>
                <w:color w:val="auto"/>
              </w:rPr>
            </w:pPr>
            <w:r>
              <w:rPr>
                <w:rFonts w:ascii="Arial" w:cs="Arial" w:eastAsia="Arial" w:hAnsi="Arial"/>
                <w:sz w:val="13"/>
                <w:szCs w:val="13"/>
                <w:color w:val="auto"/>
                <w:w w:val="95"/>
              </w:rPr>
              <w:t>Number</w:t>
            </w: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6"/>
              </w:rPr>
              <w:t>Remaining</w:t>
            </w:r>
          </w:p>
        </w:tc>
        <w:tc>
          <w:tcPr>
            <w:tcW w:w="1720" w:type="dxa"/>
            <w:vAlign w:val="bottom"/>
          </w:tcPr>
          <w:p>
            <w:pPr>
              <w:jc w:val="center"/>
              <w:ind w:left="73"/>
              <w:spacing w:after="0" w:line="135" w:lineRule="exact"/>
              <w:rPr>
                <w:sz w:val="20"/>
                <w:szCs w:val="20"/>
                <w:color w:val="auto"/>
              </w:rPr>
            </w:pPr>
            <w:r>
              <w:rPr>
                <w:rFonts w:ascii="Arial" w:cs="Arial" w:eastAsia="Arial" w:hAnsi="Arial"/>
                <w:sz w:val="13"/>
                <w:szCs w:val="13"/>
                <w:color w:val="auto"/>
                <w:w w:val="94"/>
              </w:rPr>
              <w:t>Average</w:t>
            </w:r>
          </w:p>
        </w:tc>
        <w:tc>
          <w:tcPr>
            <w:tcW w:w="280" w:type="dxa"/>
            <w:vAlign w:val="bottom"/>
          </w:tcPr>
          <w:p>
            <w:pPr>
              <w:spacing w:after="0"/>
              <w:rPr>
                <w:sz w:val="11"/>
                <w:szCs w:val="11"/>
                <w:color w:val="auto"/>
              </w:rPr>
            </w:pPr>
          </w:p>
        </w:tc>
        <w:tc>
          <w:tcPr>
            <w:tcW w:w="1240" w:type="dxa"/>
            <w:vAlign w:val="bottom"/>
          </w:tcPr>
          <w:p>
            <w:pPr>
              <w:jc w:val="right"/>
              <w:ind w:right="93"/>
              <w:spacing w:after="0" w:line="135" w:lineRule="exact"/>
              <w:rPr>
                <w:sz w:val="20"/>
                <w:szCs w:val="20"/>
                <w:color w:val="auto"/>
              </w:rPr>
            </w:pPr>
            <w:r>
              <w:rPr>
                <w:rFonts w:ascii="Arial" w:cs="Arial" w:eastAsia="Arial" w:hAnsi="Arial"/>
                <w:sz w:val="13"/>
                <w:szCs w:val="13"/>
                <w:color w:val="auto"/>
              </w:rPr>
              <w:t>Number</w:t>
            </w:r>
          </w:p>
        </w:tc>
        <w:tc>
          <w:tcPr>
            <w:tcW w:w="2220" w:type="dxa"/>
            <w:vAlign w:val="bottom"/>
          </w:tcPr>
          <w:p>
            <w:pPr>
              <w:jc w:val="center"/>
              <w:ind w:left="670"/>
              <w:spacing w:after="0" w:line="135" w:lineRule="exact"/>
              <w:rPr>
                <w:sz w:val="20"/>
                <w:szCs w:val="20"/>
                <w:color w:val="auto"/>
              </w:rPr>
            </w:pPr>
            <w:r>
              <w:rPr>
                <w:rFonts w:ascii="Arial" w:cs="Arial" w:eastAsia="Arial" w:hAnsi="Arial"/>
                <w:sz w:val="13"/>
                <w:szCs w:val="13"/>
                <w:color w:val="auto"/>
                <w:w w:val="99"/>
              </w:rPr>
              <w:t>Average</w:t>
            </w:r>
          </w:p>
        </w:tc>
      </w:tr>
      <w:tr>
        <w:trPr>
          <w:trHeight w:val="135"/>
        </w:trPr>
        <w:tc>
          <w:tcPr>
            <w:tcW w:w="2360" w:type="dxa"/>
            <w:vAlign w:val="bottom"/>
          </w:tcPr>
          <w:p>
            <w:pPr>
              <w:ind w:left="40"/>
              <w:spacing w:after="0" w:line="135" w:lineRule="exact"/>
              <w:rPr>
                <w:sz w:val="20"/>
                <w:szCs w:val="20"/>
                <w:color w:val="auto"/>
              </w:rPr>
            </w:pPr>
            <w:r>
              <w:rPr>
                <w:rFonts w:ascii="Arial" w:cs="Arial" w:eastAsia="Arial" w:hAnsi="Arial"/>
                <w:sz w:val="13"/>
                <w:szCs w:val="13"/>
                <w:color w:val="auto"/>
              </w:rPr>
              <w:t>Range of</w:t>
            </w:r>
          </w:p>
        </w:tc>
        <w:tc>
          <w:tcPr>
            <w:tcW w:w="1640" w:type="dxa"/>
            <w:vAlign w:val="bottom"/>
          </w:tcPr>
          <w:p>
            <w:pPr>
              <w:jc w:val="center"/>
              <w:ind w:right="333"/>
              <w:spacing w:after="0" w:line="135" w:lineRule="exact"/>
              <w:rPr>
                <w:sz w:val="20"/>
                <w:szCs w:val="20"/>
                <w:color w:val="auto"/>
              </w:rPr>
            </w:pPr>
            <w:r>
              <w:rPr>
                <w:rFonts w:ascii="Arial" w:cs="Arial" w:eastAsia="Arial" w:hAnsi="Arial"/>
                <w:sz w:val="13"/>
                <w:szCs w:val="13"/>
                <w:color w:val="auto"/>
              </w:rPr>
              <w:t>of</w:t>
            </w: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6"/>
              </w:rPr>
              <w:t>Contractual</w:t>
            </w:r>
          </w:p>
        </w:tc>
        <w:tc>
          <w:tcPr>
            <w:tcW w:w="1720" w:type="dxa"/>
            <w:vAlign w:val="bottom"/>
          </w:tcPr>
          <w:p>
            <w:pPr>
              <w:jc w:val="center"/>
              <w:ind w:left="93"/>
              <w:spacing w:after="0" w:line="135" w:lineRule="exact"/>
              <w:rPr>
                <w:sz w:val="20"/>
                <w:szCs w:val="20"/>
                <w:color w:val="auto"/>
              </w:rPr>
            </w:pPr>
            <w:r>
              <w:rPr>
                <w:rFonts w:ascii="Arial" w:cs="Arial" w:eastAsia="Arial" w:hAnsi="Arial"/>
                <w:sz w:val="13"/>
                <w:szCs w:val="13"/>
                <w:color w:val="auto"/>
                <w:w w:val="96"/>
              </w:rPr>
              <w:t>Exercise</w:t>
            </w:r>
          </w:p>
        </w:tc>
        <w:tc>
          <w:tcPr>
            <w:tcW w:w="280" w:type="dxa"/>
            <w:vAlign w:val="bottom"/>
          </w:tcPr>
          <w:p>
            <w:pPr>
              <w:spacing w:after="0"/>
              <w:rPr>
                <w:sz w:val="11"/>
                <w:szCs w:val="11"/>
                <w:color w:val="auto"/>
              </w:rPr>
            </w:pPr>
          </w:p>
        </w:tc>
        <w:tc>
          <w:tcPr>
            <w:tcW w:w="124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of</w:t>
            </w:r>
          </w:p>
        </w:tc>
        <w:tc>
          <w:tcPr>
            <w:tcW w:w="2220" w:type="dxa"/>
            <w:vAlign w:val="bottom"/>
          </w:tcPr>
          <w:p>
            <w:pPr>
              <w:ind w:left="1240"/>
              <w:spacing w:after="0" w:line="135" w:lineRule="exact"/>
              <w:rPr>
                <w:sz w:val="20"/>
                <w:szCs w:val="20"/>
                <w:color w:val="auto"/>
              </w:rPr>
            </w:pPr>
            <w:r>
              <w:rPr>
                <w:rFonts w:ascii="Arial" w:cs="Arial" w:eastAsia="Arial" w:hAnsi="Arial"/>
                <w:sz w:val="13"/>
                <w:szCs w:val="13"/>
                <w:color w:val="auto"/>
              </w:rPr>
              <w:t>Exercise</w:t>
            </w:r>
          </w:p>
        </w:tc>
      </w:tr>
      <w:tr>
        <w:trPr>
          <w:trHeight w:val="148"/>
        </w:trPr>
        <w:tc>
          <w:tcPr>
            <w:tcW w:w="236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Prices</w:t>
            </w:r>
          </w:p>
        </w:tc>
        <w:tc>
          <w:tcPr>
            <w:tcW w:w="1640" w:type="dxa"/>
            <w:vAlign w:val="bottom"/>
            <w:tcBorders>
              <w:bottom w:val="single" w:sz="8" w:color="auto"/>
            </w:tcBorders>
          </w:tcPr>
          <w:p>
            <w:pPr>
              <w:jc w:val="center"/>
              <w:ind w:right="333"/>
              <w:spacing w:after="0" w:line="141" w:lineRule="exact"/>
              <w:rPr>
                <w:sz w:val="20"/>
                <w:szCs w:val="20"/>
                <w:color w:val="auto"/>
              </w:rPr>
            </w:pPr>
            <w:r>
              <w:rPr>
                <w:rFonts w:ascii="Arial" w:cs="Arial" w:eastAsia="Arial" w:hAnsi="Arial"/>
                <w:sz w:val="13"/>
                <w:szCs w:val="13"/>
                <w:color w:val="auto"/>
                <w:w w:val="98"/>
              </w:rPr>
              <w:t>Options</w:t>
            </w:r>
          </w:p>
        </w:tc>
        <w:tc>
          <w:tcPr>
            <w:tcW w:w="19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Life (Years)</w:t>
            </w:r>
          </w:p>
        </w:tc>
        <w:tc>
          <w:tcPr>
            <w:tcW w:w="1720" w:type="dxa"/>
            <w:vAlign w:val="bottom"/>
            <w:tcBorders>
              <w:bottom w:val="single" w:sz="8" w:color="auto"/>
            </w:tcBorders>
          </w:tcPr>
          <w:p>
            <w:pPr>
              <w:jc w:val="center"/>
              <w:ind w:left="93"/>
              <w:spacing w:after="0" w:line="141" w:lineRule="exact"/>
              <w:rPr>
                <w:sz w:val="20"/>
                <w:szCs w:val="20"/>
                <w:color w:val="auto"/>
              </w:rPr>
            </w:pPr>
            <w:r>
              <w:rPr>
                <w:rFonts w:ascii="Arial" w:cs="Arial" w:eastAsia="Arial" w:hAnsi="Arial"/>
                <w:sz w:val="13"/>
                <w:szCs w:val="13"/>
                <w:color w:val="auto"/>
                <w:w w:val="94"/>
              </w:rPr>
              <w:t>Price</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3"/>
                <w:szCs w:val="13"/>
                <w:color w:val="auto"/>
              </w:rPr>
              <w:t>Options</w:t>
            </w:r>
          </w:p>
        </w:tc>
        <w:tc>
          <w:tcPr>
            <w:tcW w:w="2220" w:type="dxa"/>
            <w:vAlign w:val="bottom"/>
            <w:tcBorders>
              <w:bottom w:val="single" w:sz="8" w:color="auto"/>
            </w:tcBorders>
          </w:tcPr>
          <w:p>
            <w:pPr>
              <w:jc w:val="center"/>
              <w:ind w:left="670"/>
              <w:spacing w:after="0" w:line="141" w:lineRule="exact"/>
              <w:rPr>
                <w:sz w:val="20"/>
                <w:szCs w:val="20"/>
                <w:color w:val="auto"/>
              </w:rPr>
            </w:pPr>
            <w:r>
              <w:rPr>
                <w:rFonts w:ascii="Arial" w:cs="Arial" w:eastAsia="Arial" w:hAnsi="Arial"/>
                <w:sz w:val="13"/>
                <w:szCs w:val="13"/>
                <w:color w:val="auto"/>
                <w:w w:val="94"/>
              </w:rPr>
              <w:t>Price</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$ 8.72 – $14.11</w:t>
            </w:r>
          </w:p>
        </w:tc>
        <w:tc>
          <w:tcPr>
            <w:tcW w:w="1640" w:type="dxa"/>
            <w:vAlign w:val="bottom"/>
            <w:shd w:val="clear" w:color="auto" w:fill="CCEEFF"/>
          </w:tcPr>
          <w:p>
            <w:pPr>
              <w:jc w:val="right"/>
              <w:ind w:right="593"/>
              <w:spacing w:after="0"/>
              <w:rPr>
                <w:sz w:val="20"/>
                <w:szCs w:val="20"/>
                <w:color w:val="auto"/>
              </w:rPr>
            </w:pPr>
            <w:r>
              <w:rPr>
                <w:rFonts w:ascii="Arial" w:cs="Arial" w:eastAsia="Arial" w:hAnsi="Arial"/>
                <w:sz w:val="14"/>
                <w:szCs w:val="14"/>
                <w:color w:val="auto"/>
              </w:rPr>
              <w:t>674,000</w:t>
            </w:r>
          </w:p>
        </w:tc>
        <w:tc>
          <w:tcPr>
            <w:tcW w:w="196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3.5</w:t>
            </w:r>
          </w:p>
        </w:tc>
        <w:tc>
          <w:tcPr>
            <w:tcW w:w="17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$11.63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584,000</w:t>
            </w:r>
          </w:p>
        </w:tc>
        <w:tc>
          <w:tcPr>
            <w:tcW w:w="2220" w:type="dxa"/>
            <w:vAlign w:val="bottom"/>
            <w:shd w:val="clear" w:color="auto" w:fill="CCEEFF"/>
          </w:tcPr>
          <w:p>
            <w:pPr>
              <w:jc w:val="center"/>
              <w:ind w:left="670"/>
              <w:spacing w:after="0"/>
              <w:rPr>
                <w:sz w:val="20"/>
                <w:szCs w:val="20"/>
                <w:color w:val="auto"/>
              </w:rPr>
            </w:pPr>
            <w:r>
              <w:rPr>
                <w:rFonts w:ascii="Arial" w:cs="Arial" w:eastAsia="Arial" w:hAnsi="Arial"/>
                <w:sz w:val="14"/>
                <w:szCs w:val="14"/>
                <w:color w:val="auto"/>
              </w:rPr>
              <w:t>$11.32</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$14.70 – $21.81</w:t>
            </w:r>
          </w:p>
        </w:tc>
        <w:tc>
          <w:tcPr>
            <w:tcW w:w="16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1,611,000</w:t>
            </w:r>
          </w:p>
        </w:tc>
        <w:tc>
          <w:tcPr>
            <w:tcW w:w="19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6.7</w:t>
            </w: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$17.01</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715,000</w:t>
            </w:r>
          </w:p>
        </w:tc>
        <w:tc>
          <w:tcPr>
            <w:tcW w:w="2220" w:type="dxa"/>
            <w:vAlign w:val="bottom"/>
            <w:tcBorders>
              <w:bottom w:val="single" w:sz="8" w:color="auto"/>
            </w:tcBorders>
          </w:tcPr>
          <w:p>
            <w:pPr>
              <w:jc w:val="center"/>
              <w:ind w:left="670"/>
              <w:spacing w:after="0"/>
              <w:rPr>
                <w:sz w:val="20"/>
                <w:szCs w:val="20"/>
                <w:color w:val="auto"/>
              </w:rPr>
            </w:pPr>
            <w:r>
              <w:rPr>
                <w:rFonts w:ascii="Arial" w:cs="Arial" w:eastAsia="Arial" w:hAnsi="Arial"/>
                <w:sz w:val="14"/>
                <w:szCs w:val="14"/>
                <w:color w:val="auto"/>
              </w:rPr>
              <w:t>$15.76</w:t>
            </w:r>
          </w:p>
        </w:tc>
      </w:tr>
      <w:tr>
        <w:trPr>
          <w:trHeight w:val="16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rPr>
              <w:t>2,285,000</w:t>
            </w:r>
          </w:p>
        </w:tc>
        <w:tc>
          <w:tcPr>
            <w:tcW w:w="1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rPr>
              <w:t>5.8</w:t>
            </w:r>
          </w:p>
        </w:tc>
        <w:tc>
          <w:tcPr>
            <w:tcW w:w="17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$15.42</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1,299,000</w:t>
            </w:r>
          </w:p>
        </w:tc>
        <w:tc>
          <w:tcPr>
            <w:tcW w:w="22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4"/>
                <w:szCs w:val="14"/>
                <w:color w:val="auto"/>
              </w:rPr>
              <w:t>$13.76</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“Price-Vested” Performance Stock Option Plans</w:t>
      </w:r>
    </w:p>
    <w:p>
      <w:pPr>
        <w:spacing w:after="0" w:line="122" w:lineRule="exact"/>
        <w:rPr>
          <w:sz w:val="20"/>
          <w:szCs w:val="20"/>
          <w:color w:val="auto"/>
        </w:rPr>
      </w:pPr>
    </w:p>
    <w:p>
      <w:pPr>
        <w:ind w:right="20" w:firstLine="300"/>
        <w:spacing w:after="0" w:line="236" w:lineRule="auto"/>
        <w:rPr>
          <w:sz w:val="20"/>
          <w:szCs w:val="20"/>
          <w:color w:val="auto"/>
        </w:rPr>
      </w:pPr>
      <w:r>
        <w:rPr>
          <w:rFonts w:ascii="Arial" w:cs="Arial" w:eastAsia="Arial" w:hAnsi="Arial"/>
          <w:sz w:val="18"/>
          <w:szCs w:val="18"/>
          <w:color w:val="auto"/>
        </w:rPr>
        <w:t>In December 1996, ABM adopted a stock option plan (the 1996 Plan) under which 3.0 million shares were reserved for grant. In December 2001, ABM adopted an additional but substantially similar plan (the 2002 Plan) under which 4.0 million shares were reserved for grant. The options expire ten years after the date of grant and any options which terminate without being exercised may be reissued. Each option has a pre-defined vesting price which provides for accelerated vesting. If, during the first four years, the stock price achieved and maintained a set price for ten out of thirty consecutive trading days, the options associated with the price would vest. The prices established for the 1996 Plan were $12.50, $15.00, $17.50 and $20.00. On September 10, 2002, the Compensation Committee of ABM’s Board of Directors established accelerated vesting prices of $20.00, $22.50, $ 25.00 and $ 27.50 for the 2002 Plan. On December 6, 2004, the Compensation Committee of ABM’s Board of Directors amended the form of agreement for the 2002 Plan to raise the accelerated vesting prices to $22.50, $25.00, $27.50, and $30.00. The form of agreement for these options under the 1996 Plan and 2002 Plan provides that 25% of the options granted will vest at each price point. On June 14, 2005, the Compensation Committee of ABM’s Board of Directors adopted a form of agreement for the 2002 Plan to change the accelerated vesting prices of options granted on and after that date to $23.00 and $26.00 with 50% of the options vesting at each price. Under each form of option agreement, if, at the end of four years, any of the stock price performance targets are not achieved, then the remaining options would vest at the end of eight years from the date the options were granted. Options vesting during the first year following grant do not become exercisable until after the first anniversary of grant. At October 31, 2005, 0.3 million and 2.0 million shares remained available for grant under the 1996 Plan and the 2002 Plan, respectively.</w:t>
      </w:r>
    </w:p>
    <w:p>
      <w:pPr>
        <w:spacing w:after="0" w:line="17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Transactions under these plans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jc w:val="center"/>
              <w:ind w:left="670"/>
              <w:spacing w:after="0"/>
              <w:rPr>
                <w:sz w:val="20"/>
                <w:szCs w:val="20"/>
                <w:color w:val="auto"/>
              </w:rPr>
            </w:pPr>
            <w:r>
              <w:rPr>
                <w:rFonts w:ascii="Arial" w:cs="Arial" w:eastAsia="Arial" w:hAnsi="Arial"/>
                <w:sz w:val="14"/>
                <w:szCs w:val="14"/>
                <w:color w:val="auto"/>
              </w:rPr>
              <w:t>Weighted</w:t>
            </w:r>
          </w:p>
        </w:tc>
      </w:tr>
      <w:tr>
        <w:trPr>
          <w:trHeight w:val="162"/>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Number</w:t>
            </w:r>
          </w:p>
        </w:tc>
        <w:tc>
          <w:tcPr>
            <w:tcW w:w="2220" w:type="dxa"/>
            <w:vAlign w:val="bottom"/>
          </w:tcPr>
          <w:p>
            <w:pPr>
              <w:ind w:left="1220"/>
              <w:spacing w:after="0"/>
              <w:rPr>
                <w:sz w:val="20"/>
                <w:szCs w:val="20"/>
                <w:color w:val="auto"/>
              </w:rPr>
            </w:pPr>
            <w:r>
              <w:rPr>
                <w:rFonts w:ascii="Arial" w:cs="Arial" w:eastAsia="Arial" w:hAnsi="Arial"/>
                <w:sz w:val="14"/>
                <w:szCs w:val="14"/>
                <w:color w:val="auto"/>
              </w:rPr>
              <w:t>Average</w:t>
            </w:r>
          </w:p>
        </w:tc>
      </w:tr>
      <w:tr>
        <w:trPr>
          <w:trHeight w:val="162"/>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color w:val="auto"/>
              </w:rPr>
              <w:t>of</w:t>
            </w:r>
          </w:p>
        </w:tc>
        <w:tc>
          <w:tcPr>
            <w:tcW w:w="2220" w:type="dxa"/>
            <w:vAlign w:val="bottom"/>
          </w:tcPr>
          <w:p>
            <w:pPr>
              <w:ind w:left="1200"/>
              <w:spacing w:after="0"/>
              <w:rPr>
                <w:sz w:val="20"/>
                <w:szCs w:val="20"/>
                <w:color w:val="auto"/>
              </w:rPr>
            </w:pPr>
            <w:r>
              <w:rPr>
                <w:rFonts w:ascii="Arial" w:cs="Arial" w:eastAsia="Arial" w:hAnsi="Arial"/>
                <w:sz w:val="14"/>
                <w:szCs w:val="14"/>
                <w:color w:val="auto"/>
              </w:rPr>
              <w:t>Exercise</w:t>
            </w:r>
          </w:p>
        </w:tc>
      </w:tr>
      <w:tr>
        <w:trPr>
          <w:trHeight w:val="164"/>
        </w:trPr>
        <w:tc>
          <w:tcPr>
            <w:tcW w:w="2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3"/>
              <w:spacing w:after="0" w:line="157" w:lineRule="exact"/>
              <w:rPr>
                <w:sz w:val="20"/>
                <w:szCs w:val="20"/>
                <w:color w:val="auto"/>
              </w:rPr>
            </w:pPr>
            <w:r>
              <w:rPr>
                <w:rFonts w:ascii="Arial" w:cs="Arial" w:eastAsia="Arial" w:hAnsi="Arial"/>
                <w:sz w:val="14"/>
                <w:szCs w:val="14"/>
                <w:color w:val="auto"/>
              </w:rPr>
              <w:t>Options</w:t>
            </w:r>
          </w:p>
        </w:tc>
        <w:tc>
          <w:tcPr>
            <w:tcW w:w="2220" w:type="dxa"/>
            <w:vAlign w:val="bottom"/>
            <w:tcBorders>
              <w:bottom w:val="single" w:sz="8" w:color="auto"/>
            </w:tcBorders>
          </w:tcPr>
          <w:p>
            <w:pPr>
              <w:jc w:val="center"/>
              <w:ind w:left="670"/>
              <w:spacing w:after="0" w:line="157" w:lineRule="exact"/>
              <w:rPr>
                <w:sz w:val="20"/>
                <w:szCs w:val="20"/>
                <w:color w:val="auto"/>
              </w:rPr>
            </w:pPr>
            <w:r>
              <w:rPr>
                <w:rFonts w:ascii="Arial" w:cs="Arial" w:eastAsia="Arial" w:hAnsi="Arial"/>
                <w:sz w:val="14"/>
                <w:szCs w:val="14"/>
                <w:color w:val="auto"/>
              </w:rPr>
              <w:t>Price</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2002</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3,060,000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$13.70</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$3.60)</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231,000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$14.59</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$10.09</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(150,000)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$16.29</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2003</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3,011,000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$13.79</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$5.52)</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85,000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$18.10</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$11.86</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$13.48</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2004</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2,766,000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$14.12</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Granted (Weighted average fair</w:t>
            </w: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7"/>
        </w:trPr>
        <w:tc>
          <w:tcPr>
            <w:tcW w:w="2360" w:type="dxa"/>
            <w:vAlign w:val="bottom"/>
          </w:tcPr>
          <w:p>
            <w:pPr>
              <w:ind w:left="140"/>
              <w:spacing w:after="0" w:line="157" w:lineRule="exact"/>
              <w:rPr>
                <w:sz w:val="20"/>
                <w:szCs w:val="20"/>
                <w:color w:val="auto"/>
              </w:rPr>
            </w:pPr>
            <w:r>
              <w:rPr>
                <w:rFonts w:ascii="Arial" w:cs="Arial" w:eastAsia="Arial" w:hAnsi="Arial"/>
                <w:sz w:val="14"/>
                <w:szCs w:val="14"/>
                <w:color w:val="auto"/>
              </w:rPr>
              <w:t>value of $5.22)</w:t>
            </w:r>
          </w:p>
        </w:tc>
        <w:tc>
          <w:tcPr>
            <w:tcW w:w="1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20" w:type="dxa"/>
            <w:vAlign w:val="bottom"/>
            <w:gridSpan w:val="2"/>
          </w:tcPr>
          <w:p>
            <w:pPr>
              <w:jc w:val="right"/>
              <w:ind w:right="33"/>
              <w:spacing w:after="0" w:line="157" w:lineRule="exact"/>
              <w:rPr>
                <w:sz w:val="20"/>
                <w:szCs w:val="20"/>
                <w:color w:val="auto"/>
              </w:rPr>
            </w:pPr>
            <w:r>
              <w:rPr>
                <w:rFonts w:ascii="Arial" w:cs="Arial" w:eastAsia="Arial" w:hAnsi="Arial"/>
                <w:sz w:val="14"/>
                <w:szCs w:val="14"/>
                <w:color w:val="auto"/>
              </w:rPr>
              <w:t>987,000</w:t>
            </w:r>
          </w:p>
        </w:tc>
        <w:tc>
          <w:tcPr>
            <w:tcW w:w="2220" w:type="dxa"/>
            <w:vAlign w:val="bottom"/>
          </w:tcPr>
          <w:p>
            <w:pPr>
              <w:ind w:left="1220"/>
              <w:spacing w:after="0" w:line="157" w:lineRule="exact"/>
              <w:rPr>
                <w:sz w:val="20"/>
                <w:szCs w:val="20"/>
                <w:color w:val="auto"/>
              </w:rPr>
            </w:pPr>
            <w:r>
              <w:rPr>
                <w:rFonts w:ascii="Arial" w:cs="Arial" w:eastAsia="Arial" w:hAnsi="Arial"/>
                <w:sz w:val="14"/>
                <w:szCs w:val="14"/>
                <w:color w:val="auto"/>
              </w:rPr>
              <w:t>$18.47</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(635,000)</w:t>
            </w:r>
          </w:p>
        </w:tc>
        <w:tc>
          <w:tcPr>
            <w:tcW w:w="222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$10.82</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(311,000)</w:t>
            </w:r>
          </w:p>
        </w:tc>
        <w:tc>
          <w:tcPr>
            <w:tcW w:w="22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$17.07</w:t>
            </w:r>
          </w:p>
        </w:tc>
      </w:tr>
      <w:tr>
        <w:trPr>
          <w:trHeight w:val="16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October 31, 2005</w:t>
            </w:r>
          </w:p>
        </w:tc>
        <w:tc>
          <w:tcPr>
            <w:tcW w:w="1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2,807,000</w:t>
            </w:r>
          </w:p>
        </w:tc>
        <w:tc>
          <w:tcPr>
            <w:tcW w:w="22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rPr>
              <w:t>$16.07</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2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r>
      <w:tr>
        <w:trPr>
          <w:trHeight w:val="136"/>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ind w:left="100"/>
              <w:spacing w:after="0" w:line="136" w:lineRule="exact"/>
              <w:rPr>
                <w:sz w:val="20"/>
                <w:szCs w:val="20"/>
                <w:color w:val="auto"/>
              </w:rPr>
            </w:pPr>
            <w:r>
              <w:rPr>
                <w:rFonts w:ascii="Arial" w:cs="Arial" w:eastAsia="Arial" w:hAnsi="Arial"/>
                <w:sz w:val="13"/>
                <w:szCs w:val="13"/>
                <w:color w:val="auto"/>
              </w:rPr>
              <w:t>Exercisable at</w:t>
            </w:r>
          </w:p>
        </w:tc>
      </w:tr>
      <w:tr>
        <w:trPr>
          <w:trHeight w:val="141"/>
        </w:trPr>
        <w:tc>
          <w:tcPr>
            <w:tcW w:w="236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gridSpan w:val="2"/>
          </w:tcPr>
          <w:p>
            <w:pPr>
              <w:jc w:val="right"/>
              <w:ind w:right="1134"/>
              <w:spacing w:after="0" w:line="141" w:lineRule="exact"/>
              <w:rPr>
                <w:sz w:val="20"/>
                <w:szCs w:val="20"/>
                <w:color w:val="auto"/>
              </w:rPr>
            </w:pPr>
            <w:r>
              <w:rPr>
                <w:rFonts w:ascii="Arial" w:cs="Arial" w:eastAsia="Arial" w:hAnsi="Arial"/>
                <w:sz w:val="13"/>
                <w:szCs w:val="13"/>
                <w:color w:val="auto"/>
              </w:rPr>
              <w:t>Outstanding at October 31, 2005</w:t>
            </w:r>
          </w:p>
        </w:tc>
        <w:tc>
          <w:tcPr>
            <w:tcW w:w="17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October 31, 2005</w:t>
            </w:r>
          </w:p>
        </w:tc>
      </w:tr>
      <w:tr>
        <w:trPr>
          <w:trHeight w:val="136"/>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jc w:val="center"/>
              <w:spacing w:after="0" w:line="136" w:lineRule="exact"/>
              <w:rPr>
                <w:sz w:val="20"/>
                <w:szCs w:val="20"/>
                <w:color w:val="auto"/>
              </w:rPr>
            </w:pPr>
            <w:r>
              <w:rPr>
                <w:rFonts w:ascii="Arial" w:cs="Arial" w:eastAsia="Arial" w:hAnsi="Arial"/>
                <w:sz w:val="13"/>
                <w:szCs w:val="13"/>
                <w:color w:val="auto"/>
                <w:w w:val="94"/>
              </w:rPr>
              <w:t>Weighted</w:t>
            </w: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4"/>
              </w:rPr>
              <w:t>Average</w:t>
            </w:r>
          </w:p>
        </w:tc>
        <w:tc>
          <w:tcPr>
            <w:tcW w:w="1720" w:type="dxa"/>
            <w:vAlign w:val="bottom"/>
          </w:tcPr>
          <w:p>
            <w:pPr>
              <w:ind w:left="680"/>
              <w:spacing w:after="0" w:line="135" w:lineRule="exact"/>
              <w:rPr>
                <w:sz w:val="20"/>
                <w:szCs w:val="20"/>
                <w:color w:val="auto"/>
              </w:rPr>
            </w:pPr>
            <w:r>
              <w:rPr>
                <w:rFonts w:ascii="Arial" w:cs="Arial" w:eastAsia="Arial" w:hAnsi="Arial"/>
                <w:sz w:val="13"/>
                <w:szCs w:val="13"/>
                <w:color w:val="auto"/>
              </w:rPr>
              <w:t>Weighted</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ind w:left="1220"/>
              <w:spacing w:after="0" w:line="135" w:lineRule="exact"/>
              <w:rPr>
                <w:sz w:val="20"/>
                <w:szCs w:val="20"/>
                <w:color w:val="auto"/>
              </w:rPr>
            </w:pPr>
            <w:r>
              <w:rPr>
                <w:rFonts w:ascii="Arial" w:cs="Arial" w:eastAsia="Arial" w:hAnsi="Arial"/>
                <w:sz w:val="13"/>
                <w:szCs w:val="13"/>
                <w:color w:val="auto"/>
              </w:rPr>
              <w:t>Weighted</w:t>
            </w:r>
          </w:p>
        </w:tc>
      </w:tr>
      <w:tr>
        <w:trPr>
          <w:trHeight w:val="135"/>
        </w:trPr>
        <w:tc>
          <w:tcPr>
            <w:tcW w:w="2360" w:type="dxa"/>
            <w:vAlign w:val="bottom"/>
          </w:tcPr>
          <w:p>
            <w:pPr>
              <w:spacing w:after="0"/>
              <w:rPr>
                <w:sz w:val="11"/>
                <w:szCs w:val="11"/>
                <w:color w:val="auto"/>
              </w:rPr>
            </w:pPr>
          </w:p>
        </w:tc>
        <w:tc>
          <w:tcPr>
            <w:tcW w:w="1640" w:type="dxa"/>
            <w:vAlign w:val="bottom"/>
          </w:tcPr>
          <w:p>
            <w:pPr>
              <w:jc w:val="center"/>
              <w:ind w:right="333"/>
              <w:spacing w:after="0" w:line="135" w:lineRule="exact"/>
              <w:rPr>
                <w:sz w:val="20"/>
                <w:szCs w:val="20"/>
                <w:color w:val="auto"/>
              </w:rPr>
            </w:pPr>
            <w:r>
              <w:rPr>
                <w:rFonts w:ascii="Arial" w:cs="Arial" w:eastAsia="Arial" w:hAnsi="Arial"/>
                <w:sz w:val="13"/>
                <w:szCs w:val="13"/>
                <w:color w:val="auto"/>
                <w:w w:val="95"/>
              </w:rPr>
              <w:t>Number</w:t>
            </w: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6"/>
              </w:rPr>
              <w:t>Remaining</w:t>
            </w:r>
          </w:p>
        </w:tc>
        <w:tc>
          <w:tcPr>
            <w:tcW w:w="1720" w:type="dxa"/>
            <w:vAlign w:val="bottom"/>
          </w:tcPr>
          <w:p>
            <w:pPr>
              <w:jc w:val="center"/>
              <w:ind w:left="73"/>
              <w:spacing w:after="0" w:line="135" w:lineRule="exact"/>
              <w:rPr>
                <w:sz w:val="20"/>
                <w:szCs w:val="20"/>
                <w:color w:val="auto"/>
              </w:rPr>
            </w:pPr>
            <w:r>
              <w:rPr>
                <w:rFonts w:ascii="Arial" w:cs="Arial" w:eastAsia="Arial" w:hAnsi="Arial"/>
                <w:sz w:val="13"/>
                <w:szCs w:val="13"/>
                <w:color w:val="auto"/>
                <w:w w:val="94"/>
              </w:rPr>
              <w:t>Average</w:t>
            </w:r>
          </w:p>
        </w:tc>
        <w:tc>
          <w:tcPr>
            <w:tcW w:w="280" w:type="dxa"/>
            <w:vAlign w:val="bottom"/>
          </w:tcPr>
          <w:p>
            <w:pPr>
              <w:spacing w:after="0"/>
              <w:rPr>
                <w:sz w:val="11"/>
                <w:szCs w:val="11"/>
                <w:color w:val="auto"/>
              </w:rPr>
            </w:pPr>
          </w:p>
        </w:tc>
        <w:tc>
          <w:tcPr>
            <w:tcW w:w="1240" w:type="dxa"/>
            <w:vAlign w:val="bottom"/>
          </w:tcPr>
          <w:p>
            <w:pPr>
              <w:jc w:val="right"/>
              <w:ind w:right="93"/>
              <w:spacing w:after="0" w:line="135" w:lineRule="exact"/>
              <w:rPr>
                <w:sz w:val="20"/>
                <w:szCs w:val="20"/>
                <w:color w:val="auto"/>
              </w:rPr>
            </w:pPr>
            <w:r>
              <w:rPr>
                <w:rFonts w:ascii="Arial" w:cs="Arial" w:eastAsia="Arial" w:hAnsi="Arial"/>
                <w:sz w:val="13"/>
                <w:szCs w:val="13"/>
                <w:color w:val="auto"/>
              </w:rPr>
              <w:t>Number</w:t>
            </w:r>
          </w:p>
        </w:tc>
        <w:tc>
          <w:tcPr>
            <w:tcW w:w="2220" w:type="dxa"/>
            <w:vAlign w:val="bottom"/>
          </w:tcPr>
          <w:p>
            <w:pPr>
              <w:jc w:val="center"/>
              <w:ind w:left="670"/>
              <w:spacing w:after="0" w:line="135" w:lineRule="exact"/>
              <w:rPr>
                <w:sz w:val="20"/>
                <w:szCs w:val="20"/>
                <w:color w:val="auto"/>
              </w:rPr>
            </w:pPr>
            <w:r>
              <w:rPr>
                <w:rFonts w:ascii="Arial" w:cs="Arial" w:eastAsia="Arial" w:hAnsi="Arial"/>
                <w:sz w:val="13"/>
                <w:szCs w:val="13"/>
                <w:color w:val="auto"/>
                <w:w w:val="99"/>
              </w:rPr>
              <w:t>Average</w:t>
            </w:r>
          </w:p>
        </w:tc>
      </w:tr>
      <w:tr>
        <w:trPr>
          <w:trHeight w:val="135"/>
        </w:trPr>
        <w:tc>
          <w:tcPr>
            <w:tcW w:w="2360" w:type="dxa"/>
            <w:vAlign w:val="bottom"/>
          </w:tcPr>
          <w:p>
            <w:pPr>
              <w:ind w:left="40"/>
              <w:spacing w:after="0" w:line="135" w:lineRule="exact"/>
              <w:rPr>
                <w:sz w:val="20"/>
                <w:szCs w:val="20"/>
                <w:color w:val="auto"/>
              </w:rPr>
            </w:pPr>
            <w:r>
              <w:rPr>
                <w:rFonts w:ascii="Arial" w:cs="Arial" w:eastAsia="Arial" w:hAnsi="Arial"/>
                <w:sz w:val="13"/>
                <w:szCs w:val="13"/>
                <w:color w:val="auto"/>
              </w:rPr>
              <w:t>Range of</w:t>
            </w:r>
          </w:p>
        </w:tc>
        <w:tc>
          <w:tcPr>
            <w:tcW w:w="1640" w:type="dxa"/>
            <w:vAlign w:val="bottom"/>
          </w:tcPr>
          <w:p>
            <w:pPr>
              <w:jc w:val="center"/>
              <w:ind w:right="333"/>
              <w:spacing w:after="0" w:line="135" w:lineRule="exact"/>
              <w:rPr>
                <w:sz w:val="20"/>
                <w:szCs w:val="20"/>
                <w:color w:val="auto"/>
              </w:rPr>
            </w:pPr>
            <w:r>
              <w:rPr>
                <w:rFonts w:ascii="Arial" w:cs="Arial" w:eastAsia="Arial" w:hAnsi="Arial"/>
                <w:sz w:val="13"/>
                <w:szCs w:val="13"/>
                <w:color w:val="auto"/>
              </w:rPr>
              <w:t>of</w:t>
            </w:r>
          </w:p>
        </w:tc>
        <w:tc>
          <w:tcPr>
            <w:tcW w:w="1960" w:type="dxa"/>
            <w:vAlign w:val="bottom"/>
          </w:tcPr>
          <w:p>
            <w:pPr>
              <w:jc w:val="center"/>
              <w:spacing w:after="0" w:line="135" w:lineRule="exact"/>
              <w:rPr>
                <w:sz w:val="20"/>
                <w:szCs w:val="20"/>
                <w:color w:val="auto"/>
              </w:rPr>
            </w:pPr>
            <w:r>
              <w:rPr>
                <w:rFonts w:ascii="Arial" w:cs="Arial" w:eastAsia="Arial" w:hAnsi="Arial"/>
                <w:sz w:val="13"/>
                <w:szCs w:val="13"/>
                <w:color w:val="auto"/>
                <w:w w:val="96"/>
              </w:rPr>
              <w:t>Contractual</w:t>
            </w:r>
          </w:p>
        </w:tc>
        <w:tc>
          <w:tcPr>
            <w:tcW w:w="1720" w:type="dxa"/>
            <w:vAlign w:val="bottom"/>
          </w:tcPr>
          <w:p>
            <w:pPr>
              <w:jc w:val="center"/>
              <w:ind w:left="93"/>
              <w:spacing w:after="0" w:line="135" w:lineRule="exact"/>
              <w:rPr>
                <w:sz w:val="20"/>
                <w:szCs w:val="20"/>
                <w:color w:val="auto"/>
              </w:rPr>
            </w:pPr>
            <w:r>
              <w:rPr>
                <w:rFonts w:ascii="Arial" w:cs="Arial" w:eastAsia="Arial" w:hAnsi="Arial"/>
                <w:sz w:val="13"/>
                <w:szCs w:val="13"/>
                <w:color w:val="auto"/>
                <w:w w:val="96"/>
              </w:rPr>
              <w:t>Exercise</w:t>
            </w:r>
          </w:p>
        </w:tc>
        <w:tc>
          <w:tcPr>
            <w:tcW w:w="280" w:type="dxa"/>
            <w:vAlign w:val="bottom"/>
          </w:tcPr>
          <w:p>
            <w:pPr>
              <w:spacing w:after="0"/>
              <w:rPr>
                <w:sz w:val="11"/>
                <w:szCs w:val="11"/>
                <w:color w:val="auto"/>
              </w:rPr>
            </w:pPr>
          </w:p>
        </w:tc>
        <w:tc>
          <w:tcPr>
            <w:tcW w:w="124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of</w:t>
            </w:r>
          </w:p>
        </w:tc>
        <w:tc>
          <w:tcPr>
            <w:tcW w:w="2220" w:type="dxa"/>
            <w:vAlign w:val="bottom"/>
          </w:tcPr>
          <w:p>
            <w:pPr>
              <w:ind w:left="1240"/>
              <w:spacing w:after="0" w:line="135" w:lineRule="exact"/>
              <w:rPr>
                <w:sz w:val="20"/>
                <w:szCs w:val="20"/>
                <w:color w:val="auto"/>
              </w:rPr>
            </w:pPr>
            <w:r>
              <w:rPr>
                <w:rFonts w:ascii="Arial" w:cs="Arial" w:eastAsia="Arial" w:hAnsi="Arial"/>
                <w:sz w:val="13"/>
                <w:szCs w:val="13"/>
                <w:color w:val="auto"/>
              </w:rPr>
              <w:t>Exercise</w:t>
            </w:r>
          </w:p>
        </w:tc>
      </w:tr>
      <w:tr>
        <w:trPr>
          <w:trHeight w:val="148"/>
        </w:trPr>
        <w:tc>
          <w:tcPr>
            <w:tcW w:w="236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Prices</w:t>
            </w:r>
          </w:p>
        </w:tc>
        <w:tc>
          <w:tcPr>
            <w:tcW w:w="1640" w:type="dxa"/>
            <w:vAlign w:val="bottom"/>
            <w:tcBorders>
              <w:bottom w:val="single" w:sz="8" w:color="auto"/>
            </w:tcBorders>
          </w:tcPr>
          <w:p>
            <w:pPr>
              <w:jc w:val="center"/>
              <w:ind w:right="333"/>
              <w:spacing w:after="0" w:line="141" w:lineRule="exact"/>
              <w:rPr>
                <w:sz w:val="20"/>
                <w:szCs w:val="20"/>
                <w:color w:val="auto"/>
              </w:rPr>
            </w:pPr>
            <w:r>
              <w:rPr>
                <w:rFonts w:ascii="Arial" w:cs="Arial" w:eastAsia="Arial" w:hAnsi="Arial"/>
                <w:sz w:val="13"/>
                <w:szCs w:val="13"/>
                <w:color w:val="auto"/>
                <w:w w:val="98"/>
              </w:rPr>
              <w:t>Options</w:t>
            </w:r>
          </w:p>
        </w:tc>
        <w:tc>
          <w:tcPr>
            <w:tcW w:w="19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Life (Years)</w:t>
            </w:r>
          </w:p>
        </w:tc>
        <w:tc>
          <w:tcPr>
            <w:tcW w:w="1720" w:type="dxa"/>
            <w:vAlign w:val="bottom"/>
            <w:tcBorders>
              <w:bottom w:val="single" w:sz="8" w:color="auto"/>
            </w:tcBorders>
          </w:tcPr>
          <w:p>
            <w:pPr>
              <w:jc w:val="center"/>
              <w:ind w:left="93"/>
              <w:spacing w:after="0" w:line="141" w:lineRule="exact"/>
              <w:rPr>
                <w:sz w:val="20"/>
                <w:szCs w:val="20"/>
                <w:color w:val="auto"/>
              </w:rPr>
            </w:pPr>
            <w:r>
              <w:rPr>
                <w:rFonts w:ascii="Arial" w:cs="Arial" w:eastAsia="Arial" w:hAnsi="Arial"/>
                <w:sz w:val="13"/>
                <w:szCs w:val="13"/>
                <w:color w:val="auto"/>
                <w:w w:val="94"/>
              </w:rPr>
              <w:t>Price</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3"/>
                <w:szCs w:val="13"/>
                <w:color w:val="auto"/>
              </w:rPr>
              <w:t>Options</w:t>
            </w:r>
          </w:p>
        </w:tc>
        <w:tc>
          <w:tcPr>
            <w:tcW w:w="2220" w:type="dxa"/>
            <w:vAlign w:val="bottom"/>
            <w:tcBorders>
              <w:bottom w:val="single" w:sz="8" w:color="auto"/>
            </w:tcBorders>
          </w:tcPr>
          <w:p>
            <w:pPr>
              <w:jc w:val="center"/>
              <w:ind w:left="670"/>
              <w:spacing w:after="0" w:line="141" w:lineRule="exact"/>
              <w:rPr>
                <w:sz w:val="20"/>
                <w:szCs w:val="20"/>
                <w:color w:val="auto"/>
              </w:rPr>
            </w:pPr>
            <w:r>
              <w:rPr>
                <w:rFonts w:ascii="Arial" w:cs="Arial" w:eastAsia="Arial" w:hAnsi="Arial"/>
                <w:sz w:val="13"/>
                <w:szCs w:val="13"/>
                <w:color w:val="auto"/>
                <w:w w:val="94"/>
              </w:rPr>
              <w:t>Price</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$10.00 – $10.38</w:t>
            </w:r>
          </w:p>
        </w:tc>
        <w:tc>
          <w:tcPr>
            <w:tcW w:w="1640" w:type="dxa"/>
            <w:vAlign w:val="bottom"/>
            <w:shd w:val="clear" w:color="auto" w:fill="CCEEFF"/>
          </w:tcPr>
          <w:p>
            <w:pPr>
              <w:jc w:val="right"/>
              <w:ind w:right="593"/>
              <w:spacing w:after="0"/>
              <w:rPr>
                <w:sz w:val="20"/>
                <w:szCs w:val="20"/>
                <w:color w:val="auto"/>
              </w:rPr>
            </w:pPr>
            <w:r>
              <w:rPr>
                <w:rFonts w:ascii="Arial" w:cs="Arial" w:eastAsia="Arial" w:hAnsi="Arial"/>
                <w:sz w:val="14"/>
                <w:szCs w:val="14"/>
                <w:color w:val="auto"/>
              </w:rPr>
              <w:t>400,000</w:t>
            </w:r>
          </w:p>
        </w:tc>
        <w:tc>
          <w:tcPr>
            <w:tcW w:w="196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1.3</w:t>
            </w:r>
          </w:p>
        </w:tc>
        <w:tc>
          <w:tcPr>
            <w:tcW w:w="17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380,000</w:t>
            </w:r>
          </w:p>
        </w:tc>
        <w:tc>
          <w:tcPr>
            <w:tcW w:w="2220" w:type="dxa"/>
            <w:vAlign w:val="bottom"/>
            <w:shd w:val="clear" w:color="auto" w:fill="CCEEFF"/>
          </w:tcPr>
          <w:p>
            <w:pPr>
              <w:jc w:val="center"/>
              <w:ind w:left="670"/>
              <w:spacing w:after="0"/>
              <w:rPr>
                <w:sz w:val="20"/>
                <w:szCs w:val="20"/>
                <w:color w:val="auto"/>
              </w:rPr>
            </w:pPr>
            <w:r>
              <w:rPr>
                <w:rFonts w:ascii="Arial" w:cs="Arial" w:eastAsia="Arial" w:hAnsi="Arial"/>
                <w:sz w:val="14"/>
                <w:szCs w:val="14"/>
                <w:color w:val="auto"/>
              </w:rPr>
              <w:t>$10.00</w:t>
            </w:r>
          </w:p>
        </w:tc>
      </w:tr>
      <w:tr>
        <w:trPr>
          <w:trHeight w:val="169"/>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$13.20 – 21.70</w:t>
            </w:r>
          </w:p>
        </w:tc>
        <w:tc>
          <w:tcPr>
            <w:tcW w:w="16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2,407,000</w:t>
            </w:r>
          </w:p>
        </w:tc>
        <w:tc>
          <w:tcPr>
            <w:tcW w:w="19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7.5</w:t>
            </w: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$17.08</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729,000</w:t>
            </w:r>
          </w:p>
        </w:tc>
        <w:tc>
          <w:tcPr>
            <w:tcW w:w="2220" w:type="dxa"/>
            <w:vAlign w:val="bottom"/>
            <w:tcBorders>
              <w:bottom w:val="single" w:sz="8" w:color="auto"/>
            </w:tcBorders>
          </w:tcPr>
          <w:p>
            <w:pPr>
              <w:jc w:val="center"/>
              <w:ind w:left="670"/>
              <w:spacing w:after="0"/>
              <w:rPr>
                <w:sz w:val="20"/>
                <w:szCs w:val="20"/>
                <w:color w:val="auto"/>
              </w:rPr>
            </w:pPr>
            <w:r>
              <w:rPr>
                <w:rFonts w:ascii="Arial" w:cs="Arial" w:eastAsia="Arial" w:hAnsi="Arial"/>
                <w:sz w:val="14"/>
                <w:szCs w:val="14"/>
                <w:color w:val="auto"/>
              </w:rPr>
              <w:t>$16.07</w:t>
            </w:r>
          </w:p>
        </w:tc>
      </w:tr>
      <w:tr>
        <w:trPr>
          <w:trHeight w:val="16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rPr>
              <w:t>2,807,000</w:t>
            </w:r>
          </w:p>
        </w:tc>
        <w:tc>
          <w:tcPr>
            <w:tcW w:w="1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rPr>
              <w:t>6.6</w:t>
            </w:r>
          </w:p>
        </w:tc>
        <w:tc>
          <w:tcPr>
            <w:tcW w:w="17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$16.07</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1,109,000</w:t>
            </w:r>
          </w:p>
        </w:tc>
        <w:tc>
          <w:tcPr>
            <w:tcW w:w="22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4"/>
                <w:szCs w:val="14"/>
                <w:color w:val="auto"/>
              </w:rPr>
              <w:t>$13.99</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Stock Option Plan (aka “Age-Vested” Career Stock Option Plan)</w:t>
      </w:r>
    </w:p>
    <w:p>
      <w:pPr>
        <w:spacing w:after="0" w:line="122" w:lineRule="exact"/>
        <w:rPr>
          <w:sz w:val="20"/>
          <w:szCs w:val="20"/>
          <w:color w:val="auto"/>
        </w:rPr>
      </w:pPr>
    </w:p>
    <w:p>
      <w:pPr>
        <w:ind w:right="140" w:firstLine="300"/>
        <w:spacing w:after="0" w:line="238" w:lineRule="auto"/>
        <w:rPr>
          <w:sz w:val="20"/>
          <w:szCs w:val="20"/>
          <w:color w:val="auto"/>
        </w:rPr>
      </w:pPr>
      <w:r>
        <w:rPr>
          <w:rFonts w:ascii="Arial" w:cs="Arial" w:eastAsia="Arial" w:hAnsi="Arial"/>
          <w:sz w:val="18"/>
          <w:szCs w:val="18"/>
          <w:color w:val="auto"/>
        </w:rPr>
        <w:t>In 1984, ABM adopted a stock option plan under which 1.36 million shares were reserved for grant. In March 1996, another 2.0 million shares were reserved for grant. Under a plan amendment of December 20, 1994, options are exercisable for 50% of the shares when the option holders reach their 61st birthdays and the remaining 50% become exercisable on their 64th birthdays. To the extent vested, the options may be exercised at any time prior to one year after termination of employment. Effective as of December 9, 2003, no further grants may be made under the Plan.</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Transactions under this plan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20" w:type="dxa"/>
            <w:vAlign w:val="bottom"/>
            <w:gridSpan w:val="2"/>
          </w:tcPr>
          <w:p>
            <w:pPr>
              <w:jc w:val="center"/>
              <w:ind w:left="570"/>
              <w:spacing w:after="0"/>
              <w:rPr>
                <w:sz w:val="20"/>
                <w:szCs w:val="20"/>
                <w:color w:val="auto"/>
              </w:rPr>
            </w:pPr>
            <w:r>
              <w:rPr>
                <w:rFonts w:ascii="Arial" w:cs="Arial" w:eastAsia="Arial" w:hAnsi="Arial"/>
                <w:sz w:val="14"/>
                <w:szCs w:val="14"/>
                <w:color w:val="auto"/>
              </w:rPr>
              <w:t>Weighted</w:t>
            </w:r>
          </w:p>
        </w:tc>
      </w:tr>
      <w:tr>
        <w:trPr>
          <w:trHeight w:val="162"/>
        </w:trPr>
        <w:tc>
          <w:tcPr>
            <w:tcW w:w="2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color w:val="auto"/>
              </w:rPr>
              <w:t>Number</w:t>
            </w:r>
          </w:p>
        </w:tc>
        <w:tc>
          <w:tcPr>
            <w:tcW w:w="2120" w:type="dxa"/>
            <w:vAlign w:val="bottom"/>
            <w:gridSpan w:val="2"/>
          </w:tcPr>
          <w:p>
            <w:pPr>
              <w:jc w:val="center"/>
              <w:ind w:left="590"/>
              <w:spacing w:after="0"/>
              <w:rPr>
                <w:sz w:val="20"/>
                <w:szCs w:val="20"/>
                <w:color w:val="auto"/>
              </w:rPr>
            </w:pPr>
            <w:r>
              <w:rPr>
                <w:rFonts w:ascii="Arial" w:cs="Arial" w:eastAsia="Arial" w:hAnsi="Arial"/>
                <w:sz w:val="14"/>
                <w:szCs w:val="14"/>
                <w:color w:val="auto"/>
              </w:rPr>
              <w:t>Average</w:t>
            </w:r>
          </w:p>
        </w:tc>
      </w:tr>
      <w:tr>
        <w:trPr>
          <w:trHeight w:val="162"/>
        </w:trPr>
        <w:tc>
          <w:tcPr>
            <w:tcW w:w="2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480"/>
              <w:spacing w:after="0"/>
              <w:rPr>
                <w:sz w:val="20"/>
                <w:szCs w:val="20"/>
                <w:color w:val="auto"/>
              </w:rPr>
            </w:pPr>
            <w:r>
              <w:rPr>
                <w:rFonts w:ascii="Arial" w:cs="Arial" w:eastAsia="Arial" w:hAnsi="Arial"/>
                <w:sz w:val="14"/>
                <w:szCs w:val="14"/>
                <w:color w:val="auto"/>
              </w:rPr>
              <w:t>of</w:t>
            </w:r>
          </w:p>
        </w:tc>
        <w:tc>
          <w:tcPr>
            <w:tcW w:w="2120" w:type="dxa"/>
            <w:vAlign w:val="bottom"/>
            <w:gridSpan w:val="2"/>
          </w:tcPr>
          <w:p>
            <w:pPr>
              <w:jc w:val="center"/>
              <w:ind w:left="570"/>
              <w:spacing w:after="0"/>
              <w:rPr>
                <w:sz w:val="20"/>
                <w:szCs w:val="20"/>
                <w:color w:val="auto"/>
              </w:rPr>
            </w:pPr>
            <w:r>
              <w:rPr>
                <w:rFonts w:ascii="Arial" w:cs="Arial" w:eastAsia="Arial" w:hAnsi="Arial"/>
                <w:sz w:val="14"/>
                <w:szCs w:val="14"/>
                <w:color w:val="auto"/>
              </w:rPr>
              <w:t>Exercise</w:t>
            </w:r>
          </w:p>
        </w:tc>
      </w:tr>
      <w:tr>
        <w:trPr>
          <w:trHeight w:val="164"/>
        </w:trPr>
        <w:tc>
          <w:tcPr>
            <w:tcW w:w="2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3"/>
              <w:spacing w:after="0" w:line="157" w:lineRule="exact"/>
              <w:rPr>
                <w:sz w:val="20"/>
                <w:szCs w:val="20"/>
                <w:color w:val="auto"/>
              </w:rPr>
            </w:pPr>
            <w:r>
              <w:rPr>
                <w:rFonts w:ascii="Arial" w:cs="Arial" w:eastAsia="Arial" w:hAnsi="Arial"/>
                <w:sz w:val="14"/>
                <w:szCs w:val="14"/>
                <w:color w:val="auto"/>
              </w:rPr>
              <w:t>Options</w:t>
            </w:r>
          </w:p>
        </w:tc>
        <w:tc>
          <w:tcPr>
            <w:tcW w:w="2120" w:type="dxa"/>
            <w:vAlign w:val="bottom"/>
            <w:tcBorders>
              <w:bottom w:val="single" w:sz="8" w:color="auto"/>
            </w:tcBorders>
            <w:gridSpan w:val="2"/>
          </w:tcPr>
          <w:p>
            <w:pPr>
              <w:jc w:val="center"/>
              <w:ind w:left="570"/>
              <w:spacing w:after="0" w:line="157" w:lineRule="exact"/>
              <w:rPr>
                <w:sz w:val="20"/>
                <w:szCs w:val="20"/>
                <w:color w:val="auto"/>
              </w:rPr>
            </w:pPr>
            <w:r>
              <w:rPr>
                <w:rFonts w:ascii="Arial" w:cs="Arial" w:eastAsia="Arial" w:hAnsi="Arial"/>
                <w:sz w:val="14"/>
                <w:szCs w:val="14"/>
                <w:color w:val="auto"/>
              </w:rPr>
              <w:t>Price</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2002</w:t>
            </w:r>
          </w:p>
        </w:tc>
        <w:tc>
          <w:tcPr>
            <w:tcW w:w="18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33"/>
              <w:spacing w:after="0"/>
              <w:rPr>
                <w:sz w:val="20"/>
                <w:szCs w:val="20"/>
                <w:color w:val="auto"/>
              </w:rPr>
            </w:pPr>
            <w:r>
              <w:rPr>
                <w:rFonts w:ascii="Arial" w:cs="Arial" w:eastAsia="Arial" w:hAnsi="Arial"/>
                <w:sz w:val="14"/>
                <w:szCs w:val="14"/>
                <w:color w:val="auto"/>
              </w:rPr>
              <w:t>1,771,000</w:t>
            </w:r>
          </w:p>
        </w:tc>
        <w:tc>
          <w:tcPr>
            <w:tcW w:w="212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color w:val="auto"/>
              </w:rPr>
              <w:t>$11.72</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Exercised</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93"/>
              <w:spacing w:after="0"/>
              <w:rPr>
                <w:sz w:val="20"/>
                <w:szCs w:val="20"/>
                <w:color w:val="auto"/>
              </w:rPr>
            </w:pPr>
            <w:r>
              <w:rPr>
                <w:rFonts w:ascii="Arial" w:cs="Arial" w:eastAsia="Arial" w:hAnsi="Arial"/>
                <w:sz w:val="14"/>
                <w:szCs w:val="14"/>
                <w:color w:val="auto"/>
              </w:rPr>
              <w:t>(30,000)</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8"/>
              <w:spacing w:after="0"/>
              <w:rPr>
                <w:sz w:val="20"/>
                <w:szCs w:val="20"/>
                <w:color w:val="auto"/>
              </w:rPr>
            </w:pPr>
            <w:r>
              <w:rPr>
                <w:rFonts w:ascii="Arial" w:cs="Arial" w:eastAsia="Arial" w:hAnsi="Arial"/>
                <w:sz w:val="14"/>
                <w:szCs w:val="14"/>
                <w:color w:val="auto"/>
              </w:rPr>
              <w:t>8.70</w:t>
            </w:r>
          </w:p>
        </w:tc>
      </w:tr>
      <w:tr>
        <w:trPr>
          <w:trHeight w:val="162"/>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Forfeitures</w:t>
            </w:r>
          </w:p>
        </w:tc>
        <w:tc>
          <w:tcPr>
            <w:tcW w:w="184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(190,000)</w:t>
            </w:r>
          </w:p>
        </w:tc>
        <w:tc>
          <w:tcPr>
            <w:tcW w:w="2120" w:type="dxa"/>
            <w:vAlign w:val="bottom"/>
            <w:tcBorders>
              <w:bottom w:val="single" w:sz="8" w:color="auto"/>
            </w:tcBorders>
            <w:gridSpan w:val="2"/>
            <w:shd w:val="clear" w:color="auto" w:fill="CCEEFF"/>
          </w:tcPr>
          <w:p>
            <w:pPr>
              <w:jc w:val="right"/>
              <w:ind w:right="488"/>
              <w:spacing w:after="0"/>
              <w:rPr>
                <w:sz w:val="20"/>
                <w:szCs w:val="20"/>
                <w:color w:val="auto"/>
              </w:rPr>
            </w:pPr>
            <w:r>
              <w:rPr>
                <w:rFonts w:ascii="Arial" w:cs="Arial" w:eastAsia="Arial" w:hAnsi="Arial"/>
                <w:sz w:val="14"/>
                <w:szCs w:val="14"/>
                <w:color w:val="auto"/>
              </w:rPr>
              <w:t>$15.34</w:t>
            </w:r>
          </w:p>
        </w:tc>
      </w:tr>
      <w:tr>
        <w:trPr>
          <w:trHeight w:val="169"/>
        </w:trPr>
        <w:tc>
          <w:tcPr>
            <w:tcW w:w="2300" w:type="dxa"/>
            <w:vAlign w:val="bottom"/>
          </w:tcPr>
          <w:p>
            <w:pPr>
              <w:spacing w:after="0"/>
              <w:rPr>
                <w:sz w:val="20"/>
                <w:szCs w:val="20"/>
                <w:color w:val="auto"/>
              </w:rPr>
            </w:pPr>
            <w:r>
              <w:rPr>
                <w:rFonts w:ascii="Arial" w:cs="Arial" w:eastAsia="Arial" w:hAnsi="Arial"/>
                <w:sz w:val="14"/>
                <w:szCs w:val="14"/>
                <w:color w:val="auto"/>
              </w:rPr>
              <w:t>Balance October 31, 2003</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133"/>
              <w:spacing w:after="0"/>
              <w:rPr>
                <w:sz w:val="20"/>
                <w:szCs w:val="20"/>
                <w:color w:val="auto"/>
              </w:rPr>
            </w:pPr>
            <w:r>
              <w:rPr>
                <w:rFonts w:ascii="Arial" w:cs="Arial" w:eastAsia="Arial" w:hAnsi="Arial"/>
                <w:sz w:val="14"/>
                <w:szCs w:val="14"/>
                <w:color w:val="auto"/>
              </w:rPr>
              <w:t>1,551,000</w:t>
            </w:r>
          </w:p>
        </w:tc>
        <w:tc>
          <w:tcPr>
            <w:tcW w:w="2120" w:type="dxa"/>
            <w:vAlign w:val="bottom"/>
            <w:gridSpan w:val="2"/>
          </w:tcPr>
          <w:p>
            <w:pPr>
              <w:jc w:val="right"/>
              <w:ind w:right="488"/>
              <w:spacing w:after="0"/>
              <w:rPr>
                <w:sz w:val="20"/>
                <w:szCs w:val="20"/>
                <w:color w:val="auto"/>
              </w:rPr>
            </w:pPr>
            <w:r>
              <w:rPr>
                <w:rFonts w:ascii="Arial" w:cs="Arial" w:eastAsia="Arial" w:hAnsi="Arial"/>
                <w:sz w:val="14"/>
                <w:szCs w:val="14"/>
                <w:color w:val="auto"/>
              </w:rPr>
              <w:t>$11.31</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8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(134,000)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8.36</w:t>
            </w:r>
          </w:p>
        </w:tc>
      </w:tr>
      <w:tr>
        <w:trPr>
          <w:trHeight w:val="16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Forfeitures</w:t>
            </w:r>
          </w:p>
        </w:tc>
        <w:tc>
          <w:tcPr>
            <w:tcW w:w="18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(39,000)</w:t>
            </w:r>
          </w:p>
        </w:tc>
        <w:tc>
          <w:tcPr>
            <w:tcW w:w="212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color w:val="auto"/>
              </w:rPr>
              <w:t>$14.04</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2004</w:t>
            </w:r>
          </w:p>
        </w:tc>
        <w:tc>
          <w:tcPr>
            <w:tcW w:w="18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33"/>
              <w:spacing w:after="0"/>
              <w:rPr>
                <w:sz w:val="20"/>
                <w:szCs w:val="20"/>
                <w:color w:val="auto"/>
              </w:rPr>
            </w:pPr>
            <w:r>
              <w:rPr>
                <w:rFonts w:ascii="Arial" w:cs="Arial" w:eastAsia="Arial" w:hAnsi="Arial"/>
                <w:sz w:val="14"/>
                <w:szCs w:val="14"/>
                <w:color w:val="auto"/>
              </w:rPr>
              <w:t>1,378,000</w:t>
            </w:r>
          </w:p>
        </w:tc>
        <w:tc>
          <w:tcPr>
            <w:tcW w:w="212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color w:val="auto"/>
              </w:rPr>
              <w:t>$11.52</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Exercised</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93"/>
              <w:spacing w:after="0"/>
              <w:rPr>
                <w:sz w:val="20"/>
                <w:szCs w:val="20"/>
                <w:color w:val="auto"/>
              </w:rPr>
            </w:pPr>
            <w:r>
              <w:rPr>
                <w:rFonts w:ascii="Arial" w:cs="Arial" w:eastAsia="Arial" w:hAnsi="Arial"/>
                <w:sz w:val="14"/>
                <w:szCs w:val="14"/>
                <w:color w:val="auto"/>
              </w:rPr>
              <w:t>(242,000)</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8"/>
              <w:spacing w:after="0"/>
              <w:rPr>
                <w:sz w:val="20"/>
                <w:szCs w:val="20"/>
                <w:color w:val="auto"/>
              </w:rPr>
            </w:pPr>
            <w:r>
              <w:rPr>
                <w:rFonts w:ascii="Arial" w:cs="Arial" w:eastAsia="Arial" w:hAnsi="Arial"/>
                <w:sz w:val="14"/>
                <w:szCs w:val="14"/>
                <w:color w:val="auto"/>
              </w:rPr>
              <w:t>6.07</w:t>
            </w:r>
          </w:p>
        </w:tc>
      </w:tr>
      <w:tr>
        <w:trPr>
          <w:trHeight w:val="162"/>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Forfeitures</w:t>
            </w:r>
          </w:p>
        </w:tc>
        <w:tc>
          <w:tcPr>
            <w:tcW w:w="184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(150,000)</w:t>
            </w:r>
          </w:p>
        </w:tc>
        <w:tc>
          <w:tcPr>
            <w:tcW w:w="2120" w:type="dxa"/>
            <w:vAlign w:val="bottom"/>
            <w:tcBorders>
              <w:bottom w:val="single" w:sz="8" w:color="auto"/>
            </w:tcBorders>
            <w:gridSpan w:val="2"/>
            <w:shd w:val="clear" w:color="auto" w:fill="CCEEFF"/>
          </w:tcPr>
          <w:p>
            <w:pPr>
              <w:jc w:val="right"/>
              <w:ind w:right="488"/>
              <w:spacing w:after="0"/>
              <w:rPr>
                <w:sz w:val="20"/>
                <w:szCs w:val="20"/>
                <w:color w:val="auto"/>
              </w:rPr>
            </w:pPr>
            <w:r>
              <w:rPr>
                <w:rFonts w:ascii="Arial" w:cs="Arial" w:eastAsia="Arial" w:hAnsi="Arial"/>
                <w:sz w:val="14"/>
                <w:szCs w:val="14"/>
                <w:color w:val="auto"/>
              </w:rPr>
              <w:t>$11.80</w:t>
            </w:r>
          </w:p>
        </w:tc>
      </w:tr>
      <w:tr>
        <w:trPr>
          <w:trHeight w:val="16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October 31, 2005</w:t>
            </w:r>
          </w:p>
        </w:tc>
        <w:tc>
          <w:tcPr>
            <w:tcW w:w="18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986,000</w:t>
            </w:r>
          </w:p>
        </w:tc>
        <w:tc>
          <w:tcPr>
            <w:tcW w:w="212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color w:val="auto"/>
              </w:rPr>
              <w:t>$12.82</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36"/>
        </w:trPr>
        <w:tc>
          <w:tcPr>
            <w:tcW w:w="2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Pr>
          <w:p>
            <w:pPr>
              <w:jc w:val="right"/>
              <w:ind w:right="270"/>
              <w:spacing w:after="0" w:line="136" w:lineRule="exact"/>
              <w:rPr>
                <w:sz w:val="20"/>
                <w:szCs w:val="20"/>
                <w:color w:val="auto"/>
              </w:rPr>
            </w:pPr>
            <w:r>
              <w:rPr>
                <w:rFonts w:ascii="Arial" w:cs="Arial" w:eastAsia="Arial" w:hAnsi="Arial"/>
                <w:sz w:val="13"/>
                <w:szCs w:val="13"/>
                <w:color w:val="auto"/>
              </w:rPr>
              <w:t>Exercisable at</w:t>
            </w:r>
          </w:p>
        </w:tc>
        <w:tc>
          <w:tcPr>
            <w:tcW w:w="860" w:type="dxa"/>
            <w:vAlign w:val="bottom"/>
          </w:tcPr>
          <w:p>
            <w:pPr>
              <w:spacing w:after="0"/>
              <w:rPr>
                <w:sz w:val="11"/>
                <w:szCs w:val="11"/>
                <w:color w:val="auto"/>
              </w:rPr>
            </w:pPr>
          </w:p>
        </w:tc>
      </w:tr>
      <w:tr>
        <w:trPr>
          <w:trHeight w:val="141"/>
        </w:trPr>
        <w:tc>
          <w:tcPr>
            <w:tcW w:w="230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gridSpan w:val="2"/>
          </w:tcPr>
          <w:p>
            <w:pPr>
              <w:jc w:val="right"/>
              <w:ind w:right="1213"/>
              <w:spacing w:after="0" w:line="141" w:lineRule="exact"/>
              <w:rPr>
                <w:sz w:val="20"/>
                <w:szCs w:val="20"/>
                <w:color w:val="auto"/>
              </w:rPr>
            </w:pPr>
            <w:r>
              <w:rPr>
                <w:rFonts w:ascii="Arial" w:cs="Arial" w:eastAsia="Arial" w:hAnsi="Arial"/>
                <w:sz w:val="13"/>
                <w:szCs w:val="13"/>
                <w:color w:val="auto"/>
              </w:rPr>
              <w:t>Outstanding at October 31, 2005</w:t>
            </w: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70"/>
              <w:spacing w:after="0" w:line="141" w:lineRule="exact"/>
              <w:rPr>
                <w:sz w:val="20"/>
                <w:szCs w:val="20"/>
                <w:color w:val="auto"/>
              </w:rPr>
            </w:pPr>
            <w:r>
              <w:rPr>
                <w:rFonts w:ascii="Arial" w:cs="Arial" w:eastAsia="Arial" w:hAnsi="Arial"/>
                <w:sz w:val="13"/>
                <w:szCs w:val="13"/>
                <w:color w:val="auto"/>
                <w:w w:val="99"/>
              </w:rPr>
              <w:t>October 31, 2005</w:t>
            </w:r>
          </w:p>
        </w:tc>
        <w:tc>
          <w:tcPr>
            <w:tcW w:w="860" w:type="dxa"/>
            <w:vAlign w:val="bottom"/>
            <w:tcBorders>
              <w:bottom w:val="single" w:sz="8" w:color="auto"/>
            </w:tcBorders>
          </w:tcPr>
          <w:p>
            <w:pPr>
              <w:spacing w:after="0"/>
              <w:rPr>
                <w:sz w:val="12"/>
                <w:szCs w:val="12"/>
                <w:color w:val="auto"/>
              </w:rPr>
            </w:pPr>
          </w:p>
        </w:tc>
      </w:tr>
      <w:tr>
        <w:trPr>
          <w:trHeight w:val="136"/>
        </w:trPr>
        <w:tc>
          <w:tcPr>
            <w:tcW w:w="2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40" w:type="dxa"/>
            <w:vAlign w:val="bottom"/>
          </w:tcPr>
          <w:p>
            <w:pPr>
              <w:jc w:val="center"/>
              <w:spacing w:after="0" w:line="136" w:lineRule="exact"/>
              <w:rPr>
                <w:sz w:val="20"/>
                <w:szCs w:val="20"/>
                <w:color w:val="auto"/>
              </w:rPr>
            </w:pPr>
            <w:r>
              <w:rPr>
                <w:rFonts w:ascii="Arial" w:cs="Arial" w:eastAsia="Arial" w:hAnsi="Arial"/>
                <w:sz w:val="13"/>
                <w:szCs w:val="13"/>
                <w:color w:val="auto"/>
                <w:w w:val="98"/>
              </w:rPr>
              <w:t>Weighted</w:t>
            </w: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4"/>
              </w:rPr>
              <w:t>Average</w:t>
            </w:r>
          </w:p>
        </w:tc>
        <w:tc>
          <w:tcPr>
            <w:tcW w:w="1760" w:type="dxa"/>
            <w:vAlign w:val="bottom"/>
            <w:gridSpan w:val="2"/>
          </w:tcPr>
          <w:p>
            <w:pPr>
              <w:ind w:left="720"/>
              <w:spacing w:after="0" w:line="135" w:lineRule="exact"/>
              <w:rPr>
                <w:sz w:val="20"/>
                <w:szCs w:val="20"/>
                <w:color w:val="auto"/>
              </w:rPr>
            </w:pPr>
            <w:r>
              <w:rPr>
                <w:rFonts w:ascii="Arial" w:cs="Arial" w:eastAsia="Arial" w:hAnsi="Arial"/>
                <w:sz w:val="13"/>
                <w:szCs w:val="13"/>
                <w:color w:val="auto"/>
              </w:rPr>
              <w:t>Weighted</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120" w:type="dxa"/>
            <w:vAlign w:val="bottom"/>
            <w:gridSpan w:val="2"/>
          </w:tcPr>
          <w:p>
            <w:pPr>
              <w:jc w:val="center"/>
              <w:ind w:left="570"/>
              <w:spacing w:after="0" w:line="135" w:lineRule="exact"/>
              <w:rPr>
                <w:sz w:val="20"/>
                <w:szCs w:val="20"/>
                <w:color w:val="auto"/>
              </w:rPr>
            </w:pPr>
            <w:r>
              <w:rPr>
                <w:rFonts w:ascii="Arial" w:cs="Arial" w:eastAsia="Arial" w:hAnsi="Arial"/>
                <w:sz w:val="13"/>
                <w:szCs w:val="13"/>
                <w:color w:val="auto"/>
                <w:w w:val="94"/>
              </w:rPr>
              <w:t>Weighted</w:t>
            </w:r>
          </w:p>
        </w:tc>
      </w:tr>
      <w:tr>
        <w:trPr>
          <w:trHeight w:val="135"/>
        </w:trPr>
        <w:tc>
          <w:tcPr>
            <w:tcW w:w="2300" w:type="dxa"/>
            <w:vAlign w:val="bottom"/>
          </w:tcPr>
          <w:p>
            <w:pPr>
              <w:spacing w:after="0"/>
              <w:rPr>
                <w:sz w:val="11"/>
                <w:szCs w:val="11"/>
                <w:color w:val="auto"/>
              </w:rPr>
            </w:pPr>
          </w:p>
        </w:tc>
        <w:tc>
          <w:tcPr>
            <w:tcW w:w="1840" w:type="dxa"/>
            <w:vAlign w:val="bottom"/>
          </w:tcPr>
          <w:p>
            <w:pPr>
              <w:jc w:val="center"/>
              <w:ind w:right="92"/>
              <w:spacing w:after="0" w:line="135" w:lineRule="exact"/>
              <w:rPr>
                <w:sz w:val="20"/>
                <w:szCs w:val="20"/>
                <w:color w:val="auto"/>
              </w:rPr>
            </w:pPr>
            <w:r>
              <w:rPr>
                <w:rFonts w:ascii="Arial" w:cs="Arial" w:eastAsia="Arial" w:hAnsi="Arial"/>
                <w:sz w:val="13"/>
                <w:szCs w:val="13"/>
                <w:color w:val="auto"/>
                <w:w w:val="95"/>
              </w:rPr>
              <w:t>Number</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6"/>
              </w:rPr>
              <w:t>Remaining</w:t>
            </w:r>
          </w:p>
        </w:tc>
        <w:tc>
          <w:tcPr>
            <w:tcW w:w="1760" w:type="dxa"/>
            <w:vAlign w:val="bottom"/>
            <w:gridSpan w:val="2"/>
          </w:tcPr>
          <w:p>
            <w:pPr>
              <w:jc w:val="center"/>
              <w:ind w:left="131"/>
              <w:spacing w:after="0" w:line="135" w:lineRule="exact"/>
              <w:rPr>
                <w:sz w:val="20"/>
                <w:szCs w:val="20"/>
                <w:color w:val="auto"/>
              </w:rPr>
            </w:pPr>
            <w:r>
              <w:rPr>
                <w:rFonts w:ascii="Arial" w:cs="Arial" w:eastAsia="Arial" w:hAnsi="Arial"/>
                <w:sz w:val="13"/>
                <w:szCs w:val="13"/>
                <w:color w:val="auto"/>
                <w:w w:val="99"/>
              </w:rPr>
              <w:t>Average</w:t>
            </w:r>
          </w:p>
        </w:tc>
        <w:tc>
          <w:tcPr>
            <w:tcW w:w="300" w:type="dxa"/>
            <w:vAlign w:val="bottom"/>
          </w:tcPr>
          <w:p>
            <w:pPr>
              <w:spacing w:after="0"/>
              <w:rPr>
                <w:sz w:val="11"/>
                <w:szCs w:val="11"/>
                <w:color w:val="auto"/>
              </w:rPr>
            </w:pPr>
          </w:p>
        </w:tc>
        <w:tc>
          <w:tcPr>
            <w:tcW w:w="1060" w:type="dxa"/>
            <w:vAlign w:val="bottom"/>
          </w:tcPr>
          <w:p>
            <w:pPr>
              <w:ind w:left="480"/>
              <w:spacing w:after="0" w:line="135" w:lineRule="exact"/>
              <w:rPr>
                <w:sz w:val="20"/>
                <w:szCs w:val="20"/>
                <w:color w:val="auto"/>
              </w:rPr>
            </w:pPr>
            <w:r>
              <w:rPr>
                <w:rFonts w:ascii="Arial" w:cs="Arial" w:eastAsia="Arial" w:hAnsi="Arial"/>
                <w:sz w:val="13"/>
                <w:szCs w:val="13"/>
                <w:color w:val="auto"/>
              </w:rPr>
              <w:t>Number</w:t>
            </w:r>
          </w:p>
        </w:tc>
        <w:tc>
          <w:tcPr>
            <w:tcW w:w="2120" w:type="dxa"/>
            <w:vAlign w:val="bottom"/>
            <w:gridSpan w:val="2"/>
          </w:tcPr>
          <w:p>
            <w:pPr>
              <w:jc w:val="center"/>
              <w:ind w:left="570"/>
              <w:spacing w:after="0" w:line="135" w:lineRule="exact"/>
              <w:rPr>
                <w:sz w:val="20"/>
                <w:szCs w:val="20"/>
                <w:color w:val="auto"/>
              </w:rPr>
            </w:pPr>
            <w:r>
              <w:rPr>
                <w:rFonts w:ascii="Arial" w:cs="Arial" w:eastAsia="Arial" w:hAnsi="Arial"/>
                <w:sz w:val="13"/>
                <w:szCs w:val="13"/>
                <w:color w:val="auto"/>
                <w:w w:val="99"/>
              </w:rPr>
              <w:t>Average</w:t>
            </w:r>
          </w:p>
        </w:tc>
      </w:tr>
      <w:tr>
        <w:trPr>
          <w:trHeight w:val="135"/>
        </w:trPr>
        <w:tc>
          <w:tcPr>
            <w:tcW w:w="2300" w:type="dxa"/>
            <w:vAlign w:val="bottom"/>
          </w:tcPr>
          <w:p>
            <w:pPr>
              <w:ind w:left="40"/>
              <w:spacing w:after="0" w:line="135" w:lineRule="exact"/>
              <w:rPr>
                <w:sz w:val="20"/>
                <w:szCs w:val="20"/>
                <w:color w:val="auto"/>
              </w:rPr>
            </w:pPr>
            <w:r>
              <w:rPr>
                <w:rFonts w:ascii="Arial" w:cs="Arial" w:eastAsia="Arial" w:hAnsi="Arial"/>
                <w:sz w:val="13"/>
                <w:szCs w:val="13"/>
                <w:color w:val="auto"/>
              </w:rPr>
              <w:t>Range of</w:t>
            </w:r>
          </w:p>
        </w:tc>
        <w:tc>
          <w:tcPr>
            <w:tcW w:w="1840" w:type="dxa"/>
            <w:vAlign w:val="bottom"/>
          </w:tcPr>
          <w:p>
            <w:pPr>
              <w:jc w:val="center"/>
              <w:ind w:right="92"/>
              <w:spacing w:after="0" w:line="135" w:lineRule="exact"/>
              <w:rPr>
                <w:sz w:val="20"/>
                <w:szCs w:val="20"/>
                <w:color w:val="auto"/>
              </w:rPr>
            </w:pPr>
            <w:r>
              <w:rPr>
                <w:rFonts w:ascii="Arial" w:cs="Arial" w:eastAsia="Arial" w:hAnsi="Arial"/>
                <w:sz w:val="13"/>
                <w:szCs w:val="13"/>
                <w:color w:val="auto"/>
              </w:rPr>
              <w:t>of</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6"/>
              </w:rPr>
              <w:t>Contractual</w:t>
            </w:r>
          </w:p>
        </w:tc>
        <w:tc>
          <w:tcPr>
            <w:tcW w:w="1760" w:type="dxa"/>
            <w:vAlign w:val="bottom"/>
            <w:gridSpan w:val="2"/>
          </w:tcPr>
          <w:p>
            <w:pPr>
              <w:jc w:val="center"/>
              <w:ind w:left="131"/>
              <w:spacing w:after="0" w:line="135" w:lineRule="exact"/>
              <w:rPr>
                <w:sz w:val="20"/>
                <w:szCs w:val="20"/>
                <w:color w:val="auto"/>
              </w:rPr>
            </w:pPr>
            <w:r>
              <w:rPr>
                <w:rFonts w:ascii="Arial" w:cs="Arial" w:eastAsia="Arial" w:hAnsi="Arial"/>
                <w:sz w:val="13"/>
                <w:szCs w:val="13"/>
                <w:color w:val="auto"/>
                <w:w w:val="96"/>
              </w:rPr>
              <w:t>Exercise</w:t>
            </w:r>
          </w:p>
        </w:tc>
        <w:tc>
          <w:tcPr>
            <w:tcW w:w="300" w:type="dxa"/>
            <w:vAlign w:val="bottom"/>
          </w:tcPr>
          <w:p>
            <w:pPr>
              <w:spacing w:after="0"/>
              <w:rPr>
                <w:sz w:val="11"/>
                <w:szCs w:val="11"/>
                <w:color w:val="auto"/>
              </w:rPr>
            </w:pPr>
          </w:p>
        </w:tc>
        <w:tc>
          <w:tcPr>
            <w:tcW w:w="1060" w:type="dxa"/>
            <w:vAlign w:val="bottom"/>
          </w:tcPr>
          <w:p>
            <w:pPr>
              <w:jc w:val="right"/>
              <w:ind w:right="233"/>
              <w:spacing w:after="0" w:line="135" w:lineRule="exact"/>
              <w:rPr>
                <w:sz w:val="20"/>
                <w:szCs w:val="20"/>
                <w:color w:val="auto"/>
              </w:rPr>
            </w:pPr>
            <w:r>
              <w:rPr>
                <w:rFonts w:ascii="Arial" w:cs="Arial" w:eastAsia="Arial" w:hAnsi="Arial"/>
                <w:sz w:val="13"/>
                <w:szCs w:val="13"/>
                <w:color w:val="auto"/>
              </w:rPr>
              <w:t>of</w:t>
            </w:r>
          </w:p>
        </w:tc>
        <w:tc>
          <w:tcPr>
            <w:tcW w:w="2120" w:type="dxa"/>
            <w:vAlign w:val="bottom"/>
            <w:gridSpan w:val="2"/>
          </w:tcPr>
          <w:p>
            <w:pPr>
              <w:jc w:val="center"/>
              <w:ind w:left="570"/>
              <w:spacing w:after="0" w:line="135" w:lineRule="exact"/>
              <w:rPr>
                <w:sz w:val="20"/>
                <w:szCs w:val="20"/>
                <w:color w:val="auto"/>
              </w:rPr>
            </w:pPr>
            <w:r>
              <w:rPr>
                <w:rFonts w:ascii="Arial" w:cs="Arial" w:eastAsia="Arial" w:hAnsi="Arial"/>
                <w:sz w:val="13"/>
                <w:szCs w:val="13"/>
                <w:color w:val="auto"/>
                <w:w w:val="96"/>
              </w:rPr>
              <w:t>Exercise</w:t>
            </w:r>
          </w:p>
        </w:tc>
      </w:tr>
      <w:tr>
        <w:trPr>
          <w:trHeight w:val="148"/>
        </w:trPr>
        <w:tc>
          <w:tcPr>
            <w:tcW w:w="230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Prices</w:t>
            </w:r>
          </w:p>
        </w:tc>
        <w:tc>
          <w:tcPr>
            <w:tcW w:w="1840" w:type="dxa"/>
            <w:vAlign w:val="bottom"/>
            <w:tcBorders>
              <w:bottom w:val="single" w:sz="8" w:color="auto"/>
            </w:tcBorders>
          </w:tcPr>
          <w:p>
            <w:pPr>
              <w:jc w:val="center"/>
              <w:ind w:right="92"/>
              <w:spacing w:after="0" w:line="141" w:lineRule="exact"/>
              <w:rPr>
                <w:sz w:val="20"/>
                <w:szCs w:val="20"/>
                <w:color w:val="auto"/>
              </w:rPr>
            </w:pPr>
            <w:r>
              <w:rPr>
                <w:rFonts w:ascii="Arial" w:cs="Arial" w:eastAsia="Arial" w:hAnsi="Arial"/>
                <w:sz w:val="13"/>
                <w:szCs w:val="13"/>
                <w:color w:val="auto"/>
                <w:w w:val="98"/>
              </w:rPr>
              <w:t>Options</w:t>
            </w:r>
          </w:p>
        </w:tc>
        <w:tc>
          <w:tcPr>
            <w:tcW w:w="20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Life (Years)</w:t>
            </w: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530"/>
              <w:spacing w:after="0" w:line="141" w:lineRule="exact"/>
              <w:rPr>
                <w:sz w:val="20"/>
                <w:szCs w:val="20"/>
                <w:color w:val="auto"/>
              </w:rPr>
            </w:pPr>
            <w:r>
              <w:rPr>
                <w:rFonts w:ascii="Arial" w:cs="Arial" w:eastAsia="Arial" w:hAnsi="Arial"/>
                <w:sz w:val="13"/>
                <w:szCs w:val="13"/>
                <w:color w:val="auto"/>
                <w:w w:val="94"/>
              </w:rPr>
              <w:t>Price</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480"/>
              <w:spacing w:after="0" w:line="141" w:lineRule="exact"/>
              <w:rPr>
                <w:sz w:val="20"/>
                <w:szCs w:val="20"/>
                <w:color w:val="auto"/>
              </w:rPr>
            </w:pPr>
            <w:r>
              <w:rPr>
                <w:rFonts w:ascii="Arial" w:cs="Arial" w:eastAsia="Arial" w:hAnsi="Arial"/>
                <w:sz w:val="13"/>
                <w:szCs w:val="13"/>
                <w:color w:val="auto"/>
              </w:rPr>
              <w:t>Options</w:t>
            </w:r>
          </w:p>
        </w:tc>
        <w:tc>
          <w:tcPr>
            <w:tcW w:w="2120" w:type="dxa"/>
            <w:vAlign w:val="bottom"/>
            <w:tcBorders>
              <w:bottom w:val="single" w:sz="8" w:color="auto"/>
            </w:tcBorders>
            <w:gridSpan w:val="2"/>
          </w:tcPr>
          <w:p>
            <w:pPr>
              <w:jc w:val="center"/>
              <w:ind w:left="570"/>
              <w:spacing w:after="0" w:line="141" w:lineRule="exact"/>
              <w:rPr>
                <w:sz w:val="20"/>
                <w:szCs w:val="20"/>
                <w:color w:val="auto"/>
              </w:rPr>
            </w:pPr>
            <w:r>
              <w:rPr>
                <w:rFonts w:ascii="Arial" w:cs="Arial" w:eastAsia="Arial" w:hAnsi="Arial"/>
                <w:sz w:val="13"/>
                <w:szCs w:val="13"/>
                <w:color w:val="auto"/>
                <w:w w:val="94"/>
              </w:rPr>
              <w:t>Price</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$2.86</w:t>
            </w:r>
          </w:p>
        </w:tc>
        <w:tc>
          <w:tcPr>
            <w:tcW w:w="1840" w:type="dxa"/>
            <w:vAlign w:val="bottom"/>
            <w:shd w:val="clear" w:color="auto" w:fill="CCEEFF"/>
          </w:tcPr>
          <w:p>
            <w:pPr>
              <w:jc w:val="right"/>
              <w:ind w:right="612"/>
              <w:spacing w:after="0"/>
              <w:rPr>
                <w:sz w:val="20"/>
                <w:szCs w:val="20"/>
                <w:color w:val="auto"/>
              </w:rPr>
            </w:pPr>
            <w:r>
              <w:rPr>
                <w:rFonts w:ascii="Arial" w:cs="Arial" w:eastAsia="Arial" w:hAnsi="Arial"/>
                <w:sz w:val="14"/>
                <w:szCs w:val="14"/>
                <w:color w:val="auto"/>
              </w:rPr>
              <w:t>94,000</w:t>
            </w:r>
          </w:p>
        </w:tc>
        <w:tc>
          <w:tcPr>
            <w:tcW w:w="204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ind w:left="7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30"/>
              <w:spacing w:after="0"/>
              <w:rPr>
                <w:sz w:val="20"/>
                <w:szCs w:val="20"/>
                <w:color w:val="auto"/>
              </w:rPr>
            </w:pPr>
            <w:r>
              <w:rPr>
                <w:rFonts w:ascii="Arial" w:cs="Arial" w:eastAsia="Arial" w:hAnsi="Arial"/>
                <w:sz w:val="14"/>
                <w:szCs w:val="14"/>
                <w:color w:val="auto"/>
              </w:rPr>
              <w:t>2.86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68,000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2.86</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$5.63 – $9.72</w:t>
            </w:r>
          </w:p>
        </w:tc>
        <w:tc>
          <w:tcPr>
            <w:tcW w:w="1840" w:type="dxa"/>
            <w:vAlign w:val="bottom"/>
          </w:tcPr>
          <w:p>
            <w:pPr>
              <w:jc w:val="right"/>
              <w:ind w:right="612"/>
              <w:spacing w:after="0"/>
              <w:rPr>
                <w:sz w:val="20"/>
                <w:szCs w:val="20"/>
                <w:color w:val="auto"/>
              </w:rPr>
            </w:pPr>
            <w:r>
              <w:rPr>
                <w:rFonts w:ascii="Arial" w:cs="Arial" w:eastAsia="Arial" w:hAnsi="Arial"/>
                <w:sz w:val="14"/>
                <w:szCs w:val="14"/>
                <w:color w:val="auto"/>
              </w:rPr>
              <w:t>92,000</w:t>
            </w:r>
          </w:p>
        </w:tc>
        <w:tc>
          <w:tcPr>
            <w:tcW w:w="2040" w:type="dxa"/>
            <w:vAlign w:val="bottom"/>
          </w:tcPr>
          <w:p>
            <w:pPr>
              <w:jc w:val="right"/>
              <w:ind w:right="833"/>
              <w:spacing w:after="0"/>
              <w:rPr>
                <w:sz w:val="20"/>
                <w:szCs w:val="20"/>
                <w:color w:val="auto"/>
              </w:rPr>
            </w:pPr>
            <w:r>
              <w:rPr>
                <w:rFonts w:ascii="Arial" w:cs="Arial" w:eastAsia="Arial" w:hAnsi="Arial"/>
                <w:sz w:val="14"/>
                <w:szCs w:val="14"/>
                <w:color w:val="auto"/>
              </w:rPr>
              <w:t>5.5</w:t>
            </w:r>
          </w:p>
        </w:tc>
        <w:tc>
          <w:tcPr>
            <w:tcW w:w="800" w:type="dxa"/>
            <w:vAlign w:val="bottom"/>
          </w:tcPr>
          <w:p>
            <w:pPr>
              <w:ind w:left="7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0"/>
              <w:spacing w:after="0"/>
              <w:rPr>
                <w:sz w:val="20"/>
                <w:szCs w:val="20"/>
                <w:color w:val="auto"/>
              </w:rPr>
            </w:pPr>
            <w:r>
              <w:rPr>
                <w:rFonts w:ascii="Arial" w:cs="Arial" w:eastAsia="Arial" w:hAnsi="Arial"/>
                <w:sz w:val="14"/>
                <w:szCs w:val="14"/>
                <w:color w:val="auto"/>
              </w:rPr>
              <w:t>6.29</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48"/>
              <w:spacing w:after="0"/>
              <w:rPr>
                <w:sz w:val="20"/>
                <w:szCs w:val="20"/>
                <w:color w:val="auto"/>
              </w:rPr>
            </w:pPr>
            <w:r>
              <w:rPr>
                <w:rFonts w:ascii="Arial" w:cs="Arial" w:eastAsia="Arial" w:hAnsi="Arial"/>
                <w:sz w:val="14"/>
                <w:szCs w:val="14"/>
                <w:color w:val="auto"/>
              </w:rPr>
              <w:t>6.13</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$10.38</w:t>
            </w:r>
          </w:p>
        </w:tc>
        <w:tc>
          <w:tcPr>
            <w:tcW w:w="1840" w:type="dxa"/>
            <w:vAlign w:val="bottom"/>
            <w:shd w:val="clear" w:color="auto" w:fill="CCEEFF"/>
          </w:tcPr>
          <w:p>
            <w:pPr>
              <w:jc w:val="right"/>
              <w:ind w:right="612"/>
              <w:spacing w:after="0"/>
              <w:rPr>
                <w:sz w:val="20"/>
                <w:szCs w:val="20"/>
                <w:color w:val="auto"/>
              </w:rPr>
            </w:pPr>
            <w:r>
              <w:rPr>
                <w:rFonts w:ascii="Arial" w:cs="Arial" w:eastAsia="Arial" w:hAnsi="Arial"/>
                <w:sz w:val="14"/>
                <w:szCs w:val="14"/>
                <w:color w:val="auto"/>
              </w:rPr>
              <w:t>78,000</w:t>
            </w:r>
          </w:p>
        </w:tc>
        <w:tc>
          <w:tcPr>
            <w:tcW w:w="204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rPr>
              <w:t>14.9</w:t>
            </w:r>
          </w:p>
        </w:tc>
        <w:tc>
          <w:tcPr>
            <w:tcW w:w="800" w:type="dxa"/>
            <w:vAlign w:val="bottom"/>
            <w:shd w:val="clear" w:color="auto" w:fill="CCEEFF"/>
          </w:tcPr>
          <w:p>
            <w:pPr>
              <w:ind w:left="7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30"/>
              <w:spacing w:after="0"/>
              <w:rPr>
                <w:sz w:val="20"/>
                <w:szCs w:val="20"/>
                <w:color w:val="auto"/>
              </w:rPr>
            </w:pPr>
            <w:r>
              <w:rPr>
                <w:rFonts w:ascii="Arial" w:cs="Arial" w:eastAsia="Arial" w:hAnsi="Arial"/>
                <w:sz w:val="14"/>
                <w:szCs w:val="14"/>
                <w:color w:val="auto"/>
                <w:w w:val="96"/>
              </w:rPr>
              <w:t>10.38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212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$10.38</w:t>
            </w:r>
          </w:p>
        </w:tc>
      </w:tr>
      <w:tr>
        <w:trPr>
          <w:trHeight w:val="16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$14.70 – $18.30</w:t>
            </w:r>
          </w:p>
        </w:tc>
        <w:tc>
          <w:tcPr>
            <w:tcW w:w="18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722,000</w:t>
            </w:r>
          </w:p>
        </w:tc>
        <w:tc>
          <w:tcPr>
            <w:tcW w:w="20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rPr>
              <w:t>10.3</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w w:val="96"/>
              </w:rPr>
              <w:t>15.20</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147,000</w:t>
            </w:r>
          </w:p>
        </w:tc>
        <w:tc>
          <w:tcPr>
            <w:tcW w:w="21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$14.76</w:t>
            </w:r>
          </w:p>
        </w:tc>
      </w:tr>
      <w:tr>
        <w:trPr>
          <w:trHeight w:val="162"/>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84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color w:val="auto"/>
              </w:rPr>
              <w:t>986,000</w:t>
            </w:r>
          </w:p>
        </w:tc>
        <w:tc>
          <w:tcPr>
            <w:tcW w:w="2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rPr>
              <w:t>9.5</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96"/>
              </w:rPr>
              <w:t>12.82</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230,000</w:t>
            </w:r>
          </w:p>
        </w:tc>
        <w:tc>
          <w:tcPr>
            <w:tcW w:w="2120" w:type="dxa"/>
            <w:vAlign w:val="bottom"/>
            <w:tcBorders>
              <w:bottom w:val="single" w:sz="8" w:color="auto"/>
            </w:tcBorders>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$10.75</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Employee Stock Purchase Plan</w:t>
      </w:r>
    </w:p>
    <w:p>
      <w:pPr>
        <w:spacing w:after="0" w:line="122" w:lineRule="exact"/>
        <w:rPr>
          <w:sz w:val="20"/>
          <w:szCs w:val="20"/>
          <w:color w:val="auto"/>
        </w:rPr>
      </w:pPr>
    </w:p>
    <w:p>
      <w:pPr>
        <w:ind w:right="200" w:firstLine="300"/>
        <w:spacing w:after="0" w:line="237" w:lineRule="auto"/>
        <w:rPr>
          <w:sz w:val="20"/>
          <w:szCs w:val="20"/>
          <w:color w:val="auto"/>
        </w:rPr>
      </w:pPr>
      <w:r>
        <w:rPr>
          <w:rFonts w:ascii="Arial" w:cs="Arial" w:eastAsia="Arial" w:hAnsi="Arial"/>
          <w:sz w:val="18"/>
          <w:szCs w:val="18"/>
          <w:color w:val="auto"/>
        </w:rPr>
        <w:t>In 1985, ABM adopted an employee stock purchase plan under which participants could purchase shares of ABM common stock at the lesser of 85% of the fair market value at the commencement of each plan year or 85% of the fair market value on the date of purchase. Employees could designate up to 10% of their compensation for the purchase of stock, subject to a $25,000 annual limit. The weighted average fair values of the purchase price rights granted in 2004 and 2003 were $ 4.29 and $4.16, respectively. During 2004 and 2003, the number of shares of stock issued under the plan were 0.1 million and 0.9 million, respectively; and were issued at weighted average prices of $11.72 and $12.20, respectively. The aggregate purchases for 2004 and 2003, were $1.0 million and $11.1 million, respectively. The plan terminated upon issue of all available shares in November 2003.</w:t>
      </w:r>
    </w:p>
    <w:p>
      <w:pPr>
        <w:spacing w:after="0" w:line="95" w:lineRule="exact"/>
        <w:rPr>
          <w:sz w:val="20"/>
          <w:szCs w:val="20"/>
          <w:color w:val="auto"/>
        </w:rPr>
      </w:pPr>
    </w:p>
    <w:p>
      <w:pPr>
        <w:ind w:right="300" w:firstLine="300"/>
        <w:spacing w:after="0" w:line="246" w:lineRule="auto"/>
        <w:rPr>
          <w:sz w:val="20"/>
          <w:szCs w:val="20"/>
          <w:color w:val="auto"/>
        </w:rPr>
      </w:pPr>
      <w:r>
        <w:rPr>
          <w:rFonts w:ascii="Arial" w:cs="Arial" w:eastAsia="Arial" w:hAnsi="Arial"/>
          <w:sz w:val="18"/>
          <w:szCs w:val="18"/>
          <w:color w:val="auto"/>
        </w:rPr>
        <w:t>On March 9, 2004, the stockholders of ABM approved the 2004 Employee Stock Purchase Plan under which an aggregate of 2.0 million shares may be issued. The participant’s purchase price is 85% of the lower of the fair market value of ABM’s common</w:t>
      </w:r>
    </w:p>
    <w:p>
      <w:pPr>
        <w:sectPr>
          <w:pgSz w:w="11900" w:h="16838" w:orient="portrait"/>
          <w:cols w:equalWidth="0" w:num="1">
            <w:col w:w="11420"/>
          </w:cols>
          <w:pgMar w:left="240" w:top="419" w:right="239" w:bottom="489"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89"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stock on the first day of each six-month period in the fiscal year (i.e., May and November, or in the case of the first offering period, the price on August 1, 2004) or the last trading day of each month. The first offering period was a three-month period which commenced on August 1, 2004. The second offering period commenced on November 1, 2004. Employees may designate up to 10% of their compensation for the purchase of stock, subject to a $25,000 annual limit. Employees are required to hold their shares for a minimum of six months from the date of purchase.</w:t>
      </w:r>
    </w:p>
    <w:p>
      <w:pPr>
        <w:spacing w:after="0" w:line="94" w:lineRule="exact"/>
        <w:rPr>
          <w:sz w:val="20"/>
          <w:szCs w:val="20"/>
          <w:color w:val="auto"/>
        </w:rPr>
      </w:pPr>
    </w:p>
    <w:p>
      <w:pPr>
        <w:ind w:right="40" w:firstLine="300"/>
        <w:spacing w:after="0"/>
        <w:rPr>
          <w:sz w:val="20"/>
          <w:szCs w:val="20"/>
          <w:color w:val="auto"/>
        </w:rPr>
      </w:pPr>
      <w:r>
        <w:rPr>
          <w:rFonts w:ascii="Arial" w:cs="Arial" w:eastAsia="Arial" w:hAnsi="Arial"/>
          <w:sz w:val="18"/>
          <w:szCs w:val="18"/>
          <w:color w:val="auto"/>
        </w:rPr>
        <w:t>On March 7, 2006, the Board of Directors of ABM amended the 2004 Employee Stock Purchase Plan, increasing the participant’s purchase price to 95% of the market price on the date of purchase which is the last trading day of each month and eliminating the look-back feature. These amendments are effective beginning May 1, 2006.</w:t>
      </w:r>
    </w:p>
    <w:p>
      <w:pPr>
        <w:spacing w:after="0" w:line="95" w:lineRule="exact"/>
        <w:rPr>
          <w:sz w:val="20"/>
          <w:szCs w:val="20"/>
          <w:color w:val="auto"/>
        </w:rPr>
      </w:pPr>
    </w:p>
    <w:p>
      <w:pPr>
        <w:ind w:right="120" w:firstLine="297"/>
        <w:spacing w:after="0" w:line="248" w:lineRule="auto"/>
        <w:rPr>
          <w:sz w:val="20"/>
          <w:szCs w:val="20"/>
          <w:color w:val="auto"/>
        </w:rPr>
      </w:pPr>
      <w:r>
        <w:rPr>
          <w:rFonts w:ascii="Arial" w:cs="Arial" w:eastAsia="Arial" w:hAnsi="Arial"/>
          <w:sz w:val="17"/>
          <w:szCs w:val="17"/>
          <w:color w:val="auto"/>
        </w:rPr>
        <w:t>The weighted average fair values of the purchase rights granted in 2005 and 2004 under the new plan were $3.70 and $ 3.41, respectively. During 2005 and 2004, 0.6 million and 0.1 million shares of stock were issued under the plan at a weighted average price of $ 15.83 and $15.25, respectively. The aggregate purchases for 2005 and 2004 were $8.9 million and $1.2 million, respectively. At October 31, 2005,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1.3 million shares remained unissued under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6" w:lineRule="exact"/>
        <w:rPr>
          <w:sz w:val="20"/>
          <w:szCs w:val="20"/>
          <w:color w:val="auto"/>
        </w:rPr>
      </w:pPr>
    </w:p>
    <w:p>
      <w:pPr>
        <w:ind w:right="40" w:firstLine="297"/>
        <w:spacing w:after="0" w:line="237" w:lineRule="auto"/>
        <w:rPr>
          <w:sz w:val="20"/>
          <w:szCs w:val="20"/>
          <w:color w:val="auto"/>
        </w:rPr>
      </w:pPr>
      <w:r>
        <w:rPr>
          <w:rFonts w:ascii="Arial" w:cs="Arial" w:eastAsia="Arial" w:hAnsi="Arial"/>
          <w:sz w:val="18"/>
          <w:szCs w:val="18"/>
          <w:color w:val="auto"/>
        </w:rPr>
        <w:t>The Company has accounted for stock-based employee compensation plans, including purchase rights issued under the Employee Stock Purchase Plan, using the intrinsic value method under the recognition and measurement principles of APB Opinion No. 25, “Accounting for Stock Issued to Employees.” The Company’s application of APB Opinion No. 25 did not result in compensation cost because the exercise price of the options was equal to or greater than the fair value of the stock at the grant date. Under the intrinsic value method, if the fair value of the stock is greater than the exercise price at the grant date, the excess is amortized to compensation expense over the estimated service life of the recipient.</w:t>
      </w:r>
    </w:p>
    <w:p>
      <w:pPr>
        <w:spacing w:after="0" w:line="97" w:lineRule="exact"/>
        <w:rPr>
          <w:sz w:val="20"/>
          <w:szCs w:val="20"/>
          <w:color w:val="auto"/>
        </w:rPr>
      </w:pPr>
    </w:p>
    <w:p>
      <w:pPr>
        <w:ind w:right="340" w:firstLine="290"/>
        <w:spacing w:after="0" w:line="237" w:lineRule="auto"/>
        <w:rPr>
          <w:sz w:val="20"/>
          <w:szCs w:val="20"/>
          <w:color w:val="auto"/>
        </w:rPr>
      </w:pPr>
      <w:r>
        <w:rPr>
          <w:rFonts w:ascii="Arial" w:cs="Arial" w:eastAsia="Arial" w:hAnsi="Arial"/>
          <w:sz w:val="18"/>
          <w:szCs w:val="18"/>
          <w:color w:val="auto"/>
        </w:rPr>
        <w:t>As all options granted since October 31, 1995 had exercise prices equal to or greater than the market value of the underlying common stock on the date of grant, no stock-based employee compensation cost was reflected in net income for the years ended October 31, 2005, 2004 and 2003, except for $42,000 of compensation expense recorded in 2005 due to the accelerated vesting of options for 4,000 common shares in connection with the termination of an employee on December 7, 2004. The following table illustrates the effect on net income and earnings per share if the Company had applied the fair value recognition provisions of SFAS No. 123, “Accounting for Stock-Based Compensation,” to all outstanding employee options granted after October 31, 1995 using the retroactive restatement method: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2004</w:t>
            </w:r>
          </w:p>
        </w:tc>
        <w:tc>
          <w:tcPr>
            <w:tcW w:w="3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CEEFF"/>
          </w:tcPr>
          <w:p>
            <w:pPr>
              <w:spacing w:after="0"/>
              <w:rPr>
                <w:sz w:val="20"/>
                <w:szCs w:val="20"/>
                <w:color w:val="auto"/>
              </w:rPr>
            </w:pPr>
            <w:r>
              <w:rPr>
                <w:rFonts w:ascii="Arial" w:cs="Arial" w:eastAsia="Arial" w:hAnsi="Arial"/>
                <w:sz w:val="14"/>
                <w:szCs w:val="14"/>
                <w:color w:val="auto"/>
              </w:rPr>
              <w:t>Net income, as reported</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57,941</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30,473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90,920</w:t>
            </w:r>
          </w:p>
        </w:tc>
        <w:tc>
          <w:tcPr>
            <w:tcW w:w="0" w:type="dxa"/>
            <w:vAlign w:val="bottom"/>
          </w:tcPr>
          <w:p>
            <w:pPr>
              <w:spacing w:after="0"/>
              <w:rPr>
                <w:sz w:val="1"/>
                <w:szCs w:val="1"/>
                <w:color w:val="auto"/>
              </w:rPr>
            </w:pPr>
          </w:p>
        </w:tc>
      </w:tr>
      <w:tr>
        <w:trPr>
          <w:trHeight w:val="167"/>
        </w:trPr>
        <w:tc>
          <w:tcPr>
            <w:tcW w:w="7560" w:type="dxa"/>
            <w:vAlign w:val="bottom"/>
          </w:tcPr>
          <w:p>
            <w:pPr>
              <w:spacing w:after="0"/>
              <w:rPr>
                <w:sz w:val="20"/>
                <w:szCs w:val="20"/>
                <w:color w:val="auto"/>
              </w:rPr>
            </w:pPr>
            <w:r>
              <w:rPr>
                <w:rFonts w:ascii="Arial" w:cs="Arial" w:eastAsia="Arial" w:hAnsi="Arial"/>
                <w:sz w:val="14"/>
                <w:szCs w:val="14"/>
                <w:color w:val="auto"/>
              </w:rPr>
              <w:t>Deduct: Stock-based employee compensation cost, net of tax effect, that would have been included in net income if</w:t>
            </w:r>
          </w:p>
        </w:tc>
        <w:tc>
          <w:tcPr>
            <w:tcW w:w="420" w:type="dxa"/>
            <w:vAlign w:val="bottom"/>
          </w:tcPr>
          <w:p>
            <w:pPr>
              <w:spacing w:after="0"/>
              <w:rPr>
                <w:sz w:val="14"/>
                <w:szCs w:val="14"/>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3,349</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5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the fair value method had been applied</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3,075</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income, pro forma</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54,592</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27,398</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87,002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60" w:type="dxa"/>
            <w:vAlign w:val="bottom"/>
          </w:tcPr>
          <w:p>
            <w:pPr>
              <w:spacing w:after="0" w:line="156" w:lineRule="exact"/>
              <w:rPr>
                <w:sz w:val="20"/>
                <w:szCs w:val="20"/>
                <w:color w:val="auto"/>
              </w:rPr>
            </w:pPr>
            <w:r>
              <w:rPr>
                <w:rFonts w:ascii="Arial" w:cs="Arial" w:eastAsia="Arial" w:hAnsi="Arial"/>
                <w:sz w:val="14"/>
                <w:szCs w:val="14"/>
                <w:color w:val="auto"/>
              </w:rPr>
              <w:t>Net income per common share — Basic</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 reported</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1.17</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7560" w:type="dxa"/>
            <w:vAlign w:val="bottom"/>
          </w:tcPr>
          <w:p>
            <w:pPr>
              <w:ind w:left="360"/>
              <w:spacing w:after="0"/>
              <w:rPr>
                <w:sz w:val="20"/>
                <w:szCs w:val="20"/>
                <w:color w:val="auto"/>
              </w:rPr>
            </w:pPr>
            <w:r>
              <w:rPr>
                <w:rFonts w:ascii="Arial" w:cs="Arial" w:eastAsia="Arial" w:hAnsi="Arial"/>
                <w:sz w:val="14"/>
                <w:szCs w:val="14"/>
                <w:color w:val="auto"/>
              </w:rPr>
              <w:t>Pro forma</w:t>
            </w: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1.11</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0.57</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2"/>
        </w:trPr>
        <w:tc>
          <w:tcPr>
            <w:tcW w:w="756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common share — Diluted</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360"/>
              <w:spacing w:after="0"/>
              <w:rPr>
                <w:sz w:val="20"/>
                <w:szCs w:val="20"/>
                <w:color w:val="auto"/>
              </w:rPr>
            </w:pPr>
            <w:r>
              <w:rPr>
                <w:rFonts w:ascii="Arial" w:cs="Arial" w:eastAsia="Arial" w:hAnsi="Arial"/>
                <w:sz w:val="14"/>
                <w:szCs w:val="14"/>
                <w:color w:val="auto"/>
              </w:rPr>
              <w:t>As reported</w:t>
            </w: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1.15</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0.61</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Pro forma</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0.56</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297"/>
        <w:spacing w:after="0" w:line="237" w:lineRule="auto"/>
        <w:rPr>
          <w:sz w:val="20"/>
          <w:szCs w:val="20"/>
          <w:color w:val="auto"/>
        </w:rPr>
      </w:pPr>
      <w:r>
        <w:rPr>
          <w:rFonts w:ascii="Arial" w:cs="Arial" w:eastAsia="Arial" w:hAnsi="Arial"/>
          <w:sz w:val="18"/>
          <w:szCs w:val="18"/>
          <w:color w:val="auto"/>
        </w:rPr>
        <w:t>The deductions for the stock-based employee compensation cost in 2004 and 2003 have been restated to correct the understatement of the compensation cost resulting from the failure to accelerate the correct amount of cost attributable to the remaining unrecognized value associated with Price-Vested stock options triggered upon achievement of the pre-defined vesting prices as described in Note 8 and the impact of forfeitures that amount of which in 2004 and 2003 had inadvertently included vested options. The correction resulted in an after-tax increase in stock-based employee compensation cost and a corresponding decrease in pro forma net income of $1.1 million ($0.02 pro forma per diluted share) in 2004 and $0.3 million ($0.01 pro forma per diluted share) in 2003.</w:t>
      </w:r>
    </w:p>
    <w:p>
      <w:pPr>
        <w:spacing w:after="0" w:line="97" w:lineRule="exact"/>
        <w:rPr>
          <w:sz w:val="20"/>
          <w:szCs w:val="20"/>
          <w:color w:val="auto"/>
        </w:rPr>
      </w:pPr>
    </w:p>
    <w:p>
      <w:pPr>
        <w:ind w:right="280" w:firstLine="300"/>
        <w:spacing w:after="0" w:line="239" w:lineRule="auto"/>
        <w:rPr>
          <w:sz w:val="20"/>
          <w:szCs w:val="20"/>
          <w:color w:val="auto"/>
        </w:rPr>
      </w:pPr>
      <w:r>
        <w:rPr>
          <w:rFonts w:ascii="Arial" w:cs="Arial" w:eastAsia="Arial" w:hAnsi="Arial"/>
          <w:sz w:val="18"/>
          <w:szCs w:val="18"/>
          <w:color w:val="auto"/>
        </w:rPr>
        <w:t>For purposes of calculating the effect on net income and earnings per share if the Company had applied the fair value recognition provisions of SFAS No. 123, the fair value of stock-based awards to employees, including purchase rights issued under the Employee Stock Purchase Plan, is calculated through the use of option pricing models. The use of these models requires subjective assumptions, including future stock price volatility and expected time to exercise, which can have a significant effect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on the calculated values. The Company’s calculations were made using the Black-Scholes option pricing model with the following weighted average assumptions: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top w:val="single" w:sz="8" w:color="auto"/>
              <w:bottom w:val="single" w:sz="8" w:color="auto"/>
            </w:tcBorders>
          </w:tcPr>
          <w:p>
            <w:pPr>
              <w:spacing w:after="0"/>
              <w:rPr>
                <w:sz w:val="17"/>
                <w:szCs w:val="17"/>
                <w:color w:val="auto"/>
              </w:rPr>
            </w:pPr>
          </w:p>
        </w:tc>
        <w:tc>
          <w:tcPr>
            <w:tcW w:w="374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2005</w:t>
            </w:r>
          </w:p>
        </w:tc>
        <w:tc>
          <w:tcPr>
            <w:tcW w:w="15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2004</w:t>
            </w:r>
          </w:p>
        </w:tc>
        <w:tc>
          <w:tcPr>
            <w:tcW w:w="10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2003</w:t>
            </w:r>
          </w:p>
        </w:tc>
        <w:tc>
          <w:tcPr>
            <w:tcW w:w="140" w:type="dxa"/>
            <w:vAlign w:val="bottom"/>
          </w:tcPr>
          <w:p>
            <w:pPr>
              <w:spacing w:after="0"/>
              <w:rPr>
                <w:sz w:val="17"/>
                <w:szCs w:val="17"/>
                <w:color w:val="auto"/>
              </w:rPr>
            </w:pP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Expected life from the date of grant</w:t>
            </w:r>
          </w:p>
        </w:tc>
        <w:tc>
          <w:tcPr>
            <w:tcW w:w="374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8.9 years</w:t>
            </w:r>
          </w:p>
        </w:tc>
        <w:tc>
          <w:tcPr>
            <w:tcW w:w="15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7.4 years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 years</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Expected stock price volatility average</w:t>
            </w:r>
          </w:p>
        </w:tc>
        <w:tc>
          <w:tcPr>
            <w:tcW w:w="3740" w:type="dxa"/>
            <w:vAlign w:val="bottom"/>
          </w:tcPr>
          <w:p>
            <w:pPr>
              <w:jc w:val="right"/>
              <w:ind w:right="268"/>
              <w:spacing w:after="0"/>
              <w:rPr>
                <w:sz w:val="20"/>
                <w:szCs w:val="20"/>
                <w:color w:val="auto"/>
              </w:rPr>
            </w:pPr>
            <w:r>
              <w:rPr>
                <w:rFonts w:ascii="Arial" w:cs="Arial" w:eastAsia="Arial" w:hAnsi="Arial"/>
                <w:sz w:val="14"/>
                <w:szCs w:val="14"/>
                <w:b w:val="1"/>
                <w:bCs w:val="1"/>
                <w:color w:val="auto"/>
              </w:rPr>
              <w:t>23.5%</w:t>
            </w: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24.9%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23.0%</w:t>
            </w:r>
          </w:p>
        </w:tc>
      </w:tr>
      <w:tr>
        <w:trPr>
          <w:trHeight w:val="162"/>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37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2.2%</w:t>
            </w:r>
          </w:p>
        </w:tc>
        <w:tc>
          <w:tcPr>
            <w:tcW w:w="1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Risk-free interest rate</w:t>
            </w:r>
          </w:p>
        </w:tc>
        <w:tc>
          <w:tcPr>
            <w:tcW w:w="3740" w:type="dxa"/>
            <w:vAlign w:val="bottom"/>
          </w:tcPr>
          <w:p>
            <w:pPr>
              <w:jc w:val="right"/>
              <w:ind w:right="268"/>
              <w:spacing w:after="0"/>
              <w:rPr>
                <w:sz w:val="20"/>
                <w:szCs w:val="20"/>
                <w:color w:val="auto"/>
              </w:rPr>
            </w:pPr>
            <w:r>
              <w:rPr>
                <w:rFonts w:ascii="Arial" w:cs="Arial" w:eastAsia="Arial" w:hAnsi="Arial"/>
                <w:sz w:val="14"/>
                <w:szCs w:val="14"/>
                <w:b w:val="1"/>
                <w:bCs w:val="1"/>
                <w:color w:val="auto"/>
              </w:rPr>
              <w:t>4.1%</w:t>
            </w: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3.7%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162"/>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Weighted average fair value of grants</w:t>
            </w:r>
          </w:p>
        </w:tc>
        <w:tc>
          <w:tcPr>
            <w:tcW w:w="37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$5.27</w:t>
            </w:r>
          </w:p>
        </w:tc>
        <w:tc>
          <w:tcPr>
            <w:tcW w:w="15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$4.40</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$3.21</w:t>
            </w:r>
          </w:p>
        </w:tc>
      </w:tr>
    </w:tbl>
    <w:p>
      <w:pPr>
        <w:spacing w:after="0" w:line="121" w:lineRule="exact"/>
        <w:rPr>
          <w:sz w:val="20"/>
          <w:szCs w:val="20"/>
          <w:color w:val="auto"/>
        </w:rPr>
      </w:pPr>
    </w:p>
    <w:p>
      <w:pPr>
        <w:jc w:val="both"/>
        <w:ind w:right="160" w:firstLine="297"/>
        <w:spacing w:after="0"/>
        <w:rPr>
          <w:sz w:val="20"/>
          <w:szCs w:val="20"/>
          <w:color w:val="auto"/>
        </w:rPr>
      </w:pPr>
      <w:r>
        <w:rPr>
          <w:rFonts w:ascii="Arial" w:cs="Arial" w:eastAsia="Arial" w:hAnsi="Arial"/>
          <w:sz w:val="18"/>
          <w:szCs w:val="18"/>
          <w:color w:val="auto"/>
        </w:rPr>
        <w:t>The Company’s pro forma calculations are based on a single option valuation approach. The computed pro forma fair value of the options awards are amortized over the required vesting periods. For purposes of the pro forma calculations, should options vest earlier, the remaining unrecognized value is recognized immediately and stock option forfeitures are recognized as they occur.</w:t>
      </w:r>
    </w:p>
    <w:p>
      <w:pPr>
        <w:spacing w:after="0" w:line="95" w:lineRule="exact"/>
        <w:rPr>
          <w:sz w:val="20"/>
          <w:szCs w:val="20"/>
          <w:color w:val="auto"/>
        </w:rPr>
      </w:pPr>
    </w:p>
    <w:p>
      <w:pPr>
        <w:ind w:right="460" w:firstLine="290"/>
        <w:spacing w:after="0" w:line="246" w:lineRule="auto"/>
        <w:rPr>
          <w:sz w:val="20"/>
          <w:szCs w:val="20"/>
          <w:color w:val="auto"/>
        </w:rPr>
      </w:pPr>
      <w:r>
        <w:rPr>
          <w:rFonts w:ascii="Arial" w:cs="Arial" w:eastAsia="Arial" w:hAnsi="Arial"/>
          <w:sz w:val="18"/>
          <w:szCs w:val="18"/>
          <w:color w:val="auto"/>
        </w:rPr>
        <w:t>As discussed in Note 1, in December 2004, the FASB issued SFAS No. 123R, “Share-Based Payment.” This statement is a revision to SFAS No. 123 and supercedes APB Opinion No. 25.</w:t>
      </w:r>
    </w:p>
    <w:p>
      <w:pPr>
        <w:spacing w:after="0" w:line="17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income taxes provision for continuing operations is made up of the following components for each of the years ended October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4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2004</w:t>
            </w: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7"/>
                <w:szCs w:val="17"/>
                <w:color w:val="auto"/>
              </w:rPr>
            </w:pPr>
          </w:p>
        </w:tc>
      </w:tr>
      <w:tr>
        <w:trPr>
          <w:trHeight w:val="162"/>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3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180" w:type="dxa"/>
            <w:vAlign w:val="bottom"/>
          </w:tcPr>
          <w:p>
            <w:pPr>
              <w:ind w:left="360"/>
              <w:spacing w:after="0"/>
              <w:rPr>
                <w:sz w:val="20"/>
                <w:szCs w:val="20"/>
                <w:color w:val="auto"/>
              </w:rPr>
            </w:pPr>
            <w:r>
              <w:rPr>
                <w:rFonts w:ascii="Arial" w:cs="Arial" w:eastAsia="Arial" w:hAnsi="Arial"/>
                <w:sz w:val="14"/>
                <w:szCs w:val="14"/>
                <w:color w:val="auto"/>
              </w:rPr>
              <w:t>Federal</w:t>
            </w:r>
          </w:p>
        </w:tc>
        <w:tc>
          <w:tcPr>
            <w:tcW w:w="3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22,231</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22,732</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21,850</w:t>
            </w:r>
          </w:p>
        </w:tc>
      </w:tr>
      <w:tr>
        <w:trPr>
          <w:trHeight w:val="162"/>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State</w:t>
            </w:r>
          </w:p>
        </w:tc>
        <w:tc>
          <w:tcPr>
            <w:tcW w:w="34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2,052</w:t>
            </w: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4,799</w:t>
            </w:r>
          </w:p>
        </w:tc>
        <w:tc>
          <w:tcPr>
            <w:tcW w:w="4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1,931</w:t>
            </w:r>
          </w:p>
        </w:tc>
      </w:tr>
      <w:tr>
        <w:trPr>
          <w:trHeight w:val="162"/>
        </w:trPr>
        <w:tc>
          <w:tcPr>
            <w:tcW w:w="4180" w:type="dxa"/>
            <w:vAlign w:val="bottom"/>
          </w:tcPr>
          <w:p>
            <w:pPr>
              <w:ind w:left="360"/>
              <w:spacing w:after="0"/>
              <w:rPr>
                <w:sz w:val="20"/>
                <w:szCs w:val="20"/>
                <w:color w:val="auto"/>
              </w:rPr>
            </w:pPr>
            <w:r>
              <w:rPr>
                <w:rFonts w:ascii="Arial" w:cs="Arial" w:eastAsia="Arial" w:hAnsi="Arial"/>
                <w:sz w:val="14"/>
                <w:szCs w:val="14"/>
                <w:color w:val="auto"/>
              </w:rPr>
              <w:t>Foreign</w:t>
            </w:r>
          </w:p>
        </w:tc>
        <w:tc>
          <w:tcPr>
            <w:tcW w:w="340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50</w:t>
            </w:r>
          </w:p>
        </w:tc>
        <w:tc>
          <w:tcPr>
            <w:tcW w:w="44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85</w:t>
            </w:r>
          </w:p>
        </w:tc>
        <w:tc>
          <w:tcPr>
            <w:tcW w:w="4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w:t>
            </w:r>
          </w:p>
        </w:tc>
      </w:tr>
      <w:tr>
        <w:trPr>
          <w:trHeight w:val="162"/>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3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180" w:type="dxa"/>
            <w:vAlign w:val="bottom"/>
          </w:tcPr>
          <w:p>
            <w:pPr>
              <w:ind w:left="360"/>
              <w:spacing w:after="0"/>
              <w:rPr>
                <w:sz w:val="20"/>
                <w:szCs w:val="20"/>
                <w:color w:val="auto"/>
              </w:rPr>
            </w:pPr>
            <w:r>
              <w:rPr>
                <w:rFonts w:ascii="Arial" w:cs="Arial" w:eastAsia="Arial" w:hAnsi="Arial"/>
                <w:sz w:val="14"/>
                <w:szCs w:val="14"/>
                <w:color w:val="auto"/>
              </w:rPr>
              <w:t>Federal</w:t>
            </w:r>
          </w:p>
        </w:tc>
        <w:tc>
          <w:tcPr>
            <w:tcW w:w="34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(2,621)</w:t>
            </w:r>
          </w:p>
        </w:tc>
        <w:tc>
          <w:tcPr>
            <w:tcW w:w="4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(7,633)</w:t>
            </w:r>
          </w:p>
        </w:tc>
        <w:tc>
          <w:tcPr>
            <w:tcW w:w="4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(6,137)</w:t>
            </w:r>
          </w:p>
        </w:tc>
      </w:tr>
      <w:tr>
        <w:trPr>
          <w:trHeight w:val="162"/>
        </w:trPr>
        <w:tc>
          <w:tcPr>
            <w:tcW w:w="4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State</w:t>
            </w:r>
          </w:p>
        </w:tc>
        <w:tc>
          <w:tcPr>
            <w:tcW w:w="3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(880)</w:t>
            </w:r>
          </w:p>
        </w:tc>
        <w:tc>
          <w:tcPr>
            <w:tcW w:w="4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(4,631)</w:t>
            </w: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(475)</w:t>
            </w:r>
          </w:p>
        </w:tc>
      </w:tr>
      <w:tr>
        <w:trPr>
          <w:trHeight w:val="169"/>
        </w:trPr>
        <w:tc>
          <w:tcPr>
            <w:tcW w:w="41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20,832</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15,352</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17,278</w:t>
            </w:r>
          </w:p>
        </w:tc>
      </w:tr>
      <w:tr>
        <w:trPr>
          <w:trHeight w:val="21"/>
        </w:trPr>
        <w:tc>
          <w:tcPr>
            <w:tcW w:w="41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290"/>
        <w:spacing w:after="0" w:line="239" w:lineRule="auto"/>
        <w:rPr>
          <w:sz w:val="20"/>
          <w:szCs w:val="20"/>
          <w:color w:val="auto"/>
        </w:rPr>
      </w:pPr>
      <w:r>
        <w:rPr>
          <w:rFonts w:ascii="Arial" w:cs="Arial" w:eastAsia="Arial" w:hAnsi="Arial"/>
          <w:sz w:val="18"/>
          <w:szCs w:val="18"/>
          <w:color w:val="auto"/>
        </w:rPr>
        <w:t>A $2.7 million income tax benefit was recorded in 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w:t>
      </w:r>
    </w:p>
    <w:p>
      <w:pPr>
        <w:spacing w:after="0" w:line="94" w:lineRule="exact"/>
        <w:rPr>
          <w:sz w:val="20"/>
          <w:szCs w:val="20"/>
          <w:color w:val="auto"/>
        </w:rPr>
      </w:pPr>
    </w:p>
    <w:p>
      <w:pPr>
        <w:ind w:right="320" w:firstLine="300"/>
        <w:spacing w:after="0" w:line="246" w:lineRule="auto"/>
        <w:rPr>
          <w:sz w:val="20"/>
          <w:szCs w:val="20"/>
          <w:color w:val="auto"/>
        </w:rPr>
      </w:pPr>
      <w:r>
        <w:rPr>
          <w:rFonts w:ascii="Arial" w:cs="Arial" w:eastAsia="Arial" w:hAnsi="Arial"/>
          <w:sz w:val="18"/>
          <w:szCs w:val="18"/>
          <w:color w:val="auto"/>
        </w:rPr>
        <w:t>Income tax expense attributable to income from continuing operations differs from the amounts computed by applying the U.S. statutory rates to pre-tax income from continuing operations as a result of the following for the years ended October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16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2004</w:t>
            </w:r>
          </w:p>
        </w:tc>
        <w:tc>
          <w:tcPr>
            <w:tcW w:w="11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2003</w:t>
            </w:r>
          </w:p>
        </w:tc>
        <w:tc>
          <w:tcPr>
            <w:tcW w:w="180" w:type="dxa"/>
            <w:vAlign w:val="bottom"/>
          </w:tcPr>
          <w:p>
            <w:pPr>
              <w:spacing w:after="0"/>
              <w:rPr>
                <w:sz w:val="17"/>
                <w:szCs w:val="17"/>
                <w:color w:val="auto"/>
              </w:rPr>
            </w:pPr>
          </w:p>
        </w:tc>
      </w:tr>
      <w:tr>
        <w:trPr>
          <w:trHeight w:val="162"/>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Statutory rate</w:t>
            </w:r>
          </w:p>
        </w:tc>
        <w:tc>
          <w:tcPr>
            <w:tcW w:w="286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35.0%</w:t>
            </w:r>
          </w:p>
        </w:tc>
        <w:tc>
          <w:tcPr>
            <w:tcW w:w="1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35.0%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w:t>
            </w: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State and local taxes on income, net of federal tax benefit</w:t>
            </w:r>
          </w:p>
        </w:tc>
        <w:tc>
          <w:tcPr>
            <w:tcW w:w="2860" w:type="dxa"/>
            <w:vAlign w:val="bottom"/>
          </w:tcPr>
          <w:p>
            <w:pPr>
              <w:jc w:val="right"/>
              <w:ind w:right="348"/>
              <w:spacing w:after="0"/>
              <w:rPr>
                <w:sz w:val="20"/>
                <w:szCs w:val="20"/>
                <w:color w:val="auto"/>
              </w:rPr>
            </w:pPr>
            <w:r>
              <w:rPr>
                <w:rFonts w:ascii="Arial" w:cs="Arial" w:eastAsia="Arial" w:hAnsi="Arial"/>
                <w:sz w:val="14"/>
                <w:szCs w:val="14"/>
                <w:b w:val="1"/>
                <w:bCs w:val="1"/>
                <w:color w:val="auto"/>
              </w:rPr>
              <w:t>4.3%</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4.3%</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r>
      <w:tr>
        <w:trPr>
          <w:trHeight w:val="162"/>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Tax credits</w:t>
            </w:r>
          </w:p>
        </w:tc>
        <w:tc>
          <w:tcPr>
            <w:tcW w:w="28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(6.7)%</w:t>
            </w:r>
          </w:p>
        </w:tc>
        <w:tc>
          <w:tcPr>
            <w:tcW w:w="16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(6.6)%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Tax liability no longer required</w:t>
            </w:r>
          </w:p>
        </w:tc>
        <w:tc>
          <w:tcPr>
            <w:tcW w:w="2860" w:type="dxa"/>
            <w:vAlign w:val="bottom"/>
          </w:tcPr>
          <w:p>
            <w:pPr>
              <w:jc w:val="right"/>
              <w:ind w:right="288"/>
              <w:spacing w:after="0"/>
              <w:rPr>
                <w:sz w:val="20"/>
                <w:szCs w:val="20"/>
                <w:color w:val="auto"/>
              </w:rPr>
            </w:pPr>
            <w:r>
              <w:rPr>
                <w:rFonts w:ascii="Arial" w:cs="Arial" w:eastAsia="Arial" w:hAnsi="Arial"/>
                <w:sz w:val="14"/>
                <w:szCs w:val="14"/>
                <w:b w:val="1"/>
                <w:bCs w:val="1"/>
                <w:color w:val="auto"/>
              </w:rPr>
              <w:t>(4.2)%</w:t>
            </w: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Nondeductible expenses and other — net</w:t>
            </w:r>
          </w:p>
        </w:tc>
        <w:tc>
          <w:tcPr>
            <w:tcW w:w="28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4.0%</w:t>
            </w:r>
          </w:p>
        </w:tc>
        <w:tc>
          <w:tcPr>
            <w:tcW w:w="16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1.4%</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r>
      <w:tr>
        <w:trPr>
          <w:trHeight w:val="169"/>
        </w:trPr>
        <w:tc>
          <w:tcPr>
            <w:tcW w:w="56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32.4%</w:t>
            </w:r>
          </w:p>
        </w:tc>
        <w:tc>
          <w:tcPr>
            <w:tcW w:w="1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34.1%</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33.3%</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20" w:firstLine="300"/>
        <w:spacing w:after="0" w:line="246" w:lineRule="auto"/>
        <w:rPr>
          <w:sz w:val="20"/>
          <w:szCs w:val="20"/>
          <w:color w:val="auto"/>
        </w:rPr>
      </w:pPr>
      <w:r>
        <w:rPr>
          <w:rFonts w:ascii="Arial" w:cs="Arial" w:eastAsia="Arial" w:hAnsi="Arial"/>
          <w:sz w:val="18"/>
          <w:szCs w:val="18"/>
          <w:color w:val="auto"/>
        </w:rPr>
        <w:t>Included in the tax credits that the Company generated in the years presented above are Work Opportunity, Enterprise Zone and Low Income Housing tax credits.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w:t>
      </w:r>
    </w:p>
    <w:p>
      <w:pPr>
        <w:spacing w:after="0"/>
        <w:rPr>
          <w:sz w:val="20"/>
          <w:szCs w:val="20"/>
          <w:color w:val="auto"/>
        </w:rPr>
      </w:pPr>
      <w:r>
        <w:rPr>
          <w:rFonts w:ascii="Arial" w:cs="Arial" w:eastAsia="Arial" w:hAnsi="Arial"/>
          <w:sz w:val="18"/>
          <w:szCs w:val="18"/>
          <w:color w:val="auto"/>
        </w:rPr>
        <w:t>October 31 are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0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7"/>
                <w:szCs w:val="17"/>
                <w:color w:val="auto"/>
              </w:rPr>
            </w:pPr>
          </w:p>
        </w:tc>
      </w:tr>
      <w:tr>
        <w:trPr>
          <w:trHeight w:val="162"/>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680" w:type="dxa"/>
            <w:vAlign w:val="bottom"/>
          </w:tcPr>
          <w:p>
            <w:pPr>
              <w:ind w:left="360"/>
              <w:spacing w:after="0"/>
              <w:rPr>
                <w:sz w:val="20"/>
                <w:szCs w:val="20"/>
                <w:color w:val="auto"/>
              </w:rPr>
            </w:pPr>
            <w:r>
              <w:rPr>
                <w:rFonts w:ascii="Arial" w:cs="Arial" w:eastAsia="Arial" w:hAnsi="Arial"/>
                <w:sz w:val="14"/>
                <w:szCs w:val="14"/>
                <w:color w:val="auto"/>
              </w:rPr>
              <w:t>Self-insurance claims</w:t>
            </w:r>
          </w:p>
        </w:tc>
        <w:tc>
          <w:tcPr>
            <w:tcW w:w="30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77,329</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73,352</w:t>
            </w:r>
          </w:p>
        </w:tc>
      </w:tr>
      <w:tr>
        <w:trPr>
          <w:trHeight w:val="162"/>
        </w:trPr>
        <w:tc>
          <w:tcPr>
            <w:tcW w:w="5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and other compensation</w:t>
            </w: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16,577</w:t>
            </w:r>
          </w:p>
        </w:tc>
        <w:tc>
          <w:tcPr>
            <w:tcW w:w="5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17,391</w:t>
            </w:r>
          </w:p>
        </w:tc>
      </w:tr>
      <w:tr>
        <w:trPr>
          <w:trHeight w:val="162"/>
        </w:trPr>
        <w:tc>
          <w:tcPr>
            <w:tcW w:w="5680" w:type="dxa"/>
            <w:vAlign w:val="bottom"/>
          </w:tcPr>
          <w:p>
            <w:pPr>
              <w:ind w:left="360"/>
              <w:spacing w:after="0"/>
              <w:rPr>
                <w:sz w:val="20"/>
                <w:szCs w:val="20"/>
                <w:color w:val="auto"/>
              </w:rPr>
            </w:pPr>
            <w:r>
              <w:rPr>
                <w:rFonts w:ascii="Arial" w:cs="Arial" w:eastAsia="Arial" w:hAnsi="Arial"/>
                <w:sz w:val="14"/>
                <w:szCs w:val="14"/>
                <w:color w:val="auto"/>
              </w:rPr>
              <w:t>Bad debt allowance</w:t>
            </w:r>
          </w:p>
        </w:tc>
        <w:tc>
          <w:tcPr>
            <w:tcW w:w="30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3,146</w:t>
            </w:r>
          </w:p>
        </w:tc>
        <w:tc>
          <w:tcPr>
            <w:tcW w:w="5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3,528</w:t>
            </w:r>
          </w:p>
        </w:tc>
      </w:tr>
      <w:tr>
        <w:trPr>
          <w:trHeight w:val="162"/>
        </w:trPr>
        <w:tc>
          <w:tcPr>
            <w:tcW w:w="5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Settlement liabilities</w:t>
            </w: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3,481</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680" w:type="dxa"/>
            <w:vAlign w:val="bottom"/>
          </w:tcPr>
          <w:p>
            <w:pPr>
              <w:ind w:left="360"/>
              <w:spacing w:after="0"/>
              <w:rPr>
                <w:sz w:val="20"/>
                <w:szCs w:val="20"/>
                <w:color w:val="auto"/>
              </w:rPr>
            </w:pPr>
            <w:r>
              <w:rPr>
                <w:rFonts w:ascii="Arial" w:cs="Arial" w:eastAsia="Arial" w:hAnsi="Arial"/>
                <w:sz w:val="14"/>
                <w:szCs w:val="14"/>
                <w:color w:val="auto"/>
              </w:rPr>
              <w:t>State taxes</w:t>
            </w:r>
          </w:p>
        </w:tc>
        <w:tc>
          <w:tcPr>
            <w:tcW w:w="30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1,010</w:t>
            </w:r>
          </w:p>
        </w:tc>
        <w:tc>
          <w:tcPr>
            <w:tcW w:w="5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r>
      <w:tr>
        <w:trPr>
          <w:trHeight w:val="162"/>
        </w:trPr>
        <w:tc>
          <w:tcPr>
            <w:tcW w:w="5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State net operating loss carryforwards</w:t>
            </w: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1,277</w:t>
            </w:r>
          </w:p>
        </w:tc>
        <w:tc>
          <w:tcPr>
            <w:tcW w:w="5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56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Other</w:t>
            </w:r>
          </w:p>
        </w:tc>
        <w:tc>
          <w:tcPr>
            <w:tcW w:w="3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5,913</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5,099</w:t>
            </w:r>
          </w:p>
        </w:tc>
      </w:tr>
      <w:tr>
        <w:trPr>
          <w:trHeight w:val="162"/>
        </w:trPr>
        <w:tc>
          <w:tcPr>
            <w:tcW w:w="568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108,733</w:t>
            </w:r>
          </w:p>
        </w:tc>
        <w:tc>
          <w:tcPr>
            <w:tcW w:w="5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100,155</w:t>
            </w:r>
          </w:p>
        </w:tc>
      </w:tr>
      <w:tr>
        <w:trPr>
          <w:trHeight w:val="169"/>
        </w:trPr>
        <w:tc>
          <w:tcPr>
            <w:tcW w:w="56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Valuation allowance</w:t>
            </w:r>
          </w:p>
        </w:tc>
        <w:tc>
          <w:tcPr>
            <w:tcW w:w="3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(241)</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gross deferred tax assets</w:t>
            </w:r>
          </w:p>
        </w:tc>
        <w:tc>
          <w:tcPr>
            <w:tcW w:w="30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108,492</w:t>
            </w: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100,155</w:t>
            </w:r>
          </w:p>
        </w:tc>
      </w:tr>
      <w:tr>
        <w:trPr>
          <w:trHeight w:val="169"/>
        </w:trPr>
        <w:tc>
          <w:tcPr>
            <w:tcW w:w="568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and other acquired intangibles</w:t>
            </w:r>
          </w:p>
        </w:tc>
        <w:tc>
          <w:tcPr>
            <w:tcW w:w="30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(14,114)</w:t>
            </w:r>
          </w:p>
        </w:tc>
        <w:tc>
          <w:tcPr>
            <w:tcW w:w="5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(8,526)</w:t>
            </w:r>
          </w:p>
        </w:tc>
      </w:tr>
      <w:tr>
        <w:trPr>
          <w:trHeight w:val="169"/>
        </w:trPr>
        <w:tc>
          <w:tcPr>
            <w:tcW w:w="56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Deferred software development cost</w:t>
            </w:r>
          </w:p>
        </w:tc>
        <w:tc>
          <w:tcPr>
            <w:tcW w:w="3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(1,157)</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(1,909)</w:t>
            </w:r>
          </w:p>
        </w:tc>
      </w:tr>
      <w:tr>
        <w:trPr>
          <w:trHeight w:val="162"/>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gross deferred tax liabilities</w:t>
            </w:r>
          </w:p>
        </w:tc>
        <w:tc>
          <w:tcPr>
            <w:tcW w:w="30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(15,271)</w:t>
            </w: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(10,435)</w:t>
            </w:r>
          </w:p>
        </w:tc>
      </w:tr>
      <w:tr>
        <w:trPr>
          <w:trHeight w:val="16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deferred tax assets</w:t>
            </w:r>
          </w:p>
        </w:tc>
        <w:tc>
          <w:tcPr>
            <w:tcW w:w="3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93,221</w:t>
            </w: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89,720</w:t>
            </w: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40" w:firstLine="290"/>
        <w:spacing w:after="0"/>
        <w:rPr>
          <w:sz w:val="20"/>
          <w:szCs w:val="20"/>
          <w:color w:val="auto"/>
        </w:rPr>
      </w:pPr>
      <w:r>
        <w:rPr>
          <w:rFonts w:ascii="Arial" w:cs="Arial" w:eastAsia="Arial" w:hAnsi="Arial"/>
          <w:sz w:val="18"/>
          <w:szCs w:val="18"/>
          <w:color w:val="auto"/>
        </w:rPr>
        <w:t>At October 31, 2005, the Company’s net deferred tax assets included a tax benefit from state net operating loss carryforwards of $1.3 million. The valuation allowance represents the amount of tax benefits related to state net operating loss carryforwards which management believes are not likely to be realized. The state net operating loss carryforwards will expire between the years 2007 and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Acquisitions have been accounted for using the purchase method of accounting. The operating</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results generated by the companies and businesses acquired have been included in the accompanying consolidated financial 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 paid for acquisitions, including initial payments and contingent amounts based on subsequent earnings, was $26.9 million,</w:t>
      </w:r>
    </w:p>
    <w:p>
      <w:pPr>
        <w:ind w:right="180"/>
        <w:spacing w:after="0" w:line="239" w:lineRule="auto"/>
        <w:rPr>
          <w:sz w:val="20"/>
          <w:szCs w:val="20"/>
          <w:color w:val="auto"/>
        </w:rPr>
      </w:pPr>
      <w:r>
        <w:rPr>
          <w:rFonts w:ascii="Arial" w:cs="Arial" w:eastAsia="Arial" w:hAnsi="Arial"/>
          <w:sz w:val="18"/>
          <w:szCs w:val="18"/>
          <w:color w:val="auto"/>
        </w:rPr>
        <w:t>$54.2 million and $40.6 million in the years ended October 31, 2005, 2004 and 2003, respectively. Of those payment amounts, $11.7 million, $9.9 million and $10.9 million were the contingent amounts paid in the years ended October 31, 2005, 2004 and 2003, respectively, on earlier acquisitions as provided by the respective purchase agreements. In addition, shares of ABM’s common stock with a fair market value of $3.5 million at the date of issuance were issued in the year ended October 31, 2005 as payment for business acquired.</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made the following acquisitions during the year ended October 31, 2005:</w:t>
      </w:r>
    </w:p>
    <w:p>
      <w:pPr>
        <w:spacing w:after="0" w:line="104" w:lineRule="exact"/>
        <w:rPr>
          <w:sz w:val="20"/>
          <w:szCs w:val="20"/>
          <w:color w:val="auto"/>
        </w:rPr>
      </w:pPr>
    </w:p>
    <w:p>
      <w:pPr>
        <w:ind w:right="60" w:firstLine="300"/>
        <w:spacing w:after="0" w:line="234" w:lineRule="auto"/>
        <w:rPr>
          <w:sz w:val="20"/>
          <w:szCs w:val="20"/>
          <w:color w:val="auto"/>
        </w:rPr>
      </w:pPr>
      <w:r>
        <w:rPr>
          <w:rFonts w:ascii="Arial" w:cs="Arial" w:eastAsia="Arial" w:hAnsi="Arial"/>
          <w:sz w:val="18"/>
          <w:szCs w:val="18"/>
          <w:color w:val="auto"/>
        </w:rPr>
        <w:t>On November 1, 2004, the Company acquired substantially all of the operating assets of Sentinel Guard Systems (Sentinel), a Los Angeles-based company, from Tracerton Enterprises, Inc. Sentinel, with annual revenues in excess of $13.0 million, was a provider of security officer services primarily to high-rise, commercial and residential structures. In addition to its Los Angeles business, Sentinel also operated an office in San Francisco. The total purchase price was $5.3 million, which included an initial payment of $3.5 million in shares of ABM’s common stock, the assumption of liabilities totaling approximately $1.7 million and $0.1 million of professional fees. Of the total purchase price,</w:t>
      </w:r>
    </w:p>
    <w:p>
      <w:pPr>
        <w:spacing w:after="0" w:line="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$2.4 million was allocated to customer relationship intangible assets, $0.1 million to trademarks and trade names, $1.3 million to customer accounts receivable and other assets and $1.5 million to goodwill. Additionally, because of the tax-free nature of this transaction to the seller, the Company recorded a $1.0 million deferred tax liability on the difference between the recorded fair market value and the seller’s tax basis of the net assets acquired. Goodwill was increased by the same amount. Additional consideration includes contingent payments, based on achieving certain revenue and profitability targets over a three-year period, estimated to be between $0.5 million and $0.75 million per year, payable in shares of ABM’s common stock.</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December 22, 2004, the Company acquired the operating assets of Colin Service Systems, Inc. (Colin), a facility services company</w:t>
      </w:r>
    </w:p>
    <w:p>
      <w:pPr>
        <w:spacing w:after="0" w:line="234" w:lineRule="auto"/>
        <w:rPr>
          <w:sz w:val="20"/>
          <w:szCs w:val="20"/>
          <w:color w:val="auto"/>
        </w:rPr>
      </w:pPr>
      <w:r>
        <w:rPr>
          <w:rFonts w:ascii="Arial" w:cs="Arial" w:eastAsia="Arial" w:hAnsi="Arial"/>
          <w:sz w:val="18"/>
          <w:szCs w:val="18"/>
          <w:color w:val="auto"/>
        </w:rPr>
        <w:t>based in New York, for an initial payment of $13.6 million in cash. Under certain conditions, additional consideration may include an estimated</w:t>
      </w:r>
    </w:p>
    <w:p>
      <w:pPr>
        <w:spacing w:after="0" w:line="235" w:lineRule="auto"/>
        <w:rPr>
          <w:sz w:val="20"/>
          <w:szCs w:val="20"/>
          <w:color w:val="auto"/>
        </w:rPr>
      </w:pPr>
      <w:r>
        <w:rPr>
          <w:rFonts w:ascii="Arial" w:cs="Arial" w:eastAsia="Arial" w:hAnsi="Arial"/>
          <w:sz w:val="18"/>
          <w:szCs w:val="18"/>
          <w:color w:val="auto"/>
        </w:rPr>
        <w:t>$1.9 million payment upon the collection of the acquired receivables and three annual contingent cash payments each for approximately</w:t>
      </w:r>
    </w:p>
    <w:p>
      <w:pPr>
        <w:spacing w:after="0" w:line="235" w:lineRule="auto"/>
        <w:rPr>
          <w:sz w:val="20"/>
          <w:szCs w:val="20"/>
          <w:color w:val="auto"/>
        </w:rPr>
      </w:pPr>
      <w:r>
        <w:rPr>
          <w:rFonts w:ascii="Arial" w:cs="Arial" w:eastAsia="Arial" w:hAnsi="Arial"/>
          <w:sz w:val="18"/>
          <w:szCs w:val="18"/>
          <w:color w:val="auto"/>
        </w:rPr>
        <w:t>$1.1 million, which are based on achieving annual revenue targets over a three-year period. With annual revenues in excess of $70 million,</w:t>
      </w:r>
    </w:p>
    <w:p>
      <w:pPr>
        <w:spacing w:after="0" w:line="235" w:lineRule="auto"/>
        <w:rPr>
          <w:sz w:val="20"/>
          <w:szCs w:val="20"/>
          <w:color w:val="auto"/>
        </w:rPr>
      </w:pPr>
      <w:r>
        <w:rPr>
          <w:rFonts w:ascii="Arial" w:cs="Arial" w:eastAsia="Arial" w:hAnsi="Arial"/>
          <w:sz w:val="18"/>
          <w:szCs w:val="18"/>
          <w:color w:val="auto"/>
        </w:rPr>
        <w:t>Colin was a provider of professional onsite management, commercial office cleaning, specialty cleaning, snow removal and engineering</w:t>
      </w:r>
    </w:p>
    <w:p>
      <w:pPr>
        <w:spacing w:after="0" w:line="235" w:lineRule="auto"/>
        <w:rPr>
          <w:sz w:val="20"/>
          <w:szCs w:val="20"/>
          <w:color w:val="auto"/>
        </w:rPr>
      </w:pPr>
      <w:r>
        <w:rPr>
          <w:rFonts w:ascii="Arial" w:cs="Arial" w:eastAsia="Arial" w:hAnsi="Arial"/>
          <w:sz w:val="18"/>
          <w:szCs w:val="18"/>
          <w:color w:val="auto"/>
        </w:rPr>
        <w:t>services. Of the total initial payment, $3.6 million was allocated to customer relationship intangible assets, $6.4 million to customer accounts</w:t>
      </w:r>
    </w:p>
    <w:p>
      <w:pPr>
        <w:spacing w:after="0"/>
        <w:rPr>
          <w:sz w:val="20"/>
          <w:szCs w:val="20"/>
          <w:color w:val="auto"/>
        </w:rPr>
      </w:pPr>
      <w:r>
        <w:rPr>
          <w:rFonts w:ascii="Arial" w:cs="Arial" w:eastAsia="Arial" w:hAnsi="Arial"/>
          <w:sz w:val="18"/>
          <w:szCs w:val="18"/>
          <w:color w:val="auto"/>
        </w:rPr>
        <w:t>receivable and other assets and $3.6 million to goodwill.</w:t>
      </w:r>
    </w:p>
    <w:p>
      <w:pPr>
        <w:spacing w:after="0" w:line="104" w:lineRule="exact"/>
        <w:rPr>
          <w:sz w:val="20"/>
          <w:szCs w:val="20"/>
          <w:color w:val="auto"/>
        </w:rPr>
      </w:pPr>
    </w:p>
    <w:p>
      <w:pPr>
        <w:ind w:right="80" w:firstLine="300"/>
        <w:spacing w:after="0" w:line="238" w:lineRule="auto"/>
        <w:rPr>
          <w:sz w:val="20"/>
          <w:szCs w:val="20"/>
          <w:color w:val="auto"/>
        </w:rPr>
      </w:pPr>
      <w:r>
        <w:rPr>
          <w:rFonts w:ascii="Arial" w:cs="Arial" w:eastAsia="Arial" w:hAnsi="Arial"/>
          <w:sz w:val="18"/>
          <w:szCs w:val="18"/>
          <w:color w:val="auto"/>
        </w:rPr>
        <w:t>On March 4, 2005, the Company acquired the operating assets of Amguard Security and Patrol Services (Amguard), based in Germantown, Maryland, for $1.1 million in cash. Additional consideration includes a contingent payment in the amount of $0.45 million, subject to reduction in the event certain revenue targets are not achieved. With annual revenues in excess of $4.5 million, Amguard was a provider of security officer services, primarily to high-rise, commercial and residential structures. Of the total initial payment, $0.9 million was allocated to customer relationship intangible assets, $0.1 million to goodwill and $0.1 million to other assets.</w:t>
      </w:r>
    </w:p>
    <w:p>
      <w:pPr>
        <w:spacing w:after="0" w:line="95" w:lineRule="exact"/>
        <w:rPr>
          <w:sz w:val="20"/>
          <w:szCs w:val="20"/>
          <w:color w:val="auto"/>
        </w:rPr>
      </w:pPr>
    </w:p>
    <w:p>
      <w:pPr>
        <w:ind w:right="40" w:firstLine="300"/>
        <w:spacing w:after="0" w:line="237" w:lineRule="auto"/>
        <w:rPr>
          <w:sz w:val="20"/>
          <w:szCs w:val="20"/>
          <w:color w:val="auto"/>
        </w:rPr>
      </w:pPr>
      <w:r>
        <w:rPr>
          <w:rFonts w:ascii="Arial" w:cs="Arial" w:eastAsia="Arial" w:hAnsi="Arial"/>
          <w:sz w:val="18"/>
          <w:szCs w:val="18"/>
          <w:color w:val="auto"/>
        </w:rPr>
        <w:t>On August 3, 2005, the Company acquired the commercial janitorial cleaning operations in Baltimore, Maryland, of the Northeast United States Division of Initial Contract Services, Inc., a provider of janitorial services based in New York, for approximately $0.35 million in cash. The acquisition includes contracts with key accounts throughout the metropolitan area of Baltimore and represents over $7.0 million in annual contract revenue. Additional consideration may be paid during the subsequent four years based on financial performance of the acquired business. Of the total initial payment, $0.15 million was allocated to customer relationship intangible assets, $0.1 million to goodwill and $0.1 million to other assets.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made the following acquisitions during the year ended October 31, 2004:</w:t>
      </w:r>
    </w:p>
    <w:p>
      <w:pPr>
        <w:spacing w:after="0" w:line="104"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On March 15, 2004, the Company acquired substantially all of the operating assets of Security Services of America, LLC (SSA LLC), a North Carolina limited liability company and wholly owned subsidiary of SSA Holdings II, LLC. SSA LLC and its subsidiaries, also operating under the names “Silverhawk Security Specialists” and “Elite Protection Services,” provided full service private security and investigative services to a diverse client base that included small, medium and large businesses throughout the Southeast and Midwest regions of the United States. The total acquisition cost included an initial cash payment of $40.7 million, net of liabilities assumed totaling $0.3 million, plus contingent payments equal to 20% to 25% of adjusted earnings before interest and taxes, depending upon the level of actual earnings, for each of the years in the five-year period following the date of acquisition. Of the total purchase price, $7.1 million was allocated to customer relationship intangible assets and $2.7 million to trademarks and trade names. Additionally, $2.2 million of the total purchase price was allocated to fixed and other tangible assets and $29.0 million to goodwill.</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April 2, 2004, the Company acquired a significant portion of the commercial janitorial assets of the Northeast United States Division of</w:t>
      </w:r>
    </w:p>
    <w:p>
      <w:pPr>
        <w:spacing w:after="0" w:line="234" w:lineRule="auto"/>
        <w:rPr>
          <w:sz w:val="20"/>
          <w:szCs w:val="20"/>
          <w:color w:val="auto"/>
        </w:rPr>
      </w:pPr>
      <w:r>
        <w:rPr>
          <w:rFonts w:ascii="Arial" w:cs="Arial" w:eastAsia="Arial" w:hAnsi="Arial"/>
          <w:sz w:val="18"/>
          <w:szCs w:val="18"/>
          <w:color w:val="auto"/>
        </w:rPr>
        <w:t>Initial Contract Services, Inc., a provider of janitorial services based in New York. The acquisition included key accounts throughout the</w:t>
      </w:r>
    </w:p>
    <w:p>
      <w:pPr>
        <w:spacing w:after="0" w:line="235" w:lineRule="auto"/>
        <w:rPr>
          <w:sz w:val="20"/>
          <w:szCs w:val="20"/>
          <w:color w:val="auto"/>
        </w:rPr>
      </w:pPr>
      <w:r>
        <w:rPr>
          <w:rFonts w:ascii="Arial" w:cs="Arial" w:eastAsia="Arial" w:hAnsi="Arial"/>
          <w:sz w:val="18"/>
          <w:szCs w:val="18"/>
          <w:color w:val="auto"/>
        </w:rPr>
        <w:t>Northeast region totaling approximately 50 buildings. The total acquisition cost included an initial cash payment of $3.5 million, of which</w:t>
      </w:r>
    </w:p>
    <w:p>
      <w:pPr>
        <w:spacing w:after="0" w:line="235" w:lineRule="auto"/>
        <w:rPr>
          <w:sz w:val="20"/>
          <w:szCs w:val="20"/>
          <w:color w:val="auto"/>
        </w:rPr>
      </w:pPr>
      <w:r>
        <w:rPr>
          <w:rFonts w:ascii="Arial" w:cs="Arial" w:eastAsia="Arial" w:hAnsi="Arial"/>
          <w:sz w:val="18"/>
          <w:szCs w:val="18"/>
          <w:color w:val="auto"/>
        </w:rPr>
        <w:t>$0.9 million was allocated to customer relationship intangible assets, $1.8 million to accounts receivable and $0.8 million to other assets, plus</w:t>
      </w:r>
    </w:p>
    <w:p>
      <w:pPr>
        <w:spacing w:after="0" w:line="235" w:lineRule="auto"/>
        <w:rPr>
          <w:sz w:val="20"/>
          <w:szCs w:val="20"/>
          <w:color w:val="auto"/>
        </w:rPr>
      </w:pPr>
      <w:r>
        <w:rPr>
          <w:rFonts w:ascii="Arial" w:cs="Arial" w:eastAsia="Arial" w:hAnsi="Arial"/>
          <w:sz w:val="18"/>
          <w:szCs w:val="18"/>
          <w:color w:val="auto"/>
        </w:rPr>
        <w:t>annual contingent payments for each of the years in the five-year period following the acquisition date, calculated as follows: 3% of the</w:t>
      </w:r>
    </w:p>
    <w:p>
      <w:pPr>
        <w:spacing w:after="0"/>
        <w:rPr>
          <w:sz w:val="20"/>
          <w:szCs w:val="20"/>
          <w:color w:val="auto"/>
        </w:rPr>
      </w:pPr>
      <w:r>
        <w:rPr>
          <w:rFonts w:ascii="Arial" w:cs="Arial" w:eastAsia="Arial" w:hAnsi="Arial"/>
          <w:sz w:val="18"/>
          <w:szCs w:val="18"/>
          <w:color w:val="auto"/>
        </w:rPr>
        <w:t>acquired operation’s revenues for the first and second year, 2% for the third and fourth year, and 1% for the fifth year.</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Acquisitions made during the year ended October 31, 2003 were as follows:</w:t>
      </w:r>
    </w:p>
    <w:p>
      <w:pPr>
        <w:spacing w:after="0" w:line="104" w:lineRule="exact"/>
        <w:rPr>
          <w:sz w:val="20"/>
          <w:szCs w:val="20"/>
          <w:color w:val="auto"/>
        </w:rPr>
      </w:pPr>
    </w:p>
    <w:p>
      <w:pPr>
        <w:ind w:right="80" w:firstLine="300"/>
        <w:spacing w:after="0" w:line="238" w:lineRule="auto"/>
        <w:rPr>
          <w:sz w:val="20"/>
          <w:szCs w:val="20"/>
          <w:color w:val="auto"/>
        </w:rPr>
      </w:pPr>
      <w:r>
        <w:rPr>
          <w:rFonts w:ascii="Arial" w:cs="Arial" w:eastAsia="Arial" w:hAnsi="Arial"/>
          <w:sz w:val="18"/>
          <w:szCs w:val="18"/>
          <w:color w:val="auto"/>
        </w:rPr>
        <w:t>On January 31, 2003, the Company acquired the commercial self-performed janitorial cleaning operations of Horizon National Commercial Services, LLC, a provider of janitorial services based in Red Bank, New Jersey. Assets acquired by the Company included key customer accounts in the eastern, mid-western and south central United States. The total adjusted acquisition cost was $14.7 million, which included the assumption of payroll-related liabilities totaling $0.2 million. Of the total adjusted acquisition cost, $8.7 million was allocated to goodwill, $4.2 million to other intangibles, and $1.8 million to fixed and other assets.</w:t>
      </w:r>
    </w:p>
    <w:p>
      <w:pPr>
        <w:spacing w:after="0" w:line="95" w:lineRule="exact"/>
        <w:rPr>
          <w:sz w:val="20"/>
          <w:szCs w:val="20"/>
          <w:color w:val="auto"/>
        </w:rPr>
      </w:pPr>
    </w:p>
    <w:p>
      <w:pPr>
        <w:ind w:right="20" w:firstLine="300"/>
        <w:spacing w:after="0" w:line="239" w:lineRule="auto"/>
        <w:rPr>
          <w:sz w:val="20"/>
          <w:szCs w:val="20"/>
          <w:color w:val="auto"/>
        </w:rPr>
      </w:pPr>
      <w:r>
        <w:rPr>
          <w:rFonts w:ascii="Arial" w:cs="Arial" w:eastAsia="Arial" w:hAnsi="Arial"/>
          <w:sz w:val="18"/>
          <w:szCs w:val="18"/>
          <w:color w:val="auto"/>
        </w:rPr>
        <w:t>On April 30, 2003, the Company acquired selected assets of Valet Parking Services, a provider of parking services based in Culver City, California. The total acquisition cost included an initial cash payment of $1.7 million, substantially all of which was allocated to other intangibles, plus annual contingent payments of $0.3 million for the three years subsequent to the acquisition date, if specified levels of variable gross profits from the acquired operations are maintained.</w:t>
      </w:r>
    </w:p>
    <w:p>
      <w:pPr>
        <w:spacing w:after="0" w:line="94" w:lineRule="exact"/>
        <w:rPr>
          <w:sz w:val="20"/>
          <w:szCs w:val="20"/>
          <w:color w:val="auto"/>
        </w:rPr>
      </w:pPr>
    </w:p>
    <w:p>
      <w:pPr>
        <w:ind w:right="20" w:firstLine="300"/>
        <w:spacing w:after="0" w:line="237" w:lineRule="auto"/>
        <w:rPr>
          <w:sz w:val="20"/>
          <w:szCs w:val="20"/>
          <w:color w:val="auto"/>
        </w:rPr>
      </w:pPr>
      <w:r>
        <w:rPr>
          <w:rFonts w:ascii="Arial" w:cs="Arial" w:eastAsia="Arial" w:hAnsi="Arial"/>
          <w:sz w:val="18"/>
          <w:szCs w:val="18"/>
          <w:color w:val="auto"/>
        </w:rPr>
        <w:t>On August 29, 2003, the Company acquired substantially all of the assets and operations of HGO Janitorial Services, a provider of janitorial services based in King of Prussia, Pennsylvania. Assets acquired by the Company include key customer accounts in the greater Philadelphia metropolitan area, including locations in New Jersey and Delaware. The total acquisition cost was $12.8 million, plus annual contingent amounts of approximately $1.1 million for the three years subsequent to the acquisition date if specified levels of customer accounts are retained, and additional annual contingent amounts for the three years subsequent to the acquisition date if financial performance exceeds agreed-upon levels. Of the total initial acquisition cost, $7.4 million was allocated to other intangibles, $5.0 million to goodwill, and $0.4 million to fixed and other assets at the time of acquisition. Contingent amounts, if paid, will be allocated to goodwill.</w:t>
      </w:r>
    </w:p>
    <w:p>
      <w:pPr>
        <w:spacing w:after="0" w:line="95" w:lineRule="exact"/>
        <w:rPr>
          <w:sz w:val="20"/>
          <w:szCs w:val="20"/>
          <w:color w:val="auto"/>
        </w:rPr>
      </w:pPr>
    </w:p>
    <w:p>
      <w:pPr>
        <w:ind w:right="580" w:firstLine="300"/>
        <w:spacing w:after="0" w:line="246" w:lineRule="auto"/>
        <w:rPr>
          <w:sz w:val="20"/>
          <w:szCs w:val="20"/>
          <w:color w:val="auto"/>
        </w:rPr>
      </w:pPr>
      <w:r>
        <w:rPr>
          <w:rFonts w:ascii="Arial" w:cs="Arial" w:eastAsia="Arial" w:hAnsi="Arial"/>
          <w:sz w:val="18"/>
          <w:szCs w:val="18"/>
          <w:color w:val="auto"/>
        </w:rPr>
        <w:t>Due to the size of these acquisitions, individually and in aggregate, pro forma information is not included in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26" w:lineRule="exact"/>
        <w:rPr>
          <w:sz w:val="20"/>
          <w:szCs w:val="20"/>
          <w:color w:val="auto"/>
        </w:rPr>
      </w:pPr>
    </w:p>
    <w:p>
      <w:pPr>
        <w:ind w:right="20" w:firstLine="300"/>
        <w:spacing w:after="0" w:line="239" w:lineRule="auto"/>
        <w:rPr>
          <w:sz w:val="20"/>
          <w:szCs w:val="20"/>
          <w:color w:val="auto"/>
        </w:rPr>
      </w:pPr>
      <w:r>
        <w:rPr>
          <w:rFonts w:ascii="Arial" w:cs="Arial" w:eastAsia="Arial" w:hAnsi="Arial"/>
          <w:sz w:val="18"/>
          <w:szCs w:val="18"/>
          <w:color w:val="auto"/>
        </w:rPr>
        <w:t>On June 2, 2005, the Company sold substantially all of the operating assets of CommAir Mechanical Services, a wholly owned subsidiary of ABM (Mechanical) to Carrier Corporation, a wholly owned subsidiary of United Technologies Corporation (Carrier). The operating assets sold included customer contracts, accounts receivable, inventories, facility leases and other assets, as well as rights to the name “CommAir Mechanical Services.” The consideration paid was $32.0 million in cash, subject to certain adjustments, and Carrier’s assumption 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trade payables and accrued liabilities. The Company realized a pre-tax gain of $21.4 million ($13.1 million after tax) on the sale of these assets in 2005.</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July 31, 2005, the Company sold the remaining operating assets of Mechanical, consisting of its water treatment business, to</w:t>
      </w:r>
    </w:p>
    <w:p>
      <w:pPr>
        <w:jc w:val="both"/>
        <w:ind w:right="20"/>
        <w:spacing w:after="0"/>
        <w:rPr>
          <w:sz w:val="20"/>
          <w:szCs w:val="20"/>
          <w:color w:val="auto"/>
        </w:rPr>
      </w:pPr>
      <w:r>
        <w:rPr>
          <w:rFonts w:ascii="Arial" w:cs="Arial" w:eastAsia="Arial" w:hAnsi="Arial"/>
          <w:sz w:val="18"/>
          <w:szCs w:val="18"/>
          <w:color w:val="auto"/>
        </w:rPr>
        <w:t>San Joaquin Chemicals, Incorporated for $0.5 million, of which $0.25 million was in the form of a note and $0.25 million in cash. The operating assets sold included customer contracts and inventories. The Company realized a pre-tax gain of $0.3 million ($0.2 million after tax) on the sale of these assets in 2005.</w:t>
      </w:r>
    </w:p>
    <w:p>
      <w:pPr>
        <w:spacing w:after="0" w:line="95" w:lineRule="exact"/>
        <w:rPr>
          <w:sz w:val="20"/>
          <w:szCs w:val="20"/>
          <w:color w:val="auto"/>
        </w:rPr>
      </w:pPr>
    </w:p>
    <w:p>
      <w:pPr>
        <w:ind w:right="20" w:firstLine="297"/>
        <w:spacing w:after="0" w:line="239" w:lineRule="auto"/>
        <w:rPr>
          <w:sz w:val="20"/>
          <w:szCs w:val="20"/>
          <w:color w:val="auto"/>
        </w:rPr>
      </w:pPr>
      <w:r>
        <w:rPr>
          <w:rFonts w:ascii="Arial" w:cs="Arial" w:eastAsia="Arial" w:hAnsi="Arial"/>
          <w:sz w:val="18"/>
          <w:szCs w:val="18"/>
          <w:color w:val="auto"/>
        </w:rPr>
        <w:t>The assets and liabilities of Mechanical in the prior period financials have been segregated and the operating results and cash flows have been reported as a discontinued operation in the accompanying consolidated financial statements. Income taxes have been allocated using the estimated combined federal and state tax rates applicable to Mechanical for each of the periods presented. The prior periods presented have been reclassified.</w:t>
      </w:r>
    </w:p>
    <w:p>
      <w:pPr>
        <w:spacing w:after="0" w:line="94" w:lineRule="exact"/>
        <w:rPr>
          <w:sz w:val="20"/>
          <w:szCs w:val="20"/>
          <w:color w:val="auto"/>
        </w:rPr>
      </w:pPr>
    </w:p>
    <w:p>
      <w:pPr>
        <w:ind w:right="140" w:firstLine="290"/>
        <w:spacing w:after="0" w:line="246" w:lineRule="auto"/>
        <w:rPr>
          <w:sz w:val="20"/>
          <w:szCs w:val="20"/>
          <w:color w:val="auto"/>
        </w:rPr>
      </w:pPr>
      <w:r>
        <w:rPr>
          <w:rFonts w:ascii="Arial" w:cs="Arial" w:eastAsia="Arial" w:hAnsi="Arial"/>
          <w:sz w:val="18"/>
          <w:szCs w:val="18"/>
          <w:color w:val="auto"/>
        </w:rPr>
        <w:t>Assets and liabilities of Mechanical included in the accompanying consolidated balance sheet were as follows at May 31, 2005 (before the date of sale of the main portion of Mechanical to Carrier on June 2, 2005) and October 31, 2004: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May 31,</w:t>
            </w:r>
          </w:p>
        </w:tc>
        <w:tc>
          <w:tcPr>
            <w:tcW w:w="4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October 31,</w:t>
            </w:r>
          </w:p>
        </w:tc>
        <w:tc>
          <w:tcPr>
            <w:tcW w:w="100" w:type="dxa"/>
            <w:vAlign w:val="bottom"/>
          </w:tcPr>
          <w:p>
            <w:pPr>
              <w:spacing w:after="0"/>
              <w:rPr>
                <w:sz w:val="15"/>
                <w:szCs w:val="15"/>
                <w:color w:val="auto"/>
              </w:rPr>
            </w:pPr>
          </w:p>
        </w:tc>
      </w:tr>
      <w:tr>
        <w:trPr>
          <w:trHeight w:val="182"/>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2005</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 net</w:t>
            </w:r>
          </w:p>
        </w:tc>
        <w:tc>
          <w:tcPr>
            <w:tcW w:w="2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9,903</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10,476</w:t>
            </w: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Inventories</w:t>
            </w:r>
          </w:p>
        </w:tc>
        <w:tc>
          <w:tcPr>
            <w:tcW w:w="2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2,084</w:t>
            </w:r>
          </w:p>
        </w:tc>
        <w:tc>
          <w:tcPr>
            <w:tcW w:w="4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1,706</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29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126</w:t>
            </w:r>
          </w:p>
        </w:tc>
        <w:tc>
          <w:tcPr>
            <w:tcW w:w="4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w:t>
            </w: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Goodwill, net of accumulated amortization</w:t>
            </w:r>
          </w:p>
        </w:tc>
        <w:tc>
          <w:tcPr>
            <w:tcW w:w="2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1,952</w:t>
            </w:r>
          </w:p>
        </w:tc>
        <w:tc>
          <w:tcPr>
            <w:tcW w:w="4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1,952</w:t>
            </w:r>
          </w:p>
        </w:tc>
      </w:tr>
      <w:tr>
        <w:trPr>
          <w:trHeight w:val="16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60</w:t>
            </w:r>
          </w:p>
        </w:tc>
        <w:tc>
          <w:tcPr>
            <w:tcW w:w="4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w:t>
            </w:r>
          </w:p>
        </w:tc>
      </w:tr>
      <w:tr>
        <w:trPr>
          <w:trHeight w:val="176"/>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assets</w:t>
            </w: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14,125</w:t>
            </w: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14,441</w:t>
            </w: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payable</w:t>
            </w:r>
          </w:p>
        </w:tc>
        <w:tc>
          <w:tcPr>
            <w:tcW w:w="29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2,292</w:t>
            </w:r>
          </w:p>
        </w:tc>
        <w:tc>
          <w:tcPr>
            <w:tcW w:w="4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2,682</w:t>
            </w: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Accrued liabilities:</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Compensation</w:t>
            </w:r>
          </w:p>
        </w:tc>
        <w:tc>
          <w:tcPr>
            <w:tcW w:w="29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350</w:t>
            </w:r>
          </w:p>
        </w:tc>
        <w:tc>
          <w:tcPr>
            <w:tcW w:w="4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w:t>
            </w:r>
          </w:p>
        </w:tc>
      </w:tr>
      <w:tr>
        <w:trPr>
          <w:trHeight w:val="162"/>
        </w:trPr>
        <w:tc>
          <w:tcPr>
            <w:tcW w:w="5400" w:type="dxa"/>
            <w:vAlign w:val="bottom"/>
          </w:tcPr>
          <w:p>
            <w:pPr>
              <w:ind w:left="360"/>
              <w:spacing w:after="0"/>
              <w:rPr>
                <w:sz w:val="20"/>
                <w:szCs w:val="20"/>
                <w:color w:val="auto"/>
              </w:rPr>
            </w:pPr>
            <w:r>
              <w:rPr>
                <w:rFonts w:ascii="Arial" w:cs="Arial" w:eastAsia="Arial" w:hAnsi="Arial"/>
                <w:sz w:val="14"/>
                <w:szCs w:val="14"/>
                <w:color w:val="auto"/>
              </w:rPr>
              <w:t>Taxes — other than income</w:t>
            </w:r>
          </w:p>
        </w:tc>
        <w:tc>
          <w:tcPr>
            <w:tcW w:w="29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331</w:t>
            </w:r>
          </w:p>
        </w:tc>
        <w:tc>
          <w:tcPr>
            <w:tcW w:w="4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r>
      <w:tr>
        <w:trPr>
          <w:trHeight w:val="162"/>
        </w:trPr>
        <w:tc>
          <w:tcPr>
            <w:tcW w:w="5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989</w:t>
            </w:r>
          </w:p>
        </w:tc>
        <w:tc>
          <w:tcPr>
            <w:tcW w:w="4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w:t>
            </w:r>
          </w:p>
        </w:tc>
      </w:tr>
      <w:tr>
        <w:trPr>
          <w:trHeight w:val="176"/>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liabilities</w:t>
            </w: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3,962</w:t>
            </w: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3,926</w:t>
            </w:r>
          </w:p>
        </w:tc>
      </w:tr>
      <w:tr>
        <w:trPr>
          <w:trHeight w:val="16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assets</w:t>
            </w:r>
          </w:p>
        </w:tc>
        <w:tc>
          <w:tcPr>
            <w:tcW w:w="2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10,163</w:t>
            </w:r>
          </w:p>
        </w:tc>
        <w:tc>
          <w:tcPr>
            <w:tcW w:w="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10,515</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On August 15, 2003, the Company sold substantially all of the operating assets of Amtech Elevator Services, Inc. (Elevator), a wholly owned subsidiary of ABM, to Otis Elevator Company, a wholly owned subsidiary of United Technologies Corporation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In fiscal 2003, the Company realized a gain on the sale of $52.7 million, which was net of $32.7 million of income taxes, of which $30.5 million was paid with the extension of the federal and state income tax returns on January 15, 2004. This payment has been reported under discontinued operations in the accompanying consolidated statements of cash flows. Income taxes on the gain on sale of discontinued operations for 2005 included a $0.9 million benefit from the correction of the overstatement of income taxes provided for the Elevator gain. The overstatement was related to the incorrect treatment of goodwill associated with assets acquired by Elevator in 1985.</w:t>
      </w:r>
    </w:p>
    <w:p>
      <w:pPr>
        <w:spacing w:after="0" w:line="98" w:lineRule="exact"/>
        <w:rPr>
          <w:sz w:val="20"/>
          <w:szCs w:val="20"/>
          <w:color w:val="auto"/>
        </w:rPr>
      </w:pPr>
    </w:p>
    <w:p>
      <w:pPr>
        <w:ind w:right="240" w:firstLine="30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operations in 2005.</w:t>
      </w:r>
    </w:p>
    <w:p>
      <w:pPr>
        <w:spacing w:after="0" w:line="95" w:lineRule="exact"/>
        <w:rPr>
          <w:sz w:val="20"/>
          <w:szCs w:val="20"/>
          <w:color w:val="auto"/>
        </w:rPr>
      </w:pPr>
    </w:p>
    <w:p>
      <w:pPr>
        <w:ind w:right="100" w:firstLine="297"/>
        <w:spacing w:after="0" w:line="239" w:lineRule="auto"/>
        <w:rPr>
          <w:sz w:val="20"/>
          <w:szCs w:val="20"/>
          <w:color w:val="auto"/>
        </w:rPr>
      </w:pPr>
      <w:r>
        <w:rPr>
          <w:rFonts w:ascii="Arial" w:cs="Arial" w:eastAsia="Arial" w:hAnsi="Arial"/>
          <w:sz w:val="18"/>
          <w:szCs w:val="18"/>
          <w:color w:val="auto"/>
        </w:rPr>
        <w:t>The operating results of Mechanical and Elevator for 2005, 2004 and 2003 are shown below. Operating results for 2005 for the portion of Mechanical’s business sold to Carrier are for the period beginning November 1, 2004 through the date of sale, June 2, 2005. Operating results for 2005 for Mechanical’s water treatment business are for the period beginning November 1, 2004 through the date of sale, July 31, 2005. Operating results for 2003 for Elevator are for the period beginning November 1, 2002 through the date of sale, August 15, 2003.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2004</w:t>
            </w:r>
          </w:p>
        </w:tc>
        <w:tc>
          <w:tcPr>
            <w:tcW w:w="3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7"/>
                <w:szCs w:val="17"/>
                <w:color w:val="auto"/>
              </w:rPr>
            </w:pPr>
          </w:p>
        </w:tc>
      </w:tr>
      <w:tr>
        <w:trPr>
          <w:trHeight w:val="162"/>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Revenues</w:t>
            </w:r>
          </w:p>
        </w:tc>
        <w:tc>
          <w:tcPr>
            <w:tcW w:w="2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24,811</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41,074</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128,256</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169"/>
        </w:trPr>
        <w:tc>
          <w:tcPr>
            <w:tcW w:w="58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3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273</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1,366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5,833</w:t>
            </w:r>
          </w:p>
        </w:tc>
      </w:tr>
      <w:tr>
        <w:trPr>
          <w:trHeight w:val="162"/>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taxes</w:t>
            </w:r>
          </w:p>
        </w:tc>
        <w:tc>
          <w:tcPr>
            <w:tcW w:w="2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107</w:t>
            </w: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537</w:t>
            </w:r>
          </w:p>
        </w:tc>
        <w:tc>
          <w:tcPr>
            <w:tcW w:w="3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2,247</w:t>
            </w:r>
          </w:p>
        </w:tc>
      </w:tr>
      <w:tr>
        <w:trPr>
          <w:trHeight w:val="169"/>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from discontinued operations, net of income taxes</w:t>
            </w:r>
          </w:p>
        </w:tc>
        <w:tc>
          <w:tcPr>
            <w:tcW w:w="2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166</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829</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3,586</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660" w:firstLine="8"/>
        <w:spacing w:after="0" w:line="271" w:lineRule="auto"/>
        <w:tabs>
          <w:tab w:leader="none" w:pos="35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ABOUT FAIR VALUE OF FINANCIAL INSTRUMENTS</w:t>
      </w:r>
    </w:p>
    <w:p>
      <w:pPr>
        <w:spacing w:after="0" w:line="68" w:lineRule="exact"/>
        <w:rPr>
          <w:sz w:val="20"/>
          <w:szCs w:val="20"/>
          <w:color w:val="auto"/>
        </w:rPr>
      </w:pPr>
    </w:p>
    <w:p>
      <w:pPr>
        <w:ind w:right="40" w:firstLine="297"/>
        <w:spacing w:after="0" w:line="246" w:lineRule="auto"/>
        <w:rPr>
          <w:sz w:val="20"/>
          <w:szCs w:val="20"/>
          <w:color w:val="auto"/>
        </w:rPr>
      </w:pPr>
      <w:r>
        <w:rPr>
          <w:rFonts w:ascii="Arial" w:cs="Arial" w:eastAsia="Arial" w:hAnsi="Arial"/>
          <w:sz w:val="18"/>
          <w:szCs w:val="18"/>
          <w:color w:val="auto"/>
        </w:rPr>
        <w:t>The carrying amounts reported in the balance sheet for cash and cash equivalents approximate fair value due to the short-maturity of these instruments.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40" w:firstLine="300"/>
        <w:spacing w:after="0"/>
        <w:rPr>
          <w:sz w:val="20"/>
          <w:szCs w:val="20"/>
          <w:color w:val="auto"/>
        </w:rPr>
      </w:pPr>
      <w:r>
        <w:rPr>
          <w:rFonts w:ascii="Arial" w:cs="Arial" w:eastAsia="Arial" w:hAnsi="Arial"/>
          <w:sz w:val="18"/>
          <w:szCs w:val="18"/>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that the fair value of the assets would not differ significantly from the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6" w:lineRule="exact"/>
        <w:rPr>
          <w:sz w:val="20"/>
          <w:szCs w:val="20"/>
          <w:color w:val="auto"/>
        </w:rPr>
      </w:pPr>
    </w:p>
    <w:p>
      <w:pPr>
        <w:ind w:right="140" w:firstLine="297"/>
        <w:spacing w:after="0" w:line="239" w:lineRule="auto"/>
        <w:rPr>
          <w:sz w:val="20"/>
          <w:szCs w:val="20"/>
          <w:color w:val="auto"/>
        </w:rPr>
      </w:pPr>
      <w:r>
        <w:rPr>
          <w:rFonts w:ascii="Arial" w:cs="Arial" w:eastAsia="Arial" w:hAnsi="Arial"/>
          <w:sz w:val="18"/>
          <w:szCs w:val="18"/>
          <w:color w:val="auto"/>
        </w:rPr>
        <w:t>The Company accrues amounts it believes are adequate to address any liabilities related to litigation that the Company believes will result in a probable loss. However, the ultimate resolution of such matters is always uncertain. It is possible that litigation or other proceedings brought against the Company could have a material adverse impact on its financial condition and results of operations. The total amount accrued for probable losses at October 31, 2005 was insignificant.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 AND INDEMNIFICATION AGREEMENTS</w:t>
      </w:r>
    </w:p>
    <w:p>
      <w:pPr>
        <w:spacing w:after="0" w:line="126" w:lineRule="exact"/>
        <w:rPr>
          <w:sz w:val="20"/>
          <w:szCs w:val="20"/>
          <w:color w:val="auto"/>
        </w:rPr>
      </w:pPr>
    </w:p>
    <w:p>
      <w:pPr>
        <w:ind w:right="180" w:firstLine="297"/>
        <w:spacing w:after="0" w:line="238" w:lineRule="auto"/>
        <w:rPr>
          <w:sz w:val="20"/>
          <w:szCs w:val="20"/>
          <w:color w:val="auto"/>
        </w:rPr>
      </w:pPr>
      <w:r>
        <w:rPr>
          <w:rFonts w:ascii="Arial" w:cs="Arial" w:eastAsia="Arial" w:hAnsi="Arial"/>
          <w:sz w:val="18"/>
          <w:szCs w:val="18"/>
          <w:color w:val="auto"/>
        </w:rPr>
        <w:t>The Company has applied the measurement and disclosure provisions of FIN 45, “Guarantor’s Accounting and Disclosure Requirements for Guarantees, Including Indirect Guarantees of the Indebtedness of Others,” agreements that contain guarantee and certain indemnification clauses. FIN 45 requires that upon issuance of a guarantee, the guarantor must disclose and recognize a liability for the fair value of the obligation it assumes under the guarantee. As of October 31, 2005 and 2004, the Company did not have any material guarantees that were issued or modified subsequent to October 31, 2002.</w:t>
      </w:r>
    </w:p>
    <w:p>
      <w:pPr>
        <w:spacing w:after="0" w:line="95"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However, 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 explicitly stated and, as a result, the maximum potential amount of future payments the Company could be required to make under these arrangements is not determinable.</w:t>
      </w:r>
    </w:p>
    <w:p>
      <w:pPr>
        <w:spacing w:after="0" w:line="100" w:lineRule="exact"/>
        <w:rPr>
          <w:sz w:val="20"/>
          <w:szCs w:val="20"/>
          <w:color w:val="auto"/>
        </w:rPr>
      </w:pPr>
    </w:p>
    <w:p>
      <w:pPr>
        <w:ind w:right="40" w:firstLine="290"/>
        <w:spacing w:after="0" w:line="238"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6" w:lineRule="exact"/>
        <w:rPr>
          <w:sz w:val="20"/>
          <w:szCs w:val="20"/>
          <w:color w:val="auto"/>
        </w:rPr>
      </w:pPr>
    </w:p>
    <w:p>
      <w:pPr>
        <w:ind w:right="120" w:firstLine="300"/>
        <w:spacing w:after="0" w:line="234" w:lineRule="auto"/>
        <w:rPr>
          <w:sz w:val="20"/>
          <w:szCs w:val="20"/>
          <w:color w:val="auto"/>
        </w:rPr>
      </w:pPr>
      <w:r>
        <w:rPr>
          <w:rFonts w:ascii="Arial" w:cs="Arial" w:eastAsia="Arial" w:hAnsi="Arial"/>
          <w:sz w:val="18"/>
          <w:szCs w:val="18"/>
          <w:color w:val="auto"/>
        </w:rPr>
        <w:t>On November 1, 2005, the Company acquired the customer contracts of Brandywine Building Services, Inc., a facility services company based in Wilmington, Delaware, for approximately $3.6 million in cash. Additional cash consideration of approximately $2.4 million is expected to be paid based on the financial performance of the acquired business over the next four years. With annual revenues in excess of</w:t>
      </w:r>
    </w:p>
    <w:p>
      <w:pPr>
        <w:spacing w:after="0" w:line="2"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$9.0 million, Brandywine Building Services, Inc. is a provider of commercial office cleaning and specialty cleaning services throughout Delaware, southeast Pennsylvania and south New Jersey.</w:t>
      </w:r>
    </w:p>
    <w:p>
      <w:pPr>
        <w:spacing w:after="0" w:line="89" w:lineRule="exact"/>
        <w:rPr>
          <w:sz w:val="20"/>
          <w:szCs w:val="20"/>
          <w:color w:val="auto"/>
        </w:rPr>
      </w:pPr>
    </w:p>
    <w:p>
      <w:pPr>
        <w:jc w:val="both"/>
        <w:ind w:right="40" w:firstLine="300"/>
        <w:spacing w:after="0" w:line="239" w:lineRule="auto"/>
        <w:rPr>
          <w:sz w:val="20"/>
          <w:szCs w:val="20"/>
          <w:color w:val="auto"/>
        </w:rPr>
      </w:pPr>
      <w:r>
        <w:rPr>
          <w:rFonts w:ascii="Arial" w:cs="Arial" w:eastAsia="Arial" w:hAnsi="Arial"/>
          <w:sz w:val="18"/>
          <w:szCs w:val="18"/>
          <w:color w:val="auto"/>
        </w:rPr>
        <w:t>On November 27, 2005, the Company acquired the customer contracts of Fargo Security, Inc., a security guard services company based in Miami, Florida, for approximately $1.2 million in cash. Additional cash consideration of approximately $0.5 million is expected to be paid based on the revenue retained by the acquired business over the 90 days following the date of acquisition. With annual revenues in excess of $6.5 million, Fargo Security, Inc. is a provider of contract security guard services throughout the Miami metropolitan area.</w:t>
      </w:r>
    </w:p>
    <w:p>
      <w:pPr>
        <w:spacing w:after="0" w:line="94" w:lineRule="exact"/>
        <w:rPr>
          <w:sz w:val="20"/>
          <w:szCs w:val="20"/>
          <w:color w:val="auto"/>
        </w:rPr>
      </w:pPr>
    </w:p>
    <w:p>
      <w:pPr>
        <w:ind w:right="440" w:firstLine="300"/>
        <w:spacing w:after="0" w:line="246" w:lineRule="auto"/>
        <w:rPr>
          <w:sz w:val="20"/>
          <w:szCs w:val="20"/>
          <w:color w:val="auto"/>
        </w:rPr>
      </w:pPr>
      <w:r>
        <w:rPr>
          <w:rFonts w:ascii="Arial" w:cs="Arial" w:eastAsia="Arial" w:hAnsi="Arial"/>
          <w:sz w:val="18"/>
          <w:szCs w:val="18"/>
          <w:color w:val="auto"/>
        </w:rPr>
        <w:t>On December 11, 2005, the Company acquired the customer contracts of MWS Management, Inc., dba Protector Security Services, a security guard services company based in St. Louis, Missouri, for approximately $0.6 million in cash. Additional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consideration of approximately $ 0.3 million is expected to be paid based on the revenue retained by the acquired business over the 90 days following the date of acquisition. With annual revenues in excess of $2.6 million, Protector Security Services is a provider of contract security guard services throughout the St. Louis metropolitan area.</w:t>
      </w:r>
    </w:p>
    <w:p>
      <w:pPr>
        <w:spacing w:after="0" w:line="95" w:lineRule="exact"/>
        <w:rPr>
          <w:sz w:val="20"/>
          <w:szCs w:val="20"/>
          <w:color w:val="auto"/>
        </w:rPr>
      </w:pPr>
    </w:p>
    <w:p>
      <w:pPr>
        <w:ind w:right="240" w:firstLine="300"/>
        <w:spacing w:after="0"/>
        <w:rPr>
          <w:sz w:val="20"/>
          <w:szCs w:val="20"/>
          <w:color w:val="auto"/>
        </w:rPr>
      </w:pPr>
      <w:r>
        <w:rPr>
          <w:rFonts w:ascii="Arial" w:cs="Arial" w:eastAsia="Arial" w:hAnsi="Arial"/>
          <w:sz w:val="18"/>
          <w:szCs w:val="18"/>
          <w:color w:val="auto"/>
        </w:rPr>
        <w:t>In February 2006, the Company agreed to settle certain litigation and other claims that were pending at October 31, 2005. Because the settlements occurred before the 2005 financial statements were issued, this amount was subsequently accrued for as of October 31, 2005 in the aggregate amount of $7.8 million. The foregoing amount does not take into account recoveries, if any, from insurance carriers.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6" w:lineRule="exact"/>
        <w:rPr>
          <w:sz w:val="20"/>
          <w:szCs w:val="20"/>
          <w:color w:val="auto"/>
        </w:rPr>
      </w:pPr>
    </w:p>
    <w:p>
      <w:pPr>
        <w:ind w:right="60" w:firstLine="300"/>
        <w:spacing w:after="0" w:line="239" w:lineRule="auto"/>
        <w:rPr>
          <w:sz w:val="20"/>
          <w:szCs w:val="20"/>
          <w:color w:val="auto"/>
        </w:rPr>
      </w:pPr>
      <w:r>
        <w:rPr>
          <w:rFonts w:ascii="Arial" w:cs="Arial" w:eastAsia="Arial" w:hAnsi="Arial"/>
          <w:sz w:val="18"/>
          <w:szCs w:val="18"/>
          <w:color w:val="auto"/>
        </w:rPr>
        <w:t>Under SFAS No. 131, “Disclosures about Segments of an Enterprise and Related Information,” segment information is presented under the management approach. The management approach designates the internal organization that is used by management for making operating decisions and assessing performance as the source of the Company’s reportable segments. SFAS No. 131 also requires disclosures about products and services, geographic areas and major customers.</w:t>
      </w:r>
    </w:p>
    <w:p>
      <w:pPr>
        <w:spacing w:after="0" w:line="94" w:lineRule="exact"/>
        <w:rPr>
          <w:sz w:val="20"/>
          <w:szCs w:val="20"/>
          <w:color w:val="auto"/>
        </w:rPr>
      </w:pPr>
    </w:p>
    <w:p>
      <w:pPr>
        <w:ind w:right="100" w:firstLine="297"/>
        <w:spacing w:after="0" w:line="236" w:lineRule="auto"/>
        <w:rPr>
          <w:sz w:val="20"/>
          <w:szCs w:val="20"/>
          <w:color w:val="auto"/>
        </w:rPr>
      </w:pPr>
      <w:r>
        <w:rPr>
          <w:rFonts w:ascii="Arial" w:cs="Arial" w:eastAsia="Arial" w:hAnsi="Arial"/>
          <w:sz w:val="18"/>
          <w:szCs w:val="18"/>
          <w:color w:val="auto"/>
        </w:rPr>
        <w:t>The Company is currently organized into five separate operating segments. Under the criteria of SFAS No. 131, Janitorial, Parking, Security, Engineering, and Lighting are reportable segments. On November 1, 2004, Facility Services merged with Engineering. The operating results of Facility Services for the prior period have been reclassified to Engineering from the Other segment for comparative purposes. The operating results of Mechanical, also previously included in the Other segment, and Elevator are reported separately under discontinued operations and are excluded from the table below. (See Note 12.) As a result of the reclassifications of Facility Services and Mechanical, the Other segment no longer exists. All segments are distinct business units. They are managed separately because of their unique services, technology and marketing requirements. Nearly 100% of the operations and related sales are within the United States and no single customer accounts for more than 5% of sales.</w:t>
      </w:r>
    </w:p>
    <w:p>
      <w:pPr>
        <w:spacing w:after="0" w:line="100" w:lineRule="exact"/>
        <w:rPr>
          <w:sz w:val="20"/>
          <w:szCs w:val="20"/>
          <w:color w:val="auto"/>
        </w:rPr>
      </w:pPr>
    </w:p>
    <w:p>
      <w:pPr>
        <w:ind w:right="20" w:firstLine="300"/>
        <w:spacing w:after="0" w:line="237" w:lineRule="auto"/>
        <w:rPr>
          <w:sz w:val="20"/>
          <w:szCs w:val="20"/>
          <w:color w:val="auto"/>
        </w:rPr>
      </w:pPr>
      <w:r>
        <w:rPr>
          <w:rFonts w:ascii="Arial" w:cs="Arial" w:eastAsia="Arial" w:hAnsi="Arial"/>
          <w:sz w:val="18"/>
          <w:szCs w:val="18"/>
          <w:color w:val="auto"/>
        </w:rPr>
        <w:t>Corporate expenses are not allocated. The unallocated corporate expenses include the $ 5.5 million reduction of insurance reserves in 2005 and the $17.2 million increase in insurance reserves in 2004. (See Note 2.) While virtually all insurance claims arise from the operating segments, these adjustments were recorded as unallocated corporate expense. Had the Company allocated the insurance charge among the segments, the reported pre-tax operating profits of the segments, as a whole, would have been increased by $5.5 million for 2005 and reduced by $17.2 million for 2004, with an equal and offsetting change to unallocated corporate expenses and therefore no change to consolidated pre-tax earnings.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60" w:type="dxa"/>
            <w:vAlign w:val="bottom"/>
            <w:gridSpan w:val="2"/>
          </w:tcPr>
          <w:p>
            <w:pPr>
              <w:spacing w:after="0" w:line="120" w:lineRule="exact"/>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60"/>
              <w:spacing w:after="0" w:line="120" w:lineRule="exact"/>
              <w:rPr>
                <w:sz w:val="20"/>
                <w:szCs w:val="20"/>
                <w:color w:val="auto"/>
              </w:rPr>
            </w:pPr>
            <w:r>
              <w:rPr>
                <w:rFonts w:ascii="Arial" w:cs="Arial" w:eastAsia="Arial" w:hAnsi="Arial"/>
                <w:sz w:val="13"/>
                <w:szCs w:val="13"/>
                <w:color w:val="auto"/>
              </w:rPr>
              <w:t>Assets Held</w:t>
            </w:r>
          </w:p>
        </w:tc>
        <w:tc>
          <w:tcPr>
            <w:tcW w:w="1080" w:type="dxa"/>
            <w:vAlign w:val="bottom"/>
            <w:gridSpan w:val="3"/>
          </w:tcPr>
          <w:p>
            <w:pPr>
              <w:ind w:left="180"/>
              <w:spacing w:after="0" w:line="120" w:lineRule="exact"/>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64"/>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Year ended October 31, 2005</w:t>
            </w:r>
          </w:p>
        </w:tc>
        <w:tc>
          <w:tcPr>
            <w:tcW w:w="4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3"/>
                <w:szCs w:val="13"/>
                <w:color w:val="auto"/>
                <w:w w:val="92"/>
              </w:rPr>
              <w:t>Janitorial</w:t>
            </w:r>
          </w:p>
        </w:tc>
        <w:tc>
          <w:tcPr>
            <w:tcW w:w="24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3"/>
                <w:szCs w:val="13"/>
                <w:color w:val="auto"/>
                <w:w w:val="95"/>
              </w:rPr>
              <w:t>Parking</w:t>
            </w:r>
          </w:p>
        </w:tc>
        <w:tc>
          <w:tcPr>
            <w:tcW w:w="24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3"/>
                <w:szCs w:val="13"/>
                <w:color w:val="auto"/>
                <w:w w:val="93"/>
              </w:rPr>
              <w:t>Security</w:t>
            </w:r>
          </w:p>
        </w:tc>
        <w:tc>
          <w:tcPr>
            <w:tcW w:w="1040" w:type="dxa"/>
            <w:vAlign w:val="bottom"/>
            <w:gridSpan w:val="2"/>
          </w:tcPr>
          <w:p>
            <w:pPr>
              <w:ind w:left="180"/>
              <w:spacing w:after="0"/>
              <w:rPr>
                <w:sz w:val="20"/>
                <w:szCs w:val="20"/>
                <w:color w:val="auto"/>
              </w:rPr>
            </w:pPr>
            <w:r>
              <w:rPr>
                <w:rFonts w:ascii="Arial" w:cs="Arial" w:eastAsia="Arial" w:hAnsi="Arial"/>
                <w:sz w:val="13"/>
                <w:szCs w:val="13"/>
                <w:color w:val="auto"/>
              </w:rPr>
              <w:t>Engineering</w:t>
            </w:r>
          </w:p>
        </w:tc>
        <w:tc>
          <w:tcPr>
            <w:tcW w:w="26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3"/>
                <w:szCs w:val="13"/>
                <w:color w:val="auto"/>
                <w:w w:val="92"/>
              </w:rPr>
              <w:t>Lighting</w:t>
            </w:r>
          </w:p>
        </w:tc>
        <w:tc>
          <w:tcPr>
            <w:tcW w:w="980" w:type="dxa"/>
            <w:vAlign w:val="bottom"/>
            <w:gridSpan w:val="2"/>
          </w:tcPr>
          <w:p>
            <w:pPr>
              <w:jc w:val="right"/>
              <w:ind w:right="152"/>
              <w:spacing w:after="0"/>
              <w:rPr>
                <w:sz w:val="20"/>
                <w:szCs w:val="20"/>
                <w:color w:val="auto"/>
              </w:rPr>
            </w:pPr>
            <w:r>
              <w:rPr>
                <w:rFonts w:ascii="Arial" w:cs="Arial" w:eastAsia="Arial" w:hAnsi="Arial"/>
                <w:sz w:val="13"/>
                <w:szCs w:val="13"/>
                <w:color w:val="auto"/>
              </w:rPr>
              <w:t>Corporate</w:t>
            </w:r>
          </w:p>
        </w:tc>
        <w:tc>
          <w:tcPr>
            <w:tcW w:w="24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3"/>
                <w:szCs w:val="13"/>
                <w:color w:val="auto"/>
                <w:w w:val="93"/>
              </w:rPr>
              <w:t>For Sale</w:t>
            </w:r>
          </w:p>
        </w:tc>
        <w:tc>
          <w:tcPr>
            <w:tcW w:w="3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Sales and other income</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6"/>
              </w:rPr>
              <w:t>1,525,565</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409,886</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294,299</w:t>
            </w:r>
          </w:p>
        </w:tc>
        <w:tc>
          <w:tcPr>
            <w:tcW w:w="320" w:type="dxa"/>
            <w:vAlign w:val="bottom"/>
            <w:tcBorders>
              <w:top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238,794</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8"/>
              </w:rPr>
              <w:t>116,218</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1,804</w:t>
            </w:r>
          </w:p>
        </w:tc>
        <w:tc>
          <w:tcPr>
            <w:tcW w:w="240" w:type="dxa"/>
            <w:vAlign w:val="bottom"/>
            <w:tcBorders>
              <w:top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2,586,566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Gain on insurance claim</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1,195</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1,195</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6"/>
              </w:rPr>
              <w:t>1,525,565</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409,886</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294,299</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238,794</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8"/>
              </w:rPr>
              <w:t>116,218</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2,999</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2,587,761</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Operating profit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67,754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10,527</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3,089</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14,200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3,805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(35,300)</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64,075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insurance claim</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1,195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(884)</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(884)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Income from continuing operations before income</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64,386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taxes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67,754</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10,527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3,089</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14,200</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3,805</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(34,989)</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Identifiable assets</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398,361</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87,663</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106,451</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50,875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94,904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w w:val="98"/>
              </w:rPr>
              <w:t>165,456</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903,710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5,721</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1,113</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677</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41</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1,567</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4,799</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13,918</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Intangible amortization expense</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3,189</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555</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1,929</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5,673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4,633</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1,367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511</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1,809</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9,352</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17,738</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Year ended October 31, 2004</w:t>
            </w: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Sales and other income</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6"/>
              </w:rPr>
              <w:t>1,442,901</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384,547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224,715</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209,156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98"/>
              </w:rPr>
              <w:t>112,074</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1,756</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2,375,149</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Operating profit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60,574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9,514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9,002</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12,096</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2,822</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(47,996)</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(1,016)</w:t>
            </w: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(1,016)</w:t>
            </w:r>
          </w:p>
        </w:tc>
        <w:tc>
          <w:tcPr>
            <w:tcW w:w="0" w:type="dxa"/>
            <w:vAlign w:val="bottom"/>
          </w:tcPr>
          <w:p>
            <w:pPr>
              <w:spacing w:after="0"/>
              <w:rPr>
                <w:sz w:val="1"/>
                <w:szCs w:val="1"/>
                <w:color w:val="auto"/>
              </w:rPr>
            </w:pPr>
          </w:p>
        </w:tc>
      </w:tr>
      <w:tr>
        <w:trPr>
          <w:trHeight w:val="155"/>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 before income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44,996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taxes</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60,574</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9,514</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9,002</w:t>
            </w:r>
          </w:p>
        </w:tc>
        <w:tc>
          <w:tcPr>
            <w:tcW w:w="3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12,096</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2,822</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(49,012)</w:t>
            </w:r>
          </w:p>
        </w:tc>
        <w:tc>
          <w:tcPr>
            <w:tcW w:w="24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Identifiable assets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383,566</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78,548</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90,627</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38,715</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85,411</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8"/>
              </w:rPr>
              <w:t>151,216</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14,441</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842,524</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Depreciation expense</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5,237</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1,092</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552</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44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1,578</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4,521</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Intangible amortization expense</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2,766</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706</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929</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118</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4,519</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Capital expenditures</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5,795</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1,085</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182</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82</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1,524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2,792</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11,460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October 31, 2003</w:t>
            </w: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Sales and other income</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w w:val="96"/>
              </w:rPr>
              <w:t>1,368,282</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380,576</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159,670</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185,515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w w:val="98"/>
              </w:rPr>
              <w:t>127,539</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785</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2,222,367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profit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53,899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6,238</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6,485</w:t>
            </w:r>
          </w:p>
        </w:tc>
        <w:tc>
          <w:tcPr>
            <w:tcW w:w="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9,571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5,646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(29,205)</w:t>
            </w: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(758)</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(758)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Income from continuing operations before income</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taxes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53,899</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6,238</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6,485</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9,571</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5,646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(29,963)</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Identifiable assets</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363,004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78,185</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35,828</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37,609</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80,211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w w:val="98"/>
              </w:rPr>
              <w:t>197,441</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12,028</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804,306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5,425</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1,368</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268</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89</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1,584</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4,939</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13,673</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60" w:type="dxa"/>
            <w:vAlign w:val="bottom"/>
            <w:gridSpan w:val="2"/>
          </w:tcPr>
          <w:p>
            <w:pPr>
              <w:spacing w:after="0" w:line="155" w:lineRule="exact"/>
              <w:rPr>
                <w:sz w:val="20"/>
                <w:szCs w:val="20"/>
                <w:color w:val="auto"/>
              </w:rPr>
            </w:pPr>
            <w:r>
              <w:rPr>
                <w:rFonts w:ascii="Arial" w:cs="Arial" w:eastAsia="Arial" w:hAnsi="Arial"/>
                <w:sz w:val="14"/>
                <w:szCs w:val="14"/>
                <w:color w:val="auto"/>
              </w:rPr>
              <w:t>Intangible amortization expense</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1,488</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415</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141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3"/>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5,017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1,228</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109</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1,551</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3,607</w:t>
            </w:r>
          </w:p>
        </w:tc>
        <w:tc>
          <w:tcPr>
            <w:tcW w:w="24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11,535</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INFORMATION (UNAUDITED)</w:t>
      </w:r>
    </w:p>
    <w:p>
      <w:pPr>
        <w:spacing w:after="0" w:line="104" w:lineRule="exact"/>
        <w:rPr>
          <w:sz w:val="20"/>
          <w:szCs w:val="20"/>
          <w:color w:val="auto"/>
        </w:rPr>
      </w:pPr>
    </w:p>
    <w:p>
      <w:pPr>
        <w:ind w:right="80" w:firstLine="300"/>
        <w:spacing w:after="0" w:line="238" w:lineRule="auto"/>
        <w:rPr>
          <w:sz w:val="20"/>
          <w:szCs w:val="20"/>
          <w:color w:val="auto"/>
        </w:rPr>
      </w:pPr>
      <w:r>
        <w:rPr>
          <w:rFonts w:ascii="Arial" w:cs="Arial" w:eastAsia="Arial" w:hAnsi="Arial"/>
          <w:sz w:val="18"/>
          <w:szCs w:val="18"/>
          <w:b w:val="1"/>
          <w:bCs w:val="1"/>
          <w:color w:val="auto"/>
        </w:rPr>
        <w:t xml:space="preserve">Restatement of Quarterly Information. </w:t>
      </w:r>
      <w:r>
        <w:rPr>
          <w:rFonts w:ascii="Arial" w:cs="Arial" w:eastAsia="Arial" w:hAnsi="Arial"/>
          <w:sz w:val="18"/>
          <w:szCs w:val="18"/>
          <w:color w:val="auto"/>
        </w:rPr>
        <w:t>The financial statements included in the Company’s Quarterly Reports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ended January 31, 2005, April 30, 2005 and July 31, 2005 have been restated herein to correct accounting errors associated with operations acquired from SSA LLC in 2004 in the Security segment of the Company. These errors primarily involved understatement of cost of goods sold, accrued compensation, accounts payable and other assets and an overstatement of cash and cash equivalents during the first three quarters of 2005 and errors in accounting for the subcontracting arrangement with SSA LLC while certain state operating licenses were being obtained by the Company. The adjustments to correct these accounting errors were as follows: 1) a reduction in cash and cash equivalents of $2.2 million, $3.0 million and $7.0 million as of January 31, 2005, April 30, 2005 and July 31, 2005, respectively, 2) an increase in prepaid expenses and other current assets of $0.2 million as of January 31, 2005 and a reduction of $0.2 million as of April 30, 2005 for overpayments to SSA LLC, 3) an increase in accrued compensation of $2.0 million, $2.9 million and $0.9 million as of January 31, 2005, April 30, 2005 and July 31, 2005, respectively, 4) an increase in payroll and payroll related expenses (which is included in operating expenses and cost of goods sold) of $0.6 million, $2.1 million and $1.8 million for the quarters ended January 31, 2005, April 30, 2005 and July 31, 2005, respectively, and 5) an increase in selling, general &amp; administrative expense to fully reserve the $3.4 million overpayment to SSA LLC for the quarter ended January 31, 2005. The aggregate effect of the adjustments was to reduce the operating profits 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Security segment by $4.0 million in the quarter ended January 31, 2005, $ 2.1 million in the quarter ended April 30, 2005 and $ 1.8 million for the quarter ended July 31, 2005. Of the $4.0 million reduction in the operating profits of the Security segment in the quarter ended January 31, 2005, $2.0 million was a correction of an error attributable to a $2.8 million charge to selling, general and administrative expenses for a reserve provided for the amount the Company believes it overpaid SSA LLC in 2004 in connection with the subcontracting arrangement with SSA LLC and a $0.3 million charge to cost of goods sold to correct the understatement of payroll and payroll related expenses in 2004, partially offset by $1.1 million benefit in cost of goods sold from correcting the overstatement of insurance expense in 2004.</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net effect of these adjustments on income from continuing operations and net income are shown below.</w:t>
      </w:r>
    </w:p>
    <w:p>
      <w:pPr>
        <w:spacing w:after="0" w:line="105"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Net Income Restatement Adjustments (Unaudited)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2"/>
          </w:tcPr>
          <w:p>
            <w:pPr>
              <w:jc w:val="center"/>
              <w:ind w:left="368"/>
              <w:spacing w:after="0"/>
              <w:rPr>
                <w:sz w:val="20"/>
                <w:szCs w:val="20"/>
                <w:color w:val="auto"/>
              </w:rPr>
            </w:pPr>
            <w:r>
              <w:rPr>
                <w:rFonts w:ascii="Arial" w:cs="Arial" w:eastAsia="Arial" w:hAnsi="Arial"/>
                <w:sz w:val="14"/>
                <w:szCs w:val="14"/>
                <w:color w:val="auto"/>
              </w:rPr>
              <w:t>Quarter</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Quarter</w:t>
            </w:r>
          </w:p>
        </w:tc>
        <w:tc>
          <w:tcPr>
            <w:tcW w:w="152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color w:val="auto"/>
              </w:rPr>
              <w:t>Quarter</w:t>
            </w:r>
          </w:p>
        </w:tc>
      </w:tr>
      <w:tr>
        <w:trPr>
          <w:trHeight w:val="162"/>
        </w:trPr>
        <w:tc>
          <w:tcPr>
            <w:tcW w:w="5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right="708"/>
              <w:spacing w:after="0"/>
              <w:rPr>
                <w:sz w:val="20"/>
                <w:szCs w:val="20"/>
                <w:color w:val="auto"/>
              </w:rPr>
            </w:pPr>
            <w:r>
              <w:rPr>
                <w:rFonts w:ascii="Arial" w:cs="Arial" w:eastAsia="Arial" w:hAnsi="Arial"/>
                <w:sz w:val="14"/>
                <w:szCs w:val="14"/>
                <w:color w:val="auto"/>
              </w:rPr>
              <w:t>Ended</w:t>
            </w:r>
          </w:p>
        </w:tc>
        <w:tc>
          <w:tcPr>
            <w:tcW w:w="1780" w:type="dxa"/>
            <w:vAlign w:val="bottom"/>
          </w:tcPr>
          <w:p>
            <w:pPr>
              <w:jc w:val="center"/>
              <w:spacing w:after="0"/>
              <w:rPr>
                <w:sz w:val="20"/>
                <w:szCs w:val="20"/>
                <w:color w:val="auto"/>
              </w:rPr>
            </w:pPr>
            <w:r>
              <w:rPr>
                <w:rFonts w:ascii="Arial" w:cs="Arial" w:eastAsia="Arial" w:hAnsi="Arial"/>
                <w:sz w:val="14"/>
                <w:szCs w:val="14"/>
                <w:color w:val="auto"/>
              </w:rPr>
              <w:t>Ended</w:t>
            </w:r>
          </w:p>
        </w:tc>
        <w:tc>
          <w:tcPr>
            <w:tcW w:w="1520" w:type="dxa"/>
            <w:vAlign w:val="bottom"/>
          </w:tcPr>
          <w:p>
            <w:pPr>
              <w:jc w:val="center"/>
              <w:ind w:left="108"/>
              <w:spacing w:after="0"/>
              <w:rPr>
                <w:sz w:val="20"/>
                <w:szCs w:val="20"/>
                <w:color w:val="auto"/>
              </w:rPr>
            </w:pPr>
            <w:r>
              <w:rPr>
                <w:rFonts w:ascii="Arial" w:cs="Arial" w:eastAsia="Arial" w:hAnsi="Arial"/>
                <w:sz w:val="14"/>
                <w:szCs w:val="14"/>
                <w:color w:val="auto"/>
              </w:rPr>
              <w:t>Ended</w:t>
            </w:r>
          </w:p>
        </w:tc>
      </w:tr>
      <w:tr>
        <w:trPr>
          <w:trHeight w:val="162"/>
        </w:trPr>
        <w:tc>
          <w:tcPr>
            <w:tcW w:w="5680" w:type="dxa"/>
            <w:vAlign w:val="bottom"/>
          </w:tcPr>
          <w:p>
            <w:pPr>
              <w:spacing w:after="0"/>
              <w:rPr>
                <w:sz w:val="14"/>
                <w:szCs w:val="14"/>
                <w:color w:val="auto"/>
              </w:rPr>
            </w:pPr>
          </w:p>
        </w:tc>
        <w:tc>
          <w:tcPr>
            <w:tcW w:w="2440" w:type="dxa"/>
            <w:vAlign w:val="bottom"/>
            <w:gridSpan w:val="2"/>
          </w:tcPr>
          <w:p>
            <w:pPr>
              <w:jc w:val="center"/>
              <w:ind w:left="368"/>
              <w:spacing w:after="0"/>
              <w:rPr>
                <w:sz w:val="20"/>
                <w:szCs w:val="20"/>
                <w:color w:val="auto"/>
              </w:rPr>
            </w:pPr>
            <w:r>
              <w:rPr>
                <w:rFonts w:ascii="Arial" w:cs="Arial" w:eastAsia="Arial" w:hAnsi="Arial"/>
                <w:sz w:val="14"/>
                <w:szCs w:val="14"/>
                <w:color w:val="auto"/>
              </w:rPr>
              <w:t>January 31,</w:t>
            </w:r>
          </w:p>
        </w:tc>
        <w:tc>
          <w:tcPr>
            <w:tcW w:w="1780" w:type="dxa"/>
            <w:vAlign w:val="bottom"/>
          </w:tcPr>
          <w:p>
            <w:pPr>
              <w:jc w:val="center"/>
              <w:spacing w:after="0"/>
              <w:rPr>
                <w:sz w:val="20"/>
                <w:szCs w:val="20"/>
                <w:color w:val="auto"/>
              </w:rPr>
            </w:pPr>
            <w:r>
              <w:rPr>
                <w:rFonts w:ascii="Arial" w:cs="Arial" w:eastAsia="Arial" w:hAnsi="Arial"/>
                <w:sz w:val="14"/>
                <w:szCs w:val="14"/>
                <w:color w:val="auto"/>
              </w:rPr>
              <w:t>April 30,</w:t>
            </w:r>
          </w:p>
        </w:tc>
        <w:tc>
          <w:tcPr>
            <w:tcW w:w="1520" w:type="dxa"/>
            <w:vAlign w:val="bottom"/>
          </w:tcPr>
          <w:p>
            <w:pPr>
              <w:jc w:val="center"/>
              <w:ind w:left="108"/>
              <w:spacing w:after="0"/>
              <w:rPr>
                <w:sz w:val="20"/>
                <w:szCs w:val="20"/>
                <w:color w:val="auto"/>
              </w:rPr>
            </w:pPr>
            <w:r>
              <w:rPr>
                <w:rFonts w:ascii="Arial" w:cs="Arial" w:eastAsia="Arial" w:hAnsi="Arial"/>
                <w:sz w:val="14"/>
                <w:szCs w:val="14"/>
                <w:color w:val="auto"/>
              </w:rPr>
              <w:t>July 31,</w:t>
            </w:r>
          </w:p>
        </w:tc>
      </w:tr>
      <w:tr>
        <w:trPr>
          <w:trHeight w:val="164"/>
        </w:trPr>
        <w:tc>
          <w:tcPr>
            <w:tcW w:w="5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 thousands)</w:t>
            </w:r>
          </w:p>
        </w:tc>
        <w:tc>
          <w:tcPr>
            <w:tcW w:w="1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28"/>
              <w:spacing w:after="0" w:line="157" w:lineRule="exact"/>
              <w:rPr>
                <w:sz w:val="20"/>
                <w:szCs w:val="20"/>
                <w:color w:val="auto"/>
              </w:rPr>
            </w:pPr>
            <w:r>
              <w:rPr>
                <w:rFonts w:ascii="Arial" w:cs="Arial" w:eastAsia="Arial" w:hAnsi="Arial"/>
                <w:sz w:val="14"/>
                <w:szCs w:val="14"/>
                <w:color w:val="auto"/>
              </w:rPr>
              <w:t>2005</w:t>
            </w:r>
          </w:p>
        </w:tc>
        <w:tc>
          <w:tcPr>
            <w:tcW w:w="17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2005</w:t>
            </w:r>
          </w:p>
        </w:tc>
        <w:tc>
          <w:tcPr>
            <w:tcW w:w="1520" w:type="dxa"/>
            <w:vAlign w:val="bottom"/>
            <w:tcBorders>
              <w:bottom w:val="single" w:sz="8" w:color="auto"/>
            </w:tcBorders>
          </w:tcPr>
          <w:p>
            <w:pPr>
              <w:jc w:val="center"/>
              <w:ind w:left="88"/>
              <w:spacing w:after="0" w:line="157" w:lineRule="exact"/>
              <w:rPr>
                <w:sz w:val="20"/>
                <w:szCs w:val="20"/>
                <w:color w:val="auto"/>
              </w:rPr>
            </w:pPr>
            <w:r>
              <w:rPr>
                <w:rFonts w:ascii="Arial" w:cs="Arial" w:eastAsia="Arial" w:hAnsi="Arial"/>
                <w:sz w:val="14"/>
                <w:szCs w:val="14"/>
                <w:color w:val="auto"/>
              </w:rPr>
              <w:t>2005</w:t>
            </w:r>
          </w:p>
        </w:tc>
      </w:tr>
      <w:tr>
        <w:trPr>
          <w:trHeight w:val="162"/>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Cost of goods sold</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(600)</w:t>
            </w:r>
          </w:p>
        </w:tc>
        <w:tc>
          <w:tcPr>
            <w:tcW w:w="1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$(2,100)</w:t>
            </w:r>
          </w:p>
        </w:tc>
        <w:tc>
          <w:tcPr>
            <w:tcW w:w="1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$(1,800)</w:t>
            </w: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Selling, general and of administrative expenses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68"/>
              <w:spacing w:after="0"/>
              <w:rPr>
                <w:sz w:val="20"/>
                <w:szCs w:val="20"/>
                <w:color w:val="auto"/>
              </w:rPr>
            </w:pPr>
            <w:r>
              <w:rPr>
                <w:rFonts w:ascii="Arial" w:cs="Arial" w:eastAsia="Arial" w:hAnsi="Arial"/>
                <w:sz w:val="14"/>
                <w:szCs w:val="14"/>
                <w:color w:val="auto"/>
                <w:w w:val="99"/>
              </w:rPr>
              <w:t>(3,400)</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income from continuing operations before income taxes</w:t>
            </w:r>
          </w:p>
        </w:tc>
        <w:tc>
          <w:tcPr>
            <w:tcW w:w="1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99"/>
              </w:rPr>
              <w:t>(4,000)</w:t>
            </w:r>
          </w:p>
        </w:tc>
        <w:tc>
          <w:tcPr>
            <w:tcW w:w="1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(2,100)</w:t>
            </w:r>
          </w:p>
        </w:tc>
        <w:tc>
          <w:tcPr>
            <w:tcW w:w="1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(1,800)</w:t>
            </w:r>
          </w:p>
        </w:tc>
      </w:tr>
      <w:tr>
        <w:trPr>
          <w:trHeight w:val="16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taxes</w:t>
            </w:r>
          </w:p>
        </w:tc>
        <w:tc>
          <w:tcPr>
            <w:tcW w:w="1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99"/>
              </w:rPr>
              <w:t>(1,560)</w:t>
            </w:r>
          </w:p>
        </w:tc>
        <w:tc>
          <w:tcPr>
            <w:tcW w:w="1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(819)</w:t>
            </w: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(702)</w:t>
            </w:r>
          </w:p>
        </w:tc>
      </w:tr>
      <w:tr>
        <w:trPr>
          <w:trHeight w:val="162"/>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decrease in income from continuing operations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99"/>
              </w:rPr>
              <w:t>(2,440)</w:t>
            </w:r>
          </w:p>
        </w:tc>
        <w:tc>
          <w:tcPr>
            <w:tcW w:w="17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$(1,281)</w:t>
            </w:r>
          </w:p>
        </w:tc>
        <w:tc>
          <w:tcPr>
            <w:tcW w:w="15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(1,098)</w:t>
            </w: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decrease in 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99"/>
              </w:rPr>
              <w:t>(2,440)</w:t>
            </w:r>
          </w:p>
        </w:tc>
        <w:tc>
          <w:tcPr>
            <w:tcW w:w="1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$(1,281)</w:t>
            </w: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(1,098)</w:t>
            </w:r>
          </w:p>
        </w:tc>
      </w:tr>
      <w:tr>
        <w:trPr>
          <w:trHeight w:val="21"/>
        </w:trPr>
        <w:tc>
          <w:tcPr>
            <w:tcW w:w="5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net effect of these adjustments on specific balance sheet line items are shown below.</w:t>
      </w:r>
    </w:p>
    <w:p>
      <w:pPr>
        <w:spacing w:after="0" w:line="105"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Balance Sheet Restatement Adjustments (Unaudited)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2"/>
          </w:tcPr>
          <w:p>
            <w:pPr>
              <w:jc w:val="right"/>
              <w:ind w:right="608"/>
              <w:spacing w:after="0"/>
              <w:rPr>
                <w:sz w:val="20"/>
                <w:szCs w:val="20"/>
                <w:color w:val="auto"/>
              </w:rPr>
            </w:pPr>
            <w:r>
              <w:rPr>
                <w:rFonts w:ascii="Arial" w:cs="Arial" w:eastAsia="Arial" w:hAnsi="Arial"/>
                <w:sz w:val="14"/>
                <w:szCs w:val="14"/>
                <w:color w:val="auto"/>
              </w:rPr>
              <w:t>January 31,</w:t>
            </w:r>
          </w:p>
        </w:tc>
        <w:tc>
          <w:tcPr>
            <w:tcW w:w="1960" w:type="dxa"/>
            <w:vAlign w:val="bottom"/>
            <w:tcBorders>
              <w:top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April 30,</w:t>
            </w:r>
          </w:p>
        </w:tc>
        <w:tc>
          <w:tcPr>
            <w:tcW w:w="6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99"/>
              </w:rPr>
              <w:t>July 31,</w:t>
            </w:r>
          </w:p>
        </w:tc>
        <w:tc>
          <w:tcPr>
            <w:tcW w:w="0" w:type="dxa"/>
            <w:vAlign w:val="bottom"/>
          </w:tcPr>
          <w:p>
            <w:pPr>
              <w:spacing w:after="0"/>
              <w:rPr>
                <w:sz w:val="1"/>
                <w:szCs w:val="1"/>
                <w:color w:val="auto"/>
              </w:rPr>
            </w:pPr>
          </w:p>
        </w:tc>
      </w:tr>
      <w:tr>
        <w:trPr>
          <w:trHeight w:val="164"/>
        </w:trPr>
        <w:tc>
          <w:tcPr>
            <w:tcW w:w="47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4"/>
                <w:szCs w:val="14"/>
                <w:color w:val="auto"/>
              </w:rPr>
            </w:pPr>
          </w:p>
        </w:tc>
        <w:tc>
          <w:tcPr>
            <w:tcW w:w="1260" w:type="dxa"/>
            <w:vAlign w:val="bottom"/>
          </w:tcPr>
          <w:p>
            <w:pPr>
              <w:jc w:val="right"/>
              <w:ind w:right="828"/>
              <w:spacing w:after="0" w:line="157" w:lineRule="exact"/>
              <w:rPr>
                <w:sz w:val="20"/>
                <w:szCs w:val="20"/>
                <w:color w:val="auto"/>
              </w:rPr>
            </w:pPr>
            <w:r>
              <w:rPr>
                <w:rFonts w:ascii="Arial" w:cs="Arial" w:eastAsia="Arial" w:hAnsi="Arial"/>
                <w:sz w:val="14"/>
                <w:szCs w:val="14"/>
                <w:color w:val="auto"/>
              </w:rPr>
              <w:t>2005</w:t>
            </w:r>
          </w:p>
        </w:tc>
        <w:tc>
          <w:tcPr>
            <w:tcW w:w="780" w:type="dxa"/>
            <w:vAlign w:val="bottom"/>
          </w:tcPr>
          <w:p>
            <w:pPr>
              <w:spacing w:after="0"/>
              <w:rPr>
                <w:sz w:val="14"/>
                <w:szCs w:val="14"/>
                <w:color w:val="auto"/>
              </w:rPr>
            </w:pPr>
          </w:p>
        </w:tc>
        <w:tc>
          <w:tcPr>
            <w:tcW w:w="1180" w:type="dxa"/>
            <w:vAlign w:val="bottom"/>
          </w:tcPr>
          <w:p>
            <w:pPr>
              <w:jc w:val="right"/>
              <w:ind w:right="728"/>
              <w:spacing w:after="0" w:line="157"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1020" w:type="dxa"/>
            <w:vAlign w:val="bottom"/>
          </w:tcPr>
          <w:p>
            <w:pPr>
              <w:jc w:val="right"/>
              <w:ind w:right="528"/>
              <w:spacing w:after="0" w:line="157"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7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28"/>
              <w:spacing w:after="0"/>
              <w:rPr>
                <w:sz w:val="20"/>
                <w:szCs w:val="20"/>
                <w:color w:val="auto"/>
              </w:rPr>
            </w:pPr>
            <w:r>
              <w:rPr>
                <w:rFonts w:ascii="Arial" w:cs="Arial" w:eastAsia="Arial" w:hAnsi="Arial"/>
                <w:sz w:val="14"/>
                <w:szCs w:val="14"/>
                <w:color w:val="auto"/>
              </w:rPr>
              <w:t>(2,200)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(3,000)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7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200</w:t>
            </w:r>
          </w:p>
        </w:tc>
        <w:tc>
          <w:tcPr>
            <w:tcW w:w="7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(200)</w:t>
            </w:r>
          </w:p>
        </w:tc>
        <w:tc>
          <w:tcPr>
            <w:tcW w:w="6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color w:val="auto"/>
              </w:rPr>
              <w:t>Total assets adjustment</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28"/>
              <w:spacing w:after="0"/>
              <w:rPr>
                <w:sz w:val="20"/>
                <w:szCs w:val="20"/>
                <w:color w:val="auto"/>
              </w:rPr>
            </w:pPr>
            <w:r>
              <w:rPr>
                <w:rFonts w:ascii="Arial" w:cs="Arial" w:eastAsia="Arial" w:hAnsi="Arial"/>
                <w:sz w:val="14"/>
                <w:szCs w:val="14"/>
                <w:color w:val="auto"/>
              </w:rPr>
              <w:t>(2,000)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(3,200)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28"/>
              <w:spacing w:after="0"/>
              <w:rPr>
                <w:sz w:val="20"/>
                <w:szCs w:val="20"/>
                <w:color w:val="auto"/>
              </w:rPr>
            </w:pPr>
            <w:r>
              <w:rPr>
                <w:rFonts w:ascii="Arial" w:cs="Arial" w:eastAsia="Arial" w:hAnsi="Arial"/>
                <w:sz w:val="14"/>
                <w:szCs w:val="14"/>
                <w:color w:val="auto"/>
              </w:rPr>
              <w:t>(1,560)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(2,379)</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17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2,000</w:t>
            </w: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2,900</w:t>
            </w: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17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(2,440)</w:t>
            </w:r>
          </w:p>
        </w:tc>
        <w:tc>
          <w:tcPr>
            <w:tcW w:w="7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(3,721)</w:t>
            </w:r>
          </w:p>
        </w:tc>
        <w:tc>
          <w:tcPr>
            <w:tcW w:w="6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 adjustment</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28"/>
              <w:spacing w:after="0"/>
              <w:rPr>
                <w:sz w:val="20"/>
                <w:szCs w:val="20"/>
                <w:color w:val="auto"/>
              </w:rPr>
            </w:pPr>
            <w:r>
              <w:rPr>
                <w:rFonts w:ascii="Arial" w:cs="Arial" w:eastAsia="Arial" w:hAnsi="Arial"/>
                <w:sz w:val="14"/>
                <w:szCs w:val="14"/>
                <w:color w:val="auto"/>
              </w:rPr>
              <w:t>(2,000)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(3,200)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60" w:type="dxa"/>
            <w:vAlign w:val="bottom"/>
            <w:tcBorders>
              <w:top w:val="single" w:sz="8" w:color="auto"/>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items, as reported (unaudited)</w:t>
            </w:r>
          </w:p>
        </w:tc>
        <w:tc>
          <w:tcPr>
            <w:tcW w:w="1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rPr>
              <w:t>62,975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52,513</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43,202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46,529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46,177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44,959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w w:val="98"/>
              </w:rPr>
              <w:t>874,904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871,930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8"/>
              </w:rPr>
              <w:t>877,354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12,353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2,674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3,263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rPr>
              <w:t>65,003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62,004</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64,071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98"/>
              </w:rPr>
              <w:t>330,999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336,295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98"/>
              </w:rPr>
              <w:t>366,994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w w:val="98"/>
              </w:rPr>
              <w:t>874,904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871,930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8"/>
              </w:rPr>
              <w:t>877,354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items, as restated (unaudited)</w:t>
            </w:r>
          </w:p>
        </w:tc>
        <w:tc>
          <w:tcPr>
            <w:tcW w:w="1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rPr>
              <w:t>60,775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49,513</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36,202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46,729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45,977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44,959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w w:val="98"/>
              </w:rPr>
              <w:t>872,904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868,730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8"/>
              </w:rPr>
              <w:t>870,354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10,793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295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rPr>
              <w:t>67,003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64,904</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64,971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98"/>
              </w:rPr>
              <w:t>328,559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332,574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98"/>
              </w:rPr>
              <w:t>362,175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68"/>
              <w:spacing w:after="0"/>
              <w:rPr>
                <w:sz w:val="20"/>
                <w:szCs w:val="20"/>
                <w:color w:val="auto"/>
              </w:rPr>
            </w:pPr>
            <w:r>
              <w:rPr>
                <w:rFonts w:ascii="Arial" w:cs="Arial" w:eastAsia="Arial" w:hAnsi="Arial"/>
                <w:sz w:val="14"/>
                <w:szCs w:val="14"/>
                <w:color w:val="auto"/>
                <w:w w:val="98"/>
              </w:rPr>
              <w:t>872,904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68"/>
              <w:spacing w:after="0"/>
              <w:rPr>
                <w:sz w:val="20"/>
                <w:szCs w:val="20"/>
                <w:color w:val="auto"/>
              </w:rPr>
            </w:pPr>
            <w:r>
              <w:rPr>
                <w:rFonts w:ascii="Arial" w:cs="Arial" w:eastAsia="Arial" w:hAnsi="Arial"/>
                <w:sz w:val="14"/>
                <w:szCs w:val="14"/>
                <w:color w:val="auto"/>
              </w:rPr>
              <w:t>868,730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8"/>
              </w:rPr>
              <w:t>870,354</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quarterly information for the three years ended October 31, 2005, 2004 and 2003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Fiscal Quarter</w:t>
            </w: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First</w:t>
            </w:r>
          </w:p>
        </w:tc>
        <w:tc>
          <w:tcPr>
            <w:tcW w:w="19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Second</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Third</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Fourth</w:t>
            </w: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ind w:right="1080"/>
        <w:spacing w:after="0" w:line="274" w:lineRule="auto"/>
        <w:rPr>
          <w:sz w:val="20"/>
          <w:szCs w:val="20"/>
          <w:color w:val="auto"/>
        </w:rPr>
      </w:pPr>
      <w:r>
        <w:rPr>
          <w:rFonts w:ascii="Arial" w:cs="Arial" w:eastAsia="Arial" w:hAnsi="Arial"/>
          <w:sz w:val="16"/>
          <w:szCs w:val="16"/>
          <w:b w:val="1"/>
          <w:bCs w:val="1"/>
          <w:color w:val="auto"/>
        </w:rPr>
        <w:t xml:space="preserve">Year ended October 31, 2005, as reported </w:t>
      </w:r>
      <w:r>
        <w:rPr>
          <w:rFonts w:ascii="Arial" w:cs="Arial" w:eastAsia="Arial" w:hAnsi="Arial"/>
          <w:sz w:val="16"/>
          <w:szCs w:val="16"/>
          <w:color w:val="auto"/>
        </w:rPr>
        <w:t>Sales and other income</w:t>
      </w:r>
    </w:p>
    <w:p>
      <w:pPr>
        <w:spacing w:after="0"/>
        <w:rPr>
          <w:sz w:val="20"/>
          <w:szCs w:val="20"/>
          <w:color w:val="auto"/>
        </w:rPr>
      </w:pPr>
      <w:r>
        <w:rPr>
          <w:rFonts w:ascii="Arial" w:cs="Arial" w:eastAsia="Arial" w:hAnsi="Arial"/>
          <w:sz w:val="16"/>
          <w:szCs w:val="16"/>
          <w:color w:val="auto"/>
        </w:rPr>
        <w:t>Gross profit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discontinued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Gain on sale of discontinued operations</w:t>
      </w:r>
    </w:p>
    <w:p>
      <w:pPr>
        <w:spacing w:after="0" w:line="316" w:lineRule="exact"/>
        <w:rPr>
          <w:sz w:val="20"/>
          <w:szCs w:val="20"/>
          <w:color w:val="auto"/>
        </w:rPr>
      </w:pPr>
    </w:p>
    <w:p>
      <w:pPr>
        <w:ind w:left="320" w:right="840" w:hanging="310"/>
        <w:spacing w:after="0" w:line="268" w:lineRule="auto"/>
        <w:rPr>
          <w:sz w:val="20"/>
          <w:szCs w:val="20"/>
          <w:color w:val="auto"/>
        </w:rPr>
      </w:pPr>
      <w:r>
        <w:rPr>
          <w:rFonts w:ascii="Arial" w:cs="Arial" w:eastAsia="Arial" w:hAnsi="Arial"/>
          <w:sz w:val="16"/>
          <w:szCs w:val="16"/>
          <w:color w:val="auto"/>
        </w:rPr>
        <w:t>Net income per common share — Basic Income from continuing operations Income (loss) from discontinued operations Gain on sale of discontinued operations</w:t>
      </w:r>
    </w:p>
    <w:p>
      <w:pPr>
        <w:spacing w:after="0" w:line="286" w:lineRule="exact"/>
        <w:rPr>
          <w:sz w:val="20"/>
          <w:szCs w:val="20"/>
          <w:color w:val="auto"/>
        </w:rPr>
      </w:pPr>
    </w:p>
    <w:p>
      <w:pPr>
        <w:ind w:left="320" w:right="1100" w:hanging="310"/>
        <w:spacing w:after="0" w:line="268" w:lineRule="auto"/>
        <w:rPr>
          <w:sz w:val="20"/>
          <w:szCs w:val="20"/>
          <w:color w:val="auto"/>
        </w:rPr>
      </w:pPr>
      <w:r>
        <w:rPr>
          <w:rFonts w:ascii="Arial" w:cs="Arial" w:eastAsia="Arial" w:hAnsi="Arial"/>
          <w:sz w:val="16"/>
          <w:szCs w:val="16"/>
          <w:color w:val="auto"/>
        </w:rPr>
        <w:t>Net income per common share — Diluted Income from continuing operations Income from discontinued operations Gain on sale of discontinued operations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638,165</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639,555</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650,140</w:t>
            </w:r>
          </w:p>
        </w:tc>
      </w:tr>
      <w:tr>
        <w:trPr>
          <w:trHeight w:val="203"/>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59,308</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62,829</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79,181</w:t>
            </w:r>
          </w:p>
        </w:tc>
      </w:tr>
      <w:tr>
        <w:trPr>
          <w:trHeight w:val="203"/>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8,063</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10,124</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21,692</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(139)</w:t>
            </w:r>
          </w:p>
        </w:tc>
        <w:tc>
          <w:tcPr>
            <w:tcW w:w="4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387</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5"/>
        </w:trPr>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14,221</w:t>
            </w:r>
          </w:p>
        </w:tc>
      </w:tr>
      <w:tr>
        <w:trPr>
          <w:trHeight w:val="210"/>
        </w:trPr>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7,924</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10,511</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35,898</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0"/>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0.16</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0.20</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0.45</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195"/>
        </w:trPr>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0.29</w:t>
            </w:r>
          </w:p>
        </w:tc>
      </w:tr>
      <w:tr>
        <w:trPr>
          <w:trHeight w:val="210"/>
        </w:trPr>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0.16</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0.21</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0"/>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0.16</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0.20</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0.29</w:t>
            </w:r>
          </w:p>
        </w:tc>
      </w:tr>
      <w:tr>
        <w:trPr>
          <w:trHeight w:val="217"/>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0.16</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0.20</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-2327910</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-2070735</wp:posOffset>
            </wp:positionV>
            <wp:extent cx="72466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-1813560</wp:posOffset>
            </wp:positionV>
            <wp:extent cx="72466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-1539240</wp:posOffset>
            </wp:positionV>
            <wp:extent cx="72466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-1238885</wp:posOffset>
            </wp:positionV>
            <wp:extent cx="72466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-981710</wp:posOffset>
            </wp:positionV>
            <wp:extent cx="72466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-664210</wp:posOffset>
            </wp:positionV>
            <wp:extent cx="72466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-407035</wp:posOffset>
            </wp:positionV>
            <wp:extent cx="72466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-132715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20955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260" w:space="720"/>
            <w:col w:w="6440"/>
          </w:cols>
          <w:pgMar w:left="240" w:top="41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Year ended October 31, 2005</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Sales and other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Gross profit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discontinued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Gain on sale of discontinued operations</w:t>
      </w:r>
    </w:p>
    <w:p>
      <w:pPr>
        <w:spacing w:after="0" w:line="302" w:lineRule="exact"/>
        <w:rPr>
          <w:sz w:val="20"/>
          <w:szCs w:val="20"/>
          <w:color w:val="auto"/>
        </w:rPr>
      </w:pPr>
    </w:p>
    <w:p>
      <w:pPr>
        <w:ind w:left="320" w:right="840" w:hanging="310"/>
        <w:spacing w:after="0" w:line="268" w:lineRule="auto"/>
        <w:rPr>
          <w:sz w:val="20"/>
          <w:szCs w:val="20"/>
          <w:color w:val="auto"/>
        </w:rPr>
      </w:pPr>
      <w:r>
        <w:rPr>
          <w:rFonts w:ascii="Arial" w:cs="Arial" w:eastAsia="Arial" w:hAnsi="Arial"/>
          <w:sz w:val="16"/>
          <w:szCs w:val="16"/>
          <w:color w:val="auto"/>
        </w:rPr>
        <w:t>Net income per common share — Basic Income from continuing operations Income (loss) from discontinued operations Gain on sale of discontinued operations</w:t>
      </w:r>
    </w:p>
    <w:p>
      <w:pPr>
        <w:spacing w:after="0" w:line="272" w:lineRule="exact"/>
        <w:rPr>
          <w:sz w:val="20"/>
          <w:szCs w:val="20"/>
          <w:color w:val="auto"/>
        </w:rPr>
      </w:pPr>
    </w:p>
    <w:p>
      <w:pPr>
        <w:ind w:left="320" w:right="1100" w:hanging="310"/>
        <w:spacing w:after="0" w:line="268" w:lineRule="auto"/>
        <w:rPr>
          <w:sz w:val="20"/>
          <w:szCs w:val="20"/>
          <w:color w:val="auto"/>
        </w:rPr>
      </w:pPr>
      <w:r>
        <w:rPr>
          <w:rFonts w:ascii="Arial" w:cs="Arial" w:eastAsia="Arial" w:hAnsi="Arial"/>
          <w:sz w:val="16"/>
          <w:szCs w:val="16"/>
          <w:color w:val="auto"/>
        </w:rPr>
        <w:t>Net income per common share — Diluted Income from continuing operations Income from discontinued operations Gain on sale of discontinued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As restated</w:t>
            </w:r>
          </w:p>
        </w:tc>
        <w:tc>
          <w:tcPr>
            <w:tcW w:w="2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As restated</w:t>
            </w:r>
          </w:p>
        </w:tc>
        <w:tc>
          <w:tcPr>
            <w:tcW w:w="32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As restated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2,586,566</w:t>
            </w:r>
          </w:p>
        </w:tc>
        <w:tc>
          <w:tcPr>
            <w:tcW w:w="0" w:type="dxa"/>
            <w:vAlign w:val="bottom"/>
          </w:tcPr>
          <w:p>
            <w:pPr>
              <w:spacing w:after="0"/>
              <w:rPr>
                <w:sz w:val="1"/>
                <w:szCs w:val="1"/>
                <w:color w:val="auto"/>
              </w:rPr>
            </w:pPr>
          </w:p>
        </w:tc>
      </w:tr>
      <w:tr>
        <w:trPr>
          <w:trHeight w:val="19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638,165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639,555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650,140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658,706</w:t>
            </w:r>
          </w:p>
        </w:tc>
        <w:tc>
          <w:tcPr>
            <w:tcW w:w="2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58,708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60,729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77,381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77,061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273,879</w:t>
            </w:r>
          </w:p>
        </w:tc>
        <w:tc>
          <w:tcPr>
            <w:tcW w:w="0" w:type="dxa"/>
            <w:vAlign w:val="bottom"/>
          </w:tcPr>
          <w:p>
            <w:pPr>
              <w:spacing w:after="0"/>
              <w:rPr>
                <w:sz w:val="1"/>
                <w:szCs w:val="1"/>
                <w:color w:val="auto"/>
              </w:rPr>
            </w:pPr>
          </w:p>
        </w:tc>
      </w:tr>
      <w:tr>
        <w:trPr>
          <w:trHeight w:val="20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5,623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8,843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20,594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8,494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43,554</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387</w:t>
            </w:r>
          </w:p>
        </w:tc>
        <w:tc>
          <w:tcPr>
            <w:tcW w:w="3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207"/>
        </w:trPr>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14,221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14,221</w:t>
            </w: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9,230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34,800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57,941</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0.17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0.88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0.29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0.29</w:t>
            </w: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0.70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0.17</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0.17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0.86</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0.29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0.29</w:t>
            </w: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1.15</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-2203450</wp:posOffset>
            </wp:positionV>
            <wp:extent cx="72466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-1946275</wp:posOffset>
            </wp:positionV>
            <wp:extent cx="72466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-1689100</wp:posOffset>
            </wp:positionV>
            <wp:extent cx="72466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-1379855</wp:posOffset>
            </wp:positionV>
            <wp:extent cx="72466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-1122680</wp:posOffset>
            </wp:positionV>
            <wp:extent cx="724662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-848360</wp:posOffset>
            </wp:positionV>
            <wp:extent cx="72466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-556895</wp:posOffset>
            </wp:positionV>
            <wp:extent cx="72466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-299720</wp:posOffset>
            </wp:positionV>
            <wp:extent cx="72466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419"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Fiscal Quarter</w:t>
            </w: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First</w:t>
            </w: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Second</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Third</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Fourth</w:t>
            </w: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6"/>
          <w:szCs w:val="16"/>
          <w:b w:val="1"/>
          <w:bCs w:val="1"/>
          <w:color w:val="auto"/>
        </w:rPr>
        <w:t>Year ended October 31, 2004</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Sales and other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Gross profit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discontinued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Gain on sale of discontinued operations</w:t>
      </w:r>
    </w:p>
    <w:p>
      <w:pPr>
        <w:spacing w:after="0" w:line="302" w:lineRule="exact"/>
        <w:rPr>
          <w:sz w:val="20"/>
          <w:szCs w:val="20"/>
          <w:color w:val="auto"/>
        </w:rPr>
      </w:pPr>
    </w:p>
    <w:p>
      <w:pPr>
        <w:ind w:left="340" w:right="1380" w:hanging="323"/>
        <w:spacing w:after="0" w:line="268" w:lineRule="auto"/>
        <w:rPr>
          <w:sz w:val="20"/>
          <w:szCs w:val="20"/>
          <w:color w:val="auto"/>
        </w:rPr>
      </w:pPr>
      <w:r>
        <w:rPr>
          <w:rFonts w:ascii="Arial" w:cs="Arial" w:eastAsia="Arial" w:hAnsi="Arial"/>
          <w:sz w:val="16"/>
          <w:szCs w:val="16"/>
          <w:color w:val="auto"/>
        </w:rPr>
        <w:t>Net income per common share — Basic Income from continuing operations Income from discontinued operations Gain on sale of discontinued operations</w:t>
      </w:r>
    </w:p>
    <w:p>
      <w:pPr>
        <w:spacing w:after="0" w:line="272" w:lineRule="exact"/>
        <w:rPr>
          <w:sz w:val="20"/>
          <w:szCs w:val="20"/>
          <w:color w:val="auto"/>
        </w:rPr>
      </w:pPr>
    </w:p>
    <w:p>
      <w:pPr>
        <w:ind w:left="340" w:right="1380" w:hanging="323"/>
        <w:spacing w:after="0" w:line="268" w:lineRule="auto"/>
        <w:rPr>
          <w:sz w:val="20"/>
          <w:szCs w:val="20"/>
          <w:color w:val="auto"/>
        </w:rPr>
      </w:pPr>
      <w:r>
        <w:rPr>
          <w:rFonts w:ascii="Arial" w:cs="Arial" w:eastAsia="Arial" w:hAnsi="Arial"/>
          <w:sz w:val="16"/>
          <w:szCs w:val="16"/>
          <w:color w:val="auto"/>
        </w:rPr>
        <w:t>Net income per common share — Diluted Income from continuing operations Income from discontinued operations Gain on sale of discontinued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October 31, 2003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Sales and other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Gross profit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discontinued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Gain on sale of discontinued operations</w:t>
      </w:r>
    </w:p>
    <w:p>
      <w:pPr>
        <w:spacing w:after="0" w:line="302" w:lineRule="exact"/>
        <w:rPr>
          <w:sz w:val="20"/>
          <w:szCs w:val="20"/>
          <w:color w:val="auto"/>
        </w:rPr>
      </w:pPr>
    </w:p>
    <w:p>
      <w:pPr>
        <w:ind w:left="340" w:right="1380" w:hanging="323"/>
        <w:spacing w:after="0" w:line="268" w:lineRule="auto"/>
        <w:rPr>
          <w:sz w:val="20"/>
          <w:szCs w:val="20"/>
          <w:color w:val="auto"/>
        </w:rPr>
      </w:pPr>
      <w:r>
        <w:rPr>
          <w:rFonts w:ascii="Arial" w:cs="Arial" w:eastAsia="Arial" w:hAnsi="Arial"/>
          <w:sz w:val="16"/>
          <w:szCs w:val="16"/>
          <w:color w:val="auto"/>
        </w:rPr>
        <w:t>Net income per common share — Basic Income from continuing operations Income from discontinued operations Gain on sale of discontinued operations</w:t>
      </w:r>
    </w:p>
    <w:p>
      <w:pPr>
        <w:spacing w:after="0" w:line="272" w:lineRule="exact"/>
        <w:rPr>
          <w:sz w:val="20"/>
          <w:szCs w:val="20"/>
          <w:color w:val="auto"/>
        </w:rPr>
      </w:pPr>
    </w:p>
    <w:p>
      <w:pPr>
        <w:ind w:left="340" w:right="1380" w:hanging="323"/>
        <w:spacing w:after="0" w:line="268" w:lineRule="auto"/>
        <w:rPr>
          <w:sz w:val="20"/>
          <w:szCs w:val="20"/>
          <w:color w:val="auto"/>
        </w:rPr>
      </w:pPr>
      <w:r>
        <w:rPr>
          <w:rFonts w:ascii="Arial" w:cs="Arial" w:eastAsia="Arial" w:hAnsi="Arial"/>
          <w:sz w:val="16"/>
          <w:szCs w:val="16"/>
          <w:color w:val="auto"/>
        </w:rPr>
        <w:t>Net income per common share — Diluted Income from continuing operations Income from discontinued operations Gain on sale of discontinued operations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561,635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580,923</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612,797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619,794</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2,375,149</w:t>
            </w:r>
          </w:p>
        </w:tc>
      </w:tr>
      <w:tr>
        <w:trPr>
          <w:trHeight w:val="20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50,668</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54,175</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64,906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47,763</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217,512</w:t>
            </w:r>
          </w:p>
        </w:tc>
      </w:tr>
      <w:tr>
        <w:trPr>
          <w:trHeight w:val="20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6,152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7,280</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12,896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3,316</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29,644</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183</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252</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334</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829</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0"/>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6,335</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7,340</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13,148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3,650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30,473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0.15</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0.07</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0.61</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0.01</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0.02</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0"/>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0.13</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0.15</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0.08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0.63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0.15</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0.06</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0.59</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0.01</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0.02</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0"/>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0.13</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0.15</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0.61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543,022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552,748</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559,218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567,379</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2,222,367</w:t>
            </w:r>
          </w:p>
        </w:tc>
      </w:tr>
      <w:tr>
        <w:trPr>
          <w:trHeight w:val="20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46,642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54,031</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53,737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60,217</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214,627</w:t>
            </w:r>
          </w:p>
        </w:tc>
      </w:tr>
      <w:tr>
        <w:trPr>
          <w:trHeight w:val="20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4,244</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8,793</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9,729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11,832</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34,598</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663</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823</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1,468</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632</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3,586</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52,736</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52,736</w:t>
            </w:r>
          </w:p>
        </w:tc>
      </w:tr>
      <w:tr>
        <w:trPr>
          <w:trHeight w:val="210"/>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4,907</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9,616</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11,197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65,200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90,920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0.18</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0.24</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0.71</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0.01</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0.03</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0.07</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1.07</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w:t>
            </w:r>
          </w:p>
        </w:tc>
      </w:tr>
      <w:tr>
        <w:trPr>
          <w:trHeight w:val="210"/>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0.10</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0.20</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0.17</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0.24</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0.69</w:t>
            </w:r>
          </w:p>
        </w:tc>
      </w:tr>
      <w:tr>
        <w:trPr>
          <w:trHeight w:val="203"/>
        </w:trPr>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0.01</w:t>
            </w:r>
          </w:p>
        </w:tc>
        <w:tc>
          <w:tcPr>
            <w:tcW w:w="4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4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0.03</w:t>
            </w:r>
          </w:p>
        </w:tc>
        <w:tc>
          <w:tcPr>
            <w:tcW w:w="340" w:type="dxa"/>
            <w:vAlign w:val="bottom"/>
          </w:tcPr>
          <w:p>
            <w:pPr>
              <w:spacing w:after="0"/>
              <w:rPr>
                <w:sz w:val="17"/>
                <w:szCs w:val="17"/>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0.07</w:t>
            </w:r>
          </w:p>
        </w:tc>
      </w:tr>
      <w:tr>
        <w:trPr>
          <w:trHeight w:val="207"/>
        </w:trPr>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w:t>
            </w:r>
          </w:p>
        </w:tc>
      </w:tr>
      <w:tr>
        <w:trPr>
          <w:trHeight w:val="217"/>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0.10</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0.19</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1.31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-4652010</wp:posOffset>
            </wp:positionV>
            <wp:extent cx="72466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-4394835</wp:posOffset>
            </wp:positionV>
            <wp:extent cx="72466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-4137660</wp:posOffset>
            </wp:positionV>
            <wp:extent cx="72466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-3863340</wp:posOffset>
            </wp:positionV>
            <wp:extent cx="72466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-3571875</wp:posOffset>
            </wp:positionV>
            <wp:extent cx="72466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-3314700</wp:posOffset>
            </wp:positionV>
            <wp:extent cx="72466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-3005455</wp:posOffset>
            </wp:positionV>
            <wp:extent cx="72466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-2748280</wp:posOffset>
            </wp:positionV>
            <wp:extent cx="724662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-2473960</wp:posOffset>
            </wp:positionV>
            <wp:extent cx="724662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-2182495</wp:posOffset>
            </wp:positionV>
            <wp:extent cx="72466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-1925320</wp:posOffset>
            </wp:positionV>
            <wp:extent cx="72466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-1667510</wp:posOffset>
            </wp:positionV>
            <wp:extent cx="72466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-1358900</wp:posOffset>
            </wp:positionV>
            <wp:extent cx="72466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-1101725</wp:posOffset>
            </wp:positionV>
            <wp:extent cx="72466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-827405</wp:posOffset>
            </wp:positionV>
            <wp:extent cx="72466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-535940</wp:posOffset>
            </wp:positionV>
            <wp:extent cx="72466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-278765</wp:posOffset>
            </wp:positionV>
            <wp:extent cx="72466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20955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40"/>
          </w:cols>
          <w:pgMar w:left="240" w:top="419" w:right="239" w:bottom="1440" w:gutter="0" w:footer="0" w:header="0"/>
          <w:type w:val="continuous"/>
        </w:sectPr>
      </w:pPr>
    </w:p>
    <w:p>
      <w:pPr>
        <w:spacing w:after="0" w:line="4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920" w:right="660" w:hanging="917"/>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21"/>
          <w:szCs w:val="21"/>
          <w:b w:val="1"/>
          <w:bCs w:val="1"/>
          <w:color w:val="auto"/>
        </w:rPr>
        <w:t>CONTROLS AND PROCEDURES</w:t>
      </w:r>
    </w:p>
    <w:p>
      <w:pPr>
        <w:spacing w:after="0" w:line="108" w:lineRule="exact"/>
        <w:rPr>
          <w:sz w:val="20"/>
          <w:szCs w:val="20"/>
          <w:color w:val="auto"/>
        </w:rPr>
      </w:pPr>
    </w:p>
    <w:p>
      <w:pPr>
        <w:ind w:firstLine="350"/>
        <w:spacing w:after="0" w:line="238"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The Company’s disclosure controls and procedures are designed to provide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assurance that the information required to be disclosed in the reports the Company files or submits under the Securities Exchange Act of 1934 (the “Exchange Act”) is recorded, processed, summarized and reported within the time periods specified in the rules and forms of the Securities Exchange Commission. The Company’s disclosure controls and procedures are also designed to ensure that such information is accumulated and communicated to the Company’s management, including the Company’s principal executive officer and principal financial officer, to allow timely decisions regarding required disclosure. As required by paragraph (b) of Rules 13a-15 and 15d-15 under the Exchange Act, the Company’s principal executive officer and principal financial officer evaluated the Company’s disclosure controls and procedures (as defined in Rules 13a-15(e) and 15d-15(e) of the Exchange Act) as of October 31, 2005, the end of the period covered by this Annual Report 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Form 10-K. Based on this evaluation, these officers concluded that these disclosure controls and procedures were not effective as of October 31, 2005 because of the material weaknesses in internal control over financial reporting pertaining to operations acquired in the Company’s Security segment in March 2004 described below. The deficiencies in internal control over financial reporting that existed with respect to this operation also constituted material weaknesses in the quarters ended January 31, 2005, April 30, 2005 and July 31, 2005 and required the Company to restate its previously issued financial statements for those quarters. Although the Company’s principal executive officer and principal financial officer had earlier concluded that the Company’s disclosure controls and procedures were adequate as of those dates, in light of the determination of the material weaknesses, these officers have now concluded they were not. Further, in response to these material weaknesses, management performed extensive supplemental analyses and other post-closing procedures in preparing its financial statements as of and for the year ended October 31, 2005 to ensure that such financial statements were fairly stated, in all material respects, in accordance with accounting principles generally accepted in the United States of America.</w:t>
      </w:r>
    </w:p>
    <w:p>
      <w:pPr>
        <w:spacing w:after="0" w:line="76" w:lineRule="exact"/>
        <w:rPr>
          <w:sz w:val="20"/>
          <w:szCs w:val="20"/>
          <w:color w:val="auto"/>
        </w:rPr>
      </w:pPr>
    </w:p>
    <w:p>
      <w:pPr>
        <w:ind w:right="160" w:firstLine="300"/>
        <w:spacing w:after="0" w:line="244" w:lineRule="auto"/>
        <w:rPr>
          <w:sz w:val="20"/>
          <w:szCs w:val="20"/>
          <w:color w:val="auto"/>
        </w:rPr>
      </w:pPr>
      <w:r>
        <w:rPr>
          <w:rFonts w:ascii="Arial" w:cs="Arial" w:eastAsia="Arial" w:hAnsi="Arial"/>
          <w:sz w:val="18"/>
          <w:szCs w:val="18"/>
          <w:b w:val="1"/>
          <w:bCs w:val="1"/>
          <w:color w:val="auto"/>
        </w:rPr>
        <w:t xml:space="preserve">b. Management’s Report on Internal Control Over Financial Reporting. </w:t>
      </w:r>
      <w:r>
        <w:rPr>
          <w:rFonts w:ascii="Arial" w:cs="Arial" w:eastAsia="Arial" w:hAnsi="Arial"/>
          <w:sz w:val="18"/>
          <w:szCs w:val="18"/>
          <w:color w:val="auto"/>
        </w:rPr>
        <w:t>The management of the Company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maintaining adequate internal control over financial reporting (as defined in Rules 13a-15(f) and 15d-15(f) of the Exchange Act). The Company’s internal control over financial reporting is designed to provide reasonable assurance, not absolute assurance, regarding the reliability of financial reporting and the preparation of financial statements for external purposes in accordance with accounting principles generally accepted in the United States of America.</w:t>
      </w:r>
    </w:p>
    <w:p>
      <w:pPr>
        <w:spacing w:after="0" w:line="91" w:lineRule="exact"/>
        <w:rPr>
          <w:sz w:val="20"/>
          <w:szCs w:val="20"/>
          <w:color w:val="auto"/>
        </w:rPr>
      </w:pPr>
    </w:p>
    <w:p>
      <w:pPr>
        <w:ind w:right="160" w:firstLine="297"/>
        <w:spacing w:after="0" w:line="237"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180" w:firstLine="3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nor completely eliminate the risk of collusion. Also, projections of any evaluation of effectiveness as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180" w:firstLine="297"/>
        <w:spacing w:after="0"/>
        <w:rPr>
          <w:sz w:val="20"/>
          <w:szCs w:val="20"/>
          <w:color w:val="auto"/>
        </w:rPr>
      </w:pPr>
      <w:r>
        <w:rPr>
          <w:rFonts w:ascii="Arial" w:cs="Arial" w:eastAsia="Arial" w:hAnsi="Arial"/>
          <w:sz w:val="18"/>
          <w:szCs w:val="18"/>
          <w:color w:val="auto"/>
        </w:rPr>
        <w:t>The management of the Company assessed the effectiveness of the Company’s internal control over financial reporting as of October 31, 2005 based upon the framework issued by the Committee of Sponsoring Organizations of the Treadway Commission (“COSO”), Internal Control — Integrated Framework. Based on that assessment, the manage-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ment of the Company identified material weaknesses in the Company’s internal control over financial reporting as discussed below. Therefore, the management of the Company concluded that the Company’s internal control over financial reporting was not effective as of October 31, 2005.</w:t>
      </w:r>
    </w:p>
    <w:p>
      <w:pPr>
        <w:spacing w:after="0" w:line="95" w:lineRule="exact"/>
        <w:rPr>
          <w:sz w:val="20"/>
          <w:szCs w:val="20"/>
          <w:color w:val="auto"/>
        </w:rPr>
      </w:pPr>
    </w:p>
    <w:p>
      <w:pPr>
        <w:ind w:right="280" w:firstLine="297"/>
        <w:spacing w:after="0"/>
        <w:rPr>
          <w:sz w:val="20"/>
          <w:szCs w:val="20"/>
          <w:color w:val="auto"/>
        </w:rPr>
      </w:pPr>
      <w:r>
        <w:rPr>
          <w:rFonts w:ascii="Arial" w:cs="Arial" w:eastAsia="Arial" w:hAnsi="Arial"/>
          <w:sz w:val="18"/>
          <w:szCs w:val="18"/>
          <w:color w:val="auto"/>
        </w:rPr>
        <w:t>The material weaknesses are related to the Company’s controls over and at the operations the Company acquired in March 2004 from Security Services of America, LLC (SSA LLC), included as a subsidiary within the Company’s Security segment (SSA). The deficiencies that constitute the material weaknesses were as follows:</w:t>
      </w:r>
    </w:p>
    <w:p>
      <w:pPr>
        <w:spacing w:after="0" w:line="95" w:lineRule="exact"/>
        <w:rPr>
          <w:sz w:val="20"/>
          <w:szCs w:val="20"/>
          <w:color w:val="auto"/>
        </w:rPr>
      </w:pPr>
    </w:p>
    <w:p>
      <w:pPr>
        <w:ind w:left="460" w:right="20" w:hanging="114"/>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Procedures regarding the preparation and documentation of journal entries were not operating in accordance with the Company’s policies and the review and approval of such journal entries were ineffective.</w:t>
      </w:r>
    </w:p>
    <w:p>
      <w:pPr>
        <w:spacing w:after="0" w:line="102" w:lineRule="exact"/>
        <w:rPr>
          <w:rFonts w:ascii="Arial" w:cs="Arial" w:eastAsia="Arial" w:hAnsi="Arial"/>
          <w:sz w:val="18"/>
          <w:szCs w:val="18"/>
          <w:color w:val="auto"/>
        </w:rPr>
      </w:pPr>
    </w:p>
    <w:p>
      <w:pPr>
        <w:ind w:left="460" w:right="360" w:hanging="114"/>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 reconciliations and account analyses of cash and cash equivalents and accrued liabilities were not prepared and reviewed in accordance with the Company’s policies.</w:t>
      </w:r>
    </w:p>
    <w:p>
      <w:pPr>
        <w:spacing w:after="0" w:line="102" w:lineRule="exact"/>
        <w:rPr>
          <w:rFonts w:ascii="Arial" w:cs="Arial" w:eastAsia="Arial" w:hAnsi="Arial"/>
          <w:sz w:val="18"/>
          <w:szCs w:val="18"/>
          <w:color w:val="auto"/>
        </w:rPr>
      </w:pPr>
    </w:p>
    <w:p>
      <w:pPr>
        <w:ind w:left="460" w:right="160" w:hanging="114"/>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Duties related to preparation of journal entries and account reconciliation and analysis were not appropriately segregated in accordance with the Company’s policies.</w:t>
      </w:r>
    </w:p>
    <w:p>
      <w:pPr>
        <w:spacing w:after="0" w:line="102" w:lineRule="exact"/>
        <w:rPr>
          <w:rFonts w:ascii="Arial" w:cs="Arial" w:eastAsia="Arial" w:hAnsi="Arial"/>
          <w:sz w:val="18"/>
          <w:szCs w:val="18"/>
          <w:color w:val="auto"/>
        </w:rPr>
      </w:pPr>
    </w:p>
    <w:p>
      <w:pPr>
        <w:ind w:left="460" w:right="80" w:hanging="114"/>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procedures to document, review and approve the subcontracting transactions between the Company and SSA LLC were not established.</w:t>
      </w:r>
    </w:p>
    <w:p>
      <w:pPr>
        <w:spacing w:after="0" w:line="102" w:lineRule="exact"/>
        <w:rPr>
          <w:rFonts w:ascii="Arial" w:cs="Arial" w:eastAsia="Arial" w:hAnsi="Arial"/>
          <w:sz w:val="18"/>
          <w:szCs w:val="18"/>
          <w:color w:val="auto"/>
        </w:rPr>
      </w:pPr>
    </w:p>
    <w:p>
      <w:pPr>
        <w:ind w:left="460" w:hanging="11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procedures to segregate SSA LLC’s cash collections and disbursements from those of the Company were not established.</w:t>
      </w:r>
    </w:p>
    <w:p>
      <w:pPr>
        <w:spacing w:after="0" w:line="104" w:lineRule="exact"/>
        <w:rPr>
          <w:sz w:val="20"/>
          <w:szCs w:val="20"/>
          <w:color w:val="auto"/>
        </w:rPr>
      </w:pPr>
    </w:p>
    <w:p>
      <w:pPr>
        <w:ind w:right="520" w:firstLine="300"/>
        <w:spacing w:after="0"/>
        <w:rPr>
          <w:sz w:val="20"/>
          <w:szCs w:val="20"/>
          <w:color w:val="auto"/>
        </w:rPr>
      </w:pPr>
      <w:r>
        <w:rPr>
          <w:rFonts w:ascii="Arial" w:cs="Arial" w:eastAsia="Arial" w:hAnsi="Arial"/>
          <w:sz w:val="18"/>
          <w:szCs w:val="18"/>
          <w:color w:val="auto"/>
        </w:rPr>
        <w:t>In addition, the Company did not have adequate controls over the initial assessment, integration and subsequent monitoring of the employees of SSA, nor did it adequately establish or implement post-acquisition policies and procedures at SSA. This material weakness resulted in the aforementioned material weaknesses not being identified and remediated timely.</w:t>
      </w:r>
    </w:p>
    <w:p>
      <w:pPr>
        <w:spacing w:after="0" w:line="95" w:lineRule="exact"/>
        <w:rPr>
          <w:sz w:val="20"/>
          <w:szCs w:val="20"/>
          <w:color w:val="auto"/>
        </w:rPr>
      </w:pPr>
    </w:p>
    <w:p>
      <w:pPr>
        <w:ind w:right="160" w:firstLine="297"/>
        <w:spacing w:after="0" w:line="239" w:lineRule="auto"/>
        <w:rPr>
          <w:sz w:val="20"/>
          <w:szCs w:val="20"/>
          <w:color w:val="auto"/>
        </w:rPr>
      </w:pPr>
      <w:r>
        <w:rPr>
          <w:rFonts w:ascii="Arial" w:cs="Arial" w:eastAsia="Arial" w:hAnsi="Arial"/>
          <w:sz w:val="18"/>
          <w:szCs w:val="18"/>
          <w:color w:val="auto"/>
        </w:rPr>
        <w:t>The material weaknesses resulted in a material understatement of cost of goods sold, selling, general and administrative expenses, and accrued compensation and a material overstatement of cash and cash equivalents, that required the Company to restate its previously issued financial statements for the quarters ended January 31, 2005, April 30, 2005 and July 31, 2005. Material errors were also identified in the quarter ended October 31, 2005, and these errors were corrected prior to the issuance of the accompanying 2005 financial statements.</w:t>
      </w:r>
    </w:p>
    <w:p>
      <w:pPr>
        <w:spacing w:after="0" w:line="94" w:lineRule="exact"/>
        <w:rPr>
          <w:sz w:val="20"/>
          <w:szCs w:val="20"/>
          <w:color w:val="auto"/>
        </w:rPr>
      </w:pPr>
    </w:p>
    <w:p>
      <w:pPr>
        <w:ind w:right="260" w:firstLine="297"/>
        <w:spacing w:after="0"/>
        <w:rPr>
          <w:sz w:val="20"/>
          <w:szCs w:val="20"/>
          <w:color w:val="auto"/>
        </w:rPr>
      </w:pPr>
      <w:r>
        <w:rPr>
          <w:rFonts w:ascii="Arial" w:cs="Arial" w:eastAsia="Arial" w:hAnsi="Arial"/>
          <w:sz w:val="18"/>
          <w:szCs w:val="18"/>
          <w:color w:val="auto"/>
        </w:rPr>
        <w:t>The Company’s independent registered public accounting firm has issued an auditors’ report on management’s assessment of the Company’s internal control over financial reporting, which is included in Item 8 of this Annual Report on Form 10-K under the caption entitled “Report of Independent Registered Public Accounting Firm.”</w:t>
      </w:r>
    </w:p>
    <w:p>
      <w:pPr>
        <w:spacing w:after="0" w:line="73"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c. Completed and Planned Remediation Actions to Address the Internal Control Weaknesses. </w:t>
      </w:r>
      <w:r>
        <w:rPr>
          <w:rFonts w:ascii="Arial" w:cs="Arial" w:eastAsia="Arial" w:hAnsi="Arial"/>
          <w:sz w:val="18"/>
          <w:szCs w:val="18"/>
          <w:color w:val="auto"/>
        </w:rPr>
        <w:t>The management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believes that the conversion of SSA LLC’s financial systems to the Company’s enterprise-wide financial systems as of July 1, 2005 has already helped in promoting standard documentation controls and procedures. Furthermore, the management of the Company believes that actions taken since October 31, 2005 and actions that will be taken in 2006, along with other improvements yet to be formally identified, will address the material weaknesses in the Company’s internal control over financial reporting noted above. The remediation actions to be taken in connection with the operations acquired from SSA LLC include:</w:t>
      </w:r>
    </w:p>
    <w:p>
      <w:pPr>
        <w:spacing w:after="0" w:line="93" w:lineRule="exact"/>
        <w:rPr>
          <w:sz w:val="20"/>
          <w:szCs w:val="20"/>
          <w:color w:val="auto"/>
        </w:rPr>
      </w:pPr>
    </w:p>
    <w:p>
      <w:pPr>
        <w:ind w:left="460" w:hanging="11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effective secondary review and approval of journal entries and supporting documentation.</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effective secondary review and approval of account reconciliations and analyses.</w:t>
      </w:r>
    </w:p>
    <w:p>
      <w:pPr>
        <w:spacing w:after="0" w:line="117" w:lineRule="exact"/>
        <w:rPr>
          <w:rFonts w:ascii="Arial" w:cs="Arial" w:eastAsia="Arial" w:hAnsi="Arial"/>
          <w:sz w:val="18"/>
          <w:szCs w:val="18"/>
          <w:color w:val="auto"/>
        </w:rPr>
      </w:pPr>
    </w:p>
    <w:p>
      <w:pPr>
        <w:ind w:left="460" w:hanging="11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quarterly review of financial controls checklist and financial statements by internal audit.</w:t>
      </w:r>
    </w:p>
    <w:p>
      <w:pPr>
        <w:spacing w:after="0" w:line="117" w:lineRule="exact"/>
        <w:rPr>
          <w:rFonts w:ascii="Arial" w:cs="Arial" w:eastAsia="Arial" w:hAnsi="Arial"/>
          <w:sz w:val="18"/>
          <w:szCs w:val="18"/>
          <w:color w:val="auto"/>
        </w:rPr>
      </w:pPr>
    </w:p>
    <w:p>
      <w:pPr>
        <w:ind w:left="460" w:right="100" w:hanging="114"/>
        <w:spacing w:after="0" w:line="27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Identification of additional resources, including management personnel from the Company’s other Security operations, to review financial closing, including the review of operational reports used by Regional and Branch personnel in determining customer profitability.</w:t>
      </w:r>
    </w:p>
    <w:p>
      <w:pPr>
        <w:spacing w:after="0" w:line="78" w:lineRule="exact"/>
        <w:rPr>
          <w:rFonts w:ascii="Arial" w:cs="Arial" w:eastAsia="Arial" w:hAnsi="Arial"/>
          <w:sz w:val="17"/>
          <w:szCs w:val="17"/>
          <w:color w:val="auto"/>
        </w:rPr>
      </w:pPr>
    </w:p>
    <w:p>
      <w:pPr>
        <w:ind w:left="460" w:right="60" w:hanging="114"/>
        <w:spacing w:after="0" w:line="24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Evaluation of the accounting personnel requirements for headquarters for the operations acquired from SSA LLC in Morehead City, North Carolina and the Security segment headquarters in Houston, Texas.</w:t>
      </w:r>
    </w:p>
    <w:p>
      <w:pPr>
        <w:spacing w:after="0" w:line="89" w:lineRule="exact"/>
        <w:rPr>
          <w:sz w:val="20"/>
          <w:szCs w:val="20"/>
          <w:color w:val="auto"/>
        </w:rPr>
      </w:pPr>
    </w:p>
    <w:p>
      <w:pPr>
        <w:ind w:right="160" w:firstLine="300"/>
        <w:spacing w:after="0" w:line="246" w:lineRule="auto"/>
        <w:rPr>
          <w:sz w:val="20"/>
          <w:szCs w:val="20"/>
          <w:color w:val="auto"/>
        </w:rPr>
      </w:pPr>
      <w:r>
        <w:rPr>
          <w:rFonts w:ascii="Arial" w:cs="Arial" w:eastAsia="Arial" w:hAnsi="Arial"/>
          <w:sz w:val="18"/>
          <w:szCs w:val="18"/>
          <w:color w:val="auto"/>
        </w:rPr>
        <w:t>While most of the remediation actions were implemented prior to the issuance of the accompanying 2005 financial statements for the year ended October 31, 2005, the material weaknesses will not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be considered fully remediated until the improved internal controls operate for a period of time and, through testing, are deemed to be operating effectively.</w:t>
      </w:r>
    </w:p>
    <w:p>
      <w:pPr>
        <w:spacing w:after="0" w:line="89" w:lineRule="exact"/>
        <w:rPr>
          <w:sz w:val="20"/>
          <w:szCs w:val="20"/>
          <w:color w:val="auto"/>
        </w:rPr>
      </w:pPr>
    </w:p>
    <w:p>
      <w:pPr>
        <w:ind w:right="220" w:firstLine="300"/>
        <w:spacing w:after="0" w:line="246" w:lineRule="auto"/>
        <w:rPr>
          <w:sz w:val="20"/>
          <w:szCs w:val="20"/>
          <w:color w:val="auto"/>
        </w:rPr>
      </w:pPr>
      <w:r>
        <w:rPr>
          <w:rFonts w:ascii="Arial" w:cs="Arial" w:eastAsia="Arial" w:hAnsi="Arial"/>
          <w:sz w:val="18"/>
          <w:szCs w:val="18"/>
          <w:color w:val="auto"/>
        </w:rPr>
        <w:t>In addition to the remediation actions specific to the operations acquired from SSA LLC, outlined above, the Company intends to take the following actions in respect of future acquisitions:</w:t>
      </w:r>
    </w:p>
    <w:p>
      <w:pPr>
        <w:spacing w:after="0" w:line="89" w:lineRule="exact"/>
        <w:rPr>
          <w:sz w:val="20"/>
          <w:szCs w:val="20"/>
          <w:color w:val="auto"/>
        </w:rPr>
      </w:pPr>
    </w:p>
    <w:p>
      <w:pPr>
        <w:ind w:left="460" w:hanging="11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formal integration policies and procedures for accounting, human resources and other administrative processes.</w:t>
      </w:r>
    </w:p>
    <w:p>
      <w:pPr>
        <w:spacing w:after="0" w:line="117" w:lineRule="exact"/>
        <w:rPr>
          <w:rFonts w:ascii="Arial" w:cs="Arial" w:eastAsia="Arial" w:hAnsi="Arial"/>
          <w:sz w:val="18"/>
          <w:szCs w:val="18"/>
          <w:color w:val="auto"/>
        </w:rPr>
      </w:pPr>
    </w:p>
    <w:p>
      <w:pPr>
        <w:ind w:left="460" w:right="80" w:hanging="114"/>
        <w:spacing w:after="0" w:line="27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Adoption of a new Company policy to require conversion of the acquired businesses’ financial systems to the Company’s enterprise-wide general ledger and payroll systems within three months from acquisition. Exceptions will require formal risk assessment and approval.</w:t>
      </w:r>
    </w:p>
    <w:p>
      <w:pPr>
        <w:spacing w:after="0" w:line="78" w:lineRule="exact"/>
        <w:rPr>
          <w:rFonts w:ascii="Arial" w:cs="Arial" w:eastAsia="Arial" w:hAnsi="Arial"/>
          <w:sz w:val="17"/>
          <w:szCs w:val="17"/>
          <w:color w:val="auto"/>
        </w:rPr>
      </w:pPr>
    </w:p>
    <w:p>
      <w:pPr>
        <w:ind w:left="460" w:right="240" w:hanging="11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new Company policy to require conversion of the acquired businesses’ banking systems to the Company’s centrally controlled banking platform within three months of acquisition. Exceptions (current and prospective) will require formal risk assessment and approval.</w:t>
      </w:r>
    </w:p>
    <w:p>
      <w:pPr>
        <w:spacing w:after="0" w:line="73" w:lineRule="exact"/>
        <w:rPr>
          <w:sz w:val="20"/>
          <w:szCs w:val="20"/>
          <w:color w:val="auto"/>
        </w:rPr>
      </w:pPr>
    </w:p>
    <w:p>
      <w:pPr>
        <w:ind w:right="60" w:firstLine="300"/>
        <w:spacing w:after="0" w:line="242" w:lineRule="auto"/>
        <w:rPr>
          <w:sz w:val="20"/>
          <w:szCs w:val="20"/>
          <w:color w:val="auto"/>
        </w:rPr>
      </w:pPr>
      <w:r>
        <w:rPr>
          <w:rFonts w:ascii="Arial" w:cs="Arial" w:eastAsia="Arial" w:hAnsi="Arial"/>
          <w:sz w:val="18"/>
          <w:szCs w:val="18"/>
          <w:b w:val="1"/>
          <w:bCs w:val="1"/>
          <w:color w:val="auto"/>
        </w:rPr>
        <w:t xml:space="preserve">d. Changes in Internal Control Over Financial Reporting. </w:t>
      </w:r>
      <w:r>
        <w:rPr>
          <w:rFonts w:ascii="Arial" w:cs="Arial" w:eastAsia="Arial" w:hAnsi="Arial"/>
          <w:sz w:val="18"/>
          <w:szCs w:val="18"/>
          <w:color w:val="auto"/>
        </w:rPr>
        <w:t>There have been no changes in the Company’s internal control over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during the quarter ended October 31, 2005 that have materially affected, or are reasonably likely to materially affect, the Company’s internal control over financial reporting. As set forth above under “Completed and Planned Remediation Actions to Address the Internal Control Weaknesses,” the Company has implemented a number of changes since October 31, 2005 that it believes have materially improved the Company’s internal control over financial reporting and expects similar improvement from the remediation actions detailed above but not yet implemented.</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21"/>
          <w:szCs w:val="21"/>
          <w:b w:val="1"/>
          <w:bCs w:val="1"/>
          <w:color w:val="auto"/>
        </w:rPr>
        <w:t>OTHER INFORMATION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AND EXECUTIVE OFFICERS OF THE REGISTRANT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regarding ABM’s executive officers is included in Part I under “Executive Officers of the Registrant.”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directors of ABM as of March 27, 2006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40" w:type="dxa"/>
            <w:vAlign w:val="bottom"/>
          </w:tcPr>
          <w:p>
            <w:pPr>
              <w:ind w:left="2460"/>
              <w:spacing w:after="0"/>
              <w:rPr>
                <w:sz w:val="20"/>
                <w:szCs w:val="20"/>
                <w:color w:val="auto"/>
              </w:rPr>
            </w:pPr>
            <w:r>
              <w:rPr>
                <w:rFonts w:ascii="Arial" w:cs="Arial" w:eastAsia="Arial" w:hAnsi="Arial"/>
                <w:sz w:val="14"/>
                <w:szCs w:val="14"/>
                <w:b w:val="1"/>
                <w:bCs w:val="1"/>
                <w:color w:val="auto"/>
              </w:rPr>
              <w:t>Position, Principal Occupation,</w:t>
            </w:r>
          </w:p>
        </w:tc>
      </w:tr>
      <w:tr>
        <w:trPr>
          <w:trHeight w:val="175"/>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Age</w:t>
            </w:r>
          </w:p>
        </w:tc>
        <w:tc>
          <w:tcPr>
            <w:tcW w:w="68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Business Experience and Directorships</w:t>
            </w: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Linda L. Chavez</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6840" w:type="dxa"/>
            <w:vAlign w:val="bottom"/>
          </w:tcPr>
          <w:p>
            <w:pPr>
              <w:ind w:left="220"/>
              <w:spacing w:after="0"/>
              <w:rPr>
                <w:sz w:val="20"/>
                <w:szCs w:val="20"/>
                <w:color w:val="auto"/>
              </w:rPr>
            </w:pPr>
            <w:r>
              <w:rPr>
                <w:rFonts w:ascii="Arial" w:cs="Arial" w:eastAsia="Arial" w:hAnsi="Arial"/>
                <w:sz w:val="18"/>
                <w:szCs w:val="18"/>
                <w:color w:val="auto"/>
              </w:rPr>
              <w:t>Chairman of the Center for Equal Opportunity since January 2006; founder and</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of the Center for Equal Opportunity from January 1995 through</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December 2005; radio talk host for WMET since December 2003; author and</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nationally syndicated columnist and television commentator. Also a director of</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Pilgrim’s Pride Corporation. ABM director since 1997.</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Luke S. Helms</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62</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Managing Director, Sonata Capital Group, a privately-owned registered investment</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advisory firm since June 2000; Vice Chairman of KeyBank from April 1998 to</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March 2000; Vice Chairman of BankAmerica Corporation and Bank of America</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NT&amp;SA from May 1993 to October 1996. ABM director since 1995.</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Maryellen C. Herringer</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62</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Chairman of the Board since March 2006; attorney-at-law; Executive Vice</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&amp; General Counsel of APL Limited, an international provider of transport</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and logistics services, from March 1995 to December 1997; Senior Vice</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&amp; General Counsel of APL Limited from July 1991 to March 1995. Also a</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director of Golden West Financial Corporation; World Savings Bank, a wholly-</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owned subsidiary of Golden West Financial Corporation; PG&amp;E Corporation; and</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Pacific Gas &amp; Electric Company, a subsidiary of PG&amp;E Corporation. ABM director</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since 1993.</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Charles T. Horngren</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79</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9"/>
              </w:rPr>
              <w:t>Edmund J. Littlefield Professor of Accounting, Emeritus, Stanford Business School;</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author and consultant. ABM director since 1973.</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Henry L. Kotkins, Jr.</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57</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Chairman &amp; Chief Executive Officer of Skyway Luggage, a privately-held luggage</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manufacturer and distributor, since 1980. Also a director of Cutter &amp; Buck. ABM</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director since 1995.</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Martinn H. Mandles</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65</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Chairman of the Board from December 1997 to March 2006. Retired as an officer</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and employee of ABM in November 2004, after 33 years of employment, including</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service as Chief Administrative Officer from November 1991 to July 2002 and</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Executive Vice President from November 1991 to December 1997. ABM director</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since 1991.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Theodore T. Rosenberg</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97</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Retired as an officer and employee of ABM in December 1989, after 61 years of</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employment, including service as President from 1935 to 1962 and Chairman of</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the Board from 1962 to 1984. ABM director since 1962.</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Henrik C. Slipsager</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&amp; Chief Executive Officer of ABM since November 2000; Executive Vice</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President and President of ABM Janitorial Services from November 1999 to</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October 2000; Senior Vice President and Executive Vice President of ABM</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Janitorial Services from January 1997 to October 1999. ABM director since 2000.</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William W. Steele</w:t>
            </w:r>
          </w:p>
        </w:tc>
        <w:tc>
          <w:tcPr>
            <w:tcW w:w="16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69</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Retired as an officer and employee of ABM in October 2000 after 43 years of</w:t>
            </w:r>
          </w:p>
        </w:tc>
      </w:tr>
      <w:tr>
        <w:trPr>
          <w:trHeight w:val="203"/>
        </w:trPr>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employment, including service as President &amp; Chief Executive Officer from</w:t>
            </w:r>
          </w:p>
        </w:tc>
      </w:tr>
    </w:tbl>
    <w:p>
      <w:pPr>
        <w:ind w:left="4800" w:right="640"/>
        <w:spacing w:after="0" w:line="246" w:lineRule="auto"/>
        <w:rPr>
          <w:sz w:val="20"/>
          <w:szCs w:val="20"/>
          <w:color w:val="auto"/>
        </w:rPr>
      </w:pPr>
      <w:r>
        <w:rPr>
          <w:rFonts w:ascii="Arial" w:cs="Arial" w:eastAsia="Arial" w:hAnsi="Arial"/>
          <w:sz w:val="18"/>
          <w:szCs w:val="18"/>
          <w:color w:val="auto"/>
        </w:rPr>
        <w:t>November 1994 to October 2000. Also a director of Labor Ready, Inc. ABM director since 1988.</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ind w:right="120" w:firstLine="297"/>
        <w:spacing w:after="0" w:line="237" w:lineRule="auto"/>
        <w:rPr>
          <w:sz w:val="20"/>
          <w:szCs w:val="20"/>
          <w:color w:val="auto"/>
        </w:rPr>
      </w:pPr>
      <w:r>
        <w:rPr>
          <w:rFonts w:ascii="Arial" w:cs="Arial" w:eastAsia="Arial" w:hAnsi="Arial"/>
          <w:sz w:val="18"/>
          <w:szCs w:val="18"/>
          <w:color w:val="auto"/>
        </w:rPr>
        <w:t>The Audit Committee of the Board of Directors oversees the corporate financial reporting process and the internal and independent audits of ABM, and ensures that there is effective communication among the Board, management and the independent registered public accountant. The responsibilities of the Audit Committee include: (1) selecting the independent registered public accountant, (2) approving the fees for the independent registered public accountant, (3) ensuring the independence of the independent registered public accountant, (4) overseeing the work of the independent registered public accountant, and (5) reviewing ABM’s system of internal accounting controls. The members of the Audit Committee are: Mr. Horngren, Chair, Mr. Helms, and Ms. Herringer.</w:t>
      </w:r>
    </w:p>
    <w:p>
      <w:pPr>
        <w:spacing w:after="0" w:line="97" w:lineRule="exact"/>
        <w:rPr>
          <w:sz w:val="20"/>
          <w:szCs w:val="20"/>
          <w:color w:val="auto"/>
        </w:rPr>
      </w:pPr>
    </w:p>
    <w:p>
      <w:pPr>
        <w:ind w:right="800" w:firstLine="300"/>
        <w:spacing w:after="0" w:line="234" w:lineRule="auto"/>
        <w:rPr>
          <w:sz w:val="20"/>
          <w:szCs w:val="20"/>
          <w:color w:val="auto"/>
        </w:rPr>
      </w:pPr>
      <w:r>
        <w:rPr>
          <w:rFonts w:ascii="Arial" w:cs="Arial" w:eastAsia="Arial" w:hAnsi="Arial"/>
          <w:sz w:val="18"/>
          <w:szCs w:val="18"/>
          <w:color w:val="auto"/>
        </w:rPr>
        <w:t>Each member of the Audit Committee is independent. In addition, the Board of Directors has determined that each member of the Committee is financially literate and qualifies as an “audit committee financial expert” under the definition set forth in Item 401 of</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Regulation S-K. Mr. Horngren’s expertise stems from his accounting expertise and experience in assessing the performance of companies with respect to the preparation of financial statements, including his experience on the ABM Audit Committee. Mr. Helms’ expertise derives from his experience overseeing the performance of companies in the banking industry with respect to the preparation of financial statements and his experience on the ABM Audit Committee. Ms. Herringer has relevant experience as a partner in the corporate and business law departments at two of the nation’s major corporate law firms in which she advised clients about securities filings, corporate transactions, corporate governance, and other matters. In addition, the internal audit function at APL Limited reported to Ms. Herringer during part of her tenure there.</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Ms. Herringer’s expertise also derives from experience on the ABM Audit Committee and as a member of the audit committee of Golden West Financial Corporation, a publicly held company. She also serves on the Audit Committee of PG&amp;E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6" w:lineRule="exact"/>
        <w:rPr>
          <w:sz w:val="20"/>
          <w:szCs w:val="20"/>
          <w:color w:val="auto"/>
        </w:rPr>
      </w:pPr>
    </w:p>
    <w:p>
      <w:pPr>
        <w:ind w:right="180" w:firstLine="300"/>
        <w:spacing w:after="0" w:line="239" w:lineRule="auto"/>
        <w:rPr>
          <w:sz w:val="20"/>
          <w:szCs w:val="20"/>
          <w:color w:val="auto"/>
        </w:rPr>
      </w:pPr>
      <w:r>
        <w:rPr>
          <w:rFonts w:ascii="Arial" w:cs="Arial" w:eastAsia="Arial" w:hAnsi="Arial"/>
          <w:sz w:val="18"/>
          <w:szCs w:val="18"/>
          <w:color w:val="auto"/>
        </w:rPr>
        <w:t>Section 16(a) of the Exchange Act requires ABM’s directors, officers and persons who own more than 10% of a registered class of ABM’s securities to file reports of ownership and changes in ownership with the Securities and Exchange Commission. Based on a review of the reporting forms and representations of its directors, officers and 10% stockholders, ABM believes that during fiscal 2005 all forms required to be filed under Section 16(a) were filed on a timely basis.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&amp; Ethics</w:t>
      </w:r>
    </w:p>
    <w:p>
      <w:pPr>
        <w:spacing w:after="0" w:line="126" w:lineRule="exact"/>
        <w:rPr>
          <w:sz w:val="20"/>
          <w:szCs w:val="20"/>
          <w:color w:val="auto"/>
        </w:rPr>
      </w:pPr>
    </w:p>
    <w:p>
      <w:pPr>
        <w:ind w:firstLine="297"/>
        <w:spacing w:after="0" w:line="238" w:lineRule="auto"/>
        <w:rPr>
          <w:sz w:val="20"/>
          <w:szCs w:val="20"/>
          <w:color w:val="auto"/>
        </w:rPr>
      </w:pPr>
      <w:r>
        <w:rPr>
          <w:rFonts w:ascii="Arial" w:cs="Arial" w:eastAsia="Arial" w:hAnsi="Arial"/>
          <w:sz w:val="18"/>
          <w:szCs w:val="18"/>
          <w:color w:val="auto"/>
        </w:rPr>
        <w:t>The Company has adopted and posted on its Website (www.abm.com) the ABM Code of Business Conduct &amp; Ethics (the “Code of Ethics”) that applies to all directors, officers and employees of the Company, including the Company’s Chief Executive Officer, Chief Financial Officer and Chief Accounting Officer. If any amendments are made to the Code of Ethics or if any waiver, including any implicit waiver, from a provision of the Code of Ethics is granted to the Company’s Chief Executive Officer, Chief Financial Officer or Chief Accounting Officer, the Company will disclose the nature of such amendment or waiver on its Website.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 to New York Stock Exchange</w:t>
      </w:r>
    </w:p>
    <w:p>
      <w:pPr>
        <w:spacing w:after="0" w:line="126" w:lineRule="exact"/>
        <w:rPr>
          <w:sz w:val="20"/>
          <w:szCs w:val="20"/>
          <w:color w:val="auto"/>
        </w:rPr>
      </w:pPr>
    </w:p>
    <w:p>
      <w:pPr>
        <w:ind w:right="40" w:firstLine="290"/>
        <w:spacing w:after="0" w:line="239" w:lineRule="auto"/>
        <w:rPr>
          <w:sz w:val="20"/>
          <w:szCs w:val="20"/>
          <w:color w:val="auto"/>
        </w:rPr>
      </w:pPr>
      <w:r>
        <w:rPr>
          <w:rFonts w:ascii="Arial" w:cs="Arial" w:eastAsia="Arial" w:hAnsi="Arial"/>
          <w:sz w:val="18"/>
          <w:szCs w:val="18"/>
          <w:color w:val="auto"/>
        </w:rPr>
        <w:t>ABM’s common stock is listed on the New York Stock Exchange. As a result, ABM’s Chief Executive Officer is required to make and he has made on March 28, 2005, a CEO’s Annual Certification to the New York Stock Exchange in accordance with Section 303A.12 of the New York Stock Exchange Listed Company Manual stating that he was not aware of any violations by the Company of the New York Stock Exchange corporate governance listing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6" w:lineRule="exact"/>
        <w:rPr>
          <w:sz w:val="20"/>
          <w:szCs w:val="20"/>
          <w:color w:val="auto"/>
        </w:rPr>
      </w:pPr>
    </w:p>
    <w:p>
      <w:pPr>
        <w:ind w:right="60" w:firstLine="297"/>
        <w:spacing w:after="0" w:line="239" w:lineRule="auto"/>
        <w:rPr>
          <w:sz w:val="20"/>
          <w:szCs w:val="20"/>
          <w:color w:val="auto"/>
        </w:rPr>
      </w:pPr>
      <w:r>
        <w:rPr>
          <w:rFonts w:ascii="Arial" w:cs="Arial" w:eastAsia="Arial" w:hAnsi="Arial"/>
          <w:sz w:val="18"/>
          <w:szCs w:val="18"/>
          <w:color w:val="auto"/>
        </w:rPr>
        <w:t>The compensation of the Chief Executive Officer, the four other most highly compensated executive officers of ABM during fiscal year 2005 serving as executive officers at the end of fiscal year 2005, and an additional executive officer who resigned from ABM during 2005, is set forth below for fiscal years 2005, 2004 and 2003. Columns regarding “Restricted Stock Awards,” and “Long-Term Incentive Plan Payouts” are excluded because no reportable payments in those categories were made to these persons in or for the relevant years.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Long-Term</w:t>
            </w: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rPr>
              <w:t>Compensation</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140" w:type="dxa"/>
            <w:vAlign w:val="bottom"/>
            <w:gridSpan w:val="3"/>
            <w:vMerge w:val="restart"/>
          </w:tcPr>
          <w:p>
            <w:pPr>
              <w:jc w:val="right"/>
              <w:ind w:right="1540"/>
              <w:spacing w:after="0"/>
              <w:rPr>
                <w:sz w:val="20"/>
                <w:szCs w:val="20"/>
                <w:color w:val="auto"/>
              </w:rPr>
            </w:pPr>
            <w:r>
              <w:rPr>
                <w:rFonts w:ascii="Arial" w:cs="Arial" w:eastAsia="Arial" w:hAnsi="Arial"/>
                <w:sz w:val="14"/>
                <w:szCs w:val="14"/>
                <w:color w:val="auto"/>
              </w:rPr>
              <w:t>Annual Compensation</w:t>
            </w: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Awards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Securities</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color w:val="auto"/>
              </w:rPr>
              <w:t>All Other</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560" w:type="dxa"/>
            <w:vAlign w:val="bottom"/>
          </w:tcPr>
          <w:p>
            <w:pPr>
              <w:ind w:left="700"/>
              <w:spacing w:after="0"/>
              <w:rPr>
                <w:sz w:val="20"/>
                <w:szCs w:val="20"/>
                <w:color w:val="auto"/>
              </w:rPr>
            </w:pPr>
            <w:r>
              <w:rPr>
                <w:rFonts w:ascii="Arial" w:cs="Arial" w:eastAsia="Arial" w:hAnsi="Arial"/>
                <w:sz w:val="14"/>
                <w:szCs w:val="14"/>
                <w:color w:val="auto"/>
              </w:rPr>
              <w:t>Fiscal</w:t>
            </w:r>
          </w:p>
        </w:tc>
        <w:tc>
          <w:tcPr>
            <w:tcW w:w="900" w:type="dxa"/>
            <w:vAlign w:val="bottom"/>
          </w:tcPr>
          <w:p>
            <w:pPr>
              <w:jc w:val="right"/>
              <w:ind w:right="260"/>
              <w:spacing w:after="0"/>
              <w:rPr>
                <w:sz w:val="20"/>
                <w:szCs w:val="20"/>
                <w:color w:val="auto"/>
              </w:rPr>
            </w:pPr>
            <w:r>
              <w:rPr>
                <w:rFonts w:ascii="Arial" w:cs="Arial" w:eastAsia="Arial" w:hAnsi="Arial"/>
                <w:sz w:val="14"/>
                <w:szCs w:val="14"/>
                <w:color w:val="auto"/>
              </w:rPr>
              <w:t>Salary</w:t>
            </w:r>
          </w:p>
        </w:tc>
        <w:tc>
          <w:tcPr>
            <w:tcW w:w="120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color w:val="auto"/>
              </w:rPr>
              <w:t>Other Annual</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rPr>
              <w:t>Underlying</w:t>
            </w:r>
          </w:p>
        </w:tc>
        <w:tc>
          <w:tcPr>
            <w:tcW w:w="1400" w:type="dxa"/>
            <w:vAlign w:val="bottom"/>
            <w:gridSpan w:val="2"/>
          </w:tcPr>
          <w:p>
            <w:pPr>
              <w:jc w:val="center"/>
              <w:ind w:right="2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 and Principal Position</w:t>
            </w:r>
          </w:p>
        </w:tc>
        <w:tc>
          <w:tcPr>
            <w:tcW w:w="1560" w:type="dxa"/>
            <w:vAlign w:val="bottom"/>
            <w:tcBorders>
              <w:bottom w:val="single" w:sz="8" w:color="auto"/>
            </w:tcBorders>
          </w:tcPr>
          <w:p>
            <w:pPr>
              <w:ind w:left="740"/>
              <w:spacing w:after="0" w:line="157" w:lineRule="exact"/>
              <w:rPr>
                <w:sz w:val="20"/>
                <w:szCs w:val="20"/>
                <w:color w:val="auto"/>
              </w:rPr>
            </w:pPr>
            <w:r>
              <w:rPr>
                <w:rFonts w:ascii="Arial" w:cs="Arial" w:eastAsia="Arial" w:hAnsi="Arial"/>
                <w:sz w:val="14"/>
                <w:szCs w:val="14"/>
                <w:color w:val="auto"/>
              </w:rPr>
              <w:t>Year</w:t>
            </w:r>
          </w:p>
        </w:tc>
        <w:tc>
          <w:tcPr>
            <w:tcW w:w="900" w:type="dxa"/>
            <w:vAlign w:val="bottom"/>
            <w:tcBorders>
              <w:bottom w:val="single" w:sz="8" w:color="auto"/>
            </w:tcBorders>
          </w:tcPr>
          <w:p>
            <w:pPr>
              <w:jc w:val="right"/>
              <w:ind w:right="300"/>
              <w:spacing w:after="0" w:line="157" w:lineRule="exact"/>
              <w:rPr>
                <w:sz w:val="20"/>
                <w:szCs w:val="20"/>
                <w:color w:val="auto"/>
              </w:rPr>
            </w:pPr>
            <w:r>
              <w:rPr>
                <w:rFonts w:ascii="Arial" w:cs="Arial" w:eastAsia="Arial" w:hAnsi="Arial"/>
                <w:sz w:val="14"/>
                <w:szCs w:val="14"/>
                <w:color w:val="auto"/>
              </w:rPr>
              <w:t>($)(1)</w:t>
            </w:r>
          </w:p>
        </w:tc>
        <w:tc>
          <w:tcPr>
            <w:tcW w:w="1200" w:type="dxa"/>
            <w:vAlign w:val="bottom"/>
            <w:tcBorders>
              <w:bottom w:val="single" w:sz="8" w:color="auto"/>
            </w:tcBorders>
          </w:tcPr>
          <w:p>
            <w:pPr>
              <w:jc w:val="right"/>
              <w:ind w:right="240"/>
              <w:spacing w:after="0" w:line="157" w:lineRule="exact"/>
              <w:rPr>
                <w:sz w:val="20"/>
                <w:szCs w:val="20"/>
                <w:color w:val="auto"/>
              </w:rPr>
            </w:pPr>
            <w:r>
              <w:rPr>
                <w:rFonts w:ascii="Arial" w:cs="Arial" w:eastAsia="Arial" w:hAnsi="Arial"/>
                <w:sz w:val="14"/>
                <w:szCs w:val="14"/>
                <w:color w:val="auto"/>
              </w:rPr>
              <w:t>Bonus($)</w:t>
            </w:r>
          </w:p>
        </w:tc>
        <w:tc>
          <w:tcPr>
            <w:tcW w:w="1940" w:type="dxa"/>
            <w:vAlign w:val="bottom"/>
            <w:tcBorders>
              <w:bottom w:val="single" w:sz="8" w:color="auto"/>
            </w:tcBorders>
            <w:gridSpan w:val="2"/>
          </w:tcPr>
          <w:p>
            <w:pPr>
              <w:jc w:val="right"/>
              <w:ind w:right="560"/>
              <w:spacing w:after="0" w:line="157" w:lineRule="exact"/>
              <w:rPr>
                <w:sz w:val="20"/>
                <w:szCs w:val="20"/>
                <w:color w:val="auto"/>
              </w:rPr>
            </w:pPr>
            <w:r>
              <w:rPr>
                <w:rFonts w:ascii="Arial" w:cs="Arial" w:eastAsia="Arial" w:hAnsi="Arial"/>
                <w:sz w:val="14"/>
                <w:szCs w:val="14"/>
                <w:color w:val="auto"/>
              </w:rPr>
              <w:t>Compensation(2)</w:t>
            </w:r>
          </w:p>
        </w:tc>
        <w:tc>
          <w:tcPr>
            <w:tcW w:w="1160" w:type="dxa"/>
            <w:vAlign w:val="bottom"/>
            <w:tcBorders>
              <w:bottom w:val="single" w:sz="8" w:color="auto"/>
            </w:tcBorders>
            <w:gridSpan w:val="2"/>
          </w:tcPr>
          <w:p>
            <w:pPr>
              <w:jc w:val="center"/>
              <w:ind w:right="260"/>
              <w:spacing w:after="0" w:line="157" w:lineRule="exact"/>
              <w:rPr>
                <w:sz w:val="20"/>
                <w:szCs w:val="20"/>
                <w:color w:val="auto"/>
              </w:rPr>
            </w:pPr>
            <w:r>
              <w:rPr>
                <w:rFonts w:ascii="Arial" w:cs="Arial" w:eastAsia="Arial" w:hAnsi="Arial"/>
                <w:sz w:val="14"/>
                <w:szCs w:val="14"/>
                <w:color w:val="auto"/>
              </w:rPr>
              <w:t>Options (#)</w:t>
            </w:r>
          </w:p>
        </w:tc>
        <w:tc>
          <w:tcPr>
            <w:tcW w:w="1200" w:type="dxa"/>
            <w:vAlign w:val="bottom"/>
            <w:tcBorders>
              <w:bottom w:val="single" w:sz="8" w:color="auto"/>
            </w:tcBorders>
          </w:tcPr>
          <w:p>
            <w:pPr>
              <w:jc w:val="center"/>
              <w:ind w:left="10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Henrik C. Slipsager</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677,950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338,975</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34,836</w:t>
            </w:r>
          </w:p>
        </w:tc>
        <w:tc>
          <w:tcPr>
            <w:tcW w:w="920" w:type="dxa"/>
            <w:vAlign w:val="bottom"/>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4,200(3)</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President &amp; Chief</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677,950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234,549</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31,963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4,100(3)</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Executive Officer</w:t>
            </w: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2003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677,950</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185,922</w:t>
            </w:r>
          </w:p>
        </w:tc>
        <w:tc>
          <w:tcPr>
            <w:tcW w:w="1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4,000(3)</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James P. McClure</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439,300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210,864</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23,051</w:t>
            </w:r>
          </w:p>
        </w:tc>
        <w:tc>
          <w:tcPr>
            <w:tcW w:w="920" w:type="dxa"/>
            <w:vAlign w:val="bottom"/>
          </w:tcPr>
          <w:p>
            <w:pPr>
              <w:jc w:val="right"/>
              <w:spacing w:after="0"/>
              <w:rPr>
                <w:sz w:val="20"/>
                <w:szCs w:val="20"/>
                <w:color w:val="auto"/>
              </w:rPr>
            </w:pPr>
            <w:r>
              <w:rPr>
                <w:rFonts w:ascii="Arial" w:cs="Arial" w:eastAsia="Arial" w:hAnsi="Arial"/>
                <w:sz w:val="16"/>
                <w:szCs w:val="16"/>
                <w:color w:val="auto"/>
              </w:rPr>
              <w:t>125,640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3,225(3)</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Exec. VP &amp; President</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439,300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179,937</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22,037</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8,200(3)</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of ABM Janitorial Services</w:t>
            </w: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2003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422,415</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105,273</w:t>
            </w:r>
          </w:p>
        </w:tc>
        <w:tc>
          <w:tcPr>
            <w:tcW w:w="1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9,621(3)</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George B. Sundby</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350,000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101,500</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20,587</w:t>
            </w:r>
          </w:p>
        </w:tc>
        <w:tc>
          <w:tcPr>
            <w:tcW w:w="920" w:type="dxa"/>
            <w:vAlign w:val="bottom"/>
          </w:tcPr>
          <w:p>
            <w:pPr>
              <w:jc w:val="right"/>
              <w:spacing w:after="0"/>
              <w:rPr>
                <w:sz w:val="20"/>
                <w:szCs w:val="20"/>
                <w:color w:val="auto"/>
              </w:rPr>
            </w:pPr>
            <w:r>
              <w:rPr>
                <w:rFonts w:ascii="Arial" w:cs="Arial" w:eastAsia="Arial" w:hAnsi="Arial"/>
                <w:sz w:val="16"/>
                <w:szCs w:val="16"/>
                <w:color w:val="auto"/>
              </w:rPr>
              <w:t>101,000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8,400(3)</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Executive VP &amp;</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343,489</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56,424</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18,043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8,200(3)</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Chief Financial Officer</w:t>
            </w: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2003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312,900</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105,496</w:t>
            </w:r>
          </w:p>
        </w:tc>
        <w:tc>
          <w:tcPr>
            <w:tcW w:w="1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10,154(3)</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Steven M. Zaccagnini</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319,815</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179,098</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11,466</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8,290(3)</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Executive VP &amp; President</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309,000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108,150</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17,421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10,328(3)</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of ABM Facility Services</w:t>
            </w: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2003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287,500</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75,000</w:t>
            </w:r>
          </w:p>
        </w:tc>
        <w:tc>
          <w:tcPr>
            <w:tcW w:w="1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82,601(4)</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Linda S. Auwers(5)</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306,153</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86,657</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15,271</w:t>
            </w:r>
          </w:p>
        </w:tc>
        <w:tc>
          <w:tcPr>
            <w:tcW w:w="920" w:type="dxa"/>
            <w:vAlign w:val="bottom"/>
          </w:tcPr>
          <w:p>
            <w:pPr>
              <w:jc w:val="right"/>
              <w:spacing w:after="0"/>
              <w:rPr>
                <w:sz w:val="20"/>
                <w:szCs w:val="20"/>
                <w:color w:val="auto"/>
              </w:rPr>
            </w:pPr>
            <w:r>
              <w:rPr>
                <w:rFonts w:ascii="Arial" w:cs="Arial" w:eastAsia="Arial" w:hAnsi="Arial"/>
                <w:sz w:val="16"/>
                <w:szCs w:val="16"/>
                <w:color w:val="auto"/>
              </w:rPr>
              <w:t>75,000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9,686(3)</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Senior VP, General</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295,025</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60,371</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14,908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18,153(6)</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Counsel &amp; Corporate Secretary</w:t>
            </w: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2003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142,972</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63,180</w:t>
            </w:r>
          </w:p>
        </w:tc>
        <w:tc>
          <w:tcPr>
            <w:tcW w:w="1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15,257(7)</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6"/>
                <w:szCs w:val="16"/>
                <w:color w:val="auto"/>
              </w:rPr>
              <w:t>William T. Petty(8)</w:t>
            </w:r>
          </w:p>
        </w:tc>
        <w:tc>
          <w:tcPr>
            <w:tcW w:w="1560" w:type="dxa"/>
            <w:vAlign w:val="bottom"/>
          </w:tcPr>
          <w:p>
            <w:pPr>
              <w:ind w:left="760"/>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337,500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168,750</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13,734</w:t>
            </w:r>
          </w:p>
        </w:tc>
        <w:tc>
          <w:tcPr>
            <w:tcW w:w="92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3260" w:type="dxa"/>
            <w:vAlign w:val="bottom"/>
          </w:tcPr>
          <w:p>
            <w:pPr>
              <w:ind w:left="320"/>
              <w:spacing w:after="0"/>
              <w:rPr>
                <w:sz w:val="20"/>
                <w:szCs w:val="20"/>
                <w:color w:val="auto"/>
              </w:rPr>
            </w:pPr>
            <w:r>
              <w:rPr>
                <w:rFonts w:ascii="Arial" w:cs="Arial" w:eastAsia="Arial" w:hAnsi="Arial"/>
                <w:sz w:val="16"/>
                <w:szCs w:val="16"/>
                <w:color w:val="auto"/>
              </w:rPr>
              <w:t>Executive VP &amp; Chief</w:t>
            </w:r>
          </w:p>
        </w:tc>
        <w:tc>
          <w:tcPr>
            <w:tcW w:w="1560" w:type="dxa"/>
            <w:vAlign w:val="bottom"/>
          </w:tcPr>
          <w:p>
            <w:pPr>
              <w:ind w:left="760"/>
              <w:spacing w:after="0"/>
              <w:rPr>
                <w:sz w:val="20"/>
                <w:szCs w:val="20"/>
                <w:color w:val="auto"/>
              </w:rPr>
            </w:pPr>
            <w:r>
              <w:rPr>
                <w:rFonts w:ascii="Arial" w:cs="Arial" w:eastAsia="Arial" w:hAnsi="Arial"/>
                <w:sz w:val="16"/>
                <w:szCs w:val="16"/>
                <w:color w:val="auto"/>
              </w:rPr>
              <w:t>2004</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268,800</w:t>
            </w:r>
          </w:p>
        </w:tc>
        <w:tc>
          <w:tcPr>
            <w:tcW w:w="1200" w:type="dxa"/>
            <w:vAlign w:val="bottom"/>
          </w:tcPr>
          <w:p>
            <w:pPr>
              <w:jc w:val="right"/>
              <w:ind w:right="180"/>
              <w:spacing w:after="0"/>
              <w:rPr>
                <w:sz w:val="20"/>
                <w:szCs w:val="20"/>
                <w:color w:val="auto"/>
              </w:rPr>
            </w:pPr>
            <w:r>
              <w:rPr>
                <w:rFonts w:ascii="Arial" w:cs="Arial" w:eastAsia="Arial" w:hAnsi="Arial"/>
                <w:sz w:val="16"/>
                <w:szCs w:val="16"/>
                <w:color w:val="auto"/>
              </w:rPr>
              <w:t>131,250</w:t>
            </w:r>
          </w:p>
        </w:tc>
        <w:tc>
          <w:tcPr>
            <w:tcW w:w="1940" w:type="dxa"/>
            <w:vAlign w:val="bottom"/>
            <w:gridSpan w:val="2"/>
          </w:tcPr>
          <w:p>
            <w:pPr>
              <w:jc w:val="right"/>
              <w:ind w:right="440"/>
              <w:spacing w:after="0"/>
              <w:rPr>
                <w:sz w:val="20"/>
                <w:szCs w:val="20"/>
                <w:color w:val="auto"/>
              </w:rPr>
            </w:pPr>
            <w:r>
              <w:rPr>
                <w:rFonts w:ascii="Arial" w:cs="Arial" w:eastAsia="Arial" w:hAnsi="Arial"/>
                <w:sz w:val="16"/>
                <w:szCs w:val="16"/>
                <w:color w:val="auto"/>
              </w:rPr>
              <w:t>7,462</w:t>
            </w:r>
          </w:p>
        </w:tc>
        <w:tc>
          <w:tcPr>
            <w:tcW w:w="920" w:type="dxa"/>
            <w:vAlign w:val="bottom"/>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56,934(7)</w:t>
            </w:r>
          </w:p>
        </w:tc>
        <w:tc>
          <w:tcPr>
            <w:tcW w:w="0" w:type="dxa"/>
            <w:vAlign w:val="bottom"/>
          </w:tcPr>
          <w:p>
            <w:pPr>
              <w:spacing w:after="0"/>
              <w:rPr>
                <w:sz w:val="1"/>
                <w:szCs w:val="1"/>
                <w:color w:val="auto"/>
              </w:rPr>
            </w:pPr>
          </w:p>
        </w:tc>
      </w:tr>
      <w:tr>
        <w:trPr>
          <w:trHeight w:val="198"/>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Operating Officer</w:t>
            </w:r>
          </w:p>
        </w:tc>
        <w:tc>
          <w:tcPr>
            <w:tcW w:w="1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Annual compensation for each year includes amounts deferred under ABM’s Deferred Compensation Plan.</w:t>
      </w:r>
    </w:p>
    <w:p>
      <w:pPr>
        <w:spacing w:after="0" w:line="68" w:lineRule="exact"/>
        <w:rPr>
          <w:rFonts w:ascii="Arial" w:cs="Arial" w:eastAsia="Arial" w:hAnsi="Arial"/>
          <w:sz w:val="14"/>
          <w:szCs w:val="14"/>
          <w:color w:val="auto"/>
        </w:rPr>
      </w:pPr>
    </w:p>
    <w:p>
      <w:pPr>
        <w:ind w:left="360" w:right="60" w:hanging="352"/>
        <w:spacing w:after="0" w:line="242"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fiscal year 2005 aggregate incremental costs for perquisites and personal benefits include the following: Mr. Slipsager, $14,188 for automobile allowance and expenses, $14,843 for club dues; $5,039 for parking expenses, and $766 for other perquisites; Mr. McClure, $13,689 for automobile allowance and expenses, $8,473 for club dues and $889 for other perquisites; Mr. Sundby, $12,576 for automobile allowance and expenses; $3,600 for parking; and $4,411 for club dues; Mr. Zaccagnini, $10,845 for automobile allowance and expenses, $177 in above-market interest under the ABM Deferred Compensation Plan, and $444 for other perquisites; Ms. Auwers, $11,215 for automobile allowance and expenses, $3,600 in lieu of parking expenses, and $456 for other perquisites; and Mr. Petty, $9,819 for automobile allowance and expenses, $2,925 for parking expenses, and $990 for other perquisites. The fiscal year 2004 aggregate incremental costs for perquisites and personal benefits include the following: Mr. Slipsager, $13,523 for automobile allowance and expenses, $12,827 for club dues; $5,218 for parking expenses, and $395 for credit card fees; Mr. McClure, $10,305 for automobile allowance and expenses, $1,500 for parking expenses, and $10,232 for club dues; Mr. Sundby, $11,687 for automobile allowance and expenses; $2,756 for club dues; and $3,600 for parking expenses; Mr. Zaccagnini, $10,866 for automobile allowance and expenses and $6,555 for club dues; Ms. Auwers, $11,308 for automobile allowance and expenses, and $3,600 in lieu of parking expenses; and Mr. Petty, $6,537 for automobile allowance and expenses and $925 for parking expenses. ABM did not provide reimbursement for personal income taxes associated with any of these perquisites or personal benefits. The incremental costs for perquisites for fiscal year 2003 are not reflected; however, in each case such amounts were in the aggregate below the lesser of $50,000 or 10% of such executive’s annual salary and bonus. The perquisites and personal benefits for the named executives in 2003 were similar in type and cost to those in 2004 and 2005.</w:t>
      </w:r>
    </w:p>
    <w:p>
      <w:pPr>
        <w:spacing w:after="0" w:line="63"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ABM’s contribution to the 401(k) Plan, in which all employees are generally eligible to participate.</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$78,465 in reimbursement of relocation expenses and $4,136 in contributions to ABM’s 401(k) Plan.</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Auwers joined ABM as Senior Vice President, General Counsel &amp; Corporate Secretary in May 2003.</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$14,025 in reimbursement of relocation expenses and $4,128 in contributions to ABM’s 401(k) Plan.</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relocation expenses.</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Petty began employment at ABM in April 2004 and resigned in July 2005.</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Granted to Executive Officers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persons named in the Summary Compensation Table received the stock option grants set forth below in fiscal year 2005.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in Last Fiscal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Borders>
              <w:top w:val="single" w:sz="8" w:color="auto"/>
              <w:bottom w:val="single" w:sz="8" w:color="auto"/>
            </w:tcBorders>
          </w:tcPr>
          <w:p>
            <w:pPr>
              <w:spacing w:after="0"/>
              <w:rPr>
                <w:sz w:val="16"/>
                <w:szCs w:val="16"/>
                <w:color w:val="auto"/>
              </w:rPr>
            </w:pPr>
          </w:p>
        </w:tc>
        <w:tc>
          <w:tcPr>
            <w:tcW w:w="3320" w:type="dxa"/>
            <w:vAlign w:val="bottom"/>
            <w:tcBorders>
              <w:top w:val="single" w:sz="8" w:color="auto"/>
              <w:bottom w:val="single" w:sz="8" w:color="auto"/>
            </w:tcBorders>
            <w:gridSpan w:val="2"/>
          </w:tcPr>
          <w:p>
            <w:pPr>
              <w:jc w:val="right"/>
              <w:ind w:right="822"/>
              <w:spacing w:after="0"/>
              <w:rPr>
                <w:sz w:val="20"/>
                <w:szCs w:val="20"/>
                <w:color w:val="auto"/>
              </w:rPr>
            </w:pPr>
            <w:r>
              <w:rPr>
                <w:rFonts w:ascii="Arial" w:cs="Arial" w:eastAsia="Arial" w:hAnsi="Arial"/>
                <w:sz w:val="14"/>
                <w:szCs w:val="14"/>
                <w:color w:val="auto"/>
              </w:rPr>
              <w:t>Individual Grants</w:t>
            </w:r>
          </w:p>
        </w:tc>
        <w:tc>
          <w:tcPr>
            <w:tcW w:w="1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80" w:type="dxa"/>
            <w:vAlign w:val="bottom"/>
            <w:tcBorders>
              <w:top w:val="single" w:sz="8" w:color="auto"/>
              <w:bottom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color w:val="auto"/>
              </w:rPr>
              <w:t>Potential Realizable Value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680" w:type="dxa"/>
            <w:vAlign w:val="bottom"/>
          </w:tcPr>
          <w:p>
            <w:pPr>
              <w:jc w:val="center"/>
              <w:ind w:left="322"/>
              <w:spacing w:after="0"/>
              <w:rPr>
                <w:sz w:val="20"/>
                <w:szCs w:val="20"/>
                <w:color w:val="auto"/>
              </w:rPr>
            </w:pPr>
            <w:r>
              <w:rPr>
                <w:rFonts w:ascii="Arial" w:cs="Arial" w:eastAsia="Arial" w:hAnsi="Arial"/>
                <w:sz w:val="14"/>
                <w:szCs w:val="14"/>
                <w:color w:val="auto"/>
              </w:rPr>
              <w:t>Number of</w:t>
            </w:r>
          </w:p>
        </w:tc>
        <w:tc>
          <w:tcPr>
            <w:tcW w:w="1640" w:type="dxa"/>
            <w:vAlign w:val="bottom"/>
          </w:tcPr>
          <w:p>
            <w:pPr>
              <w:jc w:val="center"/>
              <w:ind w:right="162"/>
              <w:spacing w:after="0"/>
              <w:rPr>
                <w:sz w:val="20"/>
                <w:szCs w:val="20"/>
                <w:color w:val="auto"/>
              </w:rPr>
            </w:pPr>
            <w:r>
              <w:rPr>
                <w:rFonts w:ascii="Arial" w:cs="Arial" w:eastAsia="Arial" w:hAnsi="Arial"/>
                <w:sz w:val="14"/>
                <w:szCs w:val="14"/>
                <w:color w:val="auto"/>
              </w:rPr>
              <w:t>% of Total</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4"/>
                <w:szCs w:val="14"/>
                <w:color w:val="auto"/>
              </w:rPr>
              <w:t>At Assumed Annual Rates</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680" w:type="dxa"/>
            <w:vAlign w:val="bottom"/>
          </w:tcPr>
          <w:p>
            <w:pPr>
              <w:jc w:val="center"/>
              <w:ind w:left="322"/>
              <w:spacing w:after="0"/>
              <w:rPr>
                <w:sz w:val="20"/>
                <w:szCs w:val="20"/>
                <w:color w:val="auto"/>
              </w:rPr>
            </w:pPr>
            <w:r>
              <w:rPr>
                <w:rFonts w:ascii="Arial" w:cs="Arial" w:eastAsia="Arial" w:hAnsi="Arial"/>
                <w:sz w:val="14"/>
                <w:szCs w:val="14"/>
                <w:color w:val="auto"/>
              </w:rPr>
              <w:t>Securities</w:t>
            </w:r>
          </w:p>
        </w:tc>
        <w:tc>
          <w:tcPr>
            <w:tcW w:w="1640" w:type="dxa"/>
            <w:vAlign w:val="bottom"/>
          </w:tcPr>
          <w:p>
            <w:pPr>
              <w:jc w:val="center"/>
              <w:ind w:right="162"/>
              <w:spacing w:after="0"/>
              <w:rPr>
                <w:sz w:val="20"/>
                <w:szCs w:val="20"/>
                <w:color w:val="auto"/>
              </w:rPr>
            </w:pPr>
            <w:r>
              <w:rPr>
                <w:rFonts w:ascii="Arial" w:cs="Arial" w:eastAsia="Arial" w:hAnsi="Arial"/>
                <w:sz w:val="14"/>
                <w:szCs w:val="14"/>
                <w:color w:val="auto"/>
                <w:w w:val="99"/>
              </w:rPr>
              <w:t>Options</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4"/>
                <w:szCs w:val="14"/>
                <w:color w:val="auto"/>
              </w:rPr>
              <w:t>of Stock Price Appreciation</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680" w:type="dxa"/>
            <w:vAlign w:val="bottom"/>
          </w:tcPr>
          <w:p>
            <w:pPr>
              <w:jc w:val="center"/>
              <w:ind w:left="322"/>
              <w:spacing w:after="0" w:line="157" w:lineRule="exact"/>
              <w:rPr>
                <w:sz w:val="20"/>
                <w:szCs w:val="20"/>
                <w:color w:val="auto"/>
              </w:rPr>
            </w:pPr>
            <w:r>
              <w:rPr>
                <w:rFonts w:ascii="Arial" w:cs="Arial" w:eastAsia="Arial" w:hAnsi="Arial"/>
                <w:sz w:val="14"/>
                <w:szCs w:val="14"/>
                <w:color w:val="auto"/>
              </w:rPr>
              <w:t>Underlying</w:t>
            </w:r>
          </w:p>
        </w:tc>
        <w:tc>
          <w:tcPr>
            <w:tcW w:w="1640" w:type="dxa"/>
            <w:vAlign w:val="bottom"/>
          </w:tcPr>
          <w:p>
            <w:pPr>
              <w:jc w:val="center"/>
              <w:ind w:right="162"/>
              <w:spacing w:after="0" w:line="157" w:lineRule="exact"/>
              <w:rPr>
                <w:sz w:val="20"/>
                <w:szCs w:val="20"/>
                <w:color w:val="auto"/>
              </w:rPr>
            </w:pPr>
            <w:r>
              <w:rPr>
                <w:rFonts w:ascii="Arial" w:cs="Arial" w:eastAsia="Arial" w:hAnsi="Arial"/>
                <w:sz w:val="14"/>
                <w:szCs w:val="14"/>
                <w:color w:val="auto"/>
              </w:rPr>
              <w:t>Granted to</w:t>
            </w:r>
          </w:p>
        </w:tc>
        <w:tc>
          <w:tcPr>
            <w:tcW w:w="1460" w:type="dxa"/>
            <w:vAlign w:val="bottom"/>
          </w:tcPr>
          <w:p>
            <w:pPr>
              <w:jc w:val="center"/>
              <w:ind w:right="141"/>
              <w:spacing w:after="0" w:line="157" w:lineRule="exact"/>
              <w:rPr>
                <w:sz w:val="20"/>
                <w:szCs w:val="20"/>
                <w:color w:val="auto"/>
              </w:rPr>
            </w:pPr>
            <w:r>
              <w:rPr>
                <w:rFonts w:ascii="Arial" w:cs="Arial" w:eastAsia="Arial" w:hAnsi="Arial"/>
                <w:sz w:val="14"/>
                <w:szCs w:val="14"/>
                <w:color w:val="auto"/>
              </w:rPr>
              <w:t>Exercise or</w:t>
            </w: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center"/>
              <w:ind w:right="300"/>
              <w:spacing w:after="0" w:line="157" w:lineRule="exact"/>
              <w:rPr>
                <w:sz w:val="20"/>
                <w:szCs w:val="20"/>
                <w:color w:val="auto"/>
              </w:rPr>
            </w:pPr>
            <w:r>
              <w:rPr>
                <w:rFonts w:ascii="Arial" w:cs="Arial" w:eastAsia="Arial" w:hAnsi="Arial"/>
                <w:sz w:val="14"/>
                <w:szCs w:val="14"/>
                <w:color w:val="auto"/>
              </w:rPr>
              <w:t>for Option Term(2)</w:t>
            </w: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680" w:type="dxa"/>
            <w:vAlign w:val="bottom"/>
          </w:tcPr>
          <w:p>
            <w:pPr>
              <w:jc w:val="center"/>
              <w:ind w:left="302"/>
              <w:spacing w:after="0" w:line="147" w:lineRule="exact"/>
              <w:rPr>
                <w:sz w:val="20"/>
                <w:szCs w:val="20"/>
                <w:color w:val="auto"/>
              </w:rPr>
            </w:pPr>
            <w:r>
              <w:rPr>
                <w:rFonts w:ascii="Arial" w:cs="Arial" w:eastAsia="Arial" w:hAnsi="Arial"/>
                <w:sz w:val="14"/>
                <w:szCs w:val="14"/>
                <w:color w:val="auto"/>
              </w:rPr>
              <w:t>Option</w:t>
            </w:r>
          </w:p>
        </w:tc>
        <w:tc>
          <w:tcPr>
            <w:tcW w:w="1640" w:type="dxa"/>
            <w:vAlign w:val="bottom"/>
          </w:tcPr>
          <w:p>
            <w:pPr>
              <w:jc w:val="center"/>
              <w:ind w:right="162"/>
              <w:spacing w:after="0" w:line="147" w:lineRule="exact"/>
              <w:rPr>
                <w:sz w:val="20"/>
                <w:szCs w:val="20"/>
                <w:color w:val="auto"/>
              </w:rPr>
            </w:pPr>
            <w:r>
              <w:rPr>
                <w:rFonts w:ascii="Arial" w:cs="Arial" w:eastAsia="Arial" w:hAnsi="Arial"/>
                <w:sz w:val="14"/>
                <w:szCs w:val="14"/>
                <w:color w:val="auto"/>
              </w:rPr>
              <w:t>Employees in</w:t>
            </w:r>
          </w:p>
        </w:tc>
        <w:tc>
          <w:tcPr>
            <w:tcW w:w="1460" w:type="dxa"/>
            <w:vAlign w:val="bottom"/>
          </w:tcPr>
          <w:p>
            <w:pPr>
              <w:jc w:val="center"/>
              <w:ind w:right="161"/>
              <w:spacing w:after="0" w:line="147" w:lineRule="exact"/>
              <w:rPr>
                <w:sz w:val="20"/>
                <w:szCs w:val="20"/>
                <w:color w:val="auto"/>
              </w:rPr>
            </w:pPr>
            <w:r>
              <w:rPr>
                <w:rFonts w:ascii="Arial" w:cs="Arial" w:eastAsia="Arial" w:hAnsi="Arial"/>
                <w:sz w:val="14"/>
                <w:szCs w:val="14"/>
                <w:color w:val="auto"/>
              </w:rPr>
              <w:t>Base</w:t>
            </w:r>
          </w:p>
        </w:tc>
        <w:tc>
          <w:tcPr>
            <w:tcW w:w="1600" w:type="dxa"/>
            <w:vAlign w:val="bottom"/>
            <w:gridSpan w:val="2"/>
          </w:tcPr>
          <w:p>
            <w:pPr>
              <w:ind w:left="360"/>
              <w:spacing w:after="0" w:line="147" w:lineRule="exact"/>
              <w:rPr>
                <w:sz w:val="20"/>
                <w:szCs w:val="20"/>
                <w:color w:val="auto"/>
              </w:rPr>
            </w:pPr>
            <w:r>
              <w:rPr>
                <w:rFonts w:ascii="Arial" w:cs="Arial" w:eastAsia="Arial" w:hAnsi="Arial"/>
                <w:sz w:val="14"/>
                <w:szCs w:val="14"/>
                <w:color w:val="auto"/>
              </w:rPr>
              <w:t>Expiration</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1680" w:type="dxa"/>
            <w:vAlign w:val="bottom"/>
            <w:tcBorders>
              <w:bottom w:val="single" w:sz="8" w:color="auto"/>
            </w:tcBorders>
          </w:tcPr>
          <w:p>
            <w:pPr>
              <w:jc w:val="center"/>
              <w:ind w:left="302"/>
              <w:spacing w:after="0" w:line="157" w:lineRule="exact"/>
              <w:rPr>
                <w:sz w:val="20"/>
                <w:szCs w:val="20"/>
                <w:color w:val="auto"/>
              </w:rPr>
            </w:pPr>
            <w:r>
              <w:rPr>
                <w:rFonts w:ascii="Arial" w:cs="Arial" w:eastAsia="Arial" w:hAnsi="Arial"/>
                <w:sz w:val="14"/>
                <w:szCs w:val="14"/>
                <w:color w:val="auto"/>
              </w:rPr>
              <w:t>Granted(#)</w:t>
            </w:r>
          </w:p>
        </w:tc>
        <w:tc>
          <w:tcPr>
            <w:tcW w:w="1640" w:type="dxa"/>
            <w:vAlign w:val="bottom"/>
            <w:tcBorders>
              <w:bottom w:val="single" w:sz="8" w:color="auto"/>
            </w:tcBorders>
          </w:tcPr>
          <w:p>
            <w:pPr>
              <w:jc w:val="center"/>
              <w:ind w:right="162"/>
              <w:spacing w:after="0" w:line="157" w:lineRule="exact"/>
              <w:rPr>
                <w:sz w:val="20"/>
                <w:szCs w:val="20"/>
                <w:color w:val="auto"/>
              </w:rPr>
            </w:pPr>
            <w:r>
              <w:rPr>
                <w:rFonts w:ascii="Arial" w:cs="Arial" w:eastAsia="Arial" w:hAnsi="Arial"/>
                <w:sz w:val="14"/>
                <w:szCs w:val="14"/>
                <w:color w:val="auto"/>
              </w:rPr>
              <w:t>Fiscal Year</w:t>
            </w:r>
          </w:p>
        </w:tc>
        <w:tc>
          <w:tcPr>
            <w:tcW w:w="1460" w:type="dxa"/>
            <w:vAlign w:val="bottom"/>
            <w:tcBorders>
              <w:bottom w:val="single" w:sz="8" w:color="auto"/>
            </w:tcBorders>
          </w:tcPr>
          <w:p>
            <w:pPr>
              <w:jc w:val="center"/>
              <w:ind w:right="161"/>
              <w:spacing w:after="0" w:line="157" w:lineRule="exact"/>
              <w:rPr>
                <w:sz w:val="20"/>
                <w:szCs w:val="20"/>
                <w:color w:val="auto"/>
              </w:rPr>
            </w:pPr>
            <w:r>
              <w:rPr>
                <w:rFonts w:ascii="Arial" w:cs="Arial" w:eastAsia="Arial" w:hAnsi="Arial"/>
                <w:sz w:val="14"/>
                <w:szCs w:val="14"/>
                <w:color w:val="auto"/>
              </w:rPr>
              <w:t>Price(1)</w:t>
            </w:r>
          </w:p>
        </w:tc>
        <w:tc>
          <w:tcPr>
            <w:tcW w:w="1600" w:type="dxa"/>
            <w:vAlign w:val="bottom"/>
            <w:tcBorders>
              <w:bottom w:val="single" w:sz="8" w:color="auto"/>
            </w:tcBorders>
            <w:gridSpan w:val="2"/>
          </w:tcPr>
          <w:p>
            <w:pPr>
              <w:ind w:left="520"/>
              <w:spacing w:after="0" w:line="157" w:lineRule="exact"/>
              <w:rPr>
                <w:sz w:val="20"/>
                <w:szCs w:val="20"/>
                <w:color w:val="auto"/>
              </w:rPr>
            </w:pPr>
            <w:r>
              <w:rPr>
                <w:rFonts w:ascii="Arial" w:cs="Arial" w:eastAsia="Arial" w:hAnsi="Arial"/>
                <w:sz w:val="14"/>
                <w:szCs w:val="14"/>
                <w:color w:val="auto"/>
              </w:rPr>
              <w:t>Date</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2"/>
              <w:spacing w:after="0" w:line="157" w:lineRule="exact"/>
              <w:rPr>
                <w:sz w:val="20"/>
                <w:szCs w:val="20"/>
                <w:color w:val="auto"/>
              </w:rPr>
            </w:pPr>
            <w:r>
              <w:rPr>
                <w:rFonts w:ascii="Arial" w:cs="Arial" w:eastAsia="Arial" w:hAnsi="Arial"/>
                <w:sz w:val="14"/>
                <w:szCs w:val="14"/>
                <w:color w:val="auto"/>
              </w:rPr>
              <w:t>5%</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line="157"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Henrik C. Slipsager(3)</w:t>
            </w:r>
          </w:p>
        </w:tc>
        <w:tc>
          <w:tcPr>
            <w:tcW w:w="1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100,000</w:t>
            </w: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7.3(4)</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18.30</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06/14/2015</w:t>
            </w: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1,150,877</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2,916,549</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680" w:type="dxa"/>
            <w:vAlign w:val="bottom"/>
          </w:tcPr>
          <w:p>
            <w:pPr>
              <w:jc w:val="right"/>
              <w:ind w:right="182"/>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7.3(5)</w:t>
            </w: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20.90</w:t>
            </w:r>
          </w:p>
        </w:tc>
        <w:tc>
          <w:tcPr>
            <w:tcW w:w="1240" w:type="dxa"/>
            <w:vAlign w:val="bottom"/>
          </w:tcPr>
          <w:p>
            <w:pPr>
              <w:ind w:left="420"/>
              <w:spacing w:after="0"/>
              <w:rPr>
                <w:sz w:val="20"/>
                <w:szCs w:val="20"/>
                <w:color w:val="auto"/>
              </w:rPr>
            </w:pPr>
            <w:r>
              <w:rPr>
                <w:rFonts w:ascii="Arial" w:cs="Arial" w:eastAsia="Arial" w:hAnsi="Arial"/>
                <w:sz w:val="16"/>
                <w:szCs w:val="16"/>
                <w:color w:val="auto"/>
                <w:w w:val="99"/>
              </w:rPr>
              <w:t>09/14/2015</w:t>
            </w:r>
          </w:p>
        </w:tc>
        <w:tc>
          <w:tcPr>
            <w:tcW w:w="3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1,314,390</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3,330,922</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James P. McClure</w:t>
            </w:r>
          </w:p>
        </w:tc>
        <w:tc>
          <w:tcPr>
            <w:tcW w:w="1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120,000</w:t>
            </w: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8.7(4)</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18.30</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06/14/2015</w:t>
            </w: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1,381,053</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3,499,858</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680" w:type="dxa"/>
            <w:vAlign w:val="bottom"/>
          </w:tcPr>
          <w:p>
            <w:pPr>
              <w:jc w:val="right"/>
              <w:ind w:right="182"/>
              <w:spacing w:after="0"/>
              <w:rPr>
                <w:sz w:val="20"/>
                <w:szCs w:val="20"/>
                <w:color w:val="auto"/>
              </w:rPr>
            </w:pPr>
            <w:r>
              <w:rPr>
                <w:rFonts w:ascii="Arial" w:cs="Arial" w:eastAsia="Arial" w:hAnsi="Arial"/>
                <w:sz w:val="16"/>
                <w:szCs w:val="16"/>
                <w:color w:val="auto"/>
              </w:rPr>
              <w:t>5,640</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0.0(5)</w:t>
            </w: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20.90</w:t>
            </w:r>
          </w:p>
        </w:tc>
        <w:tc>
          <w:tcPr>
            <w:tcW w:w="1240" w:type="dxa"/>
            <w:vAlign w:val="bottom"/>
          </w:tcPr>
          <w:p>
            <w:pPr>
              <w:ind w:left="420"/>
              <w:spacing w:after="0"/>
              <w:rPr>
                <w:sz w:val="20"/>
                <w:szCs w:val="20"/>
                <w:color w:val="auto"/>
              </w:rPr>
            </w:pPr>
            <w:r>
              <w:rPr>
                <w:rFonts w:ascii="Arial" w:cs="Arial" w:eastAsia="Arial" w:hAnsi="Arial"/>
                <w:sz w:val="16"/>
                <w:szCs w:val="16"/>
                <w:color w:val="auto"/>
                <w:w w:val="99"/>
              </w:rPr>
              <w:t>09/14/2015</w:t>
            </w:r>
          </w:p>
        </w:tc>
        <w:tc>
          <w:tcPr>
            <w:tcW w:w="3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74,132</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George B. Sundby</w:t>
            </w:r>
          </w:p>
        </w:tc>
        <w:tc>
          <w:tcPr>
            <w:tcW w:w="1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28,000</w:t>
            </w: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2.0(5)</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21.81</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03/24/2015</w:t>
            </w: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384,053</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680" w:type="dxa"/>
            <w:vAlign w:val="bottom"/>
          </w:tcPr>
          <w:p>
            <w:pPr>
              <w:jc w:val="right"/>
              <w:ind w:right="182"/>
              <w:spacing w:after="0"/>
              <w:rPr>
                <w:sz w:val="20"/>
                <w:szCs w:val="20"/>
                <w:color w:val="auto"/>
              </w:rPr>
            </w:pPr>
            <w:r>
              <w:rPr>
                <w:rFonts w:ascii="Arial" w:cs="Arial" w:eastAsia="Arial" w:hAnsi="Arial"/>
                <w:sz w:val="16"/>
                <w:szCs w:val="16"/>
                <w:color w:val="auto"/>
              </w:rPr>
              <w:t>23,000</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1.7(6)</w:t>
            </w: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21.70</w:t>
            </w:r>
          </w:p>
        </w:tc>
        <w:tc>
          <w:tcPr>
            <w:tcW w:w="1240" w:type="dxa"/>
            <w:vAlign w:val="bottom"/>
          </w:tcPr>
          <w:p>
            <w:pPr>
              <w:ind w:left="420"/>
              <w:spacing w:after="0"/>
              <w:rPr>
                <w:sz w:val="20"/>
                <w:szCs w:val="20"/>
                <w:color w:val="auto"/>
              </w:rPr>
            </w:pPr>
            <w:r>
              <w:rPr>
                <w:rFonts w:ascii="Arial" w:cs="Arial" w:eastAsia="Arial" w:hAnsi="Arial"/>
                <w:sz w:val="16"/>
                <w:szCs w:val="16"/>
                <w:color w:val="auto"/>
                <w:w w:val="99"/>
              </w:rPr>
              <w:t>03/24/2015</w:t>
            </w:r>
          </w:p>
        </w:tc>
        <w:tc>
          <w:tcPr>
            <w:tcW w:w="3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313,881</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795,437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50,000</w:t>
            </w: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3.6(4)</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18.30</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06/14/2015</w:t>
            </w: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575,439</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1,458,274</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Steven M. Zaccagnini</w:t>
            </w:r>
          </w:p>
        </w:tc>
        <w:tc>
          <w:tcPr>
            <w:tcW w:w="1680" w:type="dxa"/>
            <w:vAlign w:val="bottom"/>
          </w:tcPr>
          <w:p>
            <w:pPr>
              <w:jc w:val="right"/>
              <w:ind w:right="182"/>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7.3(4)</w:t>
            </w: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18.30</w:t>
            </w:r>
          </w:p>
        </w:tc>
        <w:tc>
          <w:tcPr>
            <w:tcW w:w="1240" w:type="dxa"/>
            <w:vAlign w:val="bottom"/>
          </w:tcPr>
          <w:p>
            <w:pPr>
              <w:ind w:left="420"/>
              <w:spacing w:after="0"/>
              <w:rPr>
                <w:sz w:val="20"/>
                <w:szCs w:val="20"/>
                <w:color w:val="auto"/>
              </w:rPr>
            </w:pPr>
            <w:r>
              <w:rPr>
                <w:rFonts w:ascii="Arial" w:cs="Arial" w:eastAsia="Arial" w:hAnsi="Arial"/>
                <w:sz w:val="16"/>
                <w:szCs w:val="16"/>
                <w:color w:val="auto"/>
                <w:w w:val="99"/>
              </w:rPr>
              <w:t>06/14/2015</w:t>
            </w:r>
          </w:p>
        </w:tc>
        <w:tc>
          <w:tcPr>
            <w:tcW w:w="3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1,150,877</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2,916,549</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Linda S. Auwers</w:t>
            </w:r>
          </w:p>
        </w:tc>
        <w:tc>
          <w:tcPr>
            <w:tcW w:w="1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75,000</w:t>
            </w: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5.4(4)</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18.30</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9"/>
              </w:rPr>
              <w:t>06/14/2015</w:t>
            </w: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863,158</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2,187,412</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Arial" w:cs="Arial" w:eastAsia="Arial" w:hAnsi="Arial"/>
                <w:sz w:val="16"/>
                <w:szCs w:val="16"/>
                <w:color w:val="auto"/>
              </w:rPr>
              <w:t>William T. Petty</w:t>
            </w:r>
          </w:p>
        </w:tc>
        <w:tc>
          <w:tcPr>
            <w:tcW w:w="1680" w:type="dxa"/>
            <w:vAlign w:val="bottom"/>
          </w:tcPr>
          <w:p>
            <w:pPr>
              <w:jc w:val="right"/>
              <w:ind w:right="182"/>
              <w:spacing w:after="0"/>
              <w:rPr>
                <w:sz w:val="20"/>
                <w:szCs w:val="20"/>
                <w:color w:val="auto"/>
              </w:rPr>
            </w:pPr>
            <w:r>
              <w:rPr>
                <w:rFonts w:ascii="Arial" w:cs="Arial" w:eastAsia="Arial" w:hAnsi="Arial"/>
                <w:sz w:val="16"/>
                <w:szCs w:val="16"/>
                <w:color w:val="auto"/>
              </w:rPr>
              <w:t>50,000</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3.6(4)</w:t>
            </w: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18.30</w:t>
            </w:r>
          </w:p>
        </w:tc>
        <w:tc>
          <w:tcPr>
            <w:tcW w:w="1600" w:type="dxa"/>
            <w:vAlign w:val="bottom"/>
            <w:gridSpan w:val="2"/>
          </w:tcPr>
          <w:p>
            <w:pPr>
              <w:ind w:left="420"/>
              <w:spacing w:after="0"/>
              <w:rPr>
                <w:sz w:val="20"/>
                <w:szCs w:val="20"/>
                <w:color w:val="auto"/>
              </w:rPr>
            </w:pPr>
            <w:r>
              <w:rPr>
                <w:rFonts w:ascii="Arial" w:cs="Arial" w:eastAsia="Arial" w:hAnsi="Arial"/>
                <w:sz w:val="16"/>
                <w:szCs w:val="16"/>
                <w:color w:val="auto"/>
              </w:rPr>
              <w:t>10/31/2005(7)</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exercise price equals the fair market value of ABM common stock on the date of grant.</w:t>
      </w:r>
    </w:p>
    <w:p>
      <w:pPr>
        <w:spacing w:after="0" w:line="68" w:lineRule="exact"/>
        <w:rPr>
          <w:rFonts w:ascii="Arial" w:cs="Arial" w:eastAsia="Arial" w:hAnsi="Arial"/>
          <w:sz w:val="14"/>
          <w:szCs w:val="14"/>
          <w:color w:val="auto"/>
        </w:rPr>
      </w:pPr>
    </w:p>
    <w:p>
      <w:pPr>
        <w:ind w:left="360" w:right="180" w:hanging="352"/>
        <w:spacing w:after="0" w:line="25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term of ten years has been used in calculating assumed appreciation. No gain to the optionee is possible without an increase in the price of ABM common stock from the exercise price, which will benefit all stockholders.</w:t>
      </w:r>
    </w:p>
    <w:p>
      <w:pPr>
        <w:spacing w:after="0" w:line="45" w:lineRule="exact"/>
        <w:rPr>
          <w:rFonts w:ascii="Arial" w:cs="Arial" w:eastAsia="Arial" w:hAnsi="Arial"/>
          <w:sz w:val="14"/>
          <w:szCs w:val="14"/>
          <w:color w:val="auto"/>
        </w:rPr>
      </w:pPr>
    </w:p>
    <w:p>
      <w:pPr>
        <w:ind w:left="360" w:right="40" w:hanging="352"/>
        <w:spacing w:after="0" w:line="250"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November 29,2005, Mr. Slipsager received an additional option under the Time-Vested Plan to acquire 57,000 shares at an exercise price of $20.83, which vests 20% per year over the first five years. The right to exercise these options expires on the earlier of ten years from grant or three months after termination of employment. However, these options may be immediately exercised in the event of a “Change of Control” as defined in the Time-Vested Plan.</w:t>
      </w:r>
    </w:p>
    <w:p>
      <w:pPr>
        <w:spacing w:after="0" w:line="50" w:lineRule="exact"/>
        <w:rPr>
          <w:rFonts w:ascii="Arial" w:cs="Arial" w:eastAsia="Arial" w:hAnsi="Arial"/>
          <w:sz w:val="14"/>
          <w:szCs w:val="14"/>
          <w:color w:val="auto"/>
        </w:rPr>
      </w:pPr>
    </w:p>
    <w:p>
      <w:pPr>
        <w:jc w:val="both"/>
        <w:ind w:left="360" w:right="180" w:hanging="352"/>
        <w:spacing w:after="0" w:line="250"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Price-Vested Performance Stock Options granted under the 2002 Plan, which vest over the first four years at a rate tied to the price of ABM Common Stock, 50% at $23.00 and 50% at $26.00, and after eight years from the date of grant if not previously vested. The right to exercise these options expires on the earlier of ten years from grant or three months after termination of employment. However, these options may be immediately exercised in the event of a “Change of Control” as defined in the 2002 Plan.</w:t>
      </w:r>
    </w:p>
    <w:p>
      <w:pPr>
        <w:spacing w:after="0" w:line="50" w:lineRule="exact"/>
        <w:rPr>
          <w:rFonts w:ascii="Arial" w:cs="Arial" w:eastAsia="Arial" w:hAnsi="Arial"/>
          <w:sz w:val="14"/>
          <w:szCs w:val="14"/>
          <w:color w:val="auto"/>
        </w:rPr>
      </w:pPr>
    </w:p>
    <w:p>
      <w:pPr>
        <w:jc w:val="both"/>
        <w:ind w:left="360" w:right="20" w:hanging="352"/>
        <w:spacing w:after="0" w:line="250"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Time-Vested Stock Options granted under the Time-Vested Plan, which vest 20% per year over the first five years. The right to exercise these options expires on the earlier of ten years from grant or three months after termination of employment. However, these options may be immediately exercised in the event of a “Change of Control” as defined in the Time-Vested Plan.</w:t>
      </w:r>
    </w:p>
    <w:p>
      <w:pPr>
        <w:spacing w:after="0" w:line="50" w:lineRule="exact"/>
        <w:rPr>
          <w:rFonts w:ascii="Arial" w:cs="Arial" w:eastAsia="Arial" w:hAnsi="Arial"/>
          <w:sz w:val="14"/>
          <w:szCs w:val="14"/>
          <w:color w:val="auto"/>
        </w:rPr>
      </w:pPr>
    </w:p>
    <w:p>
      <w:pPr>
        <w:ind w:left="360" w:right="20" w:hanging="352"/>
        <w:spacing w:after="0" w:line="247"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Price-Vested Performance Stock Options granted under the 2002 Plan, which vest over the first four years at a rate tied to the price of ABM Common Stock, 25% at each of $22.50, $25.00, $27.50, and $30.00, and after eight years from the date of grant if not previously vested. The right to exercise these options expires on the earlier of ten years from grant or three months after termination of employment. However, these options may be immediately exercised in the event of a “Change of Control” as defined in the 2002 Plan.</w:t>
      </w:r>
    </w:p>
    <w:p>
      <w:pPr>
        <w:spacing w:after="0" w:line="53" w:lineRule="exact"/>
        <w:rPr>
          <w:rFonts w:ascii="Arial" w:cs="Arial" w:eastAsia="Arial" w:hAnsi="Arial"/>
          <w:sz w:val="14"/>
          <w:szCs w:val="14"/>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Options terminated 90 days after termination of employment.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Fiscal Year-End Stock Option Values</w:t>
      </w:r>
    </w:p>
    <w:p>
      <w:pPr>
        <w:spacing w:after="0" w:line="72" w:lineRule="exact"/>
        <w:rPr>
          <w:sz w:val="20"/>
          <w:szCs w:val="20"/>
          <w:color w:val="auto"/>
        </w:rPr>
      </w:pPr>
    </w:p>
    <w:p>
      <w:pPr>
        <w:ind w:right="260" w:firstLine="297"/>
        <w:spacing w:after="0" w:line="246" w:lineRule="auto"/>
        <w:rPr>
          <w:sz w:val="20"/>
          <w:szCs w:val="20"/>
          <w:color w:val="auto"/>
        </w:rPr>
      </w:pPr>
      <w:r>
        <w:rPr>
          <w:rFonts w:ascii="Arial" w:cs="Arial" w:eastAsia="Arial" w:hAnsi="Arial"/>
          <w:sz w:val="18"/>
          <w:szCs w:val="18"/>
          <w:color w:val="auto"/>
        </w:rPr>
        <w:t>The following table sets forth certain information concerning the value of stock options owned at fiscal year end by the persons named in the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Stock Option Exercises in Last Fiscal Year and Fiscal Year-End Stock Option Values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Common Shares</w:t>
            </w: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Underlying Unexercised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4"/>
          </w:tcPr>
          <w:p>
            <w:pPr>
              <w:jc w:val="center"/>
              <w:ind w:right="240"/>
              <w:spacing w:after="0"/>
              <w:rPr>
                <w:sz w:val="20"/>
                <w:szCs w:val="20"/>
                <w:color w:val="auto"/>
              </w:rPr>
            </w:pPr>
            <w:r>
              <w:rPr>
                <w:rFonts w:ascii="Arial" w:cs="Arial" w:eastAsia="Arial" w:hAnsi="Arial"/>
                <w:sz w:val="14"/>
                <w:szCs w:val="14"/>
                <w:color w:val="auto"/>
              </w:rPr>
              <w:t>Value of Unexercised</w:t>
            </w:r>
          </w:p>
        </w:tc>
      </w:tr>
      <w:tr>
        <w:trPr>
          <w:trHeight w:val="162"/>
        </w:trPr>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Options At October 31,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4"/>
                <w:szCs w:val="14"/>
                <w:color w:val="auto"/>
              </w:rPr>
              <w:t>In-the-Money Options at</w:t>
            </w:r>
          </w:p>
        </w:tc>
      </w:tr>
      <w:tr>
        <w:trPr>
          <w:trHeight w:val="157"/>
        </w:trPr>
        <w:tc>
          <w:tcPr>
            <w:tcW w:w="2320" w:type="dxa"/>
            <w:vAlign w:val="bottom"/>
          </w:tcPr>
          <w:p>
            <w:pPr>
              <w:spacing w:after="0"/>
              <w:rPr>
                <w:sz w:val="13"/>
                <w:szCs w:val="13"/>
                <w:color w:val="auto"/>
              </w:rPr>
            </w:pPr>
          </w:p>
        </w:tc>
        <w:tc>
          <w:tcPr>
            <w:tcW w:w="1840" w:type="dxa"/>
            <w:vAlign w:val="bottom"/>
          </w:tcPr>
          <w:p>
            <w:pPr>
              <w:jc w:val="center"/>
              <w:ind w:left="362"/>
              <w:spacing w:after="0" w:line="157" w:lineRule="exact"/>
              <w:rPr>
                <w:sz w:val="20"/>
                <w:szCs w:val="20"/>
                <w:color w:val="auto"/>
              </w:rPr>
            </w:pPr>
            <w:r>
              <w:rPr>
                <w:rFonts w:ascii="Arial" w:cs="Arial" w:eastAsia="Arial" w:hAnsi="Arial"/>
                <w:sz w:val="14"/>
                <w:szCs w:val="14"/>
                <w:color w:val="auto"/>
                <w:w w:val="99"/>
              </w:rPr>
              <w:t>Shares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jc w:val="center"/>
              <w:ind w:right="881"/>
              <w:spacing w:after="0" w:line="157"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rPr>
              <w:t>October 31, 2005(1)</w:t>
            </w:r>
          </w:p>
        </w:tc>
      </w:tr>
      <w:tr>
        <w:trPr>
          <w:trHeight w:val="147"/>
        </w:trPr>
        <w:tc>
          <w:tcPr>
            <w:tcW w:w="2320" w:type="dxa"/>
            <w:vAlign w:val="bottom"/>
          </w:tcPr>
          <w:p>
            <w:pPr>
              <w:spacing w:after="0"/>
              <w:rPr>
                <w:sz w:val="12"/>
                <w:szCs w:val="12"/>
                <w:color w:val="auto"/>
              </w:rPr>
            </w:pPr>
          </w:p>
        </w:tc>
        <w:tc>
          <w:tcPr>
            <w:tcW w:w="1840" w:type="dxa"/>
            <w:vAlign w:val="bottom"/>
          </w:tcPr>
          <w:p>
            <w:pPr>
              <w:jc w:val="center"/>
              <w:ind w:left="362"/>
              <w:spacing w:after="0" w:line="147" w:lineRule="exact"/>
              <w:rPr>
                <w:sz w:val="20"/>
                <w:szCs w:val="20"/>
                <w:color w:val="auto"/>
              </w:rPr>
            </w:pPr>
            <w:r>
              <w:rPr>
                <w:rFonts w:ascii="Arial" w:cs="Arial" w:eastAsia="Arial" w:hAnsi="Arial"/>
                <w:sz w:val="14"/>
                <w:szCs w:val="14"/>
                <w:color w:val="auto"/>
              </w:rPr>
              <w:t>Acquired on</w:t>
            </w:r>
          </w:p>
        </w:tc>
        <w:tc>
          <w:tcPr>
            <w:tcW w:w="340" w:type="dxa"/>
            <w:vAlign w:val="bottom"/>
          </w:tcPr>
          <w:p>
            <w:pPr>
              <w:spacing w:after="0"/>
              <w:rPr>
                <w:sz w:val="12"/>
                <w:szCs w:val="12"/>
                <w:color w:val="auto"/>
              </w:rPr>
            </w:pPr>
          </w:p>
        </w:tc>
        <w:tc>
          <w:tcPr>
            <w:tcW w:w="1280" w:type="dxa"/>
            <w:vAlign w:val="bottom"/>
          </w:tcPr>
          <w:p>
            <w:pPr>
              <w:jc w:val="right"/>
              <w:ind w:right="661"/>
              <w:spacing w:after="0" w:line="147" w:lineRule="exact"/>
              <w:rPr>
                <w:sz w:val="20"/>
                <w:szCs w:val="20"/>
                <w:color w:val="auto"/>
              </w:rPr>
            </w:pPr>
            <w:r>
              <w:rPr>
                <w:rFonts w:ascii="Arial" w:cs="Arial" w:eastAsia="Arial" w:hAnsi="Arial"/>
                <w:sz w:val="14"/>
                <w:szCs w:val="14"/>
                <w:color w:val="auto"/>
              </w:rPr>
              <w:t>Value</w:t>
            </w:r>
          </w:p>
        </w:tc>
        <w:tc>
          <w:tcPr>
            <w:tcW w:w="9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232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1840" w:type="dxa"/>
            <w:vAlign w:val="bottom"/>
          </w:tcPr>
          <w:p>
            <w:pPr>
              <w:jc w:val="center"/>
              <w:ind w:left="362"/>
              <w:spacing w:after="0" w:line="157" w:lineRule="exact"/>
              <w:rPr>
                <w:sz w:val="20"/>
                <w:szCs w:val="20"/>
                <w:color w:val="auto"/>
              </w:rPr>
            </w:pPr>
            <w:r>
              <w:rPr>
                <w:rFonts w:ascii="Arial" w:cs="Arial" w:eastAsia="Arial" w:hAnsi="Arial"/>
                <w:sz w:val="14"/>
                <w:szCs w:val="14"/>
                <w:color w:val="auto"/>
              </w:rPr>
              <w:t>Exercise(#)</w:t>
            </w:r>
          </w:p>
        </w:tc>
        <w:tc>
          <w:tcPr>
            <w:tcW w:w="340" w:type="dxa"/>
            <w:vAlign w:val="bottom"/>
          </w:tcPr>
          <w:p>
            <w:pPr>
              <w:spacing w:after="0"/>
              <w:rPr>
                <w:sz w:val="14"/>
                <w:szCs w:val="14"/>
                <w:color w:val="auto"/>
              </w:rPr>
            </w:pPr>
          </w:p>
        </w:tc>
        <w:tc>
          <w:tcPr>
            <w:tcW w:w="1280" w:type="dxa"/>
            <w:vAlign w:val="bottom"/>
          </w:tcPr>
          <w:p>
            <w:pPr>
              <w:jc w:val="right"/>
              <w:ind w:right="461"/>
              <w:spacing w:after="0" w:line="157" w:lineRule="exact"/>
              <w:rPr>
                <w:sz w:val="20"/>
                <w:szCs w:val="20"/>
                <w:color w:val="auto"/>
              </w:rPr>
            </w:pPr>
            <w:r>
              <w:rPr>
                <w:rFonts w:ascii="Arial" w:cs="Arial" w:eastAsia="Arial" w:hAnsi="Arial"/>
                <w:sz w:val="14"/>
                <w:szCs w:val="14"/>
                <w:color w:val="auto"/>
              </w:rPr>
              <w:t>Realized($)</w:t>
            </w:r>
          </w:p>
        </w:tc>
        <w:tc>
          <w:tcPr>
            <w:tcW w:w="960" w:type="dxa"/>
            <w:vAlign w:val="bottom"/>
          </w:tcPr>
          <w:p>
            <w:pPr>
              <w:jc w:val="right"/>
              <w:ind w:right="43"/>
              <w:spacing w:after="0" w:line="157" w:lineRule="exact"/>
              <w:rPr>
                <w:sz w:val="20"/>
                <w:szCs w:val="20"/>
                <w:color w:val="auto"/>
              </w:rPr>
            </w:pPr>
            <w:r>
              <w:rPr>
                <w:rFonts w:ascii="Arial" w:cs="Arial" w:eastAsia="Arial" w:hAnsi="Arial"/>
                <w:sz w:val="14"/>
                <w:szCs w:val="14"/>
                <w:color w:val="auto"/>
              </w:rPr>
              <w:t>Exercisable</w:t>
            </w:r>
          </w:p>
        </w:tc>
        <w:tc>
          <w:tcPr>
            <w:tcW w:w="1540" w:type="dxa"/>
            <w:vAlign w:val="bottom"/>
          </w:tcPr>
          <w:p>
            <w:pPr>
              <w:jc w:val="right"/>
              <w:ind w:right="41"/>
              <w:spacing w:after="0" w:line="157" w:lineRule="exact"/>
              <w:rPr>
                <w:sz w:val="20"/>
                <w:szCs w:val="20"/>
                <w:color w:val="auto"/>
              </w:rPr>
            </w:pPr>
            <w:r>
              <w:rPr>
                <w:rFonts w:ascii="Arial" w:cs="Arial" w:eastAsia="Arial" w:hAnsi="Arial"/>
                <w:sz w:val="14"/>
                <w:szCs w:val="14"/>
                <w:color w:val="auto"/>
              </w:rPr>
              <w:t>Unexercisable</w:t>
            </w:r>
          </w:p>
        </w:tc>
        <w:tc>
          <w:tcPr>
            <w:tcW w:w="440" w:type="dxa"/>
            <w:vAlign w:val="bottom"/>
          </w:tcPr>
          <w:p>
            <w:pPr>
              <w:spacing w:after="0"/>
              <w:rPr>
                <w:sz w:val="14"/>
                <w:szCs w:val="14"/>
                <w:color w:val="auto"/>
              </w:rPr>
            </w:pPr>
          </w:p>
        </w:tc>
        <w:tc>
          <w:tcPr>
            <w:tcW w:w="1120" w:type="dxa"/>
            <w:vAlign w:val="bottom"/>
            <w:gridSpan w:val="2"/>
          </w:tcPr>
          <w:p>
            <w:pPr>
              <w:jc w:val="right"/>
              <w:ind w:right="222"/>
              <w:spacing w:after="0" w:line="157" w:lineRule="exact"/>
              <w:rPr>
                <w:sz w:val="20"/>
                <w:szCs w:val="20"/>
                <w:color w:val="auto"/>
              </w:rPr>
            </w:pPr>
            <w:r>
              <w:rPr>
                <w:rFonts w:ascii="Arial" w:cs="Arial" w:eastAsia="Arial" w:hAnsi="Arial"/>
                <w:sz w:val="14"/>
                <w:szCs w:val="14"/>
                <w:color w:val="auto"/>
              </w:rPr>
              <w:t>Exercisable</w:t>
            </w:r>
          </w:p>
        </w:tc>
        <w:tc>
          <w:tcPr>
            <w:tcW w:w="360" w:type="dxa"/>
            <w:vAlign w:val="bottom"/>
          </w:tcPr>
          <w:p>
            <w:pPr>
              <w:spacing w:after="0"/>
              <w:rPr>
                <w:sz w:val="14"/>
                <w:szCs w:val="14"/>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Unexercisable</w:t>
            </w:r>
          </w:p>
        </w:tc>
      </w:tr>
      <w:tr>
        <w:trPr>
          <w:trHeight w:val="203"/>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Henrik C. Slipsager</w:t>
            </w:r>
          </w:p>
        </w:tc>
        <w:tc>
          <w:tcPr>
            <w:tcW w:w="18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323,000</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1,659,385</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550,675</w:t>
            </w:r>
          </w:p>
        </w:tc>
        <w:tc>
          <w:tcPr>
            <w:tcW w:w="100" w:type="dxa"/>
            <w:vAlign w:val="bottom"/>
            <w:shd w:val="clear" w:color="auto" w:fill="CCEEFF"/>
          </w:tcPr>
          <w:p>
            <w:pPr>
              <w:spacing w:after="0"/>
              <w:rPr>
                <w:sz w:val="17"/>
                <w:szCs w:val="17"/>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James P. McClure</w:t>
            </w:r>
          </w:p>
        </w:tc>
        <w:tc>
          <w:tcPr>
            <w:tcW w:w="18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156,000</w:t>
            </w:r>
          </w:p>
        </w:tc>
        <w:tc>
          <w:tcPr>
            <w:tcW w:w="1540" w:type="dxa"/>
            <w:vAlign w:val="bottom"/>
          </w:tcPr>
          <w:p>
            <w:pPr>
              <w:jc w:val="right"/>
              <w:spacing w:after="0"/>
              <w:rPr>
                <w:sz w:val="20"/>
                <w:szCs w:val="20"/>
                <w:color w:val="auto"/>
              </w:rPr>
            </w:pPr>
            <w:r>
              <w:rPr>
                <w:rFonts w:ascii="Arial" w:cs="Arial" w:eastAsia="Arial" w:hAnsi="Arial"/>
                <w:sz w:val="16"/>
                <w:szCs w:val="16"/>
                <w:color w:val="auto"/>
              </w:rPr>
              <w:t>238,640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424,420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564,395</w:t>
            </w:r>
          </w:p>
        </w:tc>
        <w:tc>
          <w:tcPr>
            <w:tcW w:w="100" w:type="dxa"/>
            <w:vAlign w:val="bottom"/>
          </w:tcPr>
          <w:p>
            <w:pPr>
              <w:spacing w:after="0"/>
              <w:rPr>
                <w:sz w:val="17"/>
                <w:szCs w:val="17"/>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George B. Sundby</w:t>
            </w:r>
          </w:p>
        </w:tc>
        <w:tc>
          <w:tcPr>
            <w:tcW w:w="18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470,910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324,290</w:t>
            </w:r>
          </w:p>
        </w:tc>
        <w:tc>
          <w:tcPr>
            <w:tcW w:w="100" w:type="dxa"/>
            <w:vAlign w:val="bottom"/>
            <w:shd w:val="clear" w:color="auto" w:fill="CCEEFF"/>
          </w:tcPr>
          <w:p>
            <w:pPr>
              <w:spacing w:after="0"/>
              <w:rPr>
                <w:sz w:val="17"/>
                <w:szCs w:val="17"/>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Steven M. Zaccagnini</w:t>
            </w:r>
          </w:p>
        </w:tc>
        <w:tc>
          <w:tcPr>
            <w:tcW w:w="18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34,000</w:t>
            </w:r>
          </w:p>
        </w:tc>
        <w:tc>
          <w:tcPr>
            <w:tcW w:w="1540" w:type="dxa"/>
            <w:vAlign w:val="bottom"/>
          </w:tcPr>
          <w:p>
            <w:pPr>
              <w:jc w:val="right"/>
              <w:spacing w:after="0"/>
              <w:rPr>
                <w:sz w:val="20"/>
                <w:szCs w:val="20"/>
                <w:color w:val="auto"/>
              </w:rPr>
            </w:pPr>
            <w:r>
              <w:rPr>
                <w:rFonts w:ascii="Arial" w:cs="Arial" w:eastAsia="Arial" w:hAnsi="Arial"/>
                <w:sz w:val="16"/>
                <w:szCs w:val="16"/>
                <w:color w:val="auto"/>
              </w:rPr>
              <w:t>166,000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140,430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402,970</w:t>
            </w:r>
          </w:p>
        </w:tc>
        <w:tc>
          <w:tcPr>
            <w:tcW w:w="100" w:type="dxa"/>
            <w:vAlign w:val="bottom"/>
          </w:tcPr>
          <w:p>
            <w:pPr>
              <w:spacing w:after="0"/>
              <w:rPr>
                <w:sz w:val="17"/>
                <w:szCs w:val="17"/>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Linda S. Auwers</w:t>
            </w:r>
          </w:p>
        </w:tc>
        <w:tc>
          <w:tcPr>
            <w:tcW w:w="18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209,880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600,720</w:t>
            </w:r>
          </w:p>
        </w:tc>
        <w:tc>
          <w:tcPr>
            <w:tcW w:w="100" w:type="dxa"/>
            <w:vAlign w:val="bottom"/>
            <w:shd w:val="clear" w:color="auto" w:fill="CCEEFF"/>
          </w:tcPr>
          <w:p>
            <w:pPr>
              <w:spacing w:after="0"/>
              <w:rPr>
                <w:sz w:val="17"/>
                <w:szCs w:val="17"/>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6"/>
                <w:szCs w:val="16"/>
                <w:color w:val="auto"/>
              </w:rPr>
              <w:t>William T. Petty</w:t>
            </w:r>
          </w:p>
        </w:tc>
        <w:tc>
          <w:tcPr>
            <w:tcW w:w="1840" w:type="dxa"/>
            <w:vAlign w:val="bottom"/>
          </w:tcPr>
          <w:p>
            <w:pPr>
              <w:jc w:val="right"/>
              <w:ind w:right="162"/>
              <w:spacing w:after="0"/>
              <w:rPr>
                <w:sz w:val="20"/>
                <w:szCs w:val="20"/>
                <w:color w:val="auto"/>
              </w:rPr>
            </w:pPr>
            <w:r>
              <w:rPr>
                <w:rFonts w:ascii="Arial" w:cs="Arial" w:eastAsia="Arial" w:hAnsi="Arial"/>
                <w:sz w:val="16"/>
                <w:szCs w:val="16"/>
                <w:color w:val="auto"/>
              </w:rPr>
              <w:t>18,000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44,100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0</w:t>
            </w: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p>
      <w:pPr>
        <w:ind w:left="360" w:right="60" w:hanging="352"/>
        <w:spacing w:after="0" w:line="258"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value of unexercised in-the-money options equals the difference between the option exercise price and $19.78, the closing price of ABM common stock on the New York Stock Exchange on October 31, 2005, multiplied by the number of shares underlying the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26" w:lineRule="exact"/>
        <w:rPr>
          <w:sz w:val="20"/>
          <w:szCs w:val="20"/>
          <w:color w:val="auto"/>
        </w:rPr>
      </w:pPr>
    </w:p>
    <w:p>
      <w:pPr>
        <w:ind w:right="80" w:firstLine="297"/>
        <w:spacing w:after="0" w:line="239" w:lineRule="auto"/>
        <w:rPr>
          <w:sz w:val="20"/>
          <w:szCs w:val="20"/>
          <w:color w:val="auto"/>
        </w:rPr>
      </w:pPr>
      <w:r>
        <w:rPr>
          <w:rFonts w:ascii="Arial" w:cs="Arial" w:eastAsia="Arial" w:hAnsi="Arial"/>
          <w:sz w:val="18"/>
          <w:szCs w:val="18"/>
          <w:color w:val="auto"/>
        </w:rPr>
        <w:t>The Company has unfunded retirement agreements for 46 current and former senior executives, including two current directors who were former senior executives, many of which are fully vested. The retirement agreements provide for monthly benefits for ten years commencing at the later of the respective retirement dates of those executives or age 65. The benefits are accrued over the vesting period. Effective December 31, 2002, this plan was amended to preclude new participants.</w:t>
      </w:r>
    </w:p>
    <w:p>
      <w:pPr>
        <w:spacing w:after="0" w:line="94" w:lineRule="exact"/>
        <w:rPr>
          <w:sz w:val="20"/>
          <w:szCs w:val="20"/>
          <w:color w:val="auto"/>
        </w:rPr>
      </w:pPr>
    </w:p>
    <w:p>
      <w:pPr>
        <w:ind w:right="240" w:firstLine="300"/>
        <w:spacing w:after="0" w:line="248" w:lineRule="auto"/>
        <w:rPr>
          <w:sz w:val="20"/>
          <w:szCs w:val="20"/>
          <w:color w:val="auto"/>
        </w:rPr>
      </w:pPr>
      <w:r>
        <w:rPr>
          <w:rFonts w:ascii="Arial" w:cs="Arial" w:eastAsia="Arial" w:hAnsi="Arial"/>
          <w:sz w:val="17"/>
          <w:szCs w:val="17"/>
          <w:color w:val="auto"/>
        </w:rPr>
        <w:t>When fully vested, the current supplemental executive retirement benefits shall provide the following for the persons named in the Summary Compensation Table: for Henrik C. Slipsager, $1,000,000; for James P. McClure, $250,000; and for George B. Sundby and Steven</w:t>
      </w:r>
    </w:p>
    <w:p>
      <w:pPr>
        <w:spacing w:after="0" w:line="1" w:lineRule="exact"/>
        <w:rPr>
          <w:sz w:val="20"/>
          <w:szCs w:val="20"/>
          <w:color w:val="auto"/>
        </w:rPr>
      </w:pPr>
    </w:p>
    <w:p>
      <w:pPr>
        <w:ind w:right="440" w:firstLine="8"/>
        <w:spacing w:after="0" w:line="261" w:lineRule="auto"/>
        <w:tabs>
          <w:tab w:leader="none" w:pos="2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Zaccagnini, $150,000. The amounts currently vested are $986,000, $217,000, $66,250 and $51,000 for Messrs. Slipsager, McClure, Sundby and Zaccagnini, respectively. The amounts accrued in 2005 for these benefits for the named executives were $66,454, $12,733, $7,669 and $4,385, respectively. The other persons named in the Summary Compensation Table are not eligible to participate in this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Award Benefit Plan</w:t>
      </w:r>
    </w:p>
    <w:p>
      <w:pPr>
        <w:spacing w:after="0" w:line="126" w:lineRule="exact"/>
        <w:rPr>
          <w:sz w:val="20"/>
          <w:szCs w:val="20"/>
          <w:color w:val="auto"/>
        </w:rPr>
      </w:pPr>
    </w:p>
    <w:p>
      <w:pPr>
        <w:ind w:right="220" w:firstLine="297"/>
        <w:spacing w:after="0" w:line="236" w:lineRule="auto"/>
        <w:rPr>
          <w:sz w:val="20"/>
          <w:szCs w:val="20"/>
          <w:color w:val="auto"/>
        </w:rPr>
      </w:pPr>
      <w:r>
        <w:rPr>
          <w:rFonts w:ascii="Arial" w:cs="Arial" w:eastAsia="Arial" w:hAnsi="Arial"/>
          <w:sz w:val="18"/>
          <w:szCs w:val="18"/>
          <w:color w:val="auto"/>
        </w:rPr>
        <w:t>The Company has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between November 1989 and January 2002. The amount of the payment is based on the final average annual compensation, up to a maximum of $175,000, received by the employees during their last three full years of full-time employment with ABM. The amount of payment under the plan, together with any other severance pay paid to the employee, cannot exceed two times the compensation received by the employee in the twelve-month period preceding the termination of employment. If the employee is terminated for cause (such as theft or embezzlement), such employee forfeits any benefits payable under the plan. Mr. Slipsager’s benefit under this plan will be based on 51 days’ pay; and Mr. McClure’s on 122 days’ pay. Were Messrs. Slipsager and McClure to have terminated service effective October 31, 2005, they would have been eligible to receive $34,327 and $82,115 under the plan. The other persons named in the Summary Compensation Table are not eligible to participate in this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6" w:lineRule="exact"/>
        <w:rPr>
          <w:sz w:val="20"/>
          <w:szCs w:val="20"/>
          <w:color w:val="auto"/>
        </w:rPr>
      </w:pPr>
    </w:p>
    <w:p>
      <w:pPr>
        <w:ind w:right="20" w:firstLine="290"/>
        <w:spacing w:after="0" w:line="234" w:lineRule="auto"/>
        <w:rPr>
          <w:sz w:val="20"/>
          <w:szCs w:val="20"/>
          <w:color w:val="auto"/>
        </w:rPr>
      </w:pPr>
      <w:r>
        <w:rPr>
          <w:rFonts w:ascii="Arial" w:cs="Arial" w:eastAsia="Arial" w:hAnsi="Arial"/>
          <w:sz w:val="18"/>
          <w:szCs w:val="18"/>
          <w:color w:val="auto"/>
        </w:rPr>
        <w:t>ABM’s Deferred Compensation Plan is an unfunded deferred compensation plan available to executive, management, administrative, and sales employees whose annualized base salary exceeds $95,000. The plan allows employees to make pre-tax contributions from 1% to 20% of their compensation, including base pay and bonuses. Deferred amounts earn interest equal to the prime interest rate on the last day of the calendar quarter up to 6%. If the prime rate exceeds 6%, the plan interest rate is equal to 6% plus one-half of the excess of prime rate over 6%. The average interest rate credited to the deferred compensation amounts for 2005 was 6%. The Deferred Compensation Plan benefits of</w:t>
      </w:r>
    </w:p>
    <w:p>
      <w:pPr>
        <w:spacing w:after="0" w:line="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Mr. Zaccagnini, the only executive named in the Summary Compensation Table who participated in this plan, are described in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 Perquisites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or its subsidiaries have written employment agreements with the named executive officers (other than Mr. Petty), as well as certain</w:t>
      </w:r>
    </w:p>
    <w:p>
      <w:pPr>
        <w:spacing w:after="0" w:line="234" w:lineRule="auto"/>
        <w:rPr>
          <w:sz w:val="20"/>
          <w:szCs w:val="20"/>
          <w:color w:val="auto"/>
        </w:rPr>
      </w:pPr>
      <w:r>
        <w:rPr>
          <w:rFonts w:ascii="Arial" w:cs="Arial" w:eastAsia="Arial" w:hAnsi="Arial"/>
          <w:sz w:val="18"/>
          <w:szCs w:val="18"/>
          <w:color w:val="auto"/>
        </w:rPr>
        <w:t>other officers. These employment agreements provide for annual salaries in the following amounts for fiscal year 2006: for Henrik C. Slipsager,</w:t>
      </w:r>
    </w:p>
    <w:p>
      <w:pPr>
        <w:spacing w:after="0" w:line="235" w:lineRule="auto"/>
        <w:rPr>
          <w:sz w:val="20"/>
          <w:szCs w:val="20"/>
          <w:color w:val="auto"/>
        </w:rPr>
      </w:pPr>
      <w:r>
        <w:rPr>
          <w:rFonts w:ascii="Arial" w:cs="Arial" w:eastAsia="Arial" w:hAnsi="Arial"/>
          <w:sz w:val="18"/>
          <w:szCs w:val="18"/>
          <w:color w:val="auto"/>
        </w:rPr>
        <w:t>$700,000; James P. McClure, $439,300; for George B. Sundby, $350,000; for Steven M. Zaccagnini, $400,000; and for Linda S. Auwers</w:t>
      </w:r>
    </w:p>
    <w:p>
      <w:pPr>
        <w:spacing w:after="0" w:line="235" w:lineRule="auto"/>
        <w:rPr>
          <w:sz w:val="20"/>
          <w:szCs w:val="20"/>
          <w:color w:val="auto"/>
        </w:rPr>
      </w:pPr>
      <w:r>
        <w:rPr>
          <w:rFonts w:ascii="Arial" w:cs="Arial" w:eastAsia="Arial" w:hAnsi="Arial"/>
          <w:sz w:val="18"/>
          <w:szCs w:val="18"/>
          <w:color w:val="auto"/>
        </w:rPr>
        <w:t>$310,745. These employment agreements provide for annual bonuses based on a target percentage of base salary, in each case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modification based on individual performance.</w:t>
      </w:r>
    </w:p>
    <w:p>
      <w:pPr>
        <w:spacing w:after="0" w:line="104" w:lineRule="exact"/>
        <w:rPr>
          <w:sz w:val="20"/>
          <w:szCs w:val="20"/>
          <w:color w:val="auto"/>
        </w:rPr>
      </w:pPr>
    </w:p>
    <w:p>
      <w:pPr>
        <w:ind w:right="20" w:firstLine="300"/>
        <w:spacing w:after="0" w:line="238" w:lineRule="auto"/>
        <w:rPr>
          <w:sz w:val="20"/>
          <w:szCs w:val="20"/>
          <w:color w:val="auto"/>
        </w:rPr>
      </w:pPr>
      <w:r>
        <w:rPr>
          <w:rFonts w:ascii="Arial" w:cs="Arial" w:eastAsia="Arial" w:hAnsi="Arial"/>
          <w:sz w:val="18"/>
          <w:szCs w:val="18"/>
          <w:color w:val="auto"/>
        </w:rPr>
        <w:t>For 2006, Mr. Slipsager’s bonus target is 75% of base compensation and may range from 0 to 150% of the targeted amount. His performance objectives are based on a number of financial, operations, and control related targets. Mr. McClure’s target bonus for 2006 is 60% of base compensation; Messrs. Sundby and Mr. Zaccagnini’s target bonus is 50% of base compensation and Ms. Auwers’s target bonus is 40% of base compensation. Messrs. McClure and Zaccagnini’s bonuses will be based 40% on the performance of the operations headed by the executive; 20% on Company perform-</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ance, and 40% on individual performance in providing strategic leadership, employee leadership, and compliance and administration. The Company and operational performance components may range from 0% to 200% of the target amount; the individual performance components may range from 0% to 150% of the target amounts. Mr. Sundby and Ms. Auwers’ bonuses for fiscal year 2006 will be based 60 percent on Company performance and 40 percent on individual performance. The Company results component may range from 0% to 200% of the targeted amount; the individual performance component may range from 0% to 150% of the targeted amount.</w:t>
      </w:r>
    </w:p>
    <w:p>
      <w:pPr>
        <w:spacing w:after="0" w:line="95" w:lineRule="exact"/>
        <w:rPr>
          <w:sz w:val="20"/>
          <w:szCs w:val="20"/>
          <w:color w:val="auto"/>
        </w:rPr>
      </w:pPr>
    </w:p>
    <w:p>
      <w:pPr>
        <w:ind w:right="100" w:firstLine="300"/>
        <w:spacing w:after="0" w:line="237" w:lineRule="auto"/>
        <w:rPr>
          <w:sz w:val="20"/>
          <w:szCs w:val="20"/>
          <w:color w:val="auto"/>
        </w:rPr>
      </w:pPr>
      <w:r>
        <w:rPr>
          <w:rFonts w:ascii="Arial" w:cs="Arial" w:eastAsia="Arial" w:hAnsi="Arial"/>
          <w:sz w:val="18"/>
          <w:szCs w:val="18"/>
          <w:color w:val="auto"/>
        </w:rPr>
        <w:t>Each of the employment agreements for the named executive officers (other than Mr. Petty) has a term extending through October 2007, but extends automatically for an additional one-year period if a notice of non-renewal is not given at least 90 days prior to the termination date. The employment agreements may also terminate earlier in connection with termination for cause, voluntary termination by the executive or upon total disability or death of the named executive officer. Under the employment agreements, the named executive officers are also eligible for other customary benefits including, but not limited to, participation in ABM’s 401(k) Plan, as well as group life, health, and accidental death and disability insurance programs. Under ABM policies, ABM also provides certain other perquisites, such as automobiles or automobile allowances and expenses, club dues, and incidental personal benefits, including office parking.</w:t>
      </w:r>
    </w:p>
    <w:p>
      <w:pPr>
        <w:spacing w:after="0" w:line="95"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In addition, ABM has entered into severance agreements with each of the named executive officers (other than Mr. Petty) to assure continuity of the Company’s senior management and to provide the named executives officers with stated severance compensation should their employment with the Company be terminated under certain defined circumstances following a change in control (as defined in the agreement). The agreements are considered to be “double trigger” arrangements where the payment of severance compensation is predicated upon the occurrence of two triggering events: (1) the occurrence of a change in control; and (2) either the involuntary termination (other than for “cause” as defined in the agreement) or the termination of employment with the Company for “good reason” as defined in the agreement. The stated benefits consist of (1) a lump sum payment in an amount equal to two times (three times, in the case of Mr. Slipsager) the sum of base salary (at the rate in effect for the year in which the termination date occurs) plus current target bonus, (2) the continuation of all health benefits or reasonably equivalent benefits, for 18 months following the date of termination; and (3) a lump sum cash payment equal to the sum of any unpaid incentive compensation that was earned, accrued, allocated or awarded for a performance period ending prior to the termination date plus the value of any annual bonus or long-term incentive pay earned, accrued, allocated or awarded with respect to service during the performance period. Any payments under the severance agreements will be reduced to the extent that the named executive officer receives payments under his or her employment agreement with the Company following a termination of employment.</w:t>
      </w:r>
    </w:p>
    <w:p>
      <w:pPr>
        <w:spacing w:after="0" w:line="96" w:lineRule="exact"/>
        <w:rPr>
          <w:sz w:val="20"/>
          <w:szCs w:val="20"/>
          <w:color w:val="auto"/>
        </w:rPr>
      </w:pPr>
    </w:p>
    <w:p>
      <w:pPr>
        <w:ind w:right="140" w:firstLine="300"/>
        <w:spacing w:after="0" w:line="237" w:lineRule="auto"/>
        <w:rPr>
          <w:sz w:val="20"/>
          <w:szCs w:val="20"/>
          <w:color w:val="auto"/>
        </w:rPr>
      </w:pPr>
      <w:r>
        <w:rPr>
          <w:rFonts w:ascii="Arial" w:cs="Arial" w:eastAsia="Arial" w:hAnsi="Arial"/>
          <w:sz w:val="18"/>
          <w:szCs w:val="18"/>
          <w:color w:val="auto"/>
        </w:rPr>
        <w:t>Payments and benefits under the severance agreements (as well as under all other agreements or plans covering the named executive officer) are subject to reduction in order to avoid the application of the excise tax on “excess parachute payments” under the Internal Revenue Code, but only if the reduction would increase the net after-tax amount received by the named executive officer (the “modified cap”) with one exception. That exception is that the reduction may be made to the extent that the named executive officer would be entitled to receive, on a net-after tax basis, at least 90% of the severance payment he or she would otherwise be entitled to under the severance agreement. In consideration for the protection afforded by the severance agreements, the named executive officers agreed to non-competition provisions for the term of employment and for varying periods of time thereafter.</w:t>
      </w:r>
    </w:p>
    <w:p>
      <w:pPr>
        <w:spacing w:after="0" w:line="95" w:lineRule="exact"/>
        <w:rPr>
          <w:sz w:val="20"/>
          <w:szCs w:val="20"/>
          <w:color w:val="auto"/>
        </w:rPr>
      </w:pPr>
    </w:p>
    <w:p>
      <w:pPr>
        <w:ind w:right="560" w:firstLine="290"/>
        <w:spacing w:after="0" w:line="246" w:lineRule="auto"/>
        <w:rPr>
          <w:sz w:val="20"/>
          <w:szCs w:val="20"/>
          <w:color w:val="auto"/>
        </w:rPr>
      </w:pPr>
      <w:r>
        <w:rPr>
          <w:rFonts w:ascii="Arial" w:cs="Arial" w:eastAsia="Arial" w:hAnsi="Arial"/>
          <w:sz w:val="18"/>
          <w:szCs w:val="18"/>
          <w:color w:val="auto"/>
        </w:rPr>
        <w:t>ABM stock options held by the named executive officers vest upon change of control as defined in the applicable plan but include the modified cap.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right="260" w:firstLine="300"/>
        <w:spacing w:after="0" w:line="239" w:lineRule="auto"/>
        <w:rPr>
          <w:sz w:val="20"/>
          <w:szCs w:val="20"/>
          <w:color w:val="auto"/>
        </w:rPr>
      </w:pPr>
      <w:r>
        <w:rPr>
          <w:rFonts w:ascii="Arial" w:cs="Arial" w:eastAsia="Arial" w:hAnsi="Arial"/>
          <w:sz w:val="18"/>
          <w:szCs w:val="18"/>
          <w:color w:val="auto"/>
        </w:rPr>
        <w:t>During fiscal year 2005, each non-employee director received a retainer fee of $36,000 per year, $1,000 for each telephonic Board or committee meeting attended lasting less than two hours, and $2,000 for each in-person Board or Committee meeting attended and for each telephonic Board or committee meeting attended lasting two hours or more. Martinn Mandles, as Chairman of the Board in 2005 received an additional annual retainer of $36,000. In addition, ABM paid Mr. Mandles, then serving as Chairman of the Board, $50,000 in fiscal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year 2005 for certain transition services, which fee continued pro-rata through January 31, 2006. The Chair of the Audit Committee received an additional fee equal to 100% of the applicable meeting fee for each Audit Committee meeting attended and each of the Chairs of the Governance Committee, Compensation Committee, and Executive Committee received an additional fee equal to 50% of the applicable meeting fee for each Committee meeting attended. The fees to the Committee Chairs took effect November 1, 2004, except for the fee to the Chair of the Executive Committee, which took effect January 1, 2005. These arrangements remain in effect. The aggregate amount paid to non-employee directors for fiscal year 2005 meeting and retainer fees, including the $50,000 fee to Mr. Mandles and the fees to Mr. Steele and Mr. Rosenberg described below, was $812,167.</w:t>
      </w:r>
    </w:p>
    <w:p>
      <w:pPr>
        <w:spacing w:after="0" w:line="95" w:lineRule="exact"/>
        <w:rPr>
          <w:sz w:val="20"/>
          <w:szCs w:val="20"/>
          <w:color w:val="auto"/>
        </w:rPr>
      </w:pPr>
    </w:p>
    <w:p>
      <w:pPr>
        <w:ind w:right="100" w:firstLine="300"/>
        <w:spacing w:after="0" w:line="255" w:lineRule="auto"/>
        <w:rPr>
          <w:sz w:val="20"/>
          <w:szCs w:val="20"/>
          <w:color w:val="auto"/>
        </w:rPr>
      </w:pPr>
      <w:r>
        <w:rPr>
          <w:rFonts w:ascii="Arial" w:cs="Arial" w:eastAsia="Arial" w:hAnsi="Arial"/>
          <w:sz w:val="17"/>
          <w:szCs w:val="17"/>
          <w:color w:val="auto"/>
        </w:rPr>
        <w:t>Pursuant to the terms of ABM’s Time-Vested Incentive Stock Option Plan, on the first business day of each fiscal year, each non-employee director receives a stock option grant for 10,000 shares of ABM common stock, with an exercise price set at the fair market value of ABM common stock on the date of grant. The stock options vest annually in equal increments over five years. The exercise price of the 2005 grants made on November 1, 2004 is $20.735 per share. The Black-Scholes value of each 10,000 share grant on November 1, 2004 was $49,900. ABM also reimburses its non-employee directors for their out-of-pocket expenses incurred in attending Board and committee meetings.</w:t>
      </w:r>
    </w:p>
    <w:p>
      <w:pPr>
        <w:spacing w:after="0" w:line="82" w:lineRule="exact"/>
        <w:rPr>
          <w:sz w:val="20"/>
          <w:szCs w:val="20"/>
          <w:color w:val="auto"/>
        </w:rPr>
      </w:pPr>
    </w:p>
    <w:p>
      <w:pPr>
        <w:ind w:right="60" w:firstLine="290"/>
        <w:spacing w:after="0" w:line="239" w:lineRule="auto"/>
        <w:rPr>
          <w:sz w:val="20"/>
          <w:szCs w:val="20"/>
          <w:color w:val="auto"/>
        </w:rPr>
      </w:pPr>
      <w:r>
        <w:rPr>
          <w:rFonts w:ascii="Arial" w:cs="Arial" w:eastAsia="Arial" w:hAnsi="Arial"/>
          <w:sz w:val="18"/>
          <w:szCs w:val="18"/>
          <w:color w:val="auto"/>
        </w:rPr>
        <w:t>As a result of the expected reduced frequency of meetings of the Executive Committee, on January 1, 2005, ABM made a lump-sum payment of $300,000 to Chairman of the Executive Committee William Steele and, effective December 31, 2004, terminated the monthly fee of $8,333 to Mr. Steele as a consulting director. The Board also ratified an additional monthly fee of $8,333 for fiscal year 2005 payable to Theodore Rosenberg, which fee continued through January 31, 2006.</w:t>
      </w:r>
    </w:p>
    <w:p>
      <w:pPr>
        <w:spacing w:after="0" w:line="94" w:lineRule="exact"/>
        <w:rPr>
          <w:sz w:val="20"/>
          <w:szCs w:val="20"/>
          <w:color w:val="auto"/>
        </w:rPr>
      </w:pPr>
    </w:p>
    <w:p>
      <w:pPr>
        <w:ind w:right="160" w:firstLine="300"/>
        <w:spacing w:after="0" w:line="237" w:lineRule="auto"/>
        <w:rPr>
          <w:sz w:val="20"/>
          <w:szCs w:val="20"/>
          <w:color w:val="auto"/>
        </w:rPr>
      </w:pPr>
      <w:r>
        <w:rPr>
          <w:rFonts w:ascii="Arial" w:cs="Arial" w:eastAsia="Arial" w:hAnsi="Arial"/>
          <w:sz w:val="18"/>
          <w:szCs w:val="18"/>
          <w:color w:val="auto"/>
        </w:rPr>
        <w:t>Non-employee directors who have completed at least five years of service as a non-employee director are eligible to receive ten years of monthly retirement benefits equal to the monthly retainer fee received prior to retirement, reduced on a pro -rata basis for fewer than ten years of service. Benefit payments commence at the later of the respective retirement dates of those directors or age 62 (early retirement) or 72 (senior retirement) and end at the earlier of the 121st month after retirement or the death of the director. Non -employee directors who retire after the age of 70 have the option to receive a lump sum payment equal to the present value of the monthly payments discounted at 8%. In 2005, ABM accrued $129,247 in connection with the non-employee director retirement benefit. The aggregate liability for this plan at October 31, 2005, was $1,633,181.</w:t>
      </w:r>
    </w:p>
    <w:p>
      <w:pPr>
        <w:spacing w:after="0" w:line="95" w:lineRule="exact"/>
        <w:rPr>
          <w:sz w:val="20"/>
          <w:szCs w:val="20"/>
          <w:color w:val="auto"/>
        </w:rPr>
      </w:pPr>
    </w:p>
    <w:p>
      <w:pPr>
        <w:ind w:right="80" w:firstLine="300"/>
        <w:spacing w:after="0" w:line="238" w:lineRule="auto"/>
        <w:rPr>
          <w:sz w:val="20"/>
          <w:szCs w:val="20"/>
          <w:color w:val="auto"/>
        </w:rPr>
      </w:pPr>
      <w:r>
        <w:rPr>
          <w:rFonts w:ascii="Arial" w:cs="Arial" w:eastAsia="Arial" w:hAnsi="Arial"/>
          <w:sz w:val="18"/>
          <w:szCs w:val="18"/>
          <w:color w:val="auto"/>
        </w:rPr>
        <w:t>Mr. Steele retired as an officer and employee of ABM in October 2000. Pursuant to his previous employment contract, ABM is paying retirement benefits of $8,333 per month to Mr. Steele for a ten-year period ending June 2011. ABM also contributes up to $901 per month toward medical and dental insurance for Mr. Steele and his spouse (until each is age seventy-five) and provides him with $150,000 in life insurance coverage for the remainder of his life. In addition, under the terms of the previous employment contract, ABM pays certain club dues for Mr. Steele, which totaled $3,733 in fiscal year 2005.</w:t>
      </w:r>
    </w:p>
    <w:p>
      <w:pPr>
        <w:spacing w:after="0" w:line="95" w:lineRule="exact"/>
        <w:rPr>
          <w:sz w:val="20"/>
          <w:szCs w:val="20"/>
          <w:color w:val="auto"/>
        </w:rPr>
      </w:pPr>
    </w:p>
    <w:p>
      <w:pPr>
        <w:ind w:firstLine="300"/>
        <w:spacing w:after="0" w:line="236" w:lineRule="auto"/>
        <w:rPr>
          <w:sz w:val="20"/>
          <w:szCs w:val="20"/>
          <w:color w:val="auto"/>
        </w:rPr>
      </w:pPr>
      <w:r>
        <w:rPr>
          <w:rFonts w:ascii="Arial" w:cs="Arial" w:eastAsia="Arial" w:hAnsi="Arial"/>
          <w:sz w:val="18"/>
          <w:szCs w:val="18"/>
          <w:color w:val="auto"/>
        </w:rPr>
        <w:t>Mr. Mandles retired as an officer and employee on November 1, 2004. Mr. Mandles and ABM entered into an agreement in November 2002 that replaced and superceded his prior employment agreement, and provided that Mr. Mandles would serve as an employee of ABM until November 1, 2004 as well as serve as Chairman of the Board, subject to the pleasure of the Board. He continued to serve as Chairman of the Board until March 2006. Under the terms of the 2002 agreement. Mr. Mandles received salary prorated for one day of employment in fiscal year 2005, which was $ 1,786, as well as the payment of accrued and unused vacation, which was $ 59,411. The November 2002 agreement also required that ABM pay Mr. Mandles $108,000 on November 1, 2004, and that Mr. Mandles pay ABM $103,000 on that date to reimburse ABM for the cost of a club membership, both of which payments were made. Under the terms of the agreement and his previous employment contracts, ABM is paying retirement benefits of $4,167 per month to Mr. Mandles for a ten-year period ending October 2015. The amount accrued for this benefit in 2005 was $20,249. Mr. Mandles also participated in ABM’s Deferred Compensation Plan for many years. Following his retirement as an officer and employee on November 1, 2004, all deferred amounts and cumulative interest, a total of $ 996,994, were distributed to Mr. Mandles in accordance with his prior distribution election. Under ABM’s Service Award Benefit Plan, Mr. Mandles received a payment of $82,115 on May 13, 2005. See “Executive Compensation-Service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Award Benefit Plan.”Mr. Mandles also received $150,000 in life insurance for the remainder of his life in accordance with the applicable ABM policy.</w:t>
      </w:r>
    </w:p>
    <w:p>
      <w:pPr>
        <w:spacing w:after="0" w:line="89" w:lineRule="exact"/>
        <w:rPr>
          <w:sz w:val="20"/>
          <w:szCs w:val="20"/>
          <w:color w:val="auto"/>
        </w:rPr>
      </w:pPr>
    </w:p>
    <w:p>
      <w:pPr>
        <w:jc w:val="both"/>
        <w:ind w:firstLine="290"/>
        <w:spacing w:after="0" w:line="246" w:lineRule="auto"/>
        <w:rPr>
          <w:sz w:val="20"/>
          <w:szCs w:val="20"/>
          <w:color w:val="auto"/>
        </w:rPr>
      </w:pPr>
      <w:r>
        <w:rPr>
          <w:rFonts w:ascii="Arial" w:cs="Arial" w:eastAsia="Arial" w:hAnsi="Arial"/>
          <w:sz w:val="18"/>
          <w:szCs w:val="18"/>
          <w:color w:val="auto"/>
        </w:rPr>
        <w:t>ABM has also entered into indemnification agreements with its directors. These agreements, among other things, require ABM to indemnify its directors against certain liabilities that may arise in connection with their services as directors to the fullest extent provided by Delaware law.</w:t>
      </w:r>
    </w:p>
    <w:p>
      <w:pPr>
        <w:spacing w:after="0" w:line="89" w:lineRule="exact"/>
        <w:rPr>
          <w:sz w:val="20"/>
          <w:szCs w:val="20"/>
          <w:color w:val="auto"/>
        </w:rPr>
      </w:pPr>
    </w:p>
    <w:p>
      <w:pPr>
        <w:ind w:right="100" w:firstLine="297"/>
        <w:spacing w:after="0" w:line="239" w:lineRule="auto"/>
        <w:rPr>
          <w:sz w:val="20"/>
          <w:szCs w:val="20"/>
          <w:color w:val="auto"/>
        </w:rPr>
      </w:pPr>
      <w:r>
        <w:rPr>
          <w:rFonts w:ascii="Arial" w:cs="Arial" w:eastAsia="Arial" w:hAnsi="Arial"/>
          <w:sz w:val="18"/>
          <w:szCs w:val="18"/>
          <w:color w:val="auto"/>
        </w:rPr>
        <w:t>The late Sydney J. Rosenberg, brother of Theodore Rosenberg, retired as a director, officer and employee of ABM in December 1997. Pursuant to his previous employment contract, ABM began making payments to Sydney J. Rosenberg, and will continue making payments to his estate, of $8,333 per month for a period of ten years ending November 2007. Under the same agreement, ABM also pays $6,000 per year to the widow of Sydney J. Rosenberg for the same ten-year period to assist with medical and dental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right="320" w:firstLine="300"/>
        <w:spacing w:after="0"/>
        <w:rPr>
          <w:sz w:val="20"/>
          <w:szCs w:val="20"/>
          <w:color w:val="auto"/>
        </w:rPr>
      </w:pPr>
      <w:r>
        <w:rPr>
          <w:rFonts w:ascii="Arial" w:cs="Arial" w:eastAsia="Arial" w:hAnsi="Arial"/>
          <w:sz w:val="18"/>
          <w:szCs w:val="18"/>
          <w:color w:val="auto"/>
        </w:rPr>
        <w:t>Maryellen C. Herringer, Linda L. Chavez and Henry L. Kotkins, Jr. currently serve as members of the Compensation Committee of the Board. They have no relationships with ABM other than as directors and stockholders. During fiscal year 2005, no executive officer of ABM served as a member of the compensation committee or as a director of any other for-profit entity other than subsidiaries of ABM.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040" w:right="380" w:hanging="1039"/>
        <w:spacing w:after="0" w:line="260"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126" w:lineRule="exact"/>
        <w:rPr>
          <w:sz w:val="20"/>
          <w:szCs w:val="20"/>
          <w:color w:val="auto"/>
        </w:rPr>
      </w:pPr>
    </w:p>
    <w:p>
      <w:pPr>
        <w:ind w:right="40" w:firstLine="297"/>
        <w:spacing w:after="0" w:line="239" w:lineRule="auto"/>
        <w:rPr>
          <w:sz w:val="20"/>
          <w:szCs w:val="20"/>
          <w:color w:val="auto"/>
        </w:rPr>
      </w:pPr>
      <w:r>
        <w:rPr>
          <w:rFonts w:ascii="Arial" w:cs="Arial" w:eastAsia="Arial" w:hAnsi="Arial"/>
          <w:sz w:val="18"/>
          <w:szCs w:val="18"/>
          <w:color w:val="auto"/>
        </w:rPr>
        <w:t>The following table sets forth the number of shares and percentage of outstanding shares of ABM common stock beneficially owned as of February 28, 2006, by (1) the persons or entities known to ABM to be beneficial owners of more than 5% of the shares of ABM common stock outstanding as of February 28, 2006, (2) each named executive officer, (3) each director, and (4) all directors and executive officers as a group. Except as noted, each person has sole voting and investment power over the shares shown in the table.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3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rPr>
              <w:t>Number of Shares</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Corporation(2)</w:t>
            </w:r>
          </w:p>
        </w:tc>
        <w:tc>
          <w:tcPr>
            <w:tcW w:w="3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5,046,970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100 North Tryon Street, Floor 25</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of America Corporate Center</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Charlotte, North Carolina 28255</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Kayne Anderson Rudnick Investment Management LLC(3)</w:t>
            </w:r>
          </w:p>
        </w:tc>
        <w:tc>
          <w:tcPr>
            <w:tcW w:w="3260" w:type="dxa"/>
            <w:vAlign w:val="bottom"/>
          </w:tcPr>
          <w:p>
            <w:pPr>
              <w:jc w:val="right"/>
              <w:ind w:right="450"/>
              <w:spacing w:after="0"/>
              <w:rPr>
                <w:sz w:val="20"/>
                <w:szCs w:val="20"/>
                <w:color w:val="auto"/>
              </w:rPr>
            </w:pPr>
            <w:r>
              <w:rPr>
                <w:rFonts w:ascii="Arial" w:cs="Arial" w:eastAsia="Arial" w:hAnsi="Arial"/>
                <w:sz w:val="18"/>
                <w:szCs w:val="18"/>
                <w:color w:val="auto"/>
              </w:rPr>
              <w:t>3,459,206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1800 Avenue of the Stars, Second Floor</w:t>
            </w:r>
          </w:p>
        </w:tc>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Los Angeles, CA 90067</w:t>
            </w:r>
          </w:p>
        </w:tc>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Linda S. Auwers</w:t>
            </w:r>
          </w:p>
        </w:tc>
        <w:tc>
          <w:tcPr>
            <w:tcW w:w="3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39,818(4)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Linda L. Chavez</w:t>
            </w:r>
          </w:p>
        </w:tc>
        <w:tc>
          <w:tcPr>
            <w:tcW w:w="3260" w:type="dxa"/>
            <w:vAlign w:val="bottom"/>
          </w:tcPr>
          <w:p>
            <w:pPr>
              <w:jc w:val="right"/>
              <w:ind w:right="230"/>
              <w:spacing w:after="0"/>
              <w:rPr>
                <w:sz w:val="20"/>
                <w:szCs w:val="20"/>
                <w:color w:val="auto"/>
              </w:rPr>
            </w:pPr>
            <w:r>
              <w:rPr>
                <w:rFonts w:ascii="Arial" w:cs="Arial" w:eastAsia="Arial" w:hAnsi="Arial"/>
                <w:sz w:val="18"/>
                <w:szCs w:val="18"/>
                <w:color w:val="auto"/>
              </w:rPr>
              <w:t>42,000(5)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Luke S. Helms</w:t>
            </w:r>
          </w:p>
        </w:tc>
        <w:tc>
          <w:tcPr>
            <w:tcW w:w="3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94,000(6)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Maryellen C. Herringer</w:t>
            </w:r>
          </w:p>
        </w:tc>
        <w:tc>
          <w:tcPr>
            <w:tcW w:w="3260" w:type="dxa"/>
            <w:vAlign w:val="bottom"/>
          </w:tcPr>
          <w:p>
            <w:pPr>
              <w:jc w:val="right"/>
              <w:ind w:right="230"/>
              <w:spacing w:after="0"/>
              <w:rPr>
                <w:sz w:val="20"/>
                <w:szCs w:val="20"/>
                <w:color w:val="auto"/>
              </w:rPr>
            </w:pPr>
            <w:r>
              <w:rPr>
                <w:rFonts w:ascii="Arial" w:cs="Arial" w:eastAsia="Arial" w:hAnsi="Arial"/>
                <w:sz w:val="18"/>
                <w:szCs w:val="18"/>
                <w:color w:val="auto"/>
              </w:rPr>
              <w:t>110,000(7)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Charles T. Horngren</w:t>
            </w:r>
          </w:p>
        </w:tc>
        <w:tc>
          <w:tcPr>
            <w:tcW w:w="3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119,600(8)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Henry L. Kotkins, Jr.</w:t>
            </w:r>
          </w:p>
        </w:tc>
        <w:tc>
          <w:tcPr>
            <w:tcW w:w="3260" w:type="dxa"/>
            <w:vAlign w:val="bottom"/>
          </w:tcPr>
          <w:p>
            <w:pPr>
              <w:jc w:val="right"/>
              <w:ind w:right="230"/>
              <w:spacing w:after="0"/>
              <w:rPr>
                <w:sz w:val="20"/>
                <w:szCs w:val="20"/>
                <w:color w:val="auto"/>
              </w:rPr>
            </w:pPr>
            <w:r>
              <w:rPr>
                <w:rFonts w:ascii="Arial" w:cs="Arial" w:eastAsia="Arial" w:hAnsi="Arial"/>
                <w:sz w:val="18"/>
                <w:szCs w:val="18"/>
                <w:color w:val="auto"/>
              </w:rPr>
              <w:t>82,000(9)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Martinn H. Mandles</w:t>
            </w:r>
          </w:p>
        </w:tc>
        <w:tc>
          <w:tcPr>
            <w:tcW w:w="3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375,967(10)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James P. McClure</w:t>
            </w:r>
          </w:p>
        </w:tc>
        <w:tc>
          <w:tcPr>
            <w:tcW w:w="3260" w:type="dxa"/>
            <w:vAlign w:val="bottom"/>
          </w:tcPr>
          <w:p>
            <w:pPr>
              <w:jc w:val="right"/>
              <w:ind w:right="130"/>
              <w:spacing w:after="0"/>
              <w:rPr>
                <w:sz w:val="20"/>
                <w:szCs w:val="20"/>
                <w:color w:val="auto"/>
              </w:rPr>
            </w:pPr>
            <w:r>
              <w:rPr>
                <w:rFonts w:ascii="Arial" w:cs="Arial" w:eastAsia="Arial" w:hAnsi="Arial"/>
                <w:sz w:val="18"/>
                <w:szCs w:val="18"/>
                <w:color w:val="auto"/>
              </w:rPr>
              <w:t>186,588(11)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Theodore T. Rosenberg</w:t>
            </w:r>
          </w:p>
        </w:tc>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548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ind w:left="340"/>
        <w:spacing w:after="0"/>
        <w:rPr>
          <w:sz w:val="20"/>
          <w:szCs w:val="20"/>
          <w:color w:val="auto"/>
        </w:rPr>
      </w:pPr>
      <w:r>
        <w:rPr>
          <w:rFonts w:ascii="Arial" w:cs="Arial" w:eastAsia="Arial" w:hAnsi="Arial"/>
          <w:sz w:val="18"/>
          <w:szCs w:val="18"/>
          <w:color w:val="auto"/>
        </w:rPr>
        <w:t>The Theodore Rosenberg Trust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295 89th Street, Suite 200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Daly City, CA 94015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Henrik C. Slipsager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W.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George B. Sundby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Zaccagnini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Executive officers and directors as a group (17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Arial" w:cs="Arial" w:eastAsia="Arial" w:hAnsi="Arial"/>
          <w:sz w:val="18"/>
          <w:szCs w:val="18"/>
          <w:color w:val="auto"/>
        </w:rPr>
        <w:t>4,893,140(12)</w:t>
      </w:r>
      <w:r>
        <w:rPr>
          <w:sz w:val="20"/>
          <w:szCs w:val="20"/>
          <w:color w:val="auto"/>
        </w:rPr>
        <w:tab/>
      </w:r>
      <w:r>
        <w:rPr>
          <w:rFonts w:ascii="Arial" w:cs="Arial" w:eastAsia="Arial" w:hAnsi="Arial"/>
          <w:sz w:val="18"/>
          <w:szCs w:val="18"/>
          <w:color w:val="auto"/>
        </w:rPr>
        <w:t>9.9</w:t>
      </w: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color w:val="auto"/>
        </w:rPr>
        <w:t>315,352(13)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color w:val="auto"/>
        </w:rPr>
        <w:t>237,276(14)</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color w:val="auto"/>
        </w:rPr>
        <w:t>129,619(15)</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240"/>
        <w:spacing w:after="0"/>
        <w:tabs>
          <w:tab w:leader="none" w:pos="1920" w:val="left"/>
        </w:tabs>
        <w:rPr>
          <w:sz w:val="20"/>
          <w:szCs w:val="20"/>
          <w:color w:val="auto"/>
        </w:rPr>
      </w:pPr>
      <w:r>
        <w:rPr>
          <w:rFonts w:ascii="Arial" w:cs="Arial" w:eastAsia="Arial" w:hAnsi="Arial"/>
          <w:sz w:val="18"/>
          <w:szCs w:val="18"/>
          <w:color w:val="auto"/>
        </w:rPr>
        <w:t>50,779(16)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6,883,261(17)</w:t>
      </w:r>
      <w:r>
        <w:rPr>
          <w:sz w:val="20"/>
          <w:szCs w:val="20"/>
          <w:color w:val="auto"/>
        </w:rPr>
        <w:tab/>
      </w:r>
      <w:r>
        <w:rPr>
          <w:rFonts w:ascii="Arial" w:cs="Arial" w:eastAsia="Arial" w:hAnsi="Arial"/>
          <w:sz w:val="18"/>
          <w:szCs w:val="18"/>
          <w:color w:val="auto"/>
        </w:rPr>
        <w:t>13.6</w:t>
      </w:r>
    </w:p>
    <w:p>
      <w:pPr>
        <w:spacing w:after="0" w:line="82" w:lineRule="exact"/>
        <w:rPr>
          <w:sz w:val="20"/>
          <w:szCs w:val="20"/>
          <w:color w:val="auto"/>
        </w:rPr>
      </w:pPr>
    </w:p>
    <w:p>
      <w:pPr>
        <w:sectPr>
          <w:pgSz w:w="11900" w:h="16838" w:orient="portrait"/>
          <w:cols w:equalWidth="0" w:num="2">
            <w:col w:w="8580" w:space="720"/>
            <w:col w:w="2120"/>
          </w:cols>
          <w:pgMar w:left="240" w:top="419" w:right="239" w:bottom="1440" w:gutter="0" w:footer="0" w:header="0"/>
          <w:type w:val="continuous"/>
        </w:sectPr>
      </w:pPr>
    </w:p>
    <w:p>
      <w:pPr>
        <w:ind w:left="360" w:hanging="230"/>
        <w:spacing w:after="0"/>
        <w:tabs>
          <w:tab w:leader="none" w:pos="3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a total of 49,312,879 shares of ABM common stock outstanding as of February 28, 2006</w:t>
      </w:r>
    </w:p>
    <w:p>
      <w:pPr>
        <w:spacing w:after="0" w:line="68" w:lineRule="exact"/>
        <w:rPr>
          <w:rFonts w:ascii="Arial" w:cs="Arial" w:eastAsia="Arial" w:hAnsi="Arial"/>
          <w:sz w:val="14"/>
          <w:szCs w:val="14"/>
          <w:color w:val="auto"/>
        </w:rPr>
      </w:pPr>
    </w:p>
    <w:p>
      <w:pPr>
        <w:ind w:left="360" w:right="20" w:hanging="352"/>
        <w:spacing w:after="0" w:line="244"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 ownership is as of December 31, 2005. Based upon a Schedule 13G filed by Bank of America Corporation (“BofA”) with the Securities and Exchange Commission on February 2, 2006. BofA indicated in the filing that it had shared voting power for 1,639,122 shares and shared dispositive power for 5,045,488 shares. Two other members of the group included in such filing indicated beneficial ownership of more than 5% of the outstanding common stock: NB Holdings Corporation, which beneficially owned 5,045,488 shares, with shared voting power for 1,639,122 shares and shared dispositive power for 5,045,488 shares and Bank of America, NA, which beneficially owned 5,042,109 shares, with sole voting power over 1,116,400 shares, shared voting power over 519,343 shares, sole dispositive power over 38,000 shares and shared dispositive power over 5,004,109 shares.</w:t>
      </w:r>
    </w:p>
    <w:p>
      <w:pPr>
        <w:spacing w:after="0" w:line="57" w:lineRule="exact"/>
        <w:rPr>
          <w:rFonts w:ascii="Arial" w:cs="Arial" w:eastAsia="Arial" w:hAnsi="Arial"/>
          <w:sz w:val="14"/>
          <w:szCs w:val="14"/>
          <w:color w:val="auto"/>
        </w:rPr>
      </w:pPr>
    </w:p>
    <w:p>
      <w:pPr>
        <w:ind w:left="360" w:hanging="352"/>
        <w:spacing w:after="0" w:line="258"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 ownership is as of December 31, 2005. Based upon a Schedule 13G filed by Kayne Anderson Rudnick Investment Management, LLC (“Kayne”) with the Securities and Exchange Commission on February 8, 2006. Kayne indicated in the filing sole voting power or sole dispositive power for all the shares.</w:t>
      </w:r>
    </w:p>
    <w:p>
      <w:pPr>
        <w:spacing w:after="0" w:line="45"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36,000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42,000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76,000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76,000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82,000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70,000 shares subject to outstanding options that were exercisable on or within 60 days after February 28, 2006.</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right="80" w:hanging="452"/>
        <w:spacing w:after="0" w:line="245"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20,421 shares of ABM common stock held by The Leo L. Schaumer Trust, which is an irrevocable trust of which Mr. Mandles and Bank of America N.A. are the only co-trustees, 8,752 shares in The Donald L. Schaumer Trust, which is an irrevocable trust of which Mr. Mandles is the sole trustee, and 8,703 shares of Common Stock held by The David W. Steele Trust an irrevocable trust of which Mr. Mandles is the sole trustee. Mr. Mandles disclaims beneficial ownership of the shares held by these trusts. Mr. Mandles is also one of three trustees of The Sydney J. Rosenberg Trusts, which are irrevocable trusts, that based upon a Schedule 13D dated January 11, 2006 holds 2,215,883 shares, but is not deemed to beneficially own the shares held by The Sydney J. Rosenberg Trusts.</w:t>
      </w:r>
    </w:p>
    <w:p>
      <w:pPr>
        <w:spacing w:after="0" w:line="56"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180,000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460" w:hanging="452"/>
        <w:spacing w:after="0" w:line="247"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4,787,556 shares of ABM common stock are held by The Theodore Rosenberg Trust, a revocable trust of which Theodore Rosenberg is the only trustee and sole beneficiary. Mr. Rosenberg’s ownership also includes 44,000 shares subject to outstanding options that were exercisable on or within 60 days after February 28, 2006, and 61,584 shares of ABM common stock held by a family charitable foundation, of which Theodore Rosenberg is a director. Mr. Rosenberg and The Theodore Rosenberg Trust disclaim beneficial ownership of the shares held by the family charitable foundation.</w:t>
      </w:r>
    </w:p>
    <w:p>
      <w:pPr>
        <w:spacing w:after="0" w:line="53"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305,000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30,000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127,600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46,000 shares subject to outstanding options that were exercisable on or within 60 days after February 28, 2006.</w:t>
      </w:r>
    </w:p>
    <w:p>
      <w:pPr>
        <w:spacing w:after="0" w:line="68"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1,314,600 shares subject to outstanding options held by ABM’s executive officers and directors that were exercisable on or within 60 days after February 28,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provides information regarding the Company’s equity compensation plans as of October 31,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4500" w:type="dxa"/>
            <w:vAlign w:val="bottom"/>
            <w:tcBorders>
              <w:top w:val="single" w:sz="8" w:color="auto"/>
            </w:tcBorders>
          </w:tcPr>
          <w:p>
            <w:pPr>
              <w:spacing w:after="0"/>
              <w:rPr>
                <w:sz w:val="11"/>
                <w:szCs w:val="11"/>
                <w:color w:val="auto"/>
              </w:rPr>
            </w:pPr>
          </w:p>
        </w:tc>
        <w:tc>
          <w:tcPr>
            <w:tcW w:w="260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Number of</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24"/>
              <w:spacing w:after="0" w:line="122" w:lineRule="exact"/>
              <w:rPr>
                <w:sz w:val="20"/>
                <w:szCs w:val="20"/>
                <w:color w:val="auto"/>
              </w:rPr>
            </w:pPr>
            <w:r>
              <w:rPr>
                <w:rFonts w:ascii="Arial" w:cs="Arial" w:eastAsia="Arial" w:hAnsi="Arial"/>
                <w:sz w:val="11"/>
                <w:szCs w:val="11"/>
                <w:b w:val="1"/>
                <w:bCs w:val="1"/>
                <w:color w:val="auto"/>
                <w:w w:val="98"/>
              </w:rPr>
              <w:t>Number of</w:t>
            </w:r>
          </w:p>
        </w:tc>
        <w:tc>
          <w:tcPr>
            <w:tcW w:w="1940" w:type="dxa"/>
            <w:vAlign w:val="bottom"/>
          </w:tcPr>
          <w:p>
            <w:pPr>
              <w:jc w:val="center"/>
              <w:ind w:right="44"/>
              <w:spacing w:after="0" w:line="122" w:lineRule="exact"/>
              <w:rPr>
                <w:sz w:val="20"/>
                <w:szCs w:val="20"/>
                <w:color w:val="auto"/>
              </w:rPr>
            </w:pPr>
            <w:r>
              <w:rPr>
                <w:rFonts w:ascii="Arial" w:cs="Arial" w:eastAsia="Arial" w:hAnsi="Arial"/>
                <w:sz w:val="11"/>
                <w:szCs w:val="11"/>
                <w:b w:val="1"/>
                <w:bCs w:val="1"/>
                <w:color w:val="auto"/>
                <w:w w:val="97"/>
              </w:rPr>
              <w:t>Weighted-</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securities remaining</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24"/>
              <w:spacing w:after="0" w:line="122" w:lineRule="exact"/>
              <w:rPr>
                <w:sz w:val="20"/>
                <w:szCs w:val="20"/>
                <w:color w:val="auto"/>
              </w:rPr>
            </w:pPr>
            <w:r>
              <w:rPr>
                <w:rFonts w:ascii="Arial" w:cs="Arial" w:eastAsia="Arial" w:hAnsi="Arial"/>
                <w:sz w:val="11"/>
                <w:szCs w:val="11"/>
                <w:b w:val="1"/>
                <w:bCs w:val="1"/>
                <w:color w:val="auto"/>
                <w:w w:val="96"/>
              </w:rPr>
              <w:t>securities to be</w:t>
            </w:r>
          </w:p>
        </w:tc>
        <w:tc>
          <w:tcPr>
            <w:tcW w:w="1940" w:type="dxa"/>
            <w:vAlign w:val="bottom"/>
          </w:tcPr>
          <w:p>
            <w:pPr>
              <w:jc w:val="center"/>
              <w:ind w:right="44"/>
              <w:spacing w:after="0" w:line="122" w:lineRule="exact"/>
              <w:rPr>
                <w:sz w:val="20"/>
                <w:szCs w:val="20"/>
                <w:color w:val="auto"/>
              </w:rPr>
            </w:pPr>
            <w:r>
              <w:rPr>
                <w:rFonts w:ascii="Arial" w:cs="Arial" w:eastAsia="Arial" w:hAnsi="Arial"/>
                <w:sz w:val="11"/>
                <w:szCs w:val="11"/>
                <w:b w:val="1"/>
                <w:bCs w:val="1"/>
                <w:color w:val="auto"/>
                <w:w w:val="96"/>
              </w:rPr>
              <w:t>average</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available for future</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44"/>
              <w:spacing w:after="0" w:line="122" w:lineRule="exact"/>
              <w:rPr>
                <w:sz w:val="20"/>
                <w:szCs w:val="20"/>
                <w:color w:val="auto"/>
              </w:rPr>
            </w:pPr>
            <w:r>
              <w:rPr>
                <w:rFonts w:ascii="Arial" w:cs="Arial" w:eastAsia="Arial" w:hAnsi="Arial"/>
                <w:sz w:val="11"/>
                <w:szCs w:val="11"/>
                <w:b w:val="1"/>
                <w:bCs w:val="1"/>
                <w:color w:val="auto"/>
                <w:w w:val="98"/>
              </w:rPr>
              <w:t>issued upon</w:t>
            </w:r>
          </w:p>
        </w:tc>
        <w:tc>
          <w:tcPr>
            <w:tcW w:w="1940" w:type="dxa"/>
            <w:vAlign w:val="bottom"/>
          </w:tcPr>
          <w:p>
            <w:pPr>
              <w:jc w:val="center"/>
              <w:ind w:right="44"/>
              <w:spacing w:after="0" w:line="122" w:lineRule="exact"/>
              <w:rPr>
                <w:sz w:val="20"/>
                <w:szCs w:val="20"/>
                <w:color w:val="auto"/>
              </w:rPr>
            </w:pPr>
            <w:r>
              <w:rPr>
                <w:rFonts w:ascii="Arial" w:cs="Arial" w:eastAsia="Arial" w:hAnsi="Arial"/>
                <w:sz w:val="11"/>
                <w:szCs w:val="11"/>
                <w:b w:val="1"/>
                <w:bCs w:val="1"/>
                <w:color w:val="auto"/>
                <w:w w:val="98"/>
              </w:rPr>
              <w:t>exercise price</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issuance under</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44"/>
              <w:spacing w:after="0" w:line="122" w:lineRule="exact"/>
              <w:rPr>
                <w:sz w:val="20"/>
                <w:szCs w:val="20"/>
                <w:color w:val="auto"/>
              </w:rPr>
            </w:pPr>
            <w:r>
              <w:rPr>
                <w:rFonts w:ascii="Arial" w:cs="Arial" w:eastAsia="Arial" w:hAnsi="Arial"/>
                <w:sz w:val="11"/>
                <w:szCs w:val="11"/>
                <w:b w:val="1"/>
                <w:bCs w:val="1"/>
                <w:color w:val="auto"/>
                <w:w w:val="97"/>
              </w:rPr>
              <w:t>exercise of</w:t>
            </w:r>
          </w:p>
        </w:tc>
        <w:tc>
          <w:tcPr>
            <w:tcW w:w="1940" w:type="dxa"/>
            <w:vAlign w:val="bottom"/>
          </w:tcPr>
          <w:p>
            <w:pPr>
              <w:jc w:val="center"/>
              <w:ind w:right="44"/>
              <w:spacing w:after="0" w:line="122" w:lineRule="exact"/>
              <w:rPr>
                <w:sz w:val="20"/>
                <w:szCs w:val="20"/>
                <w:color w:val="auto"/>
              </w:rPr>
            </w:pPr>
            <w:r>
              <w:rPr>
                <w:rFonts w:ascii="Arial" w:cs="Arial" w:eastAsia="Arial" w:hAnsi="Arial"/>
                <w:sz w:val="11"/>
                <w:szCs w:val="11"/>
                <w:b w:val="1"/>
                <w:bCs w:val="1"/>
                <w:color w:val="auto"/>
                <w:w w:val="99"/>
              </w:rPr>
              <w:t>of outstanding</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equity compensation</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24"/>
              <w:spacing w:after="0" w:line="122" w:lineRule="exact"/>
              <w:rPr>
                <w:sz w:val="20"/>
                <w:szCs w:val="20"/>
                <w:color w:val="auto"/>
              </w:rPr>
            </w:pPr>
            <w:r>
              <w:rPr>
                <w:rFonts w:ascii="Arial" w:cs="Arial" w:eastAsia="Arial" w:hAnsi="Arial"/>
                <w:sz w:val="11"/>
                <w:szCs w:val="11"/>
                <w:b w:val="1"/>
                <w:bCs w:val="1"/>
                <w:color w:val="auto"/>
                <w:w w:val="98"/>
              </w:rPr>
              <w:t>outstanding</w:t>
            </w:r>
          </w:p>
        </w:tc>
        <w:tc>
          <w:tcPr>
            <w:tcW w:w="1940" w:type="dxa"/>
            <w:vAlign w:val="bottom"/>
          </w:tcPr>
          <w:p>
            <w:pPr>
              <w:jc w:val="center"/>
              <w:ind w:right="24"/>
              <w:spacing w:after="0" w:line="122" w:lineRule="exact"/>
              <w:rPr>
                <w:sz w:val="20"/>
                <w:szCs w:val="20"/>
                <w:color w:val="auto"/>
              </w:rPr>
            </w:pPr>
            <w:r>
              <w:rPr>
                <w:rFonts w:ascii="Arial" w:cs="Arial" w:eastAsia="Arial" w:hAnsi="Arial"/>
                <w:sz w:val="11"/>
                <w:szCs w:val="11"/>
                <w:b w:val="1"/>
                <w:bCs w:val="1"/>
                <w:color w:val="auto"/>
                <w:w w:val="98"/>
              </w:rPr>
              <w:t>options,</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plans (excluding</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24"/>
              <w:spacing w:after="0" w:line="122" w:lineRule="exact"/>
              <w:rPr>
                <w:sz w:val="20"/>
                <w:szCs w:val="20"/>
                <w:color w:val="auto"/>
              </w:rPr>
            </w:pPr>
            <w:r>
              <w:rPr>
                <w:rFonts w:ascii="Arial" w:cs="Arial" w:eastAsia="Arial" w:hAnsi="Arial"/>
                <w:sz w:val="11"/>
                <w:szCs w:val="11"/>
                <w:b w:val="1"/>
                <w:bCs w:val="1"/>
                <w:color w:val="auto"/>
                <w:w w:val="98"/>
              </w:rPr>
              <w:t>options, warrants</w:t>
            </w:r>
          </w:p>
        </w:tc>
        <w:tc>
          <w:tcPr>
            <w:tcW w:w="1940" w:type="dxa"/>
            <w:vAlign w:val="bottom"/>
          </w:tcPr>
          <w:p>
            <w:pPr>
              <w:jc w:val="center"/>
              <w:ind w:right="44"/>
              <w:spacing w:after="0" w:line="122" w:lineRule="exact"/>
              <w:rPr>
                <w:sz w:val="20"/>
                <w:szCs w:val="20"/>
                <w:color w:val="auto"/>
              </w:rPr>
            </w:pPr>
            <w:r>
              <w:rPr>
                <w:rFonts w:ascii="Arial" w:cs="Arial" w:eastAsia="Arial" w:hAnsi="Arial"/>
                <w:sz w:val="11"/>
                <w:szCs w:val="11"/>
                <w:b w:val="1"/>
                <w:bCs w:val="1"/>
                <w:color w:val="auto"/>
                <w:w w:val="99"/>
              </w:rPr>
              <w:t>warrants and</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securities reflected</w:t>
            </w:r>
          </w:p>
        </w:tc>
      </w:tr>
      <w:tr>
        <w:trPr>
          <w:trHeight w:val="122"/>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0" w:type="dxa"/>
            <w:vAlign w:val="bottom"/>
          </w:tcPr>
          <w:p>
            <w:pPr>
              <w:jc w:val="center"/>
              <w:ind w:left="544"/>
              <w:spacing w:after="0" w:line="122" w:lineRule="exact"/>
              <w:rPr>
                <w:sz w:val="20"/>
                <w:szCs w:val="20"/>
                <w:color w:val="auto"/>
              </w:rPr>
            </w:pPr>
            <w:r>
              <w:rPr>
                <w:rFonts w:ascii="Arial" w:cs="Arial" w:eastAsia="Arial" w:hAnsi="Arial"/>
                <w:sz w:val="11"/>
                <w:szCs w:val="11"/>
                <w:b w:val="1"/>
                <w:bCs w:val="1"/>
                <w:color w:val="auto"/>
                <w:w w:val="97"/>
              </w:rPr>
              <w:t>and rights</w:t>
            </w:r>
          </w:p>
        </w:tc>
        <w:tc>
          <w:tcPr>
            <w:tcW w:w="1940" w:type="dxa"/>
            <w:vAlign w:val="bottom"/>
          </w:tcPr>
          <w:p>
            <w:pPr>
              <w:jc w:val="center"/>
              <w:ind w:right="24"/>
              <w:spacing w:after="0" w:line="122" w:lineRule="exact"/>
              <w:rPr>
                <w:sz w:val="20"/>
                <w:szCs w:val="20"/>
                <w:color w:val="auto"/>
              </w:rPr>
            </w:pPr>
            <w:r>
              <w:rPr>
                <w:rFonts w:ascii="Arial" w:cs="Arial" w:eastAsia="Arial" w:hAnsi="Arial"/>
                <w:sz w:val="11"/>
                <w:szCs w:val="11"/>
                <w:b w:val="1"/>
                <w:bCs w:val="1"/>
                <w:color w:val="auto"/>
                <w:w w:val="98"/>
              </w:rPr>
              <w:t>rights</w:t>
            </w:r>
          </w:p>
        </w:tc>
        <w:tc>
          <w:tcPr>
            <w:tcW w:w="2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in column (a))</w:t>
            </w:r>
          </w:p>
        </w:tc>
      </w:tr>
      <w:tr>
        <w:trPr>
          <w:trHeight w:val="144"/>
        </w:trPr>
        <w:tc>
          <w:tcPr>
            <w:tcW w:w="4520" w:type="dxa"/>
            <w:vAlign w:val="bottom"/>
            <w:gridSpan w:val="2"/>
          </w:tcPr>
          <w:p>
            <w:pPr>
              <w:spacing w:after="0"/>
              <w:rPr>
                <w:sz w:val="20"/>
                <w:szCs w:val="20"/>
                <w:color w:val="auto"/>
              </w:rPr>
            </w:pPr>
            <w:r>
              <w:rPr>
                <w:rFonts w:ascii="Arial" w:cs="Arial" w:eastAsia="Arial" w:hAnsi="Arial"/>
                <w:sz w:val="11"/>
                <w:szCs w:val="11"/>
                <w:b w:val="1"/>
                <w:bCs w:val="1"/>
                <w:color w:val="auto"/>
              </w:rPr>
              <w:t>Plan Category</w:t>
            </w:r>
          </w:p>
        </w:tc>
        <w:tc>
          <w:tcPr>
            <w:tcW w:w="2600" w:type="dxa"/>
            <w:vAlign w:val="bottom"/>
          </w:tcPr>
          <w:p>
            <w:pPr>
              <w:jc w:val="center"/>
              <w:ind w:left="524"/>
              <w:spacing w:after="0"/>
              <w:rPr>
                <w:sz w:val="20"/>
                <w:szCs w:val="20"/>
                <w:color w:val="auto"/>
              </w:rPr>
            </w:pPr>
            <w:r>
              <w:rPr>
                <w:rFonts w:ascii="Arial" w:cs="Arial" w:eastAsia="Arial" w:hAnsi="Arial"/>
                <w:sz w:val="11"/>
                <w:szCs w:val="11"/>
                <w:b w:val="1"/>
                <w:bCs w:val="1"/>
                <w:color w:val="auto"/>
              </w:rPr>
              <w:t>(a)</w:t>
            </w:r>
          </w:p>
        </w:tc>
        <w:tc>
          <w:tcPr>
            <w:tcW w:w="1940" w:type="dxa"/>
            <w:vAlign w:val="bottom"/>
          </w:tcPr>
          <w:p>
            <w:pPr>
              <w:jc w:val="center"/>
              <w:ind w:right="24"/>
              <w:spacing w:after="0"/>
              <w:rPr>
                <w:sz w:val="20"/>
                <w:szCs w:val="20"/>
                <w:color w:val="auto"/>
              </w:rPr>
            </w:pPr>
            <w:r>
              <w:rPr>
                <w:rFonts w:ascii="Arial" w:cs="Arial" w:eastAsia="Arial" w:hAnsi="Arial"/>
                <w:sz w:val="11"/>
                <w:szCs w:val="11"/>
                <w:b w:val="1"/>
                <w:bCs w:val="1"/>
                <w:color w:val="auto"/>
                <w:w w:val="99"/>
              </w:rPr>
              <w:t>(b)</w:t>
            </w: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rPr>
              <w:t>(c)</w:t>
            </w:r>
          </w:p>
        </w:tc>
      </w:tr>
      <w:tr>
        <w:trPr>
          <w:trHeight w:val="135"/>
        </w:trPr>
        <w:tc>
          <w:tcPr>
            <w:tcW w:w="20" w:type="dxa"/>
            <w:vAlign w:val="bottom"/>
          </w:tcPr>
          <w:p>
            <w:pPr>
              <w:spacing w:after="0"/>
              <w:rPr>
                <w:sz w:val="11"/>
                <w:szCs w:val="11"/>
                <w:color w:val="auto"/>
              </w:rPr>
            </w:pPr>
          </w:p>
        </w:tc>
        <w:tc>
          <w:tcPr>
            <w:tcW w:w="45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Equity compensation plans approved by security holders</w:t>
            </w:r>
          </w:p>
        </w:tc>
        <w:tc>
          <w:tcPr>
            <w:tcW w:w="2600" w:type="dxa"/>
            <w:vAlign w:val="bottom"/>
            <w:tcBorders>
              <w:top w:val="single" w:sz="8" w:color="auto"/>
            </w:tcBorders>
            <w:shd w:val="clear" w:color="auto" w:fill="CCEEFF"/>
          </w:tcPr>
          <w:p>
            <w:pPr>
              <w:jc w:val="right"/>
              <w:ind w:right="664"/>
              <w:spacing w:after="0" w:line="135" w:lineRule="exact"/>
              <w:rPr>
                <w:sz w:val="20"/>
                <w:szCs w:val="20"/>
                <w:color w:val="auto"/>
              </w:rPr>
            </w:pPr>
            <w:r>
              <w:rPr>
                <w:rFonts w:ascii="Arial" w:cs="Arial" w:eastAsia="Arial" w:hAnsi="Arial"/>
                <w:sz w:val="13"/>
                <w:szCs w:val="13"/>
                <w:color w:val="auto"/>
              </w:rPr>
              <w:t>6,078,000</w:t>
            </w:r>
          </w:p>
        </w:tc>
        <w:tc>
          <w:tcPr>
            <w:tcW w:w="1940" w:type="dxa"/>
            <w:vAlign w:val="bottom"/>
            <w:tcBorders>
              <w:top w:val="single" w:sz="8" w:color="auto"/>
            </w:tcBorders>
            <w:shd w:val="clear" w:color="auto" w:fill="CCEEFF"/>
          </w:tcPr>
          <w:p>
            <w:pPr>
              <w:jc w:val="right"/>
              <w:ind w:right="804"/>
              <w:spacing w:after="0" w:line="135" w:lineRule="exact"/>
              <w:rPr>
                <w:sz w:val="20"/>
                <w:szCs w:val="20"/>
                <w:color w:val="auto"/>
              </w:rPr>
            </w:pPr>
            <w:r>
              <w:rPr>
                <w:rFonts w:ascii="Arial" w:cs="Arial" w:eastAsia="Arial" w:hAnsi="Arial"/>
                <w:sz w:val="13"/>
                <w:szCs w:val="13"/>
                <w:color w:val="auto"/>
              </w:rPr>
              <w:t>$ 15.30</w:t>
            </w:r>
          </w:p>
        </w:tc>
        <w:tc>
          <w:tcPr>
            <w:tcW w:w="2360" w:type="dxa"/>
            <w:vAlign w:val="bottom"/>
            <w:tcBorders>
              <w:top w:val="single" w:sz="8" w:color="auto"/>
            </w:tcBorders>
            <w:shd w:val="clear" w:color="auto" w:fill="CCEEFF"/>
          </w:tcPr>
          <w:p>
            <w:pPr>
              <w:jc w:val="right"/>
              <w:ind w:right="644"/>
              <w:spacing w:after="0" w:line="135" w:lineRule="exact"/>
              <w:rPr>
                <w:sz w:val="20"/>
                <w:szCs w:val="20"/>
                <w:color w:val="auto"/>
              </w:rPr>
            </w:pPr>
            <w:r>
              <w:rPr>
                <w:rFonts w:ascii="Arial" w:cs="Arial" w:eastAsia="Arial" w:hAnsi="Arial"/>
                <w:sz w:val="13"/>
                <w:szCs w:val="13"/>
                <w:color w:val="auto"/>
              </w:rPr>
              <w:t>4,148,000(1)</w:t>
            </w:r>
          </w:p>
        </w:tc>
      </w:tr>
      <w:tr>
        <w:trPr>
          <w:trHeight w:val="142"/>
        </w:trPr>
        <w:tc>
          <w:tcPr>
            <w:tcW w:w="20" w:type="dxa"/>
            <w:vAlign w:val="bottom"/>
          </w:tcPr>
          <w:p>
            <w:pPr>
              <w:spacing w:after="0"/>
              <w:rPr>
                <w:sz w:val="12"/>
                <w:szCs w:val="12"/>
                <w:color w:val="auto"/>
              </w:rPr>
            </w:pPr>
          </w:p>
        </w:tc>
        <w:tc>
          <w:tcPr>
            <w:tcW w:w="450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Equity compensation plans not approved by security holders</w:t>
            </w:r>
          </w:p>
        </w:tc>
        <w:tc>
          <w:tcPr>
            <w:tcW w:w="2600" w:type="dxa"/>
            <w:vAlign w:val="bottom"/>
            <w:tcBorders>
              <w:bottom w:val="single" w:sz="8" w:color="auto"/>
            </w:tcBorders>
          </w:tcPr>
          <w:p>
            <w:pPr>
              <w:jc w:val="right"/>
              <w:ind w:right="664"/>
              <w:spacing w:after="0" w:line="135" w:lineRule="exact"/>
              <w:rPr>
                <w:sz w:val="20"/>
                <w:szCs w:val="20"/>
                <w:color w:val="auto"/>
              </w:rPr>
            </w:pPr>
            <w:r>
              <w:rPr>
                <w:rFonts w:ascii="Arial" w:cs="Arial" w:eastAsia="Arial" w:hAnsi="Arial"/>
                <w:sz w:val="13"/>
                <w:szCs w:val="13"/>
                <w:color w:val="auto"/>
              </w:rPr>
              <w:t>—</w:t>
            </w:r>
          </w:p>
        </w:tc>
        <w:tc>
          <w:tcPr>
            <w:tcW w:w="1940" w:type="dxa"/>
            <w:vAlign w:val="bottom"/>
            <w:tcBorders>
              <w:bottom w:val="single" w:sz="8" w:color="auto"/>
            </w:tcBorders>
          </w:tcPr>
          <w:p>
            <w:pPr>
              <w:jc w:val="right"/>
              <w:ind w:right="804"/>
              <w:spacing w:after="0" w:line="135" w:lineRule="exact"/>
              <w:rPr>
                <w:sz w:val="20"/>
                <w:szCs w:val="20"/>
                <w:color w:val="auto"/>
              </w:rPr>
            </w:pPr>
            <w:r>
              <w:rPr>
                <w:rFonts w:ascii="Arial" w:cs="Arial" w:eastAsia="Arial" w:hAnsi="Arial"/>
                <w:sz w:val="13"/>
                <w:szCs w:val="13"/>
                <w:color w:val="auto"/>
              </w:rPr>
              <w:t>—</w:t>
            </w:r>
          </w:p>
        </w:tc>
        <w:tc>
          <w:tcPr>
            <w:tcW w:w="2360" w:type="dxa"/>
            <w:vAlign w:val="bottom"/>
            <w:tcBorders>
              <w:bottom w:val="single" w:sz="8" w:color="auto"/>
            </w:tcBorders>
          </w:tcPr>
          <w:p>
            <w:pPr>
              <w:jc w:val="right"/>
              <w:ind w:right="804"/>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45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Total</w:t>
            </w:r>
          </w:p>
        </w:tc>
        <w:tc>
          <w:tcPr>
            <w:tcW w:w="2600" w:type="dxa"/>
            <w:vAlign w:val="bottom"/>
            <w:tcBorders>
              <w:bottom w:val="single" w:sz="8" w:color="auto"/>
            </w:tcBorders>
            <w:shd w:val="clear" w:color="auto" w:fill="CCEEFF"/>
          </w:tcPr>
          <w:p>
            <w:pPr>
              <w:jc w:val="right"/>
              <w:ind w:right="664"/>
              <w:spacing w:after="0" w:line="135" w:lineRule="exact"/>
              <w:rPr>
                <w:sz w:val="20"/>
                <w:szCs w:val="20"/>
                <w:color w:val="auto"/>
              </w:rPr>
            </w:pPr>
            <w:r>
              <w:rPr>
                <w:rFonts w:ascii="Arial" w:cs="Arial" w:eastAsia="Arial" w:hAnsi="Arial"/>
                <w:sz w:val="13"/>
                <w:szCs w:val="13"/>
                <w:color w:val="auto"/>
              </w:rPr>
              <w:t>6,078,000</w:t>
            </w:r>
          </w:p>
        </w:tc>
        <w:tc>
          <w:tcPr>
            <w:tcW w:w="1940" w:type="dxa"/>
            <w:vAlign w:val="bottom"/>
            <w:tcBorders>
              <w:bottom w:val="single" w:sz="8" w:color="auto"/>
            </w:tcBorders>
            <w:shd w:val="clear" w:color="auto" w:fill="CCEEFF"/>
          </w:tcPr>
          <w:p>
            <w:pPr>
              <w:jc w:val="right"/>
              <w:ind w:right="804"/>
              <w:spacing w:after="0" w:line="135" w:lineRule="exact"/>
              <w:rPr>
                <w:sz w:val="20"/>
                <w:szCs w:val="20"/>
                <w:color w:val="auto"/>
              </w:rPr>
            </w:pPr>
            <w:r>
              <w:rPr>
                <w:rFonts w:ascii="Arial" w:cs="Arial" w:eastAsia="Arial" w:hAnsi="Arial"/>
                <w:sz w:val="13"/>
                <w:szCs w:val="13"/>
                <w:color w:val="auto"/>
              </w:rPr>
              <w:t>$15.30</w:t>
            </w:r>
          </w:p>
        </w:tc>
        <w:tc>
          <w:tcPr>
            <w:tcW w:w="2360" w:type="dxa"/>
            <w:vAlign w:val="bottom"/>
            <w:tcBorders>
              <w:bottom w:val="single" w:sz="8" w:color="auto"/>
            </w:tcBorders>
            <w:shd w:val="clear" w:color="auto" w:fill="CCEEFF"/>
          </w:tcPr>
          <w:p>
            <w:pPr>
              <w:jc w:val="right"/>
              <w:ind w:right="804"/>
              <w:spacing w:after="0" w:line="135" w:lineRule="exact"/>
              <w:rPr>
                <w:sz w:val="20"/>
                <w:szCs w:val="20"/>
                <w:color w:val="auto"/>
              </w:rPr>
            </w:pPr>
            <w:r>
              <w:rPr>
                <w:rFonts w:ascii="Arial" w:cs="Arial" w:eastAsia="Arial" w:hAnsi="Arial"/>
                <w:sz w:val="13"/>
                <w:szCs w:val="13"/>
                <w:color w:val="auto"/>
              </w:rPr>
              <w:t>4,148,000</w:t>
            </w:r>
          </w:p>
        </w:tc>
      </w:tr>
      <w:tr>
        <w:trPr>
          <w:trHeight w:val="21"/>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1,360,000 shares available for issuance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30" w:lineRule="exact"/>
        <w:rPr>
          <w:sz w:val="20"/>
          <w:szCs w:val="20"/>
          <w:color w:val="auto"/>
        </w:rPr>
      </w:pPr>
    </w:p>
    <w:p>
      <w:pPr>
        <w:ind w:right="40" w:firstLine="347"/>
        <w:spacing w:after="0" w:line="246" w:lineRule="auto"/>
        <w:rPr>
          <w:sz w:val="20"/>
          <w:szCs w:val="20"/>
          <w:color w:val="auto"/>
        </w:rPr>
      </w:pPr>
      <w:r>
        <w:rPr>
          <w:rFonts w:ascii="Arial" w:cs="Arial" w:eastAsia="Arial" w:hAnsi="Arial"/>
          <w:sz w:val="18"/>
          <w:szCs w:val="18"/>
          <w:color w:val="auto"/>
        </w:rPr>
        <w:t>The following table presents fees for professional audit services rendered by KPMG LLP for the audit of ABM’s annual financial statements for the years ended October 31, 2005, and October 31, 2004, and fees billed for other services rendered by KPMG LLP during those periods.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Borders>
              <w:top w:val="single" w:sz="8" w:color="auto"/>
              <w:bottom w:val="single" w:sz="8" w:color="auto"/>
            </w:tcBorders>
          </w:tcPr>
          <w:p>
            <w:pPr>
              <w:spacing w:after="0"/>
              <w:rPr>
                <w:sz w:val="17"/>
                <w:szCs w:val="17"/>
                <w:color w:val="auto"/>
              </w:rPr>
            </w:pPr>
          </w:p>
        </w:tc>
        <w:tc>
          <w:tcPr>
            <w:tcW w:w="478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2005</w:t>
            </w:r>
          </w:p>
        </w:tc>
        <w:tc>
          <w:tcPr>
            <w:tcW w:w="19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2004</w:t>
            </w:r>
          </w:p>
        </w:tc>
      </w:tr>
      <w:tr>
        <w:trPr>
          <w:trHeight w:val="162"/>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Audit fees(1)</w:t>
            </w:r>
          </w:p>
        </w:tc>
        <w:tc>
          <w:tcPr>
            <w:tcW w:w="4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$5,106,000</w:t>
            </w:r>
          </w:p>
        </w:tc>
        <w:tc>
          <w:tcPr>
            <w:tcW w:w="19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$1,215,000</w:t>
            </w: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Audit related fees(2)</w:t>
            </w:r>
          </w:p>
        </w:tc>
        <w:tc>
          <w:tcPr>
            <w:tcW w:w="4780" w:type="dxa"/>
            <w:vAlign w:val="bottom"/>
          </w:tcPr>
          <w:p>
            <w:pPr>
              <w:jc w:val="right"/>
              <w:ind w:right="548"/>
              <w:spacing w:after="0"/>
              <w:rPr>
                <w:sz w:val="20"/>
                <w:szCs w:val="20"/>
                <w:color w:val="auto"/>
              </w:rPr>
            </w:pPr>
            <w:r>
              <w:rPr>
                <w:rFonts w:ascii="Arial" w:cs="Arial" w:eastAsia="Arial" w:hAnsi="Arial"/>
                <w:sz w:val="14"/>
                <w:szCs w:val="14"/>
                <w:color w:val="auto"/>
              </w:rPr>
              <w:t>40,950</w:t>
            </w:r>
          </w:p>
        </w:tc>
        <w:tc>
          <w:tcPr>
            <w:tcW w:w="1900" w:type="dxa"/>
            <w:vAlign w:val="bottom"/>
          </w:tcPr>
          <w:p>
            <w:pPr>
              <w:jc w:val="right"/>
              <w:ind w:right="448"/>
              <w:spacing w:after="0"/>
              <w:rPr>
                <w:sz w:val="20"/>
                <w:szCs w:val="20"/>
                <w:color w:val="auto"/>
              </w:rPr>
            </w:pPr>
            <w:r>
              <w:rPr>
                <w:rFonts w:ascii="Arial" w:cs="Arial" w:eastAsia="Arial" w:hAnsi="Arial"/>
                <w:sz w:val="14"/>
                <w:szCs w:val="14"/>
                <w:color w:val="auto"/>
              </w:rPr>
              <w:t>41,500</w:t>
            </w:r>
          </w:p>
        </w:tc>
      </w:tr>
      <w:tr>
        <w:trPr>
          <w:trHeight w:val="162"/>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Tax fees</w:t>
            </w:r>
          </w:p>
        </w:tc>
        <w:tc>
          <w:tcPr>
            <w:tcW w:w="4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0</w:t>
            </w:r>
          </w:p>
        </w:tc>
        <w:tc>
          <w:tcPr>
            <w:tcW w:w="19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0</w:t>
            </w:r>
          </w:p>
        </w:tc>
      </w:tr>
      <w:tr>
        <w:trPr>
          <w:trHeight w:val="169"/>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other fees</w:t>
            </w:r>
          </w:p>
        </w:tc>
        <w:tc>
          <w:tcPr>
            <w:tcW w:w="4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0</w:t>
            </w:r>
          </w:p>
        </w:tc>
      </w:tr>
      <w:tr>
        <w:trPr>
          <w:trHeight w:val="162"/>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47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$5,146,950</w:t>
            </w:r>
          </w:p>
        </w:tc>
        <w:tc>
          <w:tcPr>
            <w:tcW w:w="19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$1,256,500</w:t>
            </w: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60" w:right="420" w:hanging="352"/>
        <w:spacing w:after="0" w:line="258"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Audit fees consisted of audit work performed for the independent audit of ABM’s annual financial statements, and for 2005, Internal Controls, and review of the financial statements contained in ABM’s quarterly reports on Form 10-Q.</w:t>
      </w:r>
    </w:p>
    <w:p>
      <w:pPr>
        <w:spacing w:after="0" w:line="45" w:lineRule="exact"/>
        <w:rPr>
          <w:rFonts w:ascii="Arial" w:cs="Arial" w:eastAsia="Arial" w:hAnsi="Arial"/>
          <w:sz w:val="14"/>
          <w:szCs w:val="14"/>
          <w:color w:val="auto"/>
        </w:rPr>
      </w:pPr>
    </w:p>
    <w:p>
      <w:pPr>
        <w:ind w:left="360" w:hanging="352"/>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Audit-related fees consisted principally of audits of employee benefit plans.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Independent Auditor Services</w:t>
      </w:r>
    </w:p>
    <w:p>
      <w:pPr>
        <w:spacing w:after="0" w:line="126" w:lineRule="exact"/>
        <w:rPr>
          <w:sz w:val="20"/>
          <w:szCs w:val="20"/>
          <w:color w:val="auto"/>
        </w:rPr>
      </w:pPr>
    </w:p>
    <w:p>
      <w:pPr>
        <w:ind w:firstLine="300"/>
        <w:spacing w:after="0" w:line="239" w:lineRule="auto"/>
        <w:rPr>
          <w:sz w:val="20"/>
          <w:szCs w:val="20"/>
          <w:color w:val="auto"/>
        </w:rPr>
      </w:pPr>
      <w:r>
        <w:rPr>
          <w:rFonts w:ascii="Arial" w:cs="Arial" w:eastAsia="Arial" w:hAnsi="Arial"/>
          <w:sz w:val="18"/>
          <w:szCs w:val="18"/>
          <w:color w:val="auto"/>
        </w:rPr>
        <w:t>Consistent with Securities and Exchange Commission policies regarding auditor independence, the Audit Committee has responsibility for appointing, setting compensation and overseeing the work of the independent auditor. In recognition of this responsibility, the Audit Committee has established a policy to preapprove all audit and permissible non-audit services provided by the independent auditor. Prior to engagement of the independent auditor for the next year’s audit, the Audit Committee preapproves services in four categories of services:</w:t>
      </w:r>
    </w:p>
    <w:p>
      <w:pPr>
        <w:spacing w:after="0" w:line="76" w:lineRule="exact"/>
        <w:rPr>
          <w:sz w:val="20"/>
          <w:szCs w:val="20"/>
          <w:color w:val="auto"/>
        </w:rPr>
      </w:pPr>
    </w:p>
    <w:p>
      <w:pPr>
        <w:ind w:left="360" w:right="660" w:firstLine="299"/>
        <w:spacing w:after="0" w:line="251"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can reasonably be expected to provide, including consultation regarding financial accounting and/or reporting standards.</w:t>
      </w:r>
    </w:p>
    <w:p>
      <w:pPr>
        <w:spacing w:after="0" w:line="79" w:lineRule="exact"/>
        <w:rPr>
          <w:rFonts w:ascii="Arial" w:cs="Arial" w:eastAsia="Arial" w:hAnsi="Arial"/>
          <w:sz w:val="18"/>
          <w:szCs w:val="18"/>
          <w:color w:val="auto"/>
        </w:rPr>
      </w:pPr>
    </w:p>
    <w:p>
      <w:pPr>
        <w:ind w:left="360" w:right="360" w:firstLine="299"/>
        <w:spacing w:after="0" w:line="26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w:t>
      </w:r>
      <w:r>
        <w:rPr>
          <w:rFonts w:ascii="Arial" w:cs="Arial" w:eastAsia="Arial" w:hAnsi="Arial"/>
          <w:sz w:val="18"/>
          <w:szCs w:val="18"/>
          <w:color w:val="auto"/>
        </w:rPr>
        <w:t>services are for related services that are reasonably related to the performance of the audit and review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including benefit plan audits.</w:t>
      </w:r>
    </w:p>
    <w:p>
      <w:pPr>
        <w:spacing w:after="0" w:line="66" w:lineRule="exact"/>
        <w:rPr>
          <w:rFonts w:ascii="Arial" w:cs="Arial" w:eastAsia="Arial" w:hAnsi="Arial"/>
          <w:sz w:val="18"/>
          <w:szCs w:val="18"/>
          <w:color w:val="auto"/>
        </w:rPr>
      </w:pPr>
    </w:p>
    <w:p>
      <w:pPr>
        <w:ind w:left="360" w:right="180" w:firstLine="299"/>
        <w:spacing w:after="0" w:line="26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Tax </w:t>
      </w:r>
      <w:r>
        <w:rPr>
          <w:rFonts w:ascii="Arial" w:cs="Arial" w:eastAsia="Arial" w:hAnsi="Arial"/>
          <w:sz w:val="18"/>
          <w:szCs w:val="18"/>
          <w:color w:val="auto"/>
        </w:rPr>
        <w:t>services include all services performed by the independent auditor’s tax personnel except those services specifically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the financial statements, and include fees in the areas of tax compliance, tax planning, and tax advice.</w:t>
      </w:r>
    </w:p>
    <w:p>
      <w:pPr>
        <w:spacing w:after="0" w:line="66" w:lineRule="exact"/>
        <w:rPr>
          <w:rFonts w:ascii="Arial" w:cs="Arial" w:eastAsia="Arial" w:hAnsi="Arial"/>
          <w:sz w:val="18"/>
          <w:szCs w:val="18"/>
          <w:color w:val="auto"/>
        </w:rPr>
      </w:pPr>
    </w:p>
    <w:p>
      <w:pPr>
        <w:ind w:left="860" w:hanging="201"/>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Other Fees </w:t>
      </w:r>
      <w:r>
        <w:rPr>
          <w:rFonts w:ascii="Arial" w:cs="Arial" w:eastAsia="Arial" w:hAnsi="Arial"/>
          <w:sz w:val="18"/>
          <w:szCs w:val="18"/>
          <w:color w:val="auto"/>
        </w:rPr>
        <w:t>are those associated with services not captured in the other categories.</w:t>
      </w:r>
    </w:p>
    <w:p>
      <w:pPr>
        <w:spacing w:after="0" w:line="122" w:lineRule="exact"/>
        <w:rPr>
          <w:sz w:val="20"/>
          <w:szCs w:val="20"/>
          <w:color w:val="auto"/>
        </w:rPr>
      </w:pPr>
    </w:p>
    <w:p>
      <w:pPr>
        <w:ind w:right="100" w:firstLine="297"/>
        <w:spacing w:after="0" w:line="238" w:lineRule="auto"/>
        <w:rPr>
          <w:sz w:val="20"/>
          <w:szCs w:val="20"/>
          <w:color w:val="auto"/>
        </w:rPr>
      </w:pPr>
      <w:r>
        <w:rPr>
          <w:rFonts w:ascii="Arial" w:cs="Arial" w:eastAsia="Arial" w:hAnsi="Arial"/>
          <w:sz w:val="18"/>
          <w:szCs w:val="18"/>
          <w:color w:val="auto"/>
        </w:rPr>
        <w:t>The Audit Committee must specifically approve the terms of the annual audit engagement and all internal control related services. The Audit Committee preapproves specific types of services within these categories as well as maximum charges for the services. During the year, circumstances may arise when it may become necessary to engage the independent auditor for additional services or increase the maximum amount of authorized charges not contemplated in the original preapproval. In those instances, the Audit Committee must preapprove the services before the auditor is engaged or increase the authorization before approved services may be continued.</w:t>
      </w:r>
    </w:p>
    <w:p>
      <w:pPr>
        <w:spacing w:after="0" w:line="95" w:lineRule="exact"/>
        <w:rPr>
          <w:sz w:val="20"/>
          <w:szCs w:val="20"/>
          <w:color w:val="auto"/>
        </w:rPr>
      </w:pPr>
    </w:p>
    <w:p>
      <w:pPr>
        <w:ind w:firstLine="297"/>
        <w:spacing w:after="0" w:line="246"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30" w:lineRule="exact"/>
        <w:rPr>
          <w:sz w:val="20"/>
          <w:szCs w:val="20"/>
          <w:color w:val="auto"/>
        </w:rPr>
      </w:pPr>
    </w:p>
    <w:p>
      <w:pPr>
        <w:ind w:left="620" w:hanging="262"/>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103" w:lineRule="exact"/>
        <w:rPr>
          <w:rFonts w:ascii="Arial" w:cs="Arial" w:eastAsia="Arial" w:hAnsi="Arial"/>
          <w:sz w:val="18"/>
          <w:szCs w:val="18"/>
          <w:color w:val="auto"/>
        </w:rPr>
      </w:pPr>
    </w:p>
    <w:p>
      <w:pPr>
        <w:ind w:left="660" w:right="3820" w:hanging="1"/>
        <w:spacing w:after="0" w:line="375" w:lineRule="auto"/>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Consolidated Financial Statements of ABM Industries Incorporated and Subsidiaries: Independent Auditors’ Report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Balance Sheets — October 31, 2005 and 2004</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 Years ended October 31, 2005, 2004 and 2003</w:t>
      </w:r>
    </w:p>
    <w:p>
      <w:pPr>
        <w:spacing w:after="0" w:line="117" w:lineRule="exact"/>
        <w:rPr>
          <w:rFonts w:ascii="Arial" w:cs="Arial" w:eastAsia="Arial" w:hAnsi="Arial"/>
          <w:sz w:val="18"/>
          <w:szCs w:val="18"/>
          <w:color w:val="auto"/>
        </w:rPr>
      </w:pPr>
    </w:p>
    <w:p>
      <w:pPr>
        <w:ind w:left="660" w:right="54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 Years ended October 31, 2005, 2004 and 2003 Consolidated Statements of Cash Flows — Years ended October 31, 2005, 2004 and 2003</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860" w:hanging="201"/>
        <w:spacing w:after="0"/>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Consolidated Financial Statement Schedule of ABM Industries Incorporated and Subsidiaries: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Schedule II — Consolidated Valuation Accounts — Years ended October 31, 2005, 2004 and 2003.</w:t>
      </w:r>
    </w:p>
    <w:p>
      <w:pPr>
        <w:spacing w:after="0" w:line="104" w:lineRule="exact"/>
        <w:rPr>
          <w:sz w:val="20"/>
          <w:szCs w:val="20"/>
          <w:color w:val="auto"/>
        </w:rPr>
      </w:pPr>
    </w:p>
    <w:p>
      <w:pPr>
        <w:ind w:firstLine="290"/>
        <w:spacing w:after="0" w:line="246"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included in the consolidated financial statements or the notes thereto.</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 Exhibits: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 Additional Financial Statements:</w:t>
      </w:r>
    </w:p>
    <w:p>
      <w:pPr>
        <w:spacing w:after="0" w:line="104" w:lineRule="exact"/>
        <w:rPr>
          <w:sz w:val="20"/>
          <w:szCs w:val="20"/>
          <w:color w:val="auto"/>
        </w:rPr>
      </w:pPr>
    </w:p>
    <w:p>
      <w:pPr>
        <w:ind w:right="100" w:firstLine="297"/>
        <w:spacing w:after="0" w:line="246" w:lineRule="auto"/>
        <w:rPr>
          <w:sz w:val="20"/>
          <w:szCs w:val="20"/>
          <w:color w:val="auto"/>
        </w:rPr>
      </w:pPr>
      <w:r>
        <w:rPr>
          <w:rFonts w:ascii="Arial" w:cs="Arial" w:eastAsia="Arial" w:hAnsi="Arial"/>
          <w:sz w:val="18"/>
          <w:szCs w:val="18"/>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60" w:firstLine="3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ABM Industries Incorporated</w:t>
      </w:r>
    </w:p>
    <w:p>
      <w:pPr>
        <w:spacing w:after="0" w:line="212"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50685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Henrik C. Slipsager</w:t>
      </w:r>
    </w:p>
    <w:p>
      <w:pPr>
        <w:jc w:val="center"/>
        <w:spacing w:after="0" w:line="234"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28, 2006</w:t>
      </w:r>
    </w:p>
    <w:p>
      <w:pPr>
        <w:spacing w:after="0" w:line="104" w:lineRule="exact"/>
        <w:rPr>
          <w:sz w:val="20"/>
          <w:szCs w:val="20"/>
          <w:color w:val="auto"/>
        </w:rPr>
      </w:pPr>
    </w:p>
    <w:p>
      <w:pPr>
        <w:ind w:right="80" w:firstLine="30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Henrik C. Slipsager,</w:t>
      </w:r>
    </w:p>
    <w:p>
      <w:pPr>
        <w:jc w:val="center"/>
        <w:spacing w:after="0" w:line="234" w:lineRule="auto"/>
        <w:rPr>
          <w:sz w:val="20"/>
          <w:szCs w:val="20"/>
          <w:color w:val="auto"/>
        </w:rPr>
      </w:pPr>
      <w:r>
        <w:rPr>
          <w:rFonts w:ascii="Arial" w:cs="Arial" w:eastAsia="Arial" w:hAnsi="Arial"/>
          <w:sz w:val="18"/>
          <w:szCs w:val="18"/>
          <w:color w:val="auto"/>
        </w:rPr>
        <w:t>President, Chief Executive Officer and Director</w:t>
      </w:r>
    </w:p>
    <w:p>
      <w:pPr>
        <w:jc w:val="center"/>
        <w:spacing w:after="0" w:line="235" w:lineRule="auto"/>
        <w:rPr>
          <w:sz w:val="20"/>
          <w:szCs w:val="20"/>
          <w:color w:val="auto"/>
        </w:rPr>
      </w:pPr>
      <w:r>
        <w:rPr>
          <w:rFonts w:ascii="Arial" w:cs="Arial" w:eastAsia="Arial" w:hAnsi="Arial"/>
          <w:sz w:val="18"/>
          <w:szCs w:val="18"/>
          <w:color w:val="auto"/>
        </w:rPr>
        <w:t>(Principal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George B. Sundby</w:t>
      </w:r>
    </w:p>
    <w:p>
      <w:pPr>
        <w:jc w:val="center"/>
        <w:spacing w:after="0" w:line="234" w:lineRule="auto"/>
        <w:rPr>
          <w:sz w:val="20"/>
          <w:szCs w:val="20"/>
          <w:color w:val="auto"/>
        </w:rPr>
      </w:pPr>
      <w:r>
        <w:rPr>
          <w:rFonts w:ascii="Arial" w:cs="Arial" w:eastAsia="Arial" w:hAnsi="Arial"/>
          <w:sz w:val="18"/>
          <w:szCs w:val="18"/>
          <w:color w:val="auto"/>
        </w:rPr>
        <w:t>Executive Vice President and</w:t>
      </w:r>
    </w:p>
    <w:p>
      <w:pPr>
        <w:jc w:val="center"/>
        <w:spacing w:after="0" w:line="235" w:lineRule="auto"/>
        <w:rPr>
          <w:sz w:val="20"/>
          <w:szCs w:val="20"/>
          <w:color w:val="auto"/>
        </w:rPr>
      </w:pPr>
      <w:r>
        <w:rPr>
          <w:rFonts w:ascii="Arial" w:cs="Arial" w:eastAsia="Arial" w:hAnsi="Arial"/>
          <w:sz w:val="18"/>
          <w:szCs w:val="18"/>
          <w:color w:val="auto"/>
        </w:rPr>
        <w:t>Chief Financial Officer</w:t>
      </w:r>
    </w:p>
    <w:p>
      <w:pPr>
        <w:jc w:val="center"/>
        <w:spacing w:after="0" w:line="235" w:lineRule="auto"/>
        <w:rPr>
          <w:sz w:val="20"/>
          <w:szCs w:val="20"/>
          <w:color w:val="auto"/>
        </w:rPr>
      </w:pPr>
      <w:r>
        <w:rPr>
          <w:rFonts w:ascii="Arial" w:cs="Arial" w:eastAsia="Arial" w:hAnsi="Arial"/>
          <w:sz w:val="18"/>
          <w:szCs w:val="18"/>
          <w:color w:val="auto"/>
        </w:rPr>
        <w:t>(Principal Financial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Linda Chavez, Director</w:t>
      </w:r>
    </w:p>
    <w:p>
      <w:pPr>
        <w:ind w:left="5080"/>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Maryellen C. Herringer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Maryellen C. Herringer, Chairman of the Board and Director</w:t>
      </w:r>
    </w:p>
    <w:p>
      <w:pPr>
        <w:jc w:val="center"/>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Henry L. Kotkins,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Henry L. Kotkins, Jr., Director</w:t>
      </w:r>
    </w:p>
    <w:p>
      <w:pPr>
        <w:jc w:val="center"/>
        <w:spacing w:after="0"/>
        <w:rPr>
          <w:sz w:val="20"/>
          <w:szCs w:val="20"/>
          <w:color w:val="auto"/>
        </w:rPr>
      </w:pPr>
      <w:r>
        <w:rPr>
          <w:rFonts w:ascii="Arial" w:cs="Arial" w:eastAsia="Arial" w:hAnsi="Arial"/>
          <w:sz w:val="18"/>
          <w:szCs w:val="18"/>
          <w:color w:val="auto"/>
        </w:rPr>
        <w:t>March 28, 2006</w:t>
      </w:r>
    </w:p>
    <w:p>
      <w:pPr>
        <w:spacing w:after="0" w:line="36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Theodore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Theodore Rosenberg, Director</w:t>
      </w:r>
    </w:p>
    <w:p>
      <w:pPr>
        <w:ind w:left="5080"/>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Maria De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Maria De Martini</w:t>
      </w:r>
    </w:p>
    <w:p>
      <w:pPr>
        <w:jc w:val="center"/>
        <w:spacing w:after="0" w:line="234" w:lineRule="auto"/>
        <w:rPr>
          <w:sz w:val="20"/>
          <w:szCs w:val="20"/>
          <w:color w:val="auto"/>
        </w:rPr>
      </w:pPr>
      <w:r>
        <w:rPr>
          <w:rFonts w:ascii="Arial" w:cs="Arial" w:eastAsia="Arial" w:hAnsi="Arial"/>
          <w:sz w:val="18"/>
          <w:szCs w:val="18"/>
          <w:color w:val="auto"/>
        </w:rPr>
        <w:t>Vice President, Controller and</w:t>
      </w:r>
    </w:p>
    <w:p>
      <w:pPr>
        <w:jc w:val="center"/>
        <w:spacing w:after="0" w:line="235" w:lineRule="auto"/>
        <w:rPr>
          <w:sz w:val="20"/>
          <w:szCs w:val="20"/>
          <w:color w:val="auto"/>
        </w:rPr>
      </w:pPr>
      <w:r>
        <w:rPr>
          <w:rFonts w:ascii="Arial" w:cs="Arial" w:eastAsia="Arial" w:hAnsi="Arial"/>
          <w:sz w:val="18"/>
          <w:szCs w:val="18"/>
          <w:color w:val="auto"/>
        </w:rPr>
        <w:t>Chief Accounting Officer</w:t>
      </w:r>
    </w:p>
    <w:p>
      <w:pPr>
        <w:jc w:val="center"/>
        <w:spacing w:after="0" w:line="235" w:lineRule="auto"/>
        <w:rPr>
          <w:sz w:val="20"/>
          <w:szCs w:val="20"/>
          <w:color w:val="auto"/>
        </w:rPr>
      </w:pPr>
      <w:r>
        <w:rPr>
          <w:rFonts w:ascii="Arial" w:cs="Arial" w:eastAsia="Arial" w:hAnsi="Arial"/>
          <w:sz w:val="18"/>
          <w:szCs w:val="18"/>
          <w:color w:val="auto"/>
        </w:rPr>
        <w:t>(Principal Accounting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Luke S.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Luke S. Helms, Director</w:t>
      </w:r>
    </w:p>
    <w:p>
      <w:pPr>
        <w:ind w:left="5080"/>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Charles T. Horngren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Charles T. Horngren, Director</w:t>
      </w:r>
    </w:p>
    <w:p>
      <w:pPr>
        <w:jc w:val="center"/>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Martinn H. Mandles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Martinn H. Mandles, Director</w:t>
      </w:r>
    </w:p>
    <w:p>
      <w:pPr>
        <w:ind w:left="5080"/>
        <w:spacing w:after="0"/>
        <w:rPr>
          <w:sz w:val="20"/>
          <w:szCs w:val="20"/>
          <w:color w:val="auto"/>
        </w:rPr>
      </w:pPr>
      <w:r>
        <w:rPr>
          <w:rFonts w:ascii="Arial" w:cs="Arial" w:eastAsia="Arial" w:hAnsi="Arial"/>
          <w:sz w:val="18"/>
          <w:szCs w:val="18"/>
          <w:color w:val="auto"/>
        </w:rPr>
        <w:t>March 28, 2006</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William W.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William W. Steele, Director</w:t>
      </w:r>
    </w:p>
    <w:p>
      <w:pPr>
        <w:jc w:val="center"/>
        <w:spacing w:after="0"/>
        <w:rPr>
          <w:sz w:val="20"/>
          <w:szCs w:val="20"/>
          <w:color w:val="auto"/>
        </w:rPr>
      </w:pPr>
      <w:r>
        <w:rPr>
          <w:rFonts w:ascii="Arial" w:cs="Arial" w:eastAsia="Arial" w:hAnsi="Arial"/>
          <w:sz w:val="18"/>
          <w:szCs w:val="18"/>
          <w:color w:val="auto"/>
        </w:rPr>
        <w:t>March 28, 2006</w:t>
      </w:r>
    </w:p>
    <w:p>
      <w:pPr>
        <w:sectPr>
          <w:pgSz w:w="11900" w:h="16838" w:orient="portrait"/>
          <w:cols w:equalWidth="0" w:num="1">
            <w:col w:w="11420"/>
          </w:cols>
          <w:pgMar w:left="240" w:top="419" w:right="239" w:bottom="1440" w:gutter="0" w:footer="0" w:header="0"/>
        </w:sectPr>
      </w:pPr>
    </w:p>
    <w:p>
      <w:pPr>
        <w:spacing w:after="0" w:line="171"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VALUATION ACCOUNTS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left="139"/>
              <w:spacing w:after="0"/>
              <w:rPr>
                <w:sz w:val="20"/>
                <w:szCs w:val="20"/>
                <w:color w:val="auto"/>
              </w:rPr>
            </w:pPr>
            <w:r>
              <w:rPr>
                <w:rFonts w:ascii="Arial" w:cs="Arial" w:eastAsia="Arial" w:hAnsi="Arial"/>
                <w:sz w:val="14"/>
                <w:szCs w:val="14"/>
                <w:color w:val="auto"/>
              </w:rPr>
              <w:t>Balance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Charges to</w:t>
            </w: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Write-offs</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Reclassification</w:t>
            </w:r>
          </w:p>
        </w:tc>
        <w:tc>
          <w:tcPr>
            <w:tcW w:w="1320" w:type="dxa"/>
            <w:vAlign w:val="bottom"/>
            <w:tcBorders>
              <w:top w:val="single" w:sz="8" w:color="auto"/>
            </w:tcBorders>
          </w:tcPr>
          <w:p>
            <w:pPr>
              <w:jc w:val="center"/>
              <w:ind w:left="159"/>
              <w:spacing w:after="0"/>
              <w:rPr>
                <w:sz w:val="20"/>
                <w:szCs w:val="20"/>
                <w:color w:val="auto"/>
              </w:rPr>
            </w:pPr>
            <w:r>
              <w:rPr>
                <w:rFonts w:ascii="Arial" w:cs="Arial" w:eastAsia="Arial" w:hAnsi="Arial"/>
                <w:sz w:val="14"/>
                <w:szCs w:val="14"/>
                <w:color w:val="auto"/>
              </w:rPr>
              <w:t>Balance</w:t>
            </w: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jc w:val="center"/>
              <w:ind w:left="139"/>
              <w:spacing w:after="0"/>
              <w:rPr>
                <w:sz w:val="20"/>
                <w:szCs w:val="20"/>
                <w:color w:val="auto"/>
              </w:rPr>
            </w:pPr>
            <w:r>
              <w:rPr>
                <w:rFonts w:ascii="Arial" w:cs="Arial" w:eastAsia="Arial" w:hAnsi="Arial"/>
                <w:sz w:val="14"/>
                <w:szCs w:val="14"/>
                <w:color w:val="auto"/>
              </w:rPr>
              <w:t>Beginning</w:t>
            </w:r>
          </w:p>
        </w:tc>
        <w:tc>
          <w:tcPr>
            <w:tcW w:w="1560" w:type="dxa"/>
            <w:vAlign w:val="bottom"/>
          </w:tcPr>
          <w:p>
            <w:pPr>
              <w:jc w:val="center"/>
              <w:spacing w:after="0"/>
              <w:rPr>
                <w:sz w:val="20"/>
                <w:szCs w:val="20"/>
                <w:color w:val="auto"/>
              </w:rPr>
            </w:pPr>
            <w:r>
              <w:rPr>
                <w:rFonts w:ascii="Arial" w:cs="Arial" w:eastAsia="Arial" w:hAnsi="Arial"/>
                <w:sz w:val="14"/>
                <w:szCs w:val="14"/>
                <w:color w:val="auto"/>
              </w:rPr>
              <w:t>Costs and</w:t>
            </w:r>
          </w:p>
        </w:tc>
        <w:tc>
          <w:tcPr>
            <w:tcW w:w="1660" w:type="dxa"/>
            <w:vAlign w:val="bottom"/>
          </w:tcPr>
          <w:p>
            <w:pPr>
              <w:jc w:val="center"/>
              <w:spacing w:after="0"/>
              <w:rPr>
                <w:sz w:val="20"/>
                <w:szCs w:val="20"/>
                <w:color w:val="auto"/>
              </w:rPr>
            </w:pPr>
            <w:r>
              <w:rPr>
                <w:rFonts w:ascii="Arial" w:cs="Arial" w:eastAsia="Arial" w:hAnsi="Arial"/>
                <w:sz w:val="14"/>
                <w:szCs w:val="14"/>
                <w:color w:val="auto"/>
              </w:rPr>
              <w:t>Net of</w:t>
            </w:r>
          </w:p>
        </w:tc>
        <w:tc>
          <w:tcPr>
            <w:tcW w:w="1980" w:type="dxa"/>
            <w:vAlign w:val="bottom"/>
          </w:tcPr>
          <w:p>
            <w:pPr>
              <w:jc w:val="center"/>
              <w:spacing w:after="0"/>
              <w:rPr>
                <w:sz w:val="20"/>
                <w:szCs w:val="20"/>
                <w:color w:val="auto"/>
              </w:rPr>
            </w:pPr>
            <w:r>
              <w:rPr>
                <w:rFonts w:ascii="Arial" w:cs="Arial" w:eastAsia="Arial" w:hAnsi="Arial"/>
                <w:sz w:val="14"/>
                <w:szCs w:val="14"/>
                <w:color w:val="auto"/>
              </w:rPr>
              <w:t>to Sales</w:t>
            </w:r>
          </w:p>
        </w:tc>
        <w:tc>
          <w:tcPr>
            <w:tcW w:w="1320" w:type="dxa"/>
            <w:vAlign w:val="bottom"/>
          </w:tcPr>
          <w:p>
            <w:pPr>
              <w:jc w:val="center"/>
              <w:ind w:left="139"/>
              <w:spacing w:after="0"/>
              <w:rPr>
                <w:sz w:val="20"/>
                <w:szCs w:val="20"/>
                <w:color w:val="auto"/>
              </w:rPr>
            </w:pPr>
            <w:r>
              <w:rPr>
                <w:rFonts w:ascii="Arial" w:cs="Arial" w:eastAsia="Arial" w:hAnsi="Arial"/>
                <w:sz w:val="14"/>
                <w:szCs w:val="14"/>
                <w:color w:val="auto"/>
              </w:rPr>
              <w:t>End of</w:t>
            </w:r>
          </w:p>
        </w:tc>
      </w:tr>
      <w:tr>
        <w:trPr>
          <w:trHeight w:val="164"/>
        </w:trPr>
        <w:tc>
          <w:tcPr>
            <w:tcW w:w="32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700" w:type="dxa"/>
            <w:vAlign w:val="bottom"/>
          </w:tcPr>
          <w:p>
            <w:pPr>
              <w:jc w:val="center"/>
              <w:ind w:left="159"/>
              <w:spacing w:after="0" w:line="157" w:lineRule="exact"/>
              <w:rPr>
                <w:sz w:val="20"/>
                <w:szCs w:val="20"/>
                <w:color w:val="auto"/>
              </w:rPr>
            </w:pPr>
            <w:r>
              <w:rPr>
                <w:rFonts w:ascii="Arial" w:cs="Arial" w:eastAsia="Arial" w:hAnsi="Arial"/>
                <w:sz w:val="14"/>
                <w:szCs w:val="14"/>
                <w:color w:val="auto"/>
              </w:rPr>
              <w:t>of Year</w:t>
            </w:r>
          </w:p>
        </w:tc>
        <w:tc>
          <w:tcPr>
            <w:tcW w:w="1560" w:type="dxa"/>
            <w:vAlign w:val="bottom"/>
          </w:tcPr>
          <w:p>
            <w:pPr>
              <w:jc w:val="center"/>
              <w:spacing w:after="0" w:line="157" w:lineRule="exact"/>
              <w:rPr>
                <w:sz w:val="20"/>
                <w:szCs w:val="20"/>
                <w:color w:val="auto"/>
              </w:rPr>
            </w:pPr>
            <w:r>
              <w:rPr>
                <w:rFonts w:ascii="Arial" w:cs="Arial" w:eastAsia="Arial" w:hAnsi="Arial"/>
                <w:sz w:val="14"/>
                <w:szCs w:val="14"/>
                <w:color w:val="auto"/>
              </w:rPr>
              <w:t>Expenses</w:t>
            </w:r>
          </w:p>
        </w:tc>
        <w:tc>
          <w:tcPr>
            <w:tcW w:w="1660" w:type="dxa"/>
            <w:vAlign w:val="bottom"/>
          </w:tcPr>
          <w:p>
            <w:pPr>
              <w:jc w:val="center"/>
              <w:ind w:right="19"/>
              <w:spacing w:after="0" w:line="157" w:lineRule="exact"/>
              <w:rPr>
                <w:sz w:val="20"/>
                <w:szCs w:val="20"/>
                <w:color w:val="auto"/>
              </w:rPr>
            </w:pPr>
            <w:r>
              <w:rPr>
                <w:rFonts w:ascii="Arial" w:cs="Arial" w:eastAsia="Arial" w:hAnsi="Arial"/>
                <w:sz w:val="14"/>
                <w:szCs w:val="14"/>
                <w:color w:val="auto"/>
              </w:rPr>
              <w:t>Recoveries</w:t>
            </w:r>
          </w:p>
        </w:tc>
        <w:tc>
          <w:tcPr>
            <w:tcW w:w="1980" w:type="dxa"/>
            <w:vAlign w:val="bottom"/>
          </w:tcPr>
          <w:p>
            <w:pPr>
              <w:jc w:val="center"/>
              <w:spacing w:after="0" w:line="157" w:lineRule="exact"/>
              <w:rPr>
                <w:sz w:val="20"/>
                <w:szCs w:val="20"/>
                <w:color w:val="auto"/>
              </w:rPr>
            </w:pPr>
            <w:r>
              <w:rPr>
                <w:rFonts w:ascii="Arial" w:cs="Arial" w:eastAsia="Arial" w:hAnsi="Arial"/>
                <w:sz w:val="14"/>
                <w:szCs w:val="14"/>
                <w:color w:val="auto"/>
              </w:rPr>
              <w:t>Allowance</w:t>
            </w:r>
          </w:p>
        </w:tc>
        <w:tc>
          <w:tcPr>
            <w:tcW w:w="1320" w:type="dxa"/>
            <w:vAlign w:val="bottom"/>
          </w:tcPr>
          <w:p>
            <w:pPr>
              <w:jc w:val="center"/>
              <w:ind w:left="139"/>
              <w:spacing w:after="0" w:line="157" w:lineRule="exact"/>
              <w:rPr>
                <w:sz w:val="20"/>
                <w:szCs w:val="20"/>
                <w:color w:val="auto"/>
              </w:rPr>
            </w:pPr>
            <w:r>
              <w:rPr>
                <w:rFonts w:ascii="Arial" w:cs="Arial" w:eastAsia="Arial" w:hAnsi="Arial"/>
                <w:sz w:val="14"/>
                <w:szCs w:val="14"/>
                <w:color w:val="auto"/>
              </w:rPr>
              <w:t>Year</w:t>
            </w: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Years ended October 31,</w:t>
            </w: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$8,212</w:t>
            </w:r>
          </w:p>
        </w:tc>
        <w:tc>
          <w:tcPr>
            <w:tcW w:w="15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$1,112</w:t>
            </w:r>
          </w:p>
        </w:tc>
        <w:tc>
          <w:tcPr>
            <w:tcW w:w="1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$(1,392)</w:t>
            </w:r>
          </w:p>
        </w:tc>
        <w:tc>
          <w:tcPr>
            <w:tcW w:w="19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$(1,784)</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$6,148</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2004</w:t>
            </w:r>
          </w:p>
        </w:tc>
        <w:tc>
          <w:tcPr>
            <w:tcW w:w="1700" w:type="dxa"/>
            <w:vAlign w:val="bottom"/>
          </w:tcPr>
          <w:p>
            <w:pPr>
              <w:jc w:val="right"/>
              <w:ind w:right="359"/>
              <w:spacing w:after="0"/>
              <w:rPr>
                <w:sz w:val="20"/>
                <w:szCs w:val="20"/>
                <w:color w:val="auto"/>
              </w:rPr>
            </w:pPr>
            <w:r>
              <w:rPr>
                <w:rFonts w:ascii="Arial" w:cs="Arial" w:eastAsia="Arial" w:hAnsi="Arial"/>
                <w:sz w:val="18"/>
                <w:szCs w:val="18"/>
                <w:color w:val="auto"/>
              </w:rPr>
              <w:t>5,945</w:t>
            </w:r>
          </w:p>
        </w:tc>
        <w:tc>
          <w:tcPr>
            <w:tcW w:w="1560" w:type="dxa"/>
            <w:vAlign w:val="bottom"/>
          </w:tcPr>
          <w:p>
            <w:pPr>
              <w:jc w:val="right"/>
              <w:ind w:right="479"/>
              <w:spacing w:after="0"/>
              <w:rPr>
                <w:sz w:val="20"/>
                <w:szCs w:val="20"/>
                <w:color w:val="auto"/>
              </w:rPr>
            </w:pPr>
            <w:r>
              <w:rPr>
                <w:rFonts w:ascii="Arial" w:cs="Arial" w:eastAsia="Arial" w:hAnsi="Arial"/>
                <w:sz w:val="18"/>
                <w:szCs w:val="18"/>
                <w:color w:val="auto"/>
              </w:rPr>
              <w:t>4,482</w:t>
            </w:r>
          </w:p>
        </w:tc>
        <w:tc>
          <w:tcPr>
            <w:tcW w:w="1660" w:type="dxa"/>
            <w:vAlign w:val="bottom"/>
          </w:tcPr>
          <w:p>
            <w:pPr>
              <w:jc w:val="right"/>
              <w:ind w:right="479"/>
              <w:spacing w:after="0"/>
              <w:rPr>
                <w:sz w:val="20"/>
                <w:szCs w:val="20"/>
                <w:color w:val="auto"/>
              </w:rPr>
            </w:pPr>
            <w:r>
              <w:rPr>
                <w:rFonts w:ascii="Arial" w:cs="Arial" w:eastAsia="Arial" w:hAnsi="Arial"/>
                <w:sz w:val="18"/>
                <w:szCs w:val="18"/>
                <w:color w:val="auto"/>
              </w:rPr>
              <w:t>(2,215)</w:t>
            </w:r>
          </w:p>
        </w:tc>
        <w:tc>
          <w:tcPr>
            <w:tcW w:w="198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9"/>
              <w:spacing w:after="0"/>
              <w:rPr>
                <w:sz w:val="20"/>
                <w:szCs w:val="20"/>
                <w:color w:val="auto"/>
              </w:rPr>
            </w:pPr>
            <w:r>
              <w:rPr>
                <w:rFonts w:ascii="Arial" w:cs="Arial" w:eastAsia="Arial" w:hAnsi="Arial"/>
                <w:sz w:val="18"/>
                <w:szCs w:val="18"/>
                <w:color w:val="auto"/>
              </w:rPr>
              <w:t>8,212</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2003</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5,150</w:t>
            </w:r>
          </w:p>
        </w:tc>
        <w:tc>
          <w:tcPr>
            <w:tcW w:w="15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6,326</w:t>
            </w:r>
          </w:p>
        </w:tc>
        <w:tc>
          <w:tcPr>
            <w:tcW w:w="1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(5,531)</w:t>
            </w:r>
          </w:p>
        </w:tc>
        <w:tc>
          <w:tcPr>
            <w:tcW w:w="19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5,945</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left="564"/>
              <w:spacing w:after="0"/>
              <w:rPr>
                <w:sz w:val="20"/>
                <w:szCs w:val="20"/>
                <w:color w:val="auto"/>
              </w:rPr>
            </w:pPr>
            <w:r>
              <w:rPr>
                <w:rFonts w:ascii="Arial" w:cs="Arial" w:eastAsia="Arial" w:hAnsi="Arial"/>
                <w:sz w:val="14"/>
                <w:szCs w:val="14"/>
                <w:color w:val="auto"/>
              </w:rPr>
              <w:t>Balance</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Charges to</w:t>
            </w:r>
          </w:p>
        </w:tc>
        <w:tc>
          <w:tcPr>
            <w:tcW w:w="1520" w:type="dxa"/>
            <w:vAlign w:val="bottom"/>
            <w:tcBorders>
              <w:top w:val="single" w:sz="8" w:color="auto"/>
            </w:tcBorders>
          </w:tcPr>
          <w:p>
            <w:pPr>
              <w:jc w:val="center"/>
              <w:ind w:right="124"/>
              <w:spacing w:after="0"/>
              <w:rPr>
                <w:sz w:val="20"/>
                <w:szCs w:val="20"/>
                <w:color w:val="auto"/>
              </w:rPr>
            </w:pPr>
            <w:r>
              <w:rPr>
                <w:rFonts w:ascii="Arial" w:cs="Arial" w:eastAsia="Arial" w:hAnsi="Arial"/>
                <w:sz w:val="14"/>
                <w:szCs w:val="14"/>
                <w:color w:val="auto"/>
              </w:rPr>
              <w:t>Write-offs</w:t>
            </w:r>
          </w:p>
        </w:tc>
        <w:tc>
          <w:tcPr>
            <w:tcW w:w="2420" w:type="dxa"/>
            <w:vAlign w:val="bottom"/>
            <w:tcBorders>
              <w:top w:val="single" w:sz="8" w:color="auto"/>
            </w:tcBorders>
          </w:tcPr>
          <w:p>
            <w:pPr>
              <w:jc w:val="center"/>
              <w:ind w:right="4"/>
              <w:spacing w:after="0"/>
              <w:rPr>
                <w:sz w:val="20"/>
                <w:szCs w:val="20"/>
                <w:color w:val="auto"/>
              </w:rPr>
            </w:pPr>
            <w:r>
              <w:rPr>
                <w:rFonts w:ascii="Arial" w:cs="Arial" w:eastAsia="Arial" w:hAnsi="Arial"/>
                <w:sz w:val="14"/>
                <w:szCs w:val="14"/>
                <w:color w:val="auto"/>
              </w:rPr>
              <w:t>Reclassification from</w:t>
            </w:r>
          </w:p>
        </w:tc>
        <w:tc>
          <w:tcPr>
            <w:tcW w:w="1480" w:type="dxa"/>
            <w:vAlign w:val="bottom"/>
            <w:tcBorders>
              <w:top w:val="single" w:sz="8" w:color="auto"/>
            </w:tcBorders>
          </w:tcPr>
          <w:p>
            <w:pPr>
              <w:jc w:val="center"/>
              <w:ind w:left="204"/>
              <w:spacing w:after="0"/>
              <w:rPr>
                <w:sz w:val="20"/>
                <w:szCs w:val="20"/>
                <w:color w:val="auto"/>
              </w:rPr>
            </w:pPr>
            <w:r>
              <w:rPr>
                <w:rFonts w:ascii="Arial" w:cs="Arial" w:eastAsia="Arial" w:hAnsi="Arial"/>
                <w:sz w:val="14"/>
                <w:szCs w:val="14"/>
                <w:color w:val="auto"/>
              </w:rPr>
              <w:t>Balance</w:t>
            </w: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40" w:type="dxa"/>
            <w:vAlign w:val="bottom"/>
          </w:tcPr>
          <w:p>
            <w:pPr>
              <w:jc w:val="center"/>
              <w:ind w:left="564"/>
              <w:spacing w:after="0"/>
              <w:rPr>
                <w:sz w:val="20"/>
                <w:szCs w:val="20"/>
                <w:color w:val="auto"/>
              </w:rPr>
            </w:pPr>
            <w:r>
              <w:rPr>
                <w:rFonts w:ascii="Arial" w:cs="Arial" w:eastAsia="Arial" w:hAnsi="Arial"/>
                <w:sz w:val="14"/>
                <w:szCs w:val="14"/>
                <w:color w:val="auto"/>
              </w:rPr>
              <w:t>Beginning</w:t>
            </w:r>
          </w:p>
        </w:tc>
        <w:tc>
          <w:tcPr>
            <w:tcW w:w="1320" w:type="dxa"/>
            <w:vAlign w:val="bottom"/>
          </w:tcPr>
          <w:p>
            <w:pPr>
              <w:jc w:val="center"/>
              <w:spacing w:after="0"/>
              <w:rPr>
                <w:sz w:val="20"/>
                <w:szCs w:val="20"/>
                <w:color w:val="auto"/>
              </w:rPr>
            </w:pPr>
            <w:r>
              <w:rPr>
                <w:rFonts w:ascii="Arial" w:cs="Arial" w:eastAsia="Arial" w:hAnsi="Arial"/>
                <w:sz w:val="14"/>
                <w:szCs w:val="14"/>
                <w:color w:val="auto"/>
              </w:rPr>
              <w:t>Costs and</w:t>
            </w:r>
          </w:p>
        </w:tc>
        <w:tc>
          <w:tcPr>
            <w:tcW w:w="1520" w:type="dxa"/>
            <w:vAlign w:val="bottom"/>
          </w:tcPr>
          <w:p>
            <w:pPr>
              <w:jc w:val="center"/>
              <w:ind w:right="124"/>
              <w:spacing w:after="0"/>
              <w:rPr>
                <w:sz w:val="20"/>
                <w:szCs w:val="20"/>
                <w:color w:val="auto"/>
              </w:rPr>
            </w:pPr>
            <w:r>
              <w:rPr>
                <w:rFonts w:ascii="Arial" w:cs="Arial" w:eastAsia="Arial" w:hAnsi="Arial"/>
                <w:sz w:val="14"/>
                <w:szCs w:val="14"/>
                <w:color w:val="auto"/>
              </w:rPr>
              <w:t>Net of</w:t>
            </w:r>
          </w:p>
        </w:tc>
        <w:tc>
          <w:tcPr>
            <w:tcW w:w="2420" w:type="dxa"/>
            <w:vAlign w:val="bottom"/>
          </w:tcPr>
          <w:p>
            <w:pPr>
              <w:jc w:val="center"/>
              <w:ind w:right="4"/>
              <w:spacing w:after="0"/>
              <w:rPr>
                <w:sz w:val="20"/>
                <w:szCs w:val="20"/>
                <w:color w:val="auto"/>
              </w:rPr>
            </w:pPr>
            <w:r>
              <w:rPr>
                <w:rFonts w:ascii="Arial" w:cs="Arial" w:eastAsia="Arial" w:hAnsi="Arial"/>
                <w:sz w:val="14"/>
                <w:szCs w:val="14"/>
                <w:color w:val="auto"/>
              </w:rPr>
              <w:t>Allowance for</w:t>
            </w:r>
          </w:p>
        </w:tc>
        <w:tc>
          <w:tcPr>
            <w:tcW w:w="1480" w:type="dxa"/>
            <w:vAlign w:val="bottom"/>
          </w:tcPr>
          <w:p>
            <w:pPr>
              <w:jc w:val="center"/>
              <w:ind w:left="204"/>
              <w:spacing w:after="0"/>
              <w:rPr>
                <w:sz w:val="20"/>
                <w:szCs w:val="20"/>
                <w:color w:val="auto"/>
              </w:rPr>
            </w:pPr>
            <w:r>
              <w:rPr>
                <w:rFonts w:ascii="Arial" w:cs="Arial" w:eastAsia="Arial" w:hAnsi="Arial"/>
                <w:sz w:val="14"/>
                <w:szCs w:val="14"/>
                <w:color w:val="auto"/>
                <w:w w:val="98"/>
              </w:rPr>
              <w:t>End of</w:t>
            </w:r>
          </w:p>
        </w:tc>
      </w:tr>
      <w:tr>
        <w:trPr>
          <w:trHeight w:val="164"/>
        </w:trPr>
        <w:tc>
          <w:tcPr>
            <w:tcW w:w="28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840" w:type="dxa"/>
            <w:vAlign w:val="bottom"/>
          </w:tcPr>
          <w:p>
            <w:pPr>
              <w:jc w:val="center"/>
              <w:ind w:left="544"/>
              <w:spacing w:after="0" w:line="157" w:lineRule="exact"/>
              <w:rPr>
                <w:sz w:val="20"/>
                <w:szCs w:val="20"/>
                <w:color w:val="auto"/>
              </w:rPr>
            </w:pPr>
            <w:r>
              <w:rPr>
                <w:rFonts w:ascii="Arial" w:cs="Arial" w:eastAsia="Arial" w:hAnsi="Arial"/>
                <w:sz w:val="14"/>
                <w:szCs w:val="14"/>
                <w:color w:val="auto"/>
              </w:rPr>
              <w:t>of Year</w:t>
            </w:r>
          </w:p>
        </w:tc>
        <w:tc>
          <w:tcPr>
            <w:tcW w:w="1320" w:type="dxa"/>
            <w:vAlign w:val="bottom"/>
          </w:tcPr>
          <w:p>
            <w:pPr>
              <w:jc w:val="center"/>
              <w:spacing w:after="0" w:line="157" w:lineRule="exact"/>
              <w:rPr>
                <w:sz w:val="20"/>
                <w:szCs w:val="20"/>
                <w:color w:val="auto"/>
              </w:rPr>
            </w:pPr>
            <w:r>
              <w:rPr>
                <w:rFonts w:ascii="Arial" w:cs="Arial" w:eastAsia="Arial" w:hAnsi="Arial"/>
                <w:sz w:val="14"/>
                <w:szCs w:val="14"/>
                <w:color w:val="auto"/>
              </w:rPr>
              <w:t>Expenses</w:t>
            </w:r>
          </w:p>
        </w:tc>
        <w:tc>
          <w:tcPr>
            <w:tcW w:w="1520" w:type="dxa"/>
            <w:vAlign w:val="bottom"/>
          </w:tcPr>
          <w:p>
            <w:pPr>
              <w:jc w:val="center"/>
              <w:ind w:right="124"/>
              <w:spacing w:after="0" w:line="157" w:lineRule="exact"/>
              <w:rPr>
                <w:sz w:val="20"/>
                <w:szCs w:val="20"/>
                <w:color w:val="auto"/>
              </w:rPr>
            </w:pPr>
            <w:r>
              <w:rPr>
                <w:rFonts w:ascii="Arial" w:cs="Arial" w:eastAsia="Arial" w:hAnsi="Arial"/>
                <w:sz w:val="14"/>
                <w:szCs w:val="14"/>
                <w:color w:val="auto"/>
              </w:rPr>
              <w:t>Recoveries</w:t>
            </w:r>
          </w:p>
        </w:tc>
        <w:tc>
          <w:tcPr>
            <w:tcW w:w="2420" w:type="dxa"/>
            <w:vAlign w:val="bottom"/>
          </w:tcPr>
          <w:p>
            <w:pPr>
              <w:jc w:val="center"/>
              <w:ind w:right="4"/>
              <w:spacing w:after="0" w:line="157" w:lineRule="exact"/>
              <w:rPr>
                <w:sz w:val="20"/>
                <w:szCs w:val="20"/>
                <w:color w:val="auto"/>
              </w:rPr>
            </w:pPr>
            <w:r>
              <w:rPr>
                <w:rFonts w:ascii="Arial" w:cs="Arial" w:eastAsia="Arial" w:hAnsi="Arial"/>
                <w:sz w:val="14"/>
                <w:szCs w:val="14"/>
                <w:color w:val="auto"/>
              </w:rPr>
              <w:t>Doubtful Accounts</w:t>
            </w:r>
          </w:p>
        </w:tc>
        <w:tc>
          <w:tcPr>
            <w:tcW w:w="1480" w:type="dxa"/>
            <w:vAlign w:val="bottom"/>
          </w:tcPr>
          <w:p>
            <w:pPr>
              <w:jc w:val="center"/>
              <w:ind w:left="204"/>
              <w:spacing w:after="0" w:line="157" w:lineRule="exact"/>
              <w:rPr>
                <w:sz w:val="20"/>
                <w:szCs w:val="20"/>
                <w:color w:val="auto"/>
              </w:rPr>
            </w:pPr>
            <w:r>
              <w:rPr>
                <w:rFonts w:ascii="Arial" w:cs="Arial" w:eastAsia="Arial" w:hAnsi="Arial"/>
                <w:sz w:val="14"/>
                <w:szCs w:val="14"/>
                <w:color w:val="auto"/>
                <w:w w:val="94"/>
              </w:rPr>
              <w:t>Year</w:t>
            </w:r>
          </w:p>
        </w:tc>
      </w:tr>
      <w:tr>
        <w:trPr>
          <w:trHeight w:val="203"/>
        </w:trPr>
        <w:tc>
          <w:tcPr>
            <w:tcW w:w="20" w:type="dxa"/>
            <w:vAlign w:val="bottom"/>
          </w:tcPr>
          <w:p>
            <w:pPr>
              <w:spacing w:after="0"/>
              <w:rPr>
                <w:sz w:val="17"/>
                <w:szCs w:val="17"/>
                <w:color w:val="auto"/>
              </w:rPr>
            </w:pPr>
          </w:p>
        </w:tc>
        <w:tc>
          <w:tcPr>
            <w:tcW w:w="2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Sales allowance</w:t>
            </w:r>
          </w:p>
        </w:tc>
        <w:tc>
          <w:tcPr>
            <w:tcW w:w="18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Year ended October 31,</w:t>
            </w: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18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8"/>
                <w:szCs w:val="18"/>
                <w:color w:val="auto"/>
              </w:rPr>
              <w:t>$1,784</w:t>
            </w:r>
          </w:p>
        </w:tc>
        <w:tc>
          <w:tcPr>
            <w:tcW w:w="1480" w:type="dxa"/>
            <w:vAlign w:val="bottom"/>
            <w:tcBorders>
              <w:bottom w:val="single" w:sz="8" w:color="auto"/>
            </w:tcBorders>
            <w:shd w:val="clear" w:color="auto" w:fill="CCEEFF"/>
          </w:tcPr>
          <w:p>
            <w:pPr>
              <w:jc w:val="center"/>
              <w:ind w:left="204"/>
              <w:spacing w:after="0"/>
              <w:rPr>
                <w:sz w:val="20"/>
                <w:szCs w:val="20"/>
                <w:color w:val="auto"/>
              </w:rPr>
            </w:pPr>
            <w:r>
              <w:rPr>
                <w:rFonts w:ascii="Arial" w:cs="Arial" w:eastAsia="Arial" w:hAnsi="Arial"/>
                <w:sz w:val="18"/>
                <w:szCs w:val="18"/>
                <w:color w:val="auto"/>
              </w:rPr>
              <w:t>$1,784</w:t>
            </w:r>
          </w:p>
        </w:tc>
      </w:tr>
    </w:tbl>
    <w:p>
      <w:pPr>
        <w:spacing w:after="0" w:line="121" w:lineRule="exact"/>
        <w:rPr>
          <w:sz w:val="20"/>
          <w:szCs w:val="20"/>
          <w:color w:val="auto"/>
        </w:rPr>
      </w:pPr>
    </w:p>
    <w:p>
      <w:pPr>
        <w:ind w:right="100" w:firstLine="350"/>
        <w:spacing w:after="0" w:line="239" w:lineRule="auto"/>
        <w:rPr>
          <w:sz w:val="20"/>
          <w:szCs w:val="20"/>
          <w:color w:val="auto"/>
        </w:rPr>
      </w:pPr>
      <w:r>
        <w:rPr>
          <w:rFonts w:ascii="Arial" w:cs="Arial" w:eastAsia="Arial" w:hAnsi="Arial"/>
          <w:sz w:val="18"/>
          <w:szCs w:val="18"/>
          <w:color w:val="auto"/>
        </w:rPr>
        <w:t>Effective on October 31, 2005, the Company reclassified the portion of the allowance for doubtful accounts related to the estimated losses on receivables resulting from customer credits into sales allowance. Prior to October 31, 2005, the allowance for doubtful accounts included estimated losses on receivables resulting from both customer credits and credit risks. The amount reclassified as of October 31, 2005 was $1.8 million.</w:t>
      </w:r>
    </w:p>
    <w:p>
      <w:pPr>
        <w:spacing w:after="0" w:line="94" w:lineRule="exact"/>
        <w:rPr>
          <w:sz w:val="20"/>
          <w:szCs w:val="20"/>
          <w:color w:val="auto"/>
        </w:rPr>
      </w:pPr>
    </w:p>
    <w:p>
      <w:pPr>
        <w:ind w:right="20" w:firstLine="340"/>
        <w:spacing w:after="0" w:line="239" w:lineRule="auto"/>
        <w:rPr>
          <w:sz w:val="20"/>
          <w:szCs w:val="20"/>
          <w:color w:val="auto"/>
        </w:rPr>
      </w:pPr>
      <w:r>
        <w:rPr>
          <w:rFonts w:ascii="Arial" w:cs="Arial" w:eastAsia="Arial" w:hAnsi="Arial"/>
          <w:sz w:val="18"/>
          <w:szCs w:val="18"/>
          <w:color w:val="auto"/>
        </w:rPr>
        <w:t>At October 31, 2005, the Company has a current receivable from SSA LLC totaling $3.4 million. This receivable is included in prepaid expenses and other current assets. A valuation reserve of an equal and offsetting amount was provided as of October 31, 2005. See “Related Party Transactions” in Note 1 of the Notes to Consolidated Financial Statements contained in Item 8, “Financial Statements and 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jc w:val="center"/>
              <w:ind w:left="92"/>
              <w:spacing w:after="0"/>
              <w:rPr>
                <w:sz w:val="20"/>
                <w:szCs w:val="20"/>
                <w:color w:val="auto"/>
              </w:rPr>
            </w:pPr>
            <w:r>
              <w:rPr>
                <w:rFonts w:ascii="Arial" w:cs="Arial" w:eastAsia="Arial" w:hAnsi="Arial"/>
                <w:sz w:val="14"/>
                <w:szCs w:val="14"/>
                <w:color w:val="auto"/>
              </w:rPr>
              <w:t>Exhibit</w:t>
            </w:r>
          </w:p>
        </w:tc>
        <w:tc>
          <w:tcPr>
            <w:tcW w:w="9360" w:type="dxa"/>
            <w:vAlign w:val="bottom"/>
          </w:tcPr>
          <w:p>
            <w:pPr>
              <w:spacing w:after="0"/>
              <w:rPr>
                <w:sz w:val="14"/>
                <w:szCs w:val="14"/>
                <w:color w:val="auto"/>
              </w:rPr>
            </w:pPr>
          </w:p>
        </w:tc>
      </w:tr>
      <w:tr>
        <w:trPr>
          <w:trHeight w:val="157"/>
        </w:trPr>
        <w:tc>
          <w:tcPr>
            <w:tcW w:w="2060" w:type="dxa"/>
            <w:vAlign w:val="bottom"/>
            <w:tcBorders>
              <w:bottom w:val="single" w:sz="8" w:color="auto"/>
            </w:tcBorders>
          </w:tcPr>
          <w:p>
            <w:pPr>
              <w:jc w:val="center"/>
              <w:ind w:left="92"/>
              <w:spacing w:after="0" w:line="157" w:lineRule="exact"/>
              <w:rPr>
                <w:sz w:val="20"/>
                <w:szCs w:val="20"/>
                <w:color w:val="auto"/>
              </w:rPr>
            </w:pPr>
            <w:r>
              <w:rPr>
                <w:rFonts w:ascii="Arial" w:cs="Arial" w:eastAsia="Arial" w:hAnsi="Arial"/>
                <w:sz w:val="14"/>
                <w:szCs w:val="14"/>
                <w:color w:val="auto"/>
              </w:rPr>
              <w:t>Number</w:t>
            </w:r>
          </w:p>
        </w:tc>
        <w:tc>
          <w:tcPr>
            <w:tcW w:w="9360" w:type="dxa"/>
            <w:vAlign w:val="bottom"/>
            <w:tcBorders>
              <w:bottom w:val="single" w:sz="8" w:color="auto"/>
            </w:tcBorders>
          </w:tcPr>
          <w:p>
            <w:pPr>
              <w:ind w:left="4580"/>
              <w:spacing w:after="0" w:line="157" w:lineRule="exact"/>
              <w:rPr>
                <w:sz w:val="20"/>
                <w:szCs w:val="20"/>
                <w:color w:val="auto"/>
              </w:rPr>
            </w:pPr>
            <w:r>
              <w:rPr>
                <w:rFonts w:ascii="Arial" w:cs="Arial" w:eastAsia="Arial" w:hAnsi="Arial"/>
                <w:sz w:val="14"/>
                <w:szCs w:val="14"/>
                <w:color w:val="auto"/>
              </w:rPr>
              <w:t>Description</w:t>
            </w:r>
          </w:p>
        </w:tc>
      </w:tr>
      <w:tr>
        <w:trPr>
          <w:trHeight w:val="209"/>
        </w:trPr>
        <w:tc>
          <w:tcPr>
            <w:tcW w:w="2060" w:type="dxa"/>
            <w:vAlign w:val="bottom"/>
          </w:tcPr>
          <w:p>
            <w:pPr>
              <w:jc w:val="center"/>
              <w:ind w:left="332"/>
              <w:spacing w:after="0"/>
              <w:rPr>
                <w:sz w:val="20"/>
                <w:szCs w:val="20"/>
                <w:color w:val="auto"/>
              </w:rPr>
            </w:pPr>
            <w:r>
              <w:rPr>
                <w:rFonts w:ascii="Arial" w:cs="Arial" w:eastAsia="Arial" w:hAnsi="Arial"/>
                <w:sz w:val="18"/>
                <w:szCs w:val="18"/>
                <w:color w:val="auto"/>
                <w:w w:val="95"/>
              </w:rPr>
              <w:t>2.1</w:t>
            </w:r>
          </w:p>
        </w:tc>
        <w:tc>
          <w:tcPr>
            <w:tcW w:w="9360" w:type="dxa"/>
            <w:vAlign w:val="bottom"/>
          </w:tcPr>
          <w:p>
            <w:pPr>
              <w:ind w:left="520"/>
              <w:spacing w:after="0"/>
              <w:rPr>
                <w:sz w:val="20"/>
                <w:szCs w:val="20"/>
                <w:color w:val="auto"/>
              </w:rPr>
            </w:pPr>
            <w:r>
              <w:rPr>
                <w:rFonts w:ascii="Arial" w:cs="Arial" w:eastAsia="Arial" w:hAnsi="Arial"/>
                <w:sz w:val="18"/>
                <w:szCs w:val="18"/>
                <w:color w:val="auto"/>
              </w:rPr>
              <w:t>Sales Agreement, dated as of May 27, 2005, by and among ABM Industries Incorporated, CommAir</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Mechanical Services and Carrier Corporation (incorporated by reference to Exhibit No. 2.1 to the registrant’s</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10-Q Quarterly Report for the quarter ended July 31, 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5"/>
              </w:rPr>
              <w:t>3.1</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Restated Certificate of Incorporation of ABM Industries Incorporated, dated November 25, 2003 (incorporated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by reference to Exhibit No. 3.1 to the registrant’s Form 10-K Annual Report for the year ended October 31,</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2003,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5"/>
              </w:rPr>
              <w:t>3.2</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Bylaws, as amended January 28, 2004 (incorporated by reference to Exhibit No. 3.2 to the registrant’s</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10-Q Quarterly Report for the quarter ended January 31, 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5"/>
              </w:rPr>
              <w:t>4.1</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Rights Agreement, dated as of March 17, 1998, between the Company and Chase Mellon Shareholder</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Services, L.L.C., as Rights Agent (incorporated by reference to Exhibit No. 4.1 to the registrant’s Form 8-K</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Current Report dated as of March 17, 1998,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5"/>
              </w:rPr>
              <w:t>4.2</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First Amendment to Rights Agreement, dated as of May 6, 2002, between ABM Industries Incorporated and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Mellon Investor Services LLC, as successor Rights Agent (incorporated by reference to Exhibit No. 10.77 to</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the registrant’s Form 10-K Annual Report for the year ended October 31, 2002,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10.1†</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Executive Stock Option Plan (aka Age-Vested Career Stock Option Plan), as amended and restated as of</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January 11, 2005 (incorporated by reference to Exhibit No. 10.1 to the registrant’s Form 10-Q Quarterly Report</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 the quarter ended January 31, 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10.2†</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Time-Vested Incentive Stock Option Plan, as amended and restated as of June 7, 2005 (incorporated by</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reference to Exhibit No. 10.1 to the registrant’s Form 10-Q Quarterly Report for the quarter ended July 31,</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10.3†</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of Incentive Stock Option Agreement under the Time-Vested Incentive Stock Option Plan (incorporated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by reference to Exhibit No. 10.3 to the registrant’s Form 10-K Annual Report for the year ended October 31,</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2004,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10.4†</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of Non-Qualified Stock Option Agreement under the Time-Vested Incentive Stock Option Plan, as</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amended effective December 12, 2005.</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10.5†</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1996 Price-Vested Performance Stock Option Plan, as amended and restated as of January 11, 2005</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(incorporated by reference to Exhibit No. 10.4 to the registrant’s Form 10-Q Quarterly Report for the quarter</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ended January 31, 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10.6†</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of Stock Option Agreement under the 1996 Price-Vested Performance Stock Option Plan, as amended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effective December 12, 2005.</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10.7†</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w w:val="99"/>
              </w:rPr>
              <w:t>2002 Price-Vested Performance Stock Option Plan, as amended and restated as of June 7, 2005 (incorporated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by reference to Exhibit No. 10.2 to the registrant’s Form 10-Q Quarterly Report for the quarter ended July 31,</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2005, File No. 1-8929).</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10.8†</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Form of Stock Option Agreement under the 2002 Price-Vested Performance Stock Option Plan, as amended</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effective December 12, 2005.</w:t>
            </w:r>
          </w:p>
        </w:tc>
      </w:tr>
      <w:tr>
        <w:trPr>
          <w:trHeight w:val="203"/>
        </w:trPr>
        <w:tc>
          <w:tcPr>
            <w:tcW w:w="20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97"/>
              </w:rPr>
              <w:t>10.9†</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Deferred Compensation Plan (incorporated by reference to Exhibit No. 10.28 to the registrant’s Form 10-K</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Annual Report for the year ended October 31, 1993, File No. 1-8929).</w:t>
            </w:r>
          </w:p>
        </w:tc>
      </w:tr>
      <w:tr>
        <w:trPr>
          <w:trHeight w:val="203"/>
        </w:trPr>
        <w:tc>
          <w:tcPr>
            <w:tcW w:w="2060" w:type="dxa"/>
            <w:vAlign w:val="bottom"/>
          </w:tcPr>
          <w:p>
            <w:pPr>
              <w:ind w:left="1020"/>
              <w:spacing w:after="0" w:line="202" w:lineRule="exact"/>
              <w:rPr>
                <w:sz w:val="20"/>
                <w:szCs w:val="20"/>
                <w:color w:val="auto"/>
              </w:rPr>
            </w:pPr>
            <w:r>
              <w:rPr>
                <w:rFonts w:ascii="Arial" w:cs="Arial" w:eastAsia="Arial" w:hAnsi="Arial"/>
                <w:sz w:val="18"/>
                <w:szCs w:val="18"/>
                <w:color w:val="auto"/>
              </w:rPr>
              <w:t>10.10†</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Service Award Benefit Plan, as amended and restated April 2005 (incorporated by reference to Exhibit</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No. 10.4 to the registrant’s Form 10-Q Quarterly Report for the quarter ended April 30, 2005, File No. 1-8929).</w:t>
            </w:r>
          </w:p>
        </w:tc>
      </w:tr>
      <w:tr>
        <w:trPr>
          <w:trHeight w:val="203"/>
        </w:trPr>
        <w:tc>
          <w:tcPr>
            <w:tcW w:w="2060" w:type="dxa"/>
            <w:vAlign w:val="bottom"/>
          </w:tcPr>
          <w:p>
            <w:pPr>
              <w:ind w:left="1020"/>
              <w:spacing w:after="0" w:line="202" w:lineRule="exact"/>
              <w:rPr>
                <w:sz w:val="20"/>
                <w:szCs w:val="20"/>
                <w:color w:val="auto"/>
              </w:rPr>
            </w:pPr>
            <w:r>
              <w:rPr>
                <w:rFonts w:ascii="Arial" w:cs="Arial" w:eastAsia="Arial" w:hAnsi="Arial"/>
                <w:sz w:val="18"/>
                <w:szCs w:val="18"/>
                <w:color w:val="auto"/>
              </w:rPr>
              <w:t>10.11†</w:t>
            </w: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Supplemental Executive Retirement Plan as amended December 6, 2004 (incorporated by reference to Exhibit</w:t>
            </w:r>
          </w:p>
        </w:tc>
      </w:tr>
      <w:tr>
        <w:trPr>
          <w:trHeight w:val="203"/>
        </w:trPr>
        <w:tc>
          <w:tcPr>
            <w:tcW w:w="2060" w:type="dxa"/>
            <w:vAlign w:val="bottom"/>
          </w:tcPr>
          <w:p>
            <w:pPr>
              <w:spacing w:after="0"/>
              <w:rPr>
                <w:sz w:val="17"/>
                <w:szCs w:val="17"/>
                <w:color w:val="auto"/>
              </w:rPr>
            </w:pPr>
          </w:p>
        </w:tc>
        <w:tc>
          <w:tcPr>
            <w:tcW w:w="9360" w:type="dxa"/>
            <w:vAlign w:val="bottom"/>
          </w:tcPr>
          <w:p>
            <w:pPr>
              <w:ind w:left="520"/>
              <w:spacing w:after="0" w:line="202" w:lineRule="exact"/>
              <w:rPr>
                <w:sz w:val="20"/>
                <w:szCs w:val="20"/>
                <w:color w:val="auto"/>
              </w:rPr>
            </w:pPr>
            <w:r>
              <w:rPr>
                <w:rFonts w:ascii="Arial" w:cs="Arial" w:eastAsia="Arial" w:hAnsi="Arial"/>
                <w:sz w:val="18"/>
                <w:szCs w:val="18"/>
                <w:color w:val="auto"/>
              </w:rPr>
              <w:t>No. 10.11 to the registrant’s Form 10-Q Quarterly Report for the quarter ended January 31, 2005, File No. 1-</w:t>
            </w:r>
          </w:p>
        </w:tc>
      </w:tr>
      <w:tr>
        <w:trPr>
          <w:trHeight w:val="217"/>
        </w:trPr>
        <w:tc>
          <w:tcPr>
            <w:tcW w:w="206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8929).</w:t>
            </w:r>
          </w:p>
        </w:tc>
      </w:tr>
      <w:tr>
        <w:trPr>
          <w:trHeight w:val="392"/>
        </w:trPr>
        <w:tc>
          <w:tcPr>
            <w:tcW w:w="2060" w:type="dxa"/>
            <w:vAlign w:val="bottom"/>
          </w:tcPr>
          <w:p>
            <w:pPr>
              <w:spacing w:after="0"/>
              <w:rPr>
                <w:sz w:val="24"/>
                <w:szCs w:val="24"/>
                <w:color w:val="auto"/>
              </w:rPr>
            </w:pPr>
          </w:p>
        </w:tc>
        <w:tc>
          <w:tcPr>
            <w:tcW w:w="9360" w:type="dxa"/>
            <w:vAlign w:val="bottom"/>
          </w:tcPr>
          <w:p>
            <w:pPr>
              <w:ind w:left="9160"/>
              <w:spacing w:after="0"/>
              <w:rPr>
                <w:sz w:val="20"/>
                <w:szCs w:val="20"/>
                <w:color w:val="auto"/>
              </w:rPr>
            </w:pPr>
            <w:r>
              <w:rPr>
                <w:rFonts w:ascii="Arial" w:cs="Arial" w:eastAsia="Arial" w:hAnsi="Arial"/>
                <w:sz w:val="18"/>
                <w:szCs w:val="18"/>
                <w:color w:val="auto"/>
                <w:w w:val="89"/>
              </w:rPr>
              <w:t>81</w:t>
            </w:r>
          </w:p>
        </w:tc>
      </w:tr>
      <w:tr>
        <w:trPr>
          <w:trHeight w:val="213"/>
        </w:trPr>
        <w:tc>
          <w:tcPr>
            <w:tcW w:w="2060" w:type="dxa"/>
            <w:vAlign w:val="bottom"/>
            <w:tcBorders>
              <w:bottom w:val="single" w:sz="8" w:color="808080"/>
            </w:tcBorders>
          </w:tcPr>
          <w:p>
            <w:pPr>
              <w:spacing w:after="0"/>
              <w:rPr>
                <w:sz w:val="18"/>
                <w:szCs w:val="18"/>
                <w:color w:val="auto"/>
              </w:rPr>
            </w:pPr>
          </w:p>
        </w:tc>
        <w:tc>
          <w:tcPr>
            <w:tcW w:w="9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0" w:type="dxa"/>
            <w:vAlign w:val="bottom"/>
          </w:tcPr>
          <w:p>
            <w:pPr>
              <w:spacing w:after="0"/>
              <w:rPr>
                <w:sz w:val="17"/>
                <w:szCs w:val="17"/>
                <w:color w:val="auto"/>
              </w:rPr>
            </w:pPr>
          </w:p>
        </w:tc>
        <w:tc>
          <w:tcPr>
            <w:tcW w:w="9340" w:type="dxa"/>
            <w:vAlign w:val="bottom"/>
          </w:tcPr>
          <w:p>
            <w:pPr>
              <w:spacing w:after="0"/>
              <w:rPr>
                <w:sz w:val="17"/>
                <w:szCs w:val="17"/>
                <w:color w:val="auto"/>
              </w:rPr>
            </w:pPr>
          </w:p>
        </w:tc>
      </w:tr>
      <w:tr>
        <w:trPr>
          <w:trHeight w:val="533"/>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10.12†</w:t>
            </w:r>
          </w:p>
        </w:tc>
        <w:tc>
          <w:tcPr>
            <w:tcW w:w="9340" w:type="dxa"/>
            <w:vAlign w:val="bottom"/>
          </w:tcPr>
          <w:p>
            <w:pPr>
              <w:ind w:left="520"/>
              <w:spacing w:after="0"/>
              <w:rPr>
                <w:sz w:val="20"/>
                <w:szCs w:val="20"/>
                <w:color w:val="auto"/>
              </w:rPr>
            </w:pPr>
            <w:r>
              <w:rPr>
                <w:rFonts w:ascii="Arial" w:cs="Arial" w:eastAsia="Arial" w:hAnsi="Arial"/>
                <w:sz w:val="18"/>
                <w:szCs w:val="18"/>
                <w:color w:val="auto"/>
              </w:rPr>
              <w:t>Form of Non-Employee Director Retirement Benefit Agreement (incorporated by reference to Exhibit No. 10.27</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to the registrant’s Form 10-K Annual Report for the year ended October 31, 2003, File No. 1-8929).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10.13†</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Form of Indemnification Agreement for Directors (incorporated by reference to Exhibit No. 10.13 to the</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registrant’s Form 10-K Annual Report for the year ended October 31, 2004, File No. 1-8929).</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10.14†</w:t>
            </w:r>
          </w:p>
        </w:tc>
        <w:tc>
          <w:tcPr>
            <w:tcW w:w="9340" w:type="dxa"/>
            <w:vAlign w:val="bottom"/>
          </w:tcPr>
          <w:p>
            <w:pPr>
              <w:ind w:left="520"/>
              <w:spacing w:after="0"/>
              <w:rPr>
                <w:sz w:val="20"/>
                <w:szCs w:val="20"/>
                <w:color w:val="auto"/>
              </w:rPr>
            </w:pPr>
            <w:r>
              <w:rPr>
                <w:rFonts w:ascii="Arial" w:cs="Arial" w:eastAsia="Arial" w:hAnsi="Arial"/>
                <w:sz w:val="18"/>
                <w:szCs w:val="18"/>
                <w:color w:val="auto"/>
              </w:rPr>
              <w:t>Arrangements With Non-Employee Directors.</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10.15†</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ABM Executive Retiree Healthcare and Dental Plan (incorporated by reference to Exhibit No. 10.17 to the</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registrant’s Form 10-K Annual Report for the year ended October 31, 2004, File No. 1-8929).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10.16†</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Agreement with Martinn H. Mandles (incorporated by reference to Exhibit No. 10.71 to the registrant’s</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Form 10-K Annual Report for the year ended October 31, 2002, File No. 1-8929).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10.17†</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Executive Employment Agreement with Henrik C. Slipsager as of June 14, 2005 (incorporated by reference to</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Exhibit No. 10.3 to the registrant’s Form 10-Q Quarterly Report for the quarter ended July 31, 2005, File No. 1-</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10.18†</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Consulting Agreement with Jess E. Benton, III, effective as of February 1, 2005 (incorporated by reference to</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Exhibit No. 10.28 to the registrant’s Form 10-Q Quarterly Report for the quarter ended January 31, 2005, File</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No. 1-8929).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10.19†</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Executive Employment Agreement with James P. McClure as of July 12, 2005 (incorporated by reference to</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Exhibit No. 10.4 to the registrant’s Form 10-Q Quarterly Report for the quarter ended July 31, 2005, File No. 1-</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10.20†</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Executive Employment Agreement with George B. Sundby as of July 12, 2005 (incorporated by reference to</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Exhibit No. 10.5 to the registrant’s Form 10-Q Quarterly Report for the quarter ended July 31, 2005, File No. 1-</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8929).</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10.21†</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w w:val="99"/>
              </w:rPr>
              <w:t>Executive Employment Agreement with Steven M. Zaccagnini as of July 12, 2005 (incorporated by reference to</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Exhibit No. 10.6 to the registrant’s Form 10-Q Quarterly Report for the quarter ended July 31, 2005, File No. 1-</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8929).</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10.22†</w:t>
            </w:r>
          </w:p>
        </w:tc>
        <w:tc>
          <w:tcPr>
            <w:tcW w:w="9340" w:type="dxa"/>
            <w:vAlign w:val="bottom"/>
          </w:tcPr>
          <w:p>
            <w:pPr>
              <w:ind w:left="520"/>
              <w:spacing w:after="0"/>
              <w:rPr>
                <w:sz w:val="20"/>
                <w:szCs w:val="20"/>
                <w:color w:val="auto"/>
              </w:rPr>
            </w:pPr>
            <w:r>
              <w:rPr>
                <w:rFonts w:ascii="Arial" w:cs="Arial" w:eastAsia="Arial" w:hAnsi="Arial"/>
                <w:sz w:val="18"/>
                <w:szCs w:val="18"/>
                <w:color w:val="auto"/>
              </w:rPr>
              <w:t>Executive Employment Agreement with Linda S. Auwers as of September 20, 2005.</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10.23†</w:t>
            </w:r>
          </w:p>
        </w:tc>
        <w:tc>
          <w:tcPr>
            <w:tcW w:w="9340" w:type="dxa"/>
            <w:vAlign w:val="bottom"/>
          </w:tcPr>
          <w:p>
            <w:pPr>
              <w:ind w:left="520"/>
              <w:spacing w:after="0"/>
              <w:rPr>
                <w:sz w:val="20"/>
                <w:szCs w:val="20"/>
                <w:color w:val="auto"/>
              </w:rPr>
            </w:pPr>
            <w:r>
              <w:rPr>
                <w:rFonts w:ascii="Arial" w:cs="Arial" w:eastAsia="Arial" w:hAnsi="Arial"/>
                <w:sz w:val="18"/>
                <w:szCs w:val="18"/>
                <w:color w:val="auto"/>
              </w:rPr>
              <w:t>Form of Employment Agreement for Senior Vice President and Executives not otherwise listed.</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10.24†</w:t>
            </w:r>
          </w:p>
        </w:tc>
        <w:tc>
          <w:tcPr>
            <w:tcW w:w="9340" w:type="dxa"/>
            <w:vAlign w:val="bottom"/>
          </w:tcPr>
          <w:p>
            <w:pPr>
              <w:ind w:left="520"/>
              <w:spacing w:after="0"/>
              <w:rPr>
                <w:sz w:val="20"/>
                <w:szCs w:val="20"/>
                <w:color w:val="auto"/>
              </w:rPr>
            </w:pPr>
            <w:r>
              <w:rPr>
                <w:rFonts w:ascii="Arial" w:cs="Arial" w:eastAsia="Arial" w:hAnsi="Arial"/>
                <w:sz w:val="18"/>
                <w:szCs w:val="18"/>
                <w:color w:val="auto"/>
              </w:rPr>
              <w:t>Form of Employment Agreement for Vice President and Executives not otherwise listed.</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10.25†</w:t>
            </w:r>
          </w:p>
        </w:tc>
        <w:tc>
          <w:tcPr>
            <w:tcW w:w="9340" w:type="dxa"/>
            <w:vAlign w:val="bottom"/>
          </w:tcPr>
          <w:p>
            <w:pPr>
              <w:ind w:left="520"/>
              <w:spacing w:after="0"/>
              <w:rPr>
                <w:sz w:val="20"/>
                <w:szCs w:val="20"/>
                <w:color w:val="auto"/>
              </w:rPr>
            </w:pPr>
            <w:r>
              <w:rPr>
                <w:rFonts w:ascii="Arial" w:cs="Arial" w:eastAsia="Arial" w:hAnsi="Arial"/>
                <w:sz w:val="18"/>
                <w:szCs w:val="18"/>
                <w:color w:val="auto"/>
              </w:rPr>
              <w:t>Severance Agreement with Henrik C. Slipsager dated as of December 13, 2005.</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10.26†</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w w:val="99"/>
              </w:rPr>
              <w:t>Form of Severance Agreement with James P. McClure, George B. Sundby, Steven M. Zaccagnini and Linda S.</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Auwers dated as of December 13, 2005.</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10.27†</w:t>
            </w:r>
          </w:p>
        </w:tc>
        <w:tc>
          <w:tcPr>
            <w:tcW w:w="9340" w:type="dxa"/>
            <w:vAlign w:val="bottom"/>
          </w:tcPr>
          <w:p>
            <w:pPr>
              <w:ind w:left="520"/>
              <w:spacing w:after="0"/>
              <w:rPr>
                <w:sz w:val="20"/>
                <w:szCs w:val="20"/>
                <w:color w:val="auto"/>
              </w:rPr>
            </w:pPr>
            <w:r>
              <w:rPr>
                <w:rFonts w:ascii="Arial" w:cs="Arial" w:eastAsia="Arial" w:hAnsi="Arial"/>
                <w:sz w:val="18"/>
                <w:szCs w:val="18"/>
                <w:color w:val="auto"/>
              </w:rPr>
              <w:t>Description of 2006 Base Salary and Performance Incentive Program.</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10.28</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w w:val="99"/>
              </w:rPr>
              <w:t>Credit Agreement, dated as of May 25, 2005, among ABM Industries Incorporated, various financial institutions</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and Bank of America, N.A., as Administrative Agent (incorporated by reference to Exhibit No. 10.5 to the</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registrant’s Form 10-Q Quarterly Report for the quarter ended April 30, 2005, File No. 1-8929).</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21.1</w:t>
            </w:r>
          </w:p>
        </w:tc>
        <w:tc>
          <w:tcPr>
            <w:tcW w:w="9340" w:type="dxa"/>
            <w:vAlign w:val="bottom"/>
          </w:tcPr>
          <w:p>
            <w:pPr>
              <w:ind w:left="5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2060" w:type="dxa"/>
            <w:vAlign w:val="bottom"/>
            <w:gridSpan w:val="2"/>
          </w:tcPr>
          <w:p>
            <w:pPr>
              <w:ind w:left="1020"/>
              <w:spacing w:after="0"/>
              <w:rPr>
                <w:sz w:val="20"/>
                <w:szCs w:val="20"/>
                <w:color w:val="auto"/>
              </w:rPr>
            </w:pPr>
            <w:r>
              <w:rPr>
                <w:rFonts w:ascii="Arial" w:cs="Arial" w:eastAsia="Arial" w:hAnsi="Arial"/>
                <w:sz w:val="18"/>
                <w:szCs w:val="18"/>
                <w:color w:val="auto"/>
              </w:rPr>
              <w:t>23.1</w:t>
            </w:r>
          </w:p>
        </w:tc>
        <w:tc>
          <w:tcPr>
            <w:tcW w:w="9340" w:type="dxa"/>
            <w:vAlign w:val="bottom"/>
          </w:tcPr>
          <w:p>
            <w:pPr>
              <w:ind w:left="52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31.1</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Certification of Chief Executive Officer pursuant to Securities Exchange Act of 1934 Rule 13a-14(a) or 15d-</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14(a), as adopted pursuant to Section 302 of the Sarbanes-Oxley Act of 2002.</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31.2</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Certification of Chief Financial Officer pursuant to Securities Exchange Act of 1934 Rule 13a-14(a) or 15d-</w:t>
            </w:r>
          </w:p>
        </w:tc>
      </w:tr>
      <w:tr>
        <w:trPr>
          <w:trHeight w:val="203"/>
        </w:trPr>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14(a), as adopted pursuant to Section 302 of the Sarbanes-Oxley Act of 2002.</w:t>
            </w:r>
          </w:p>
        </w:tc>
      </w:tr>
      <w:tr>
        <w:trPr>
          <w:trHeight w:val="203"/>
        </w:trPr>
        <w:tc>
          <w:tcPr>
            <w:tcW w:w="206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32.1</w:t>
            </w:r>
          </w:p>
        </w:tc>
        <w:tc>
          <w:tcPr>
            <w:tcW w:w="9340" w:type="dxa"/>
            <w:vAlign w:val="bottom"/>
          </w:tcPr>
          <w:p>
            <w:pPr>
              <w:ind w:left="520"/>
              <w:spacing w:after="0" w:line="202" w:lineRule="exact"/>
              <w:rPr>
                <w:sz w:val="20"/>
                <w:szCs w:val="20"/>
                <w:color w:val="auto"/>
              </w:rPr>
            </w:pPr>
            <w:r>
              <w:rPr>
                <w:rFonts w:ascii="Arial" w:cs="Arial" w:eastAsia="Arial" w:hAnsi="Arial"/>
                <w:sz w:val="18"/>
                <w:szCs w:val="18"/>
                <w:color w:val="auto"/>
              </w:rPr>
              <w:t>Certifications pursuant to Securities Exchange Act of 1934 Rule 13a-14(b) or 15d-14(b) and 18 U.S.C.</w:t>
            </w:r>
          </w:p>
        </w:tc>
      </w:tr>
      <w:tr>
        <w:trPr>
          <w:trHeight w:val="217"/>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40" w:type="dxa"/>
            <w:vAlign w:val="bottom"/>
          </w:tcPr>
          <w:p>
            <w:pPr>
              <w:ind w:left="5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684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1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05"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EXHIBIT 10.4</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“TIME-VESTED” NON-QUALIFIED STOCK OPTION AGREEMENT</w:t>
      </w:r>
    </w:p>
    <w:p>
      <w:pPr>
        <w:spacing w:after="0" w:line="99" w:lineRule="exact"/>
        <w:rPr>
          <w:sz w:val="20"/>
          <w:szCs w:val="20"/>
          <w:color w:val="auto"/>
        </w:rPr>
      </w:pPr>
    </w:p>
    <w:p>
      <w:pPr>
        <w:ind w:left="260"/>
        <w:spacing w:after="0"/>
        <w:tabs>
          <w:tab w:leader="none" w:pos="4360" w:val="left"/>
          <w:tab w:leader="none" w:pos="5900" w:val="left"/>
        </w:tabs>
        <w:rPr>
          <w:sz w:val="20"/>
          <w:szCs w:val="20"/>
          <w:color w:val="auto"/>
        </w:rPr>
      </w:pPr>
      <w:r>
        <w:rPr>
          <w:rFonts w:ascii="Arial" w:cs="Arial" w:eastAsia="Arial" w:hAnsi="Arial"/>
          <w:sz w:val="18"/>
          <w:szCs w:val="18"/>
          <w:color w:val="auto"/>
        </w:rPr>
        <w:t>THIS AGREEMENT made and entered into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by and between ABM Industries Incorporated,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-15875</wp:posOffset>
            </wp:positionV>
            <wp:extent cx="158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75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-15875</wp:posOffset>
            </wp:positionV>
            <wp:extent cx="6350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color w:val="auto"/>
        </w:rPr>
        <w:t xml:space="preserve">corporation (the “Company”), and </w:t>
      </w:r>
      <w:r>
        <w:rPr>
          <w:rFonts w:ascii="Arial" w:cs="Arial" w:eastAsia="Arial" w:hAnsi="Arial"/>
          <w:sz w:val="18"/>
          <w:szCs w:val="18"/>
          <w:b w:val="1"/>
          <w:bCs w:val="1"/>
          <w:color w:val="auto"/>
        </w:rPr>
        <w:t>Employee Name,</w:t>
      </w:r>
      <w:r>
        <w:rPr>
          <w:rFonts w:ascii="Arial" w:cs="Arial" w:eastAsia="Arial" w:hAnsi="Arial"/>
          <w:sz w:val="18"/>
          <w:szCs w:val="18"/>
          <w:color w:val="auto"/>
        </w:rPr>
        <w:t xml:space="preserve"> an employee (the “Employee”) of the Company or of a subsidiary of the Company (hereinafter included within the term “Company”) within the meaning of Section 425(f) of the Internal Revenue Code of 1986, as amended (the “Code”),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p>
    <w:p>
      <w:pPr>
        <w:spacing w:after="0" w:line="104" w:lineRule="exact"/>
        <w:rPr>
          <w:sz w:val="20"/>
          <w:szCs w:val="20"/>
          <w:color w:val="auto"/>
        </w:rPr>
      </w:pPr>
    </w:p>
    <w:p>
      <w:pPr>
        <w:ind w:right="820" w:firstLine="250"/>
        <w:spacing w:after="0"/>
        <w:rPr>
          <w:sz w:val="20"/>
          <w:szCs w:val="20"/>
          <w:color w:val="auto"/>
        </w:rPr>
      </w:pPr>
      <w:r>
        <w:rPr>
          <w:rFonts w:ascii="Arial" w:cs="Arial" w:eastAsia="Arial" w:hAnsi="Arial"/>
          <w:sz w:val="18"/>
          <w:szCs w:val="18"/>
          <w:color w:val="auto"/>
        </w:rPr>
        <w:t>WHEREAS, the Company has adopted the “Time-Vested” Incentive Stock Option Plan (the “Plan”), providing for the granting to its employees of stock options relating to shares of its common stock (the “Common Stock”) and the administering of the Plan by the Compensation Committee of the Board of Directors (“Committee”); and</w:t>
      </w:r>
    </w:p>
    <w:p>
      <w:pPr>
        <w:spacing w:after="0" w:line="95" w:lineRule="exact"/>
        <w:rPr>
          <w:sz w:val="20"/>
          <w:szCs w:val="20"/>
          <w:color w:val="auto"/>
        </w:rPr>
      </w:pPr>
    </w:p>
    <w:p>
      <w:pPr>
        <w:ind w:right="20" w:firstLine="250"/>
        <w:spacing w:after="0" w:line="246" w:lineRule="auto"/>
        <w:rPr>
          <w:sz w:val="20"/>
          <w:szCs w:val="20"/>
          <w:color w:val="auto"/>
        </w:rPr>
      </w:pPr>
      <w:r>
        <w:rPr>
          <w:rFonts w:ascii="Arial" w:cs="Arial" w:eastAsia="Arial" w:hAnsi="Arial"/>
          <w:sz w:val="18"/>
          <w:szCs w:val="18"/>
          <w:color w:val="auto"/>
        </w:rPr>
        <w:t>WHEREAS, the Employee is an officer or key employee who is in a position to make an important contribution to the long-term performance of the Company;</w:t>
      </w:r>
    </w:p>
    <w:p>
      <w:pPr>
        <w:spacing w:after="0" w:line="89" w:lineRule="exact"/>
        <w:rPr>
          <w:sz w:val="20"/>
          <w:szCs w:val="20"/>
          <w:color w:val="auto"/>
        </w:rPr>
      </w:pPr>
    </w:p>
    <w:p>
      <w:pPr>
        <w:ind w:right="580" w:firstLine="250"/>
        <w:spacing w:after="0" w:line="246" w:lineRule="auto"/>
        <w:rPr>
          <w:sz w:val="20"/>
          <w:szCs w:val="20"/>
          <w:color w:val="auto"/>
        </w:rPr>
      </w:pPr>
      <w:r>
        <w:rPr>
          <w:rFonts w:ascii="Arial" w:cs="Arial" w:eastAsia="Arial" w:hAnsi="Arial"/>
          <w:sz w:val="18"/>
          <w:szCs w:val="18"/>
          <w:color w:val="auto"/>
        </w:rPr>
        <w:t>NOW, THEREFORE, in consideration of the foregoing and of the mutual covenants hereinafter set forth and other good and valuable consideration, the receipt and adequacy of which are hereby acknowledged, the parties hereto hereby agree as follows:</w:t>
      </w:r>
    </w:p>
    <w:p>
      <w:pPr>
        <w:spacing w:after="0" w:line="67" w:lineRule="exact"/>
        <w:rPr>
          <w:sz w:val="20"/>
          <w:szCs w:val="20"/>
          <w:color w:val="auto"/>
        </w:rPr>
      </w:pPr>
    </w:p>
    <w:p>
      <w:pPr>
        <w:ind w:firstLine="258"/>
        <w:spacing w:after="0" w:line="247" w:lineRule="auto"/>
        <w:tabs>
          <w:tab w:leader="none" w:pos="4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Company hereby grants to the Employee a non-qualified stock option to purchase </w:t>
      </w:r>
      <w:r>
        <w:rPr>
          <w:rFonts w:ascii="Arial" w:cs="Arial" w:eastAsia="Arial" w:hAnsi="Arial"/>
          <w:sz w:val="18"/>
          <w:szCs w:val="18"/>
          <w:b w:val="1"/>
          <w:bCs w:val="1"/>
          <w:color w:val="auto"/>
        </w:rPr>
        <w:t>XXX</w:t>
      </w:r>
      <w:r>
        <w:rPr>
          <w:rFonts w:ascii="Arial" w:cs="Arial" w:eastAsia="Arial" w:hAnsi="Arial"/>
          <w:sz w:val="18"/>
          <w:szCs w:val="18"/>
          <w:color w:val="auto"/>
        </w:rPr>
        <w:t xml:space="preserve"> shares of the Common Stock at the price set forth in Paragraph 2, on the terms and conditions hereinafter stated. In consideration of the grant of this option and the other rights which are being concurrently granted to him, the Employee hereby agrees to continue in the employment of the Company for a period of at least one year from the date of grant of this option.</w:t>
      </w:r>
    </w:p>
    <w:p>
      <w:pPr>
        <w:spacing w:after="0" w:line="66" w:lineRule="exact"/>
        <w:rPr>
          <w:rFonts w:ascii="Arial" w:cs="Arial" w:eastAsia="Arial" w:hAnsi="Arial"/>
          <w:sz w:val="18"/>
          <w:szCs w:val="18"/>
          <w:color w:val="auto"/>
        </w:rPr>
      </w:pPr>
    </w:p>
    <w:p>
      <w:pPr>
        <w:ind w:left="460" w:hanging="20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purchase price per share is </w:t>
      </w:r>
      <w:r>
        <w:rPr>
          <w:rFonts w:ascii="Arial" w:cs="Arial" w:eastAsia="Arial" w:hAnsi="Arial"/>
          <w:sz w:val="18"/>
          <w:szCs w:val="18"/>
          <w:b w:val="1"/>
          <w:bCs w:val="1"/>
          <w:color w:val="auto"/>
        </w:rPr>
        <w:t>$XXXX</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260"/>
              <w:spacing w:after="0"/>
              <w:rPr>
                <w:sz w:val="20"/>
                <w:szCs w:val="20"/>
                <w:color w:val="auto"/>
              </w:rPr>
            </w:pPr>
            <w:r>
              <w:rPr>
                <w:rFonts w:ascii="Arial" w:cs="Arial" w:eastAsia="Arial" w:hAnsi="Arial"/>
                <w:sz w:val="18"/>
                <w:szCs w:val="18"/>
                <w:color w:val="auto"/>
              </w:rPr>
              <w:t>3. This option may not be exercised in whole or in part until</w:t>
            </w:r>
          </w:p>
        </w:tc>
        <w:tc>
          <w:tcPr>
            <w:tcW w:w="1000" w:type="dxa"/>
            <w:vAlign w:val="bottom"/>
            <w:tcBorders>
              <w:bottom w:val="single" w:sz="8" w:color="auto"/>
            </w:tcBorders>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 On</w:t>
            </w:r>
          </w:p>
        </w:tc>
        <w:tc>
          <w:tcPr>
            <w:tcW w:w="1000" w:type="dxa"/>
            <w:vAlign w:val="bottom"/>
            <w:tcBorders>
              <w:bottom w:val="single" w:sz="8" w:color="auto"/>
            </w:tcBorders>
          </w:tcPr>
          <w:p>
            <w:pPr>
              <w:spacing w:after="0"/>
              <w:rPr>
                <w:sz w:val="17"/>
                <w:szCs w:val="17"/>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w w:val="99"/>
              </w:rPr>
              <w:t>, this option shall become exercisable with respect</w:t>
            </w:r>
          </w:p>
        </w:tc>
      </w:tr>
      <w:tr>
        <w:trPr>
          <w:trHeight w:val="183"/>
        </w:trPr>
        <w:tc>
          <w:tcPr>
            <w:tcW w:w="9360" w:type="dxa"/>
            <w:vAlign w:val="bottom"/>
            <w:gridSpan w:val="5"/>
          </w:tcPr>
          <w:p>
            <w:pPr>
              <w:spacing w:after="0" w:line="182" w:lineRule="exact"/>
              <w:rPr>
                <w:sz w:val="20"/>
                <w:szCs w:val="20"/>
                <w:color w:val="auto"/>
              </w:rPr>
            </w:pPr>
            <w:r>
              <w:rPr>
                <w:rFonts w:ascii="Arial" w:cs="Arial" w:eastAsia="Arial" w:hAnsi="Arial"/>
                <w:sz w:val="18"/>
                <w:szCs w:val="18"/>
                <w:color w:val="auto"/>
              </w:rPr>
              <w:t>to twenty (20) percent of the number of shares stated in Paragraph 1. Upon the expiration of twelve (12) months from</w:t>
            </w:r>
          </w:p>
        </w:tc>
        <w:tc>
          <w:tcPr>
            <w:tcW w:w="1000" w:type="dxa"/>
            <w:vAlign w:val="bottom"/>
            <w:tcBorders>
              <w:bottom w:val="single" w:sz="8" w:color="auto"/>
            </w:tcBorders>
          </w:tcPr>
          <w:p>
            <w:pPr>
              <w:spacing w:after="0"/>
              <w:rPr>
                <w:sz w:val="15"/>
                <w:szCs w:val="15"/>
                <w:color w:val="auto"/>
              </w:rPr>
            </w:pP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this option</w:t>
            </w:r>
          </w:p>
        </w:tc>
      </w:tr>
    </w:tbl>
    <w:p>
      <w:pPr>
        <w:spacing w:after="0" w:line="1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may be exercised to the extent of twenty (20) percent of the shares subject to the option plus the shares as to which the right to exercise the option has previously accrued but has not been exercised (for a total of 40%). Upon the expiration of the next twelve (12) month period thereafter, this option may be exercised to the extent of twenty (20) percent of the shares subject to the option plus the shares as to which the right to exercise the option has previously accrued but has not been exercised (for a total of 60%). Upon the expiration of the next twelve</w:t>
      </w:r>
    </w:p>
    <w:p>
      <w:pPr>
        <w:ind w:left="380" w:hanging="372"/>
        <w:spacing w:after="0" w:line="238"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month period thereafter, this option may be exercised to the extent of twenty (20) percent of the shares subject to the option plus the</w:t>
      </w:r>
    </w:p>
    <w:p>
      <w:pPr>
        <w:ind w:right="140"/>
        <w:spacing w:after="0" w:line="246" w:lineRule="auto"/>
        <w:rPr>
          <w:rFonts w:ascii="Arial" w:cs="Arial" w:eastAsia="Arial" w:hAnsi="Arial"/>
          <w:sz w:val="18"/>
          <w:szCs w:val="18"/>
          <w:color w:val="auto"/>
        </w:rPr>
      </w:pPr>
      <w:r>
        <w:rPr>
          <w:rFonts w:ascii="Arial" w:cs="Arial" w:eastAsia="Arial" w:hAnsi="Arial"/>
          <w:sz w:val="18"/>
          <w:szCs w:val="18"/>
          <w:color w:val="auto"/>
        </w:rPr>
        <w:t>shares as to which the right to exercise the option has previously accrued but has not been exercised (for a total of 80%). Upon the expiration of the next twelve (12) month period thereafter, this option will be fully exercisable.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Notwithstanding any other provision of this Agreement, this option is not exercisable after the expiration of ten years from the date hereof.</w:t>
      </w:r>
    </w:p>
    <w:p>
      <w:pPr>
        <w:spacing w:after="0" w:line="104" w:lineRule="exact"/>
        <w:rPr>
          <w:sz w:val="20"/>
          <w:szCs w:val="20"/>
          <w:color w:val="auto"/>
        </w:rPr>
      </w:pPr>
    </w:p>
    <w:p>
      <w:pPr>
        <w:ind w:right="60" w:firstLine="258"/>
        <w:spacing w:after="0" w:line="239" w:lineRule="auto"/>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of Common Stock covered hereby and the price per share thereof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94"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If the Company shall be the surviving corporation in any merger or consolidation, this option (to the extent that it is still outstanding) shall pertain (unless the Committee determines the provisions of the following sentence are applicable to such merger or consolidation) to and apply to the securities of which a holder of the same number of shares of Common Stock that are subject to the option would have been entitled. A dissolution or liquidation of the Company, a merger or consolidation in which the Company is not the surviving corporation or a “change in control” of the Company (as defined below) (each a “Terminating Transaction”) shall cause this option to terminate, unless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84" w:name="page85"/>
    <w:bookmarkEnd w:id="84"/>
    <w:p>
      <w:pPr>
        <w:ind w:right="40"/>
        <w:spacing w:after="0" w:line="237" w:lineRule="auto"/>
        <w:rPr>
          <w:sz w:val="20"/>
          <w:szCs w:val="20"/>
          <w:color w:val="auto"/>
        </w:rPr>
      </w:pPr>
      <w:r>
        <w:rPr>
          <w:rFonts w:ascii="Arial" w:cs="Arial" w:eastAsia="Arial" w:hAnsi="Arial"/>
          <w:sz w:val="18"/>
          <w:szCs w:val="18"/>
          <w:color w:val="auto"/>
        </w:rPr>
        <w:t>agreement of merger or consolidation or any agreement relating to a dissolution liquidation or change in control shall otherwise provide, provided that the Employee in the event of a Terminating Transaction which will cause his option to terminate shall have the right immediately prior to such Terminating Transaction to exercise this option in whole or in part subject to every limitation on exercisability provided herein other than the vesting provision set forth in Paragraph 3. For purposes hereof, a “change in control” shall be deemed to have occurred when (i) a person or group of persons acquires fifty percent (50%) or more of the Company’s voting securities, and (ii) the Board of Directors of the Company or the Committee shall have determined that such a “change in control” has occurred or the criteria for a “change in control,” as established by the Board or Committee has been satisfied.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foregoing adjustments shall be made by the Committee, whose determination in that respect shall be final, binding and conclusive.</w:t>
      </w:r>
    </w:p>
    <w:p>
      <w:pPr>
        <w:spacing w:after="0" w:line="104" w:lineRule="exact"/>
        <w:rPr>
          <w:sz w:val="20"/>
          <w:szCs w:val="20"/>
          <w:color w:val="auto"/>
        </w:rPr>
      </w:pPr>
    </w:p>
    <w:p>
      <w:pPr>
        <w:ind w:firstLine="250"/>
        <w:spacing w:after="0" w:line="235" w:lineRule="auto"/>
        <w:rPr>
          <w:sz w:val="20"/>
          <w:szCs w:val="20"/>
          <w:color w:val="auto"/>
        </w:rPr>
      </w:pPr>
      <w:r>
        <w:rPr>
          <w:rFonts w:ascii="Arial" w:cs="Arial" w:eastAsia="Arial" w:hAnsi="Arial"/>
          <w:sz w:val="18"/>
          <w:szCs w:val="18"/>
          <w:color w:val="auto"/>
        </w:rPr>
        <w:t>Notwithstanding any provision of this Agreement or any other agreement to the contrary, if any amount or benefit to be paid or provided under this Agreement or any other agreement would be an Excess Parachute Payment,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Employee’s receiving an After-Tax Amount less than 90% of the After-Tax Amount under this agreement or under any other agreement without regard to this clause. Whether requested by the Employee or the Company, the determination of whether any reduction in such payments or benefits to be provided under this Agreement or otherwise is required pursuant to the preceding sentence, will be made at the expense of the Company by the Company’s independent accountants or benefits consultant. The fact that the Employee’s right to payments or benefits may be reduced by reason of the limitations contained in this paragraph will not of itself limit or otherwise affect any other rights of the Employee pursuant to this Agreement or any other agreement. In the event that any payment or benefit intended to be provided is required to be reduced pursuant to this paragraph, the Employee will be entitled to designate the payments and/or benefits to be so reduced in order to give effect to this paragraph. The Company will provide the Employee with all information reasonably requested by the Employee to permit the Employee to make such designation. In the event that the Employee fails to make such designation within 10 business days after receiving notice from the Company of a reduction under this paragraph, the Company may effect such reduction in any manner it deems appropriate. The term “Excess Parachute Payment” as used in this Agreement means a payment that creates an obligation for Employee to pay excise taxes under Section 280G of the Internal Revenue Code or any successor provision thereto and the term “After-Tax Amount” means the amount to be received by Employee determined on an after-tax basis taking into account the excise tax imposed pursuant to Section 4999 of the Internal Revenue Code, or any successor provision thereto, any tax imposed by any comparable provision of state law and any applicable federal, state and local income and employment taxes.</w:t>
      </w:r>
    </w:p>
    <w:p>
      <w:pPr>
        <w:spacing w:after="0" w:line="106" w:lineRule="exact"/>
        <w:rPr>
          <w:sz w:val="20"/>
          <w:szCs w:val="20"/>
          <w:color w:val="auto"/>
        </w:rPr>
      </w:pPr>
    </w:p>
    <w:p>
      <w:pPr>
        <w:ind w:right="60" w:firstLine="247"/>
        <w:spacing w:after="0"/>
        <w:rPr>
          <w:sz w:val="20"/>
          <w:szCs w:val="20"/>
          <w:color w:val="auto"/>
        </w:rPr>
      </w:pPr>
      <w:r>
        <w:rPr>
          <w:rFonts w:ascii="Arial" w:cs="Arial" w:eastAsia="Arial" w:hAnsi="Arial"/>
          <w:sz w:val="18"/>
          <w:szCs w:val="18"/>
          <w:color w:val="auto"/>
        </w:rPr>
        <w:t>The grant of the options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95" w:lineRule="exact"/>
        <w:rPr>
          <w:sz w:val="20"/>
          <w:szCs w:val="20"/>
          <w:color w:val="auto"/>
        </w:rPr>
      </w:pPr>
    </w:p>
    <w:p>
      <w:pPr>
        <w:ind w:left="460" w:hanging="20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partial exercise of this option will be permitted for fewer than twenty-five shares.</w:t>
      </w:r>
    </w:p>
    <w:p>
      <w:pPr>
        <w:spacing w:after="0" w:line="103" w:lineRule="exact"/>
        <w:rPr>
          <w:rFonts w:ascii="Arial" w:cs="Arial" w:eastAsia="Arial" w:hAnsi="Arial"/>
          <w:sz w:val="18"/>
          <w:szCs w:val="18"/>
          <w:color w:val="auto"/>
        </w:rPr>
      </w:pPr>
    </w:p>
    <w:p>
      <w:pPr>
        <w:ind w:right="740" w:firstLine="258"/>
        <w:spacing w:after="0" w:line="246"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termination of the Employee’s employment for any reason other than his death or disability, this option may not be exercised after three months after the date he ceases to be an employee of the Company.</w:t>
      </w:r>
    </w:p>
    <w:p>
      <w:pPr>
        <w:spacing w:after="0" w:line="88" w:lineRule="exact"/>
        <w:rPr>
          <w:rFonts w:ascii="Arial" w:cs="Arial" w:eastAsia="Arial" w:hAnsi="Arial"/>
          <w:sz w:val="18"/>
          <w:szCs w:val="18"/>
          <w:color w:val="auto"/>
        </w:rPr>
      </w:pPr>
    </w:p>
    <w:p>
      <w:pPr>
        <w:ind w:right="120" w:firstLine="258"/>
        <w:spacing w:after="0" w:line="246" w:lineRule="auto"/>
        <w:tabs>
          <w:tab w:leader="none" w:pos="4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option shall be exercisable during the Employee’s lifetime only by him and shall be nontransferable by the Employee otherwise than by will or the laws of descent and distribution.</w:t>
      </w:r>
    </w:p>
    <w:p>
      <w:pPr>
        <w:spacing w:after="0" w:line="88" w:lineRule="exact"/>
        <w:rPr>
          <w:rFonts w:ascii="Arial" w:cs="Arial" w:eastAsia="Arial" w:hAnsi="Arial"/>
          <w:sz w:val="18"/>
          <w:szCs w:val="18"/>
          <w:color w:val="auto"/>
        </w:rPr>
      </w:pPr>
    </w:p>
    <w:p>
      <w:pPr>
        <w:ind w:right="60" w:firstLine="258"/>
        <w:spacing w:after="0"/>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the Employee ceases to be employed by the Company on account of his permanent and total disability within the meaning of Section 22(e)(3) of the Code (as determined by the Committee) this option may not be exercised after one year after cessation of employment due to such disability.</w:t>
      </w:r>
    </w:p>
    <w:p>
      <w:pPr>
        <w:spacing w:after="0" w:line="94" w:lineRule="exact"/>
        <w:rPr>
          <w:rFonts w:ascii="Arial" w:cs="Arial" w:eastAsia="Arial" w:hAnsi="Arial"/>
          <w:sz w:val="18"/>
          <w:szCs w:val="18"/>
          <w:color w:val="auto"/>
        </w:rPr>
      </w:pPr>
    </w:p>
    <w:p>
      <w:pPr>
        <w:ind w:right="60" w:firstLine="258"/>
        <w:spacing w:after="0" w:line="239"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the Employee’s death while in the employ of the Company, or during the three-month period following termination of employment during which the Employee is permitted to exercise this option pursuant to Paragraph 7, this option may not be exercised after the date one year after the Employee’s death. During such one-year period, this option may be exercised by the executor or administrator of the Employee’s estate or any person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5" w:name="page86"/>
    <w:bookmarkEnd w:id="85"/>
    <w:p>
      <w:pPr>
        <w:spacing w:after="0" w:line="234" w:lineRule="auto"/>
        <w:rPr>
          <w:sz w:val="20"/>
          <w:szCs w:val="20"/>
          <w:color w:val="auto"/>
        </w:rPr>
      </w:pPr>
      <w:r>
        <w:rPr>
          <w:rFonts w:ascii="Arial" w:cs="Arial" w:eastAsia="Arial" w:hAnsi="Arial"/>
          <w:sz w:val="18"/>
          <w:szCs w:val="18"/>
          <w:color w:val="auto"/>
        </w:rPr>
        <w:t>shall have acquired the option from the Employee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ten percent of the additional number of shares for which he would have been entitled to exercise it during the balance of the option period, had he survived and remained in the employ of the Company. Any such transferee exercising this option must furnish the Company upon request of the Committee (a) written notice of his status as transferee, (b) evidence satisfactory to the Company to establish the validity of the transfer of the option in compliance with any laws or regulations pertaining to said transfer, and</w:t>
      </w:r>
    </w:p>
    <w:p>
      <w:pPr>
        <w:spacing w:after="0" w:line="5"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written acceptance of the terms and conditions of the option as prescribed in this Agreement.</w:t>
      </w:r>
    </w:p>
    <w:p>
      <w:pPr>
        <w:spacing w:after="0" w:line="103" w:lineRule="exact"/>
        <w:rPr>
          <w:rFonts w:ascii="Arial" w:cs="Arial" w:eastAsia="Arial" w:hAnsi="Arial"/>
          <w:sz w:val="18"/>
          <w:szCs w:val="18"/>
          <w:color w:val="auto"/>
        </w:rPr>
      </w:pPr>
    </w:p>
    <w:p>
      <w:pPr>
        <w:ind w:right="60" w:firstLine="258"/>
        <w:spacing w:after="0" w:line="239" w:lineRule="auto"/>
        <w:tabs>
          <w:tab w:leader="none" w:pos="5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option may be exercised by the person then entitled to do so as to any share which may then be purchased by giving written notice of exercise to the Company, specifying the number of full shares to be purchased and accompanied by full payment of the purchase price thereof and the amount of any income tax the Company is required by law to withhold by reason of such exercise. The purchase price shall be payable in cash.</w:t>
      </w:r>
    </w:p>
    <w:p>
      <w:pPr>
        <w:spacing w:after="0" w:line="93" w:lineRule="exact"/>
        <w:rPr>
          <w:rFonts w:ascii="Arial" w:cs="Arial" w:eastAsia="Arial" w:hAnsi="Arial"/>
          <w:sz w:val="18"/>
          <w:szCs w:val="18"/>
          <w:color w:val="auto"/>
        </w:rPr>
      </w:pPr>
    </w:p>
    <w:p>
      <w:pPr>
        <w:ind w:right="260" w:firstLine="258"/>
        <w:spacing w:after="0"/>
        <w:tabs>
          <w:tab w:leader="none" w:pos="5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the Employee nor any person claiming under or through him shall be or have any of the rights or privileges of a stockholder of the Company in respect of any of the shares issuable upon the exercise of the option until the date of receipt of payment (including any amounts required by income tax withholding requirements) by the Company.</w:t>
      </w:r>
    </w:p>
    <w:p>
      <w:pPr>
        <w:spacing w:after="0" w:line="94" w:lineRule="exact"/>
        <w:rPr>
          <w:rFonts w:ascii="Arial" w:cs="Arial" w:eastAsia="Arial" w:hAnsi="Arial"/>
          <w:sz w:val="18"/>
          <w:szCs w:val="18"/>
          <w:color w:val="auto"/>
        </w:rPr>
      </w:pPr>
    </w:p>
    <w:p>
      <w:pPr>
        <w:ind w:right="80" w:firstLine="258"/>
        <w:spacing w:after="0" w:line="237" w:lineRule="auto"/>
        <w:tabs>
          <w:tab w:leader="none" w:pos="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notice to be given to the Company under the terms of this Agreement shall be addressed to ABM Industries Incorporated, in care of its Corporate Secretary, at 160 Pacific Avenue, Suite 222, San Francisco, California 94111, or at such other address as the Company may hereafter designate in writing. Any notice to be given to the Employee shall be addressed to the Employee at the address set forth beneath his signature hereto, or at any such other address as the Employee may hereafter designate in writing. Any such notice shall be deemed to have been duly given if and when enclosed in a properly sealed envelope, addressed as aforesaid, registered and deposited, postage and registry fee prepaid, in a post office or branch post office regularly maintained by the United States Government.</w:t>
      </w:r>
    </w:p>
    <w:p>
      <w:pPr>
        <w:spacing w:after="0" w:line="97" w:lineRule="exact"/>
        <w:rPr>
          <w:rFonts w:ascii="Arial" w:cs="Arial" w:eastAsia="Arial" w:hAnsi="Arial"/>
          <w:sz w:val="18"/>
          <w:szCs w:val="18"/>
          <w:color w:val="auto"/>
        </w:rPr>
      </w:pPr>
    </w:p>
    <w:p>
      <w:pPr>
        <w:ind w:right="200" w:firstLine="258"/>
        <w:spacing w:after="0" w:line="237" w:lineRule="auto"/>
        <w:tabs>
          <w:tab w:leader="none" w:pos="5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Except as otherwise provided herein, the option herein granted and the rights and privileges conferred hereby shall not be transferred, assigned, pledged or hypothecated in any way (whether by operation of law or otherwise) and shall not be subject to sale under execution, attachment or similar process upon the rights and privileges conferred hereby. Upon any attempt to transfer, assign, pledge or otherwise dispose of said option, or of any right or privilege conferred hereby, contrary to the provisions hereof, or upon any attempted sale under any execution, attachment or similar process upon the rights and privileges conferred hereby, said option and the rights and privileges conferred hereby shall immediately become null and void.</w:t>
      </w:r>
    </w:p>
    <w:p>
      <w:pPr>
        <w:spacing w:after="0" w:line="97" w:lineRule="exact"/>
        <w:rPr>
          <w:rFonts w:ascii="Arial" w:cs="Arial" w:eastAsia="Arial" w:hAnsi="Arial"/>
          <w:sz w:val="18"/>
          <w:szCs w:val="18"/>
          <w:color w:val="auto"/>
        </w:rPr>
      </w:pPr>
    </w:p>
    <w:p>
      <w:pPr>
        <w:ind w:right="220" w:firstLine="258"/>
        <w:spacing w:after="0" w:line="246" w:lineRule="auto"/>
        <w:tabs>
          <w:tab w:leader="none" w:pos="5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the limitations on transferability contained herein, this Agreement shall be binding upon and inure to the benefit of the heirs, legal representatives, successors and assigns of the parties hereto.</w:t>
      </w:r>
    </w:p>
    <w:p>
      <w:pPr>
        <w:spacing w:after="0" w:line="88" w:lineRule="exact"/>
        <w:rPr>
          <w:rFonts w:ascii="Arial" w:cs="Arial" w:eastAsia="Arial" w:hAnsi="Arial"/>
          <w:sz w:val="18"/>
          <w:szCs w:val="18"/>
          <w:color w:val="auto"/>
        </w:rPr>
      </w:pPr>
    </w:p>
    <w:p>
      <w:pPr>
        <w:ind w:right="20" w:firstLine="258"/>
        <w:spacing w:after="0" w:line="237" w:lineRule="auto"/>
        <w:tabs>
          <w:tab w:leader="none" w:pos="5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rights awarded hereby are subject to the requirement that, if at any time the Committee shall determine, in its sole discretion, that the listing, registration or qualification of the shares of Common Stock subject to such rights upon any securities exchange or under any state or Federal law, or the consent or approval of any government regulatory body, is necessary or desirable as a condition of, or in connection with, the granting of such rights or issuance of shares in connection therewith, such rights may not be exercised in whole or in part unless such listing, registration, qualification, consent or approval shall have been effected or obtained free of any conditions not acceptable to the Committee.</w:t>
      </w:r>
    </w:p>
    <w:p>
      <w:pPr>
        <w:spacing w:after="0" w:line="97" w:lineRule="exact"/>
        <w:rPr>
          <w:rFonts w:ascii="Arial" w:cs="Arial" w:eastAsia="Arial" w:hAnsi="Arial"/>
          <w:sz w:val="18"/>
          <w:szCs w:val="18"/>
          <w:color w:val="auto"/>
        </w:rPr>
      </w:pPr>
    </w:p>
    <w:p>
      <w:pPr>
        <w:ind w:right="280" w:firstLine="258"/>
        <w:spacing w:after="0" w:line="246" w:lineRule="auto"/>
        <w:tabs>
          <w:tab w:leader="none" w:pos="5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Employee agrees to notify in writing the Corporate Secretary of the Company of his intention, if any, to terminate his employment within ten days after said intention is formed.</w:t>
      </w:r>
    </w:p>
    <w:p>
      <w:pPr>
        <w:spacing w:after="0" w:line="88" w:lineRule="exact"/>
        <w:rPr>
          <w:rFonts w:ascii="Arial" w:cs="Arial" w:eastAsia="Arial" w:hAnsi="Arial"/>
          <w:sz w:val="18"/>
          <w:szCs w:val="18"/>
          <w:color w:val="auto"/>
        </w:rPr>
      </w:pPr>
    </w:p>
    <w:p>
      <w:pPr>
        <w:jc w:val="both"/>
        <w:ind w:right="40" w:firstLine="258"/>
        <w:spacing w:after="0" w:line="239" w:lineRule="auto"/>
        <w:tabs>
          <w:tab w:leader="none" w:pos="5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any employment contract with the Employee, the terms of employment of the Employee shall be determined from time to time by the Company or the subsidiary employing the Employee, as the case may be, and the Company, or the subsidiary employing the Employee, as the case may be, shall have the right, which is hereby expressly reserved, to terminate the Employee or change the terms of the employment at any time for any reason whatsoever, with or without good cause.</w:t>
      </w:r>
    </w:p>
    <w:p>
      <w:pPr>
        <w:spacing w:after="0" w:line="93" w:lineRule="exact"/>
        <w:rPr>
          <w:rFonts w:ascii="Arial" w:cs="Arial" w:eastAsia="Arial" w:hAnsi="Arial"/>
          <w:sz w:val="18"/>
          <w:szCs w:val="18"/>
          <w:color w:val="auto"/>
        </w:rPr>
      </w:pPr>
    </w:p>
    <w:p>
      <w:pPr>
        <w:ind w:right="160" w:firstLine="258"/>
        <w:spacing w:after="0" w:line="246" w:lineRule="auto"/>
        <w:tabs>
          <w:tab w:leader="none" w:pos="5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Whenever shares of Common Stock are to be issued to the Employee in satisfaction of the rights conferred hereby, the Company shall have the right to require the Employee to remit to the Company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sufficient to satisfy federal, state and local withholding tax requirements prior to the delivery of any certificate or certificates for such shares.</w:t>
      </w:r>
    </w:p>
    <w:p>
      <w:pPr>
        <w:spacing w:after="0" w:line="104" w:lineRule="exact"/>
        <w:rPr>
          <w:sz w:val="20"/>
          <w:szCs w:val="20"/>
          <w:color w:val="auto"/>
        </w:rPr>
      </w:pPr>
    </w:p>
    <w:p>
      <w:pPr>
        <w:ind w:firstLine="258"/>
        <w:spacing w:after="0" w:line="238" w:lineRule="auto"/>
        <w:tabs>
          <w:tab w:leader="none" w:pos="5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in good faith shall be final and binding upon Employee, the Company and all other interested persons. No member of the Committee shall be personally liable for any action, determination or interpretation made in good faith with respect to the Plan or this Agreement.</w:t>
      </w:r>
    </w:p>
    <w:p>
      <w:pPr>
        <w:spacing w:after="0" w:line="94" w:lineRule="exact"/>
        <w:rPr>
          <w:rFonts w:ascii="Arial" w:cs="Arial" w:eastAsia="Arial" w:hAnsi="Arial"/>
          <w:sz w:val="18"/>
          <w:szCs w:val="18"/>
          <w:color w:val="auto"/>
        </w:rPr>
      </w:pPr>
    </w:p>
    <w:p>
      <w:pPr>
        <w:ind w:right="220" w:firstLine="258"/>
        <w:spacing w:after="0" w:line="246" w:lineRule="auto"/>
        <w:tabs>
          <w:tab w:leader="none" w:pos="5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that any provision in this Agreement shall be invalid or unenforceable, such provision shall be severable from, and such invalidity or unenforceability shall not be construed to have any effect on the remaining provisions of this Agreement.</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HEREOF, the parties hereto have executed the Agreement, in duplicate, the day and year first above written.</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-1905</wp:posOffset>
            </wp:positionV>
            <wp:extent cx="33020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Henrik C. Slipsager</w:t>
      </w: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-1905</wp:posOffset>
            </wp:positionV>
            <wp:extent cx="33020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(Employee)</w:t>
      </w:r>
    </w:p>
    <w:p>
      <w:pPr>
        <w:sectPr>
          <w:pgSz w:w="11900" w:h="16838" w:orient="portrait"/>
          <w:cols w:equalWidth="0" w:num="1">
            <w:col w:w="11260"/>
          </w:cols>
          <w:pgMar w:left="240" w:top="949"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EXHIBIT 10.6</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ABM INDUSTRIES INCORPORATED</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“PRICE-VESTED” PERFORMANCE STOCK OPTION PLAN</w:t>
      </w:r>
    </w:p>
    <w:p>
      <w:pPr>
        <w:jc w:val="center"/>
        <w:ind w:right="-59"/>
        <w:spacing w:after="0"/>
        <w:rPr>
          <w:sz w:val="20"/>
          <w:szCs w:val="20"/>
          <w:color w:val="auto"/>
        </w:rPr>
      </w:pPr>
      <w:r>
        <w:rPr>
          <w:rFonts w:ascii="Arial" w:cs="Arial" w:eastAsia="Arial" w:hAnsi="Arial"/>
          <w:sz w:val="18"/>
          <w:szCs w:val="18"/>
          <w:color w:val="auto"/>
        </w:rPr>
        <w:t>STOCK OPTION AGREEMENT</w:t>
      </w:r>
    </w:p>
    <w:p>
      <w:pPr>
        <w:spacing w:after="0" w:line="82"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 xml:space="preserve">THIS AGREEMENT (“Agreement”) dated as of the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between ABM Industries Incorporated, a Delaware corporation (the “Company”), and </w:t>
      </w:r>
      <w:r>
        <w:rPr>
          <w:rFonts w:ascii="Arial" w:cs="Arial" w:eastAsia="Arial" w:hAnsi="Arial"/>
          <w:sz w:val="18"/>
          <w:szCs w:val="18"/>
          <w:b w:val="1"/>
          <w:bCs w:val="1"/>
          <w:color w:val="auto"/>
        </w:rPr>
        <w:t>Employee Name</w:t>
      </w:r>
      <w:r>
        <w:rPr>
          <w:rFonts w:ascii="Arial" w:cs="Arial" w:eastAsia="Arial" w:hAnsi="Arial"/>
          <w:sz w:val="18"/>
          <w:szCs w:val="18"/>
          <w:color w:val="auto"/>
        </w:rPr>
        <w:t xml:space="preserve"> (the “Optionee”).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the ABM Industries Incorporated “Price-Vested” Performance Stock Option Plan (the “Plan”). The Plan is made a part hereof with the same effect as if set forth in this Agreement. All capitalized terms that are used herein and not otherwise defined shall have the meanings set forth in the Plan.</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consideration of the mutual promises and covenants made herein and the mutual benefits to be derived here from, the parties hereto agree as follows:</w:t>
      </w:r>
    </w:p>
    <w:p>
      <w:pPr>
        <w:spacing w:after="0" w:line="89"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 of Options.</w:t>
      </w:r>
    </w:p>
    <w:p>
      <w:pPr>
        <w:spacing w:after="0" w:line="117" w:lineRule="exact"/>
        <w:rPr>
          <w:rFonts w:ascii="Arial" w:cs="Arial" w:eastAsia="Arial" w:hAnsi="Arial"/>
          <w:sz w:val="18"/>
          <w:szCs w:val="18"/>
          <w:color w:val="auto"/>
        </w:rPr>
      </w:pPr>
    </w:p>
    <w:p>
      <w:pPr>
        <w:ind w:left="280" w:right="100"/>
        <w:spacing w:after="0" w:line="246" w:lineRule="auto"/>
        <w:rPr>
          <w:rFonts w:ascii="Arial" w:cs="Arial" w:eastAsia="Arial" w:hAnsi="Arial"/>
          <w:sz w:val="18"/>
          <w:szCs w:val="18"/>
          <w:color w:val="auto"/>
        </w:rPr>
      </w:pPr>
      <w:r>
        <w:rPr>
          <w:rFonts w:ascii="Arial" w:cs="Arial" w:eastAsia="Arial" w:hAnsi="Arial"/>
          <w:sz w:val="18"/>
          <w:szCs w:val="18"/>
          <w:color w:val="auto"/>
        </w:rPr>
        <w:t>Subject to the provisions of this Agreement and to the Plan, the Company hereby grants to the Optionee the right and option (the “Option”) to purchase:</w:t>
      </w:r>
    </w:p>
    <w:p>
      <w:pPr>
        <w:spacing w:after="0" w:line="66" w:lineRule="exact"/>
        <w:rPr>
          <w:rFonts w:ascii="Arial" w:cs="Arial" w:eastAsia="Arial" w:hAnsi="Arial"/>
          <w:sz w:val="18"/>
          <w:szCs w:val="18"/>
          <w:color w:val="auto"/>
        </w:rPr>
      </w:pPr>
    </w:p>
    <w:p>
      <w:pPr>
        <w:ind w:left="660" w:right="560" w:hanging="436"/>
        <w:spacing w:after="0" w:line="271"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(“Common Stock”) of the Company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___</w:t>
      </w:r>
      <w:r>
        <w:rPr>
          <w:rFonts w:ascii="Arial" w:cs="Arial" w:eastAsia="Arial" w:hAnsi="Arial"/>
          <w:sz w:val="18"/>
          <w:szCs w:val="18"/>
          <w:color w:val="auto"/>
        </w:rPr>
        <w:t>per share,</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w:t>
      </w:r>
    </w:p>
    <w:p>
      <w:pPr>
        <w:spacing w:after="0" w:line="125"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Exercisability of Options.</w:t>
      </w:r>
    </w:p>
    <w:p>
      <w:pPr>
        <w:spacing w:after="0" w:line="103" w:lineRule="exact"/>
        <w:rPr>
          <w:rFonts w:ascii="Arial" w:cs="Arial" w:eastAsia="Arial" w:hAnsi="Arial"/>
          <w:sz w:val="18"/>
          <w:szCs w:val="18"/>
          <w:color w:val="auto"/>
        </w:rPr>
      </w:pPr>
    </w:p>
    <w:p>
      <w:pPr>
        <w:ind w:left="660" w:hanging="436"/>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unvested and/or expired Option may be exercised, and</w:t>
      </w:r>
    </w:p>
    <w:p>
      <w:pPr>
        <w:spacing w:after="0" w:line="117" w:lineRule="exact"/>
        <w:rPr>
          <w:rFonts w:ascii="Arial" w:cs="Arial" w:eastAsia="Arial" w:hAnsi="Arial"/>
          <w:sz w:val="18"/>
          <w:szCs w:val="18"/>
          <w:color w:val="auto"/>
        </w:rPr>
      </w:pPr>
    </w:p>
    <w:p>
      <w:pPr>
        <w:ind w:left="660" w:right="560" w:hanging="436"/>
        <w:spacing w:after="0" w:line="246"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unexpired vested Option may be exercised in whole or in part at the times and in the manner set forth in the Plan; provided, however, that an unexpired vested Option may not be exercised:</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before the first (1</w:t>
      </w:r>
      <w:r>
        <w:rPr>
          <w:rFonts w:ascii="Arial" w:cs="Arial" w:eastAsia="Arial" w:hAnsi="Arial"/>
          <w:sz w:val="15"/>
          <w:szCs w:val="15"/>
          <w:color w:val="auto"/>
        </w:rPr>
        <w:t>st</w:t>
      </w:r>
      <w:r>
        <w:rPr>
          <w:rFonts w:ascii="Arial" w:cs="Arial" w:eastAsia="Arial" w:hAnsi="Arial"/>
          <w:sz w:val="18"/>
          <w:szCs w:val="18"/>
          <w:color w:val="auto"/>
        </w:rPr>
        <w:t>) anniversary of its date of grant,</w:t>
      </w:r>
    </w:p>
    <w:p>
      <w:pPr>
        <w:spacing w:after="0" w:line="119" w:lineRule="exact"/>
        <w:rPr>
          <w:rFonts w:ascii="Arial" w:cs="Arial" w:eastAsia="Arial" w:hAnsi="Arial"/>
          <w:sz w:val="18"/>
          <w:szCs w:val="18"/>
          <w:color w:val="auto"/>
        </w:rPr>
      </w:pPr>
    </w:p>
    <w:p>
      <w:pPr>
        <w:ind w:left="1120" w:right="540" w:hanging="437"/>
        <w:spacing w:after="0" w:line="246" w:lineRule="auto"/>
        <w:tabs>
          <w:tab w:leader="none" w:pos="11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at any one time as to fewer than 100 shares, or such number of shares as to which such Option is then exercisable if such number of shares is less than 100,</w:t>
      </w:r>
    </w:p>
    <w:p>
      <w:pPr>
        <w:spacing w:after="0" w:line="99" w:lineRule="exact"/>
        <w:rPr>
          <w:rFonts w:ascii="Arial" w:cs="Arial" w:eastAsia="Arial" w:hAnsi="Arial"/>
          <w:sz w:val="18"/>
          <w:szCs w:val="18"/>
          <w:color w:val="auto"/>
        </w:rPr>
      </w:pPr>
    </w:p>
    <w:p>
      <w:pPr>
        <w:ind w:left="1120" w:hanging="437"/>
        <w:spacing w:after="0"/>
        <w:tabs>
          <w:tab w:leader="none" w:pos="11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on or after the tenth (10</w:t>
      </w:r>
      <w:r>
        <w:rPr>
          <w:rFonts w:ascii="Arial" w:cs="Arial" w:eastAsia="Arial" w:hAnsi="Arial"/>
          <w:sz w:val="15"/>
          <w:szCs w:val="15"/>
          <w:color w:val="auto"/>
        </w:rPr>
        <w:t>th</w:t>
      </w:r>
      <w:r>
        <w:rPr>
          <w:rFonts w:ascii="Arial" w:cs="Arial" w:eastAsia="Arial" w:hAnsi="Arial"/>
          <w:sz w:val="18"/>
          <w:szCs w:val="18"/>
          <w:color w:val="auto"/>
        </w:rPr>
        <w:t>) anniversary of its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88" w:name="page89"/>
    <w:bookmarkEnd w:id="88"/>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Vesting of Options.</w:t>
      </w:r>
    </w:p>
    <w:p>
      <w:pPr>
        <w:spacing w:after="0" w:line="117" w:lineRule="exact"/>
        <w:rPr>
          <w:rFonts w:ascii="Arial" w:cs="Arial" w:eastAsia="Arial" w:hAnsi="Arial"/>
          <w:sz w:val="18"/>
          <w:szCs w:val="18"/>
          <w:color w:val="auto"/>
        </w:rPr>
      </w:pPr>
    </w:p>
    <w:p>
      <w:pPr>
        <w:ind w:left="280" w:right="40"/>
        <w:spacing w:after="0" w:line="237" w:lineRule="auto"/>
        <w:rPr>
          <w:rFonts w:ascii="Arial" w:cs="Arial" w:eastAsia="Arial" w:hAnsi="Arial"/>
          <w:sz w:val="18"/>
          <w:szCs w:val="18"/>
          <w:color w:val="auto"/>
        </w:rPr>
      </w:pPr>
      <w:r>
        <w:rPr>
          <w:rFonts w:ascii="Arial" w:cs="Arial" w:eastAsia="Arial" w:hAnsi="Arial"/>
          <w:sz w:val="18"/>
          <w:szCs w:val="18"/>
          <w:color w:val="auto"/>
        </w:rPr>
        <w:t>Each Option granted hereunder shall vest in the circumstances set forth in the Plan or as set forth in this paragraph. During the four-year period commencing on its date of grant, each Option granted hereunder shall vest at such time as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eighth (8th) anniversary of its date of grant, if such Option has not previously terminated.</w:t>
      </w:r>
    </w:p>
    <w:p>
      <w:pPr>
        <w:spacing w:after="0" w:line="110"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Right to Employment.</w:t>
      </w:r>
    </w:p>
    <w:p>
      <w:pPr>
        <w:spacing w:after="0" w:line="117" w:lineRule="exact"/>
        <w:rPr>
          <w:rFonts w:ascii="Arial" w:cs="Arial" w:eastAsia="Arial" w:hAnsi="Arial"/>
          <w:sz w:val="18"/>
          <w:szCs w:val="18"/>
          <w:color w:val="auto"/>
        </w:rPr>
      </w:pPr>
    </w:p>
    <w:p>
      <w:pPr>
        <w:ind w:left="280" w:right="160"/>
        <w:spacing w:after="0"/>
        <w:rPr>
          <w:rFonts w:ascii="Arial" w:cs="Arial" w:eastAsia="Arial" w:hAnsi="Arial"/>
          <w:sz w:val="18"/>
          <w:szCs w:val="18"/>
          <w:color w:val="auto"/>
        </w:rPr>
      </w:pPr>
      <w:r>
        <w:rPr>
          <w:rFonts w:ascii="Arial" w:cs="Arial" w:eastAsia="Arial" w:hAnsi="Arial"/>
          <w:sz w:val="18"/>
          <w:szCs w:val="18"/>
          <w:color w:val="auto"/>
        </w:rPr>
        <w:t>Nothing in this Agreement or the Plan shall confer upon the Optionee any right to continue in the employ of the Company or any of its Affiliates, or interfere in any way with the right of the Company or any such Affiliate to terminate such employment with or without cause at any time whatsoever absent a written employment contract to the contrary.</w:t>
      </w:r>
    </w:p>
    <w:p>
      <w:pPr>
        <w:spacing w:after="0" w:line="108"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 of Certain Changes.</w:t>
      </w:r>
    </w:p>
    <w:p>
      <w:pPr>
        <w:spacing w:after="0" w:line="103" w:lineRule="exact"/>
        <w:rPr>
          <w:rFonts w:ascii="Arial" w:cs="Arial" w:eastAsia="Arial" w:hAnsi="Arial"/>
          <w:sz w:val="18"/>
          <w:szCs w:val="18"/>
          <w:color w:val="auto"/>
        </w:rPr>
      </w:pPr>
    </w:p>
    <w:p>
      <w:pPr>
        <w:ind w:left="660" w:right="120" w:hanging="436"/>
        <w:spacing w:after="0" w:line="238"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there is any change in the number of issued shares of Common Stock through the declaration of stock dividends, or through recapitalization resulting in stock splits, or combinations or exchanges of such shares, the number of Options granted pursuant to this Agreement that have not been exercised or lapsed, and the price per share of such Options shall be proportionately adjusted by the Committee to reflect any increase or decrease in the number of shares of Common Stock, provided, however, that any fractional shares resulting from such adjustment shall be eliminated.</w:t>
      </w:r>
    </w:p>
    <w:p>
      <w:pPr>
        <w:spacing w:after="0" w:line="108" w:lineRule="exact"/>
        <w:rPr>
          <w:rFonts w:ascii="Arial" w:cs="Arial" w:eastAsia="Arial" w:hAnsi="Arial"/>
          <w:sz w:val="18"/>
          <w:szCs w:val="18"/>
          <w:color w:val="auto"/>
        </w:rPr>
      </w:pPr>
    </w:p>
    <w:p>
      <w:pPr>
        <w:ind w:left="660" w:right="80" w:hanging="436"/>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of a change in the Common Stock of the Company as presently constituted, which is limited to a change of all of its authorized shares with a par value into the same number of shares with a different par value or without par value, the shares resulting from any such change shall be deemed to be a Common Stock within the meaning of this Agreement and the Plan.</w:t>
      </w:r>
    </w:p>
    <w:p>
      <w:pPr>
        <w:spacing w:after="0" w:line="108" w:lineRule="exact"/>
        <w:rPr>
          <w:rFonts w:ascii="Arial" w:cs="Arial" w:eastAsia="Arial" w:hAnsi="Arial"/>
          <w:sz w:val="18"/>
          <w:szCs w:val="18"/>
          <w:color w:val="auto"/>
        </w:rPr>
      </w:pPr>
    </w:p>
    <w:p>
      <w:pPr>
        <w:ind w:left="660" w:right="500" w:hanging="436"/>
        <w:spacing w:after="0" w:line="246"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the extent that the foregoing adjustments relate to stock or securities of the Company, such adjustments shall be made by the Committee, whose determination in that respect shall be final, binding and conclusive.</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17" w:lineRule="exact"/>
        <w:rPr>
          <w:rFonts w:ascii="Arial" w:cs="Arial" w:eastAsia="Arial" w:hAnsi="Arial"/>
          <w:sz w:val="18"/>
          <w:szCs w:val="18"/>
          <w:color w:val="auto"/>
        </w:rPr>
      </w:pPr>
    </w:p>
    <w:p>
      <w:pPr>
        <w:ind w:left="280"/>
        <w:spacing w:after="0" w:line="236" w:lineRule="auto"/>
        <w:rPr>
          <w:rFonts w:ascii="Arial" w:cs="Arial" w:eastAsia="Arial" w:hAnsi="Arial"/>
          <w:sz w:val="18"/>
          <w:szCs w:val="18"/>
          <w:color w:val="auto"/>
        </w:rPr>
      </w:pPr>
      <w:r>
        <w:rPr>
          <w:rFonts w:ascii="Arial" w:cs="Arial" w:eastAsia="Arial" w:hAnsi="Arial"/>
          <w:sz w:val="18"/>
          <w:szCs w:val="18"/>
          <w:color w:val="auto"/>
        </w:rPr>
        <w:t>Notwithstanding any provision of this Agreement or any other agreement to the contrary, if any amount or benefit to be paid or provided under this Agreement or any other agreement would be an Excess Parachute Payment,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Employee’s receiving an After-Tax Amount less than 90% of the After-Tax Amount under this agreement or under any other agreement without regard to this clause. Whether requested by the Employee or the Company, the determination of whether any reduction in such payments or benefits to be provided under this Agreement or otherwise is required pursuant to the preceding sentence, will be made at the expense of the Company by the Company’s independent accountants or benefits consultant. The fact that the Employee’s right to payments or benefits may be reduced by reason of the limitations contained in this paragraph will not of itself limit or otherwise affect any other rights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89" w:name="page90"/>
    <w:bookmarkEnd w:id="89"/>
    <w:p>
      <w:pPr>
        <w:ind w:left="220"/>
        <w:spacing w:after="0" w:line="236" w:lineRule="auto"/>
        <w:rPr>
          <w:sz w:val="20"/>
          <w:szCs w:val="20"/>
          <w:color w:val="auto"/>
        </w:rPr>
      </w:pPr>
      <w:r>
        <w:rPr>
          <w:rFonts w:ascii="Arial" w:cs="Arial" w:eastAsia="Arial" w:hAnsi="Arial"/>
          <w:sz w:val="18"/>
          <w:szCs w:val="18"/>
          <w:color w:val="auto"/>
        </w:rPr>
        <w:t>the Employee pursuant to this Agreement or any other agreement. In the event that any payment or benefit intended to be provided is required to be reduced pursuant to this paragraph, the Employee will be entitled to designate the payments and/or benefits to be so reduced in order to give effect to this paragraph. The Company will provide the Employee with all information reasonably requested by the Employee to permit the Employee to make such designation. In the event that the Employee fails to make such designation within 10 business days after receiving notice from the Company of a reduction under this paragraph, the Company may effect such reduction in any manner it deems appropriate. The term “Excess Parachute Payment” as used in this Agreement means a payment that creates an obligation for Employee to pay excise taxes under Section 280G of the Internal Revenue Code or any successor provision thereto and the term “After-Tax Amount” means the amount to be received by Employee determined on an after-tax basis taking into account the excise tax imposed pursuant to Section 4999 of the Internal Revenue Code, or any successor provision thereto, any tax imposed by any comparable provision of state law and any applicable federal, state and local income and employment taxes.</w:t>
      </w:r>
    </w:p>
    <w:p>
      <w:pPr>
        <w:spacing w:after="0" w:line="98"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Transfer Taxes, Fees and Other Expenses.</w:t>
      </w:r>
    </w:p>
    <w:p>
      <w:pPr>
        <w:spacing w:after="0" w:line="117" w:lineRule="exact"/>
        <w:rPr>
          <w:rFonts w:ascii="Arial" w:cs="Arial" w:eastAsia="Arial" w:hAnsi="Arial"/>
          <w:sz w:val="18"/>
          <w:szCs w:val="18"/>
          <w:color w:val="auto"/>
        </w:rPr>
      </w:pPr>
    </w:p>
    <w:p>
      <w:pPr>
        <w:ind w:left="280" w:right="280"/>
        <w:spacing w:after="0"/>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acquired pursuant to exercise of the Options, together with any and all other fees and expenses necessarily incurred by the Company in connection therewith.</w:t>
      </w:r>
    </w:p>
    <w:p>
      <w:pPr>
        <w:spacing w:after="0" w:line="108"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 and Withholding.</w:t>
      </w:r>
    </w:p>
    <w:p>
      <w:pPr>
        <w:spacing w:after="0" w:line="103" w:lineRule="exact"/>
        <w:rPr>
          <w:rFonts w:ascii="Arial" w:cs="Arial" w:eastAsia="Arial" w:hAnsi="Arial"/>
          <w:sz w:val="18"/>
          <w:szCs w:val="18"/>
          <w:color w:val="auto"/>
        </w:rPr>
      </w:pPr>
    </w:p>
    <w:p>
      <w:pPr>
        <w:ind w:left="660" w:right="100" w:hanging="436"/>
        <w:spacing w:after="0" w:line="238"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later than the date of exercise of any Options granted hereunder, and prior to the delivery of any shares of Stock to any Optionee, the Optionee shall pay to the Company or make arrangements satisfactory to The Committee regarding payment of any federal, state or local taxes of any kind required by law to be withheld upon the exercise of such Options and the Company shall, to the extent permitted or required by law, have the right to deduct from any payment of any kind otherwise due to the Optionee, federal, state and local taxes of any kind required by law to be withheld upon the exercise of such Options,</w:t>
      </w:r>
    </w:p>
    <w:p>
      <w:pPr>
        <w:spacing w:after="0" w:line="108" w:lineRule="exact"/>
        <w:rPr>
          <w:rFonts w:ascii="Arial" w:cs="Arial" w:eastAsia="Arial" w:hAnsi="Arial"/>
          <w:sz w:val="18"/>
          <w:szCs w:val="18"/>
          <w:color w:val="auto"/>
        </w:rPr>
      </w:pPr>
    </w:p>
    <w:p>
      <w:pPr>
        <w:ind w:left="660" w:hanging="436"/>
        <w:spacing w:after="0" w:line="238"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Optionee agrees that, in the event any governmental taxing authority claims that any unpaid taxes, interest or penalties are due and owing in connection with The Optionee’s exercise of any Stock Options granted under the Plan, the Optionee will be solely responsible to defend and/or pay any such claim. Employee further agrees to indemnify and hold The Company harmless from defending and/or paying any such claim, including reasonable attorney’s fees, in the event that any governmental taxing authority seeks payment of any and all such unpaid taxes, interest or penalties from the Company.</w:t>
      </w:r>
    </w:p>
    <w:p>
      <w:pPr>
        <w:spacing w:after="0" w:line="94"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rFonts w:ascii="Arial" w:cs="Arial" w:eastAsia="Arial" w:hAnsi="Arial"/>
          <w:sz w:val="18"/>
          <w:szCs w:val="18"/>
          <w:color w:val="auto"/>
        </w:rPr>
      </w:pPr>
    </w:p>
    <w:p>
      <w:pPr>
        <w:ind w:left="380" w:right="140"/>
        <w:spacing w:after="0"/>
        <w:rPr>
          <w:rFonts w:ascii="Arial" w:cs="Arial" w:eastAsia="Arial" w:hAnsi="Arial"/>
          <w:sz w:val="18"/>
          <w:szCs w:val="18"/>
          <w:color w:val="auto"/>
        </w:rPr>
      </w:pPr>
      <w:r>
        <w:rPr>
          <w:rFonts w:ascii="Arial" w:cs="Arial" w:eastAsia="Arial" w:hAnsi="Arial"/>
          <w:sz w:val="18"/>
          <w:szCs w:val="18"/>
          <w:color w:val="auto"/>
        </w:rPr>
        <w:t>Any notice to be given under the terms of this Agreement shall be in writing and delivered to the Company at 160 Pacific Avenue, Suite #222, San Francisco, California, 94111, Attention: Corporate Secretary, and to the Optionee at his/her address of record or at such other address as either party may hereafter designate in writing to the other.</w:t>
      </w:r>
    </w:p>
    <w:p>
      <w:pPr>
        <w:spacing w:after="0" w:line="108"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 of Agreement.</w:t>
      </w:r>
    </w:p>
    <w:p>
      <w:pPr>
        <w:spacing w:after="0" w:line="117" w:lineRule="exact"/>
        <w:rPr>
          <w:rFonts w:ascii="Arial" w:cs="Arial" w:eastAsia="Arial" w:hAnsi="Arial"/>
          <w:sz w:val="18"/>
          <w:szCs w:val="18"/>
          <w:color w:val="auto"/>
        </w:rPr>
      </w:pPr>
    </w:p>
    <w:p>
      <w:pPr>
        <w:ind w:left="380" w:right="300"/>
        <w:spacing w:after="0" w:line="246" w:lineRule="auto"/>
        <w:rPr>
          <w:rFonts w:ascii="Arial" w:cs="Arial" w:eastAsia="Arial" w:hAnsi="Arial"/>
          <w:sz w:val="18"/>
          <w:szCs w:val="18"/>
          <w:color w:val="auto"/>
        </w:rPr>
      </w:pPr>
      <w:r>
        <w:rPr>
          <w:rFonts w:ascii="Arial" w:cs="Arial" w:eastAsia="Arial" w:hAnsi="Arial"/>
          <w:sz w:val="18"/>
          <w:szCs w:val="18"/>
          <w:color w:val="auto"/>
        </w:rPr>
        <w:t>Except as otherwise provided hereunder, this Agreement shall be binding upon and shall inure to the benefit of any successor(s) of the Company.</w:t>
      </w:r>
    </w:p>
    <w:p>
      <w:pPr>
        <w:spacing w:after="0" w:line="102"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Laws Applicable to Construction.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90" w:name="page91"/>
    <w:bookmarkEnd w:id="90"/>
    <w:p>
      <w:pPr>
        <w:ind w:left="380" w:right="80"/>
        <w:spacing w:after="0"/>
        <w:rPr>
          <w:sz w:val="20"/>
          <w:szCs w:val="20"/>
          <w:color w:val="auto"/>
        </w:rPr>
      </w:pPr>
      <w:r>
        <w:rPr>
          <w:rFonts w:ascii="Arial" w:cs="Arial" w:eastAsia="Arial" w:hAnsi="Arial"/>
          <w:sz w:val="18"/>
          <w:szCs w:val="18"/>
          <w:color w:val="auto"/>
        </w:rPr>
        <w:t>The Options have been granted, executed and delivered in the State of California, and the interpretation, performance and enforcement of this Agreement, shall be governed by the laws of the State of California, as applied to contracts executed in and performed wholly within the State of California.</w:t>
      </w:r>
    </w:p>
    <w:p>
      <w:pPr>
        <w:spacing w:after="0" w:line="108"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117" w:lineRule="exact"/>
        <w:rPr>
          <w:rFonts w:ascii="Arial" w:cs="Arial" w:eastAsia="Arial" w:hAnsi="Arial"/>
          <w:sz w:val="18"/>
          <w:szCs w:val="18"/>
          <w:color w:val="auto"/>
        </w:rPr>
      </w:pPr>
    </w:p>
    <w:p>
      <w:pPr>
        <w:ind w:left="380" w:right="400"/>
        <w:spacing w:after="0"/>
        <w:rPr>
          <w:rFonts w:ascii="Arial" w:cs="Arial" w:eastAsia="Arial" w:hAnsi="Arial"/>
          <w:sz w:val="18"/>
          <w:szCs w:val="18"/>
          <w:color w:val="auto"/>
        </w:rPr>
      </w:pPr>
      <w:r>
        <w:rPr>
          <w:rFonts w:ascii="Arial" w:cs="Arial" w:eastAsia="Arial" w:hAnsi="Arial"/>
          <w:sz w:val="18"/>
          <w:szCs w:val="18"/>
          <w:color w:val="auto"/>
        </w:rPr>
        <w:t>In the event of any ambiguity in this Agreement, any term which is not defined in this Agreement, or any matters as to which this Agreement is silent, the Plan shall govern including, without limitation, the provisions thereof pursuant to which the Committee has the power, among others, to:</w:t>
      </w:r>
    </w:p>
    <w:p>
      <w:pPr>
        <w:spacing w:after="0" w:line="94" w:lineRule="exact"/>
        <w:rPr>
          <w:rFonts w:ascii="Arial" w:cs="Arial" w:eastAsia="Arial" w:hAnsi="Arial"/>
          <w:sz w:val="18"/>
          <w:szCs w:val="18"/>
          <w:color w:val="auto"/>
        </w:rPr>
      </w:pPr>
    </w:p>
    <w:p>
      <w:pPr>
        <w:ind w:left="680" w:hanging="256"/>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interpret the Plan,</w:t>
      </w:r>
    </w:p>
    <w:p>
      <w:pPr>
        <w:spacing w:after="0" w:line="117" w:lineRule="exact"/>
        <w:rPr>
          <w:rFonts w:ascii="Arial" w:cs="Arial" w:eastAsia="Arial" w:hAnsi="Arial"/>
          <w:sz w:val="18"/>
          <w:szCs w:val="18"/>
          <w:color w:val="auto"/>
        </w:rPr>
      </w:pPr>
    </w:p>
    <w:p>
      <w:pPr>
        <w:ind w:left="680" w:hanging="256"/>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 and</w:t>
      </w:r>
    </w:p>
    <w:p>
      <w:pPr>
        <w:spacing w:after="0" w:line="117" w:lineRule="exact"/>
        <w:rPr>
          <w:rFonts w:ascii="Arial" w:cs="Arial" w:eastAsia="Arial" w:hAnsi="Arial"/>
          <w:sz w:val="18"/>
          <w:szCs w:val="18"/>
          <w:color w:val="auto"/>
        </w:rPr>
      </w:pPr>
    </w:p>
    <w:p>
      <w:pPr>
        <w:ind w:left="680" w:hanging="256"/>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make all other determinations deemed necessary or advisable for the administration of the Plan.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Headings.</w:t>
      </w:r>
    </w:p>
    <w:p>
      <w:pPr>
        <w:spacing w:after="0" w:line="117" w:lineRule="exact"/>
        <w:rPr>
          <w:rFonts w:ascii="Arial" w:cs="Arial" w:eastAsia="Arial" w:hAnsi="Arial"/>
          <w:sz w:val="18"/>
          <w:szCs w:val="18"/>
          <w:color w:val="auto"/>
        </w:rPr>
      </w:pPr>
    </w:p>
    <w:p>
      <w:pPr>
        <w:ind w:left="380" w:right="260"/>
        <w:spacing w:after="0" w:line="246" w:lineRule="auto"/>
        <w:rPr>
          <w:rFonts w:ascii="Arial" w:cs="Arial" w:eastAsia="Arial" w:hAnsi="Arial"/>
          <w:sz w:val="18"/>
          <w:szCs w:val="18"/>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02"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Amendment.</w:t>
      </w:r>
    </w:p>
    <w:p>
      <w:pPr>
        <w:spacing w:after="0" w:line="117" w:lineRule="exact"/>
        <w:rPr>
          <w:sz w:val="20"/>
          <w:szCs w:val="20"/>
          <w:color w:val="auto"/>
        </w:rPr>
      </w:pPr>
    </w:p>
    <w:p>
      <w:pPr>
        <w:ind w:left="380" w:right="100"/>
        <w:spacing w:after="0"/>
        <w:rPr>
          <w:sz w:val="20"/>
          <w:szCs w:val="20"/>
          <w:color w:val="auto"/>
        </w:rPr>
      </w:pPr>
      <w:r>
        <w:rPr>
          <w:rFonts w:ascii="Arial" w:cs="Arial" w:eastAsia="Arial" w:hAnsi="Arial"/>
          <w:sz w:val="18"/>
          <w:szCs w:val="18"/>
          <w:color w:val="auto"/>
        </w:rPr>
        <w:t>This Agreement may not be modified, amended or waived in any manner except by an instrument in writing signed by both parties hereto. The waiver by either party of compliance with any provision of this Agreement shall not operate or be construed as a waiver of any other provision of this Agreement, or of any subsequent breach by such party of a provision of this Agreement.</w:t>
      </w:r>
    </w:p>
    <w:p>
      <w:pPr>
        <w:spacing w:after="0" w:line="95" w:lineRule="exact"/>
        <w:rPr>
          <w:sz w:val="20"/>
          <w:szCs w:val="20"/>
          <w:color w:val="auto"/>
        </w:rPr>
      </w:pPr>
    </w:p>
    <w:p>
      <w:pPr>
        <w:ind w:right="660" w:firstLine="250"/>
        <w:spacing w:after="0" w:line="246" w:lineRule="auto"/>
        <w:rPr>
          <w:sz w:val="20"/>
          <w:szCs w:val="20"/>
          <w:color w:val="auto"/>
        </w:rPr>
      </w:pPr>
      <w:r>
        <w:rPr>
          <w:rFonts w:ascii="Arial" w:cs="Arial" w:eastAsia="Arial" w:hAnsi="Arial"/>
          <w:sz w:val="18"/>
          <w:szCs w:val="18"/>
          <w:color w:val="auto"/>
        </w:rPr>
        <w:t>IN WITNESS WHEREOF, the Company has caused this Agreement to be executed on its behalf by a duly authorized officer and the Optionee has hereunto set his or her hand.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ABM INDUSTRIES INCORPORATED:</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OPTIONEE:</w:t>
            </w:r>
          </w:p>
        </w:tc>
      </w:tr>
      <w:tr>
        <w:trPr>
          <w:trHeight w:val="392"/>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Henrik C. Slipsager</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Employee</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92"/>
        </w:trPr>
        <w:tc>
          <w:tcPr>
            <w:tcW w:w="5380" w:type="dxa"/>
            <w:vAlign w:val="bottom"/>
          </w:tcPr>
          <w:p>
            <w:pPr>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949"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EXHIBIT 10.8</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ABM INDUSTRIES INCORPORATED</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2002 PRICE-VESTED PERFORMANCE STOCK OPTION PLAN</w:t>
      </w:r>
    </w:p>
    <w:p>
      <w:pPr>
        <w:jc w:val="center"/>
        <w:ind w:right="-119"/>
        <w:spacing w:after="0"/>
        <w:rPr>
          <w:sz w:val="20"/>
          <w:szCs w:val="20"/>
          <w:color w:val="auto"/>
        </w:rPr>
      </w:pPr>
      <w:r>
        <w:rPr>
          <w:rFonts w:ascii="Arial" w:cs="Arial" w:eastAsia="Arial" w:hAnsi="Arial"/>
          <w:sz w:val="18"/>
          <w:szCs w:val="18"/>
          <w:color w:val="auto"/>
        </w:rPr>
        <w:t>STOCK OPTION AGREEMENT</w:t>
      </w:r>
    </w:p>
    <w:p>
      <w:pPr>
        <w:spacing w:after="0" w:line="104" w:lineRule="exact"/>
        <w:rPr>
          <w:sz w:val="20"/>
          <w:szCs w:val="20"/>
          <w:color w:val="auto"/>
        </w:rPr>
      </w:pPr>
    </w:p>
    <w:p>
      <w:pPr>
        <w:ind w:right="280" w:firstLine="247"/>
        <w:spacing w:after="0" w:line="246" w:lineRule="auto"/>
        <w:rPr>
          <w:sz w:val="20"/>
          <w:szCs w:val="20"/>
          <w:color w:val="auto"/>
        </w:rPr>
      </w:pPr>
      <w:r>
        <w:rPr>
          <w:rFonts w:ascii="Arial" w:cs="Arial" w:eastAsia="Arial" w:hAnsi="Arial"/>
          <w:sz w:val="18"/>
          <w:szCs w:val="18"/>
          <w:color w:val="auto"/>
        </w:rPr>
        <w:t>THIS AGREEMENT (the “Agreement”) dated as of ___day of ___, 200_, is entered into by and between ABM Industries Incorporated, a Delaware corporation (the “Company”), and ___(the “Optionee”).</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WITNESSETH</w:t>
      </w:r>
    </w:p>
    <w:p>
      <w:pPr>
        <w:spacing w:after="0" w:line="104" w:lineRule="exact"/>
        <w:rPr>
          <w:sz w:val="20"/>
          <w:szCs w:val="20"/>
          <w:color w:val="auto"/>
        </w:rPr>
      </w:pPr>
    </w:p>
    <w:p>
      <w:pPr>
        <w:ind w:right="320" w:firstLine="250"/>
        <w:spacing w:after="0" w:line="246" w:lineRule="auto"/>
        <w:rPr>
          <w:sz w:val="20"/>
          <w:szCs w:val="20"/>
          <w:color w:val="auto"/>
        </w:rPr>
      </w:pPr>
      <w:r>
        <w:rPr>
          <w:rFonts w:ascii="Arial" w:cs="Arial" w:eastAsia="Arial" w:hAnsi="Arial"/>
          <w:sz w:val="18"/>
          <w:szCs w:val="18"/>
          <w:color w:val="auto"/>
        </w:rPr>
        <w:t>In consideration of the mutual promises and covenants made herein and the mutual benefits to be derived here from, the parties hereto agree as follows: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 Grant of Options.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Subject to the provisions of this Agreement and the Plan, the Company hereby grants to the Optionee the right and option to purchase</w:t>
      </w:r>
    </w:p>
    <w:p>
      <w:pPr>
        <w:spacing w:after="0"/>
        <w:rPr>
          <w:sz w:val="20"/>
          <w:szCs w:val="20"/>
          <w:color w:val="auto"/>
        </w:rPr>
      </w:pPr>
      <w:r>
        <w:rPr>
          <w:rFonts w:ascii="Arial" w:cs="Arial" w:eastAsia="Arial" w:hAnsi="Arial"/>
          <w:sz w:val="18"/>
          <w:szCs w:val="18"/>
          <w:color w:val="auto"/>
        </w:rPr>
        <w:t>___shares of the Company’s common stock, par value $0.01 per share (the “Common Stock”) at an exercise price of $_.___(the “Option”).</w:t>
      </w:r>
    </w:p>
    <w:p>
      <w:pPr>
        <w:spacing w:after="0" w:line="104"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Exercisability of Options.</w:t>
      </w:r>
    </w:p>
    <w:p>
      <w:pPr>
        <w:spacing w:after="0" w:line="103" w:lineRule="exact"/>
        <w:rPr>
          <w:rFonts w:ascii="Arial" w:cs="Arial" w:eastAsia="Arial" w:hAnsi="Arial"/>
          <w:sz w:val="18"/>
          <w:szCs w:val="18"/>
          <w:color w:val="auto"/>
        </w:rPr>
      </w:pPr>
    </w:p>
    <w:p>
      <w:pPr>
        <w:ind w:left="800" w:hanging="454"/>
        <w:spacing w:after="0"/>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Option may be exercised only to the extent it is vested.</w:t>
      </w:r>
    </w:p>
    <w:p>
      <w:pPr>
        <w:spacing w:after="0" w:line="117" w:lineRule="exact"/>
        <w:rPr>
          <w:rFonts w:ascii="Arial" w:cs="Arial" w:eastAsia="Arial" w:hAnsi="Arial"/>
          <w:sz w:val="18"/>
          <w:szCs w:val="18"/>
          <w:color w:val="auto"/>
        </w:rPr>
      </w:pPr>
    </w:p>
    <w:p>
      <w:pPr>
        <w:ind w:left="800" w:hanging="454"/>
        <w:spacing w:after="0" w:line="246"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vested portion of the Option may be exercised, in whole or in part, at the times and in the manner set forth in the Plan; provided, however, that such vested portion shall not be exercised:</w:t>
      </w:r>
    </w:p>
    <w:p>
      <w:pPr>
        <w:spacing w:after="0" w:line="88" w:lineRule="exact"/>
        <w:rPr>
          <w:rFonts w:ascii="Arial" w:cs="Arial" w:eastAsia="Arial" w:hAnsi="Arial"/>
          <w:sz w:val="18"/>
          <w:szCs w:val="18"/>
          <w:color w:val="auto"/>
        </w:rPr>
      </w:pPr>
    </w:p>
    <w:p>
      <w:pPr>
        <w:ind w:left="1300" w:hanging="265"/>
        <w:spacing w:after="0"/>
        <w:tabs>
          <w:tab w:leader="none" w:pos="13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before the first (1st) anniversary of the Option’s date of grant,</w:t>
      </w:r>
    </w:p>
    <w:p>
      <w:pPr>
        <w:spacing w:after="0" w:line="103" w:lineRule="exact"/>
        <w:rPr>
          <w:rFonts w:ascii="Arial" w:cs="Arial" w:eastAsia="Arial" w:hAnsi="Arial"/>
          <w:sz w:val="18"/>
          <w:szCs w:val="18"/>
          <w:color w:val="auto"/>
        </w:rPr>
      </w:pPr>
    </w:p>
    <w:p>
      <w:pPr>
        <w:ind w:left="1040" w:right="420" w:hanging="5"/>
        <w:spacing w:after="0" w:line="246" w:lineRule="auto"/>
        <w:tabs>
          <w:tab w:leader="none" w:pos="131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at any one time for fewer than 100 shares, or such number of shares as to which such Option is then exercisable, if such number of shares is less than 100, and</w:t>
      </w:r>
    </w:p>
    <w:p>
      <w:pPr>
        <w:spacing w:after="0" w:line="88" w:lineRule="exact"/>
        <w:rPr>
          <w:rFonts w:ascii="Arial" w:cs="Arial" w:eastAsia="Arial" w:hAnsi="Arial"/>
          <w:sz w:val="18"/>
          <w:szCs w:val="18"/>
          <w:color w:val="auto"/>
        </w:rPr>
      </w:pPr>
    </w:p>
    <w:p>
      <w:pPr>
        <w:ind w:left="1300" w:hanging="265"/>
        <w:spacing w:after="0"/>
        <w:tabs>
          <w:tab w:leader="none" w:pos="13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on or after the tenth (10th) anniversary of the Option’s date of grant.</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Vesting of Options.</w:t>
      </w:r>
    </w:p>
    <w:p>
      <w:pPr>
        <w:spacing w:after="0" w:line="103" w:lineRule="exact"/>
        <w:rPr>
          <w:rFonts w:ascii="Arial" w:cs="Arial" w:eastAsia="Arial" w:hAnsi="Arial"/>
          <w:sz w:val="18"/>
          <w:szCs w:val="18"/>
          <w:color w:val="auto"/>
        </w:rPr>
      </w:pPr>
    </w:p>
    <w:p>
      <w:pPr>
        <w:ind w:left="800" w:right="60" w:hanging="454"/>
        <w:spacing w:after="0" w:line="246"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the limitations contained in this Agreement and the Plan, unless the vesting of the Option is accelerated as set below, the Option shall vest in full on the close of business on the eight (8th) anniversary of its date of grant.</w:t>
      </w:r>
    </w:p>
    <w:p>
      <w:pPr>
        <w:spacing w:after="0" w:line="102" w:lineRule="exact"/>
        <w:rPr>
          <w:rFonts w:ascii="Arial" w:cs="Arial" w:eastAsia="Arial" w:hAnsi="Arial"/>
          <w:sz w:val="18"/>
          <w:szCs w:val="18"/>
          <w:color w:val="auto"/>
        </w:rPr>
      </w:pPr>
    </w:p>
    <w:p>
      <w:pPr>
        <w:ind w:left="800" w:right="140" w:hanging="454"/>
        <w:spacing w:after="0"/>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During the four-year period commencing on its date of grant, the vesting of the Option shall accelerate at such time as the Fair Market Value of the Common Stock shall have been equal to or greater than the assigned Vesting Price for ten (10) trading days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92" w:name="page93"/>
    <w:bookmarkEnd w:id="92"/>
    <w:p>
      <w:pPr>
        <w:ind w:left="700"/>
        <w:spacing w:after="0"/>
        <w:rPr>
          <w:sz w:val="20"/>
          <w:szCs w:val="20"/>
          <w:color w:val="auto"/>
        </w:rPr>
      </w:pPr>
      <w:r>
        <w:rPr>
          <w:rFonts w:ascii="Arial" w:cs="Arial" w:eastAsia="Arial" w:hAnsi="Arial"/>
          <w:sz w:val="18"/>
          <w:szCs w:val="18"/>
          <w:color w:val="auto"/>
        </w:rPr>
        <w:t>period of thirty (30) consecutive trading days. For purposes of this paragraph, the “Vesting Price” means the following:</w:t>
      </w:r>
    </w:p>
    <w:p>
      <w:pPr>
        <w:spacing w:after="0" w:line="104" w:lineRule="exact"/>
        <w:rPr>
          <w:sz w:val="20"/>
          <w:szCs w:val="20"/>
          <w:color w:val="auto"/>
        </w:rPr>
      </w:pPr>
    </w:p>
    <w:p>
      <w:pPr>
        <w:ind w:left="1300" w:hanging="26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$___for ___shares of Common Stock subject to the Option.</w:t>
      </w:r>
    </w:p>
    <w:p>
      <w:pPr>
        <w:spacing w:after="0" w:line="103" w:lineRule="exact"/>
        <w:rPr>
          <w:rFonts w:ascii="Arial" w:cs="Arial" w:eastAsia="Arial" w:hAnsi="Arial"/>
          <w:sz w:val="18"/>
          <w:szCs w:val="18"/>
          <w:color w:val="auto"/>
        </w:rPr>
      </w:pPr>
    </w:p>
    <w:p>
      <w:pPr>
        <w:ind w:left="1300" w:hanging="26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$___for ___shares of Common Stock subject to the Option.</w:t>
      </w:r>
    </w:p>
    <w:p>
      <w:pPr>
        <w:spacing w:after="0" w:line="103" w:lineRule="exact"/>
        <w:rPr>
          <w:rFonts w:ascii="Arial" w:cs="Arial" w:eastAsia="Arial" w:hAnsi="Arial"/>
          <w:sz w:val="18"/>
          <w:szCs w:val="18"/>
          <w:color w:val="auto"/>
        </w:rPr>
      </w:pPr>
    </w:p>
    <w:p>
      <w:pPr>
        <w:ind w:left="1300" w:hanging="26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$___for ___shares of Common Stock subject to the Option.</w:t>
      </w:r>
    </w:p>
    <w:p>
      <w:pPr>
        <w:spacing w:after="0" w:line="103" w:lineRule="exact"/>
        <w:rPr>
          <w:rFonts w:ascii="Arial" w:cs="Arial" w:eastAsia="Arial" w:hAnsi="Arial"/>
          <w:sz w:val="18"/>
          <w:szCs w:val="18"/>
          <w:color w:val="auto"/>
        </w:rPr>
      </w:pPr>
    </w:p>
    <w:p>
      <w:pPr>
        <w:ind w:left="1300" w:hanging="26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$___for ___shares of Common Stock subject to the Option.</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Right to Employment.</w:t>
      </w:r>
    </w:p>
    <w:p>
      <w:pPr>
        <w:spacing w:after="0" w:line="10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Nothing in this Agreement or the Plan shall confer upon the Optionee any right to continue in the employ of the Company or any of its Affiliates, or interfere in any way with the right of the Company or any such Affiliate to terminate such employment with or without cause at any time whatsoever absent a written employment contract to the contrary. In addition, nothing in this Agreement shall obligate the Company or any of its Affiliates, their respective shareholders, board of directors, officers or employees to continue any relationship that the Optionee might have as a member of the board of directors or consultant for the Company or an Affiliate.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5. Effect of Certain Changes.</w:t>
      </w:r>
    </w:p>
    <w:p>
      <w:pPr>
        <w:spacing w:after="0" w:line="104" w:lineRule="exact"/>
        <w:rPr>
          <w:sz w:val="20"/>
          <w:szCs w:val="20"/>
          <w:color w:val="auto"/>
        </w:rPr>
      </w:pPr>
    </w:p>
    <w:p>
      <w:pPr>
        <w:ind w:right="260" w:firstLine="250"/>
        <w:spacing w:after="0" w:line="238" w:lineRule="auto"/>
        <w:rPr>
          <w:sz w:val="20"/>
          <w:szCs w:val="20"/>
          <w:color w:val="auto"/>
        </w:rPr>
      </w:pPr>
      <w:r>
        <w:rPr>
          <w:rFonts w:ascii="Arial" w:cs="Arial" w:eastAsia="Arial" w:hAnsi="Arial"/>
          <w:sz w:val="18"/>
          <w:szCs w:val="18"/>
          <w:color w:val="auto"/>
        </w:rPr>
        <w:t>If any change is made to the Common Stock subject to the Option, without the receipt of consideration by the Company (through merger, consolidation, reorganization, recapitalization, reincorporation, stock dividend, dividend in property other than cash, stock split, liquidating dividend, combination of shares, exchange of shares, or other transaction not involving the receipt of consideration by the Company) the Committee shall appropriately adjust the number of shares subject to the Options, the exercise price per share and the Vesting Price. The Committee’s determination shall be final, binding and conclusive.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6. Change in Control.</w:t>
      </w:r>
    </w:p>
    <w:p>
      <w:pPr>
        <w:spacing w:after="0" w:line="104"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Notwithstanding any provision of this Agreement or any other agreement to the contrary, if any amount or benefit to be paid or provided under this Agreement or any other agreement would be an Excess Parachute Payment,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Employee’s receiving an After-Tax Amount less than 90% of the After-Tax Amount under this agreement or under any other agreement without regard to this clause. Whether requested by the Employee or the Company, the determination of whether any reduction in such payments or benefits to be provided under this Agreement or otherwise is required pursuant to the preceding sentence, will be made at the expense of the Company by the Company’s independent accountants or benefits consultant. The fact that the Employee’s right to payments or benefits may be reduced by reason of the limitations contained in this paragraph will not of itself limit or otherwise affect any other rights of the Employee pursuant to this Agreement or any other agreement. In the event that any payment or benefit intended to be provided is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93" w:name="page94"/>
    <w:bookmarkEnd w:id="93"/>
    <w:p>
      <w:pPr>
        <w:ind w:right="20"/>
        <w:spacing w:after="0" w:line="236" w:lineRule="auto"/>
        <w:rPr>
          <w:sz w:val="20"/>
          <w:szCs w:val="20"/>
          <w:color w:val="auto"/>
        </w:rPr>
      </w:pPr>
      <w:r>
        <w:rPr>
          <w:rFonts w:ascii="Arial" w:cs="Arial" w:eastAsia="Arial" w:hAnsi="Arial"/>
          <w:sz w:val="18"/>
          <w:szCs w:val="18"/>
          <w:color w:val="auto"/>
        </w:rPr>
        <w:t>required to be reduced pursuant to this paragraph, the Employee will be entitled to designate the payments and/or benefits to be so reduced in order to give effect to this paragraph. The Company will provide the Employee with all information reasonably requested by the Employee to permit the Employee to make such designation. In the event that the Employee fails to make such designation within 10 business days after receiving notice from the Company of a reduction under this paragraph, the Company may effect such reduction in any manner it deems appropriate. The term “Excess Parachute Payment” as used in this Agreement means a payment that creates an obligation for Employee to pay excise taxes under Section 280G of the Internal Revenue Code or any successor provision thereto and the term “After-Tax Amount” means the amount to be received by Employee determined on an after-tax basis taking into account the excise tax imposed pursuant to Section 4999 of the Internal Revenue Code, or any successor provision thereto, any tax imposed by any comparable provision of state law and any applicable federal, state and local income and employment taxes.</w:t>
      </w:r>
    </w:p>
    <w:p>
      <w:pPr>
        <w:spacing w:after="0" w:line="99"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Taxes and Withholding.</w:t>
      </w:r>
    </w:p>
    <w:p>
      <w:pPr>
        <w:spacing w:after="0" w:line="103" w:lineRule="exact"/>
        <w:rPr>
          <w:rFonts w:ascii="Arial" w:cs="Arial" w:eastAsia="Arial" w:hAnsi="Arial"/>
          <w:sz w:val="18"/>
          <w:szCs w:val="18"/>
          <w:color w:val="auto"/>
        </w:rPr>
      </w:pPr>
    </w:p>
    <w:p>
      <w:pPr>
        <w:ind w:left="800" w:hanging="454"/>
        <w:spacing w:after="0" w:line="238" w:lineRule="auto"/>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later than the date of exercise of any portion of the Option, and prior to the delivery of any shares of Common Stock to any Optionee, the Optionee shall pay to the Company or make arrangements satisfactory to the Committee regarding payment of any and all federal, state or local taxes of any kind required by law to be withheld upon such exercise. To the extent permitted and required by law, the Company shall have the right to deduct from any payment of any kind otherwise due to the Optionee, any and all federal, state and local taxes that may result from the exercise of the Option.</w:t>
      </w:r>
    </w:p>
    <w:p>
      <w:pPr>
        <w:spacing w:after="0" w:line="108" w:lineRule="exact"/>
        <w:rPr>
          <w:rFonts w:ascii="Arial" w:cs="Arial" w:eastAsia="Arial" w:hAnsi="Arial"/>
          <w:sz w:val="18"/>
          <w:szCs w:val="18"/>
          <w:color w:val="auto"/>
        </w:rPr>
      </w:pPr>
    </w:p>
    <w:p>
      <w:pPr>
        <w:ind w:left="800" w:right="80" w:hanging="454"/>
        <w:spacing w:after="0" w:line="238" w:lineRule="auto"/>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Optionee agrees that, in the event any governmental taxing authority claims that any unpaid taxes, interest or penalties are due and owing in connection with the Optionee’s exercise of any Stock Option granted under the Plan, the Optionee will be solely responsible to defend and/or pay any such claim. The Optionee further agrees to indemnify and hold the Company harmless from defending and/or paying any such claim, including reasonable attorney’s fees, in the event that any governmental taxing authority seeks payment of any and all such unpaid taxes, interest or penalties from the Company.</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Notices.</w:t>
      </w:r>
    </w:p>
    <w:p>
      <w:pPr>
        <w:spacing w:after="0" w:line="104" w:lineRule="exact"/>
        <w:rPr>
          <w:sz w:val="20"/>
          <w:szCs w:val="20"/>
          <w:color w:val="auto"/>
        </w:rPr>
      </w:pPr>
    </w:p>
    <w:p>
      <w:pPr>
        <w:ind w:right="40" w:firstLine="240"/>
        <w:spacing w:after="0"/>
        <w:rPr>
          <w:sz w:val="20"/>
          <w:szCs w:val="20"/>
          <w:color w:val="auto"/>
        </w:rPr>
      </w:pPr>
      <w:r>
        <w:rPr>
          <w:rFonts w:ascii="Arial" w:cs="Arial" w:eastAsia="Arial" w:hAnsi="Arial"/>
          <w:sz w:val="18"/>
          <w:szCs w:val="18"/>
          <w:color w:val="auto"/>
        </w:rPr>
        <w:t>Any notice to be given under the terms of this Agreement shall be in writing and delivered to the Company at 160 Pacific Avenue, Suite 222, San Francisco, CA 94111, Attention: General Counsel, and to the Optionee at the address set forth on the last page of this Agreement or at such other address as either party may hereafter designate in writing to the other.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9. Effect of Agreement.</w:t>
      </w:r>
    </w:p>
    <w:p>
      <w:pPr>
        <w:spacing w:after="0" w:line="104" w:lineRule="exact"/>
        <w:rPr>
          <w:sz w:val="20"/>
          <w:szCs w:val="20"/>
          <w:color w:val="auto"/>
        </w:rPr>
      </w:pPr>
    </w:p>
    <w:p>
      <w:pPr>
        <w:ind w:right="460" w:firstLine="250"/>
        <w:spacing w:after="0" w:line="246"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10. Laws Applicable to Construction.</w:t>
      </w:r>
    </w:p>
    <w:p>
      <w:pPr>
        <w:spacing w:after="0" w:line="104" w:lineRule="exact"/>
        <w:rPr>
          <w:sz w:val="20"/>
          <w:szCs w:val="20"/>
          <w:color w:val="auto"/>
        </w:rPr>
      </w:pPr>
    </w:p>
    <w:p>
      <w:pPr>
        <w:ind w:right="600" w:firstLine="247"/>
        <w:spacing w:after="0" w:line="246"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the Agreement, without regard to such state’s conflict of laws rules.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11. Interpretation.</w:t>
      </w:r>
    </w:p>
    <w:p>
      <w:pPr>
        <w:spacing w:after="0" w:line="104" w:lineRule="exact"/>
        <w:rPr>
          <w:sz w:val="20"/>
          <w:szCs w:val="20"/>
          <w:color w:val="auto"/>
        </w:rPr>
      </w:pPr>
    </w:p>
    <w:p>
      <w:pPr>
        <w:ind w:right="120" w:firstLine="247"/>
        <w:spacing w:after="0" w:line="238" w:lineRule="auto"/>
        <w:rPr>
          <w:sz w:val="20"/>
          <w:szCs w:val="20"/>
          <w:color w:val="auto"/>
        </w:rPr>
      </w:pPr>
      <w:r>
        <w:rPr>
          <w:rFonts w:ascii="Arial" w:cs="Arial" w:eastAsia="Arial" w:hAnsi="Arial"/>
          <w:sz w:val="18"/>
          <w:szCs w:val="18"/>
          <w:color w:val="auto"/>
        </w:rPr>
        <w:t>The Option is subject to the all the provisions of the Plan, the provisions of which are hereby made a part of the Option, and is further subject to all interpretations, amendments, rules and regulations which may from time to time be promulgated and adopted pursuant to the Plan. In the event of a conflict between the provisions of the Option and those of the Plan, the provisions of the Plan shall control. In the event of any ambiguity in this Agreement, any term which is not defined in this Agreement, or any matters as to which this Agreement is silent, the Plan shall govern.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12. Headings.</w:t>
      </w:r>
    </w:p>
    <w:p>
      <w:pPr>
        <w:spacing w:after="0" w:line="104" w:lineRule="exact"/>
        <w:rPr>
          <w:sz w:val="20"/>
          <w:szCs w:val="20"/>
          <w:color w:val="auto"/>
        </w:rPr>
      </w:pPr>
    </w:p>
    <w:p>
      <w:pPr>
        <w:ind w:firstLine="247"/>
        <w:spacing w:after="0" w:line="246"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13. Amendment.</w:t>
      </w:r>
    </w:p>
    <w:p>
      <w:pPr>
        <w:spacing w:after="0" w:line="104" w:lineRule="exact"/>
        <w:rPr>
          <w:sz w:val="20"/>
          <w:szCs w:val="20"/>
          <w:color w:val="auto"/>
        </w:rPr>
      </w:pPr>
    </w:p>
    <w:p>
      <w:pPr>
        <w:ind w:right="180" w:firstLine="247"/>
        <w:spacing w:after="0"/>
        <w:rPr>
          <w:sz w:val="20"/>
          <w:szCs w:val="20"/>
          <w:color w:val="auto"/>
        </w:rPr>
      </w:pPr>
      <w:r>
        <w:rPr>
          <w:rFonts w:ascii="Arial" w:cs="Arial" w:eastAsia="Arial" w:hAnsi="Arial"/>
          <w:sz w:val="18"/>
          <w:szCs w:val="18"/>
          <w:color w:val="auto"/>
        </w:rPr>
        <w:t>This Agreement may not be modified, amended or waived in any manner except by an instrument in writing signed by both parties hereto. The waiver by either party of compliance with any provision of this Agreement shall not operate or be construed as a waiver of any other provision of this Agreement, or of any subsequent breach by such party of a provision of this Agreement.</w:t>
      </w:r>
    </w:p>
    <w:p>
      <w:pPr>
        <w:spacing w:after="0" w:line="95" w:lineRule="exact"/>
        <w:rPr>
          <w:sz w:val="20"/>
          <w:szCs w:val="20"/>
          <w:color w:val="auto"/>
        </w:rPr>
      </w:pPr>
    </w:p>
    <w:p>
      <w:pPr>
        <w:ind w:right="620" w:firstLine="250"/>
        <w:spacing w:after="0" w:line="246" w:lineRule="auto"/>
        <w:rPr>
          <w:sz w:val="20"/>
          <w:szCs w:val="20"/>
          <w:color w:val="auto"/>
        </w:rPr>
      </w:pPr>
      <w:r>
        <w:rPr>
          <w:rFonts w:ascii="Arial" w:cs="Arial" w:eastAsia="Arial" w:hAnsi="Arial"/>
          <w:sz w:val="18"/>
          <w:szCs w:val="18"/>
          <w:color w:val="auto"/>
        </w:rPr>
        <w:t>IN WITNESS WHEREOF, the Company has caused this Agreement to be executed on its behalf by a duly authorized officer and the Optionee has hereunto set his or her hand.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ABM INDUSTRIES 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4" w:lineRule="auto"/>
        <w:rPr>
          <w:sz w:val="20"/>
          <w:szCs w:val="20"/>
          <w:color w:val="auto"/>
        </w:rPr>
      </w:pPr>
      <w:r>
        <w:rPr>
          <w:rFonts w:ascii="Arial" w:cs="Arial" w:eastAsia="Arial" w:hAnsi="Arial"/>
          <w:sz w:val="18"/>
          <w:szCs w:val="18"/>
          <w:color w:val="auto"/>
        </w:rPr>
        <w:t>Henrik C. Slipsager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OPTIONEE: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949"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EXHIBIT 10.14</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ARRANGEMENTS WITH NON-EMPLOYEE DIRECTORS</w:t>
      </w:r>
    </w:p>
    <w:p>
      <w:pPr>
        <w:spacing w:after="0" w:line="126"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Set forth below are arrangements between ABM Industries Incorporated (the “Registrant”) and various of its directors that are not set forth in a formal written document.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18, 2004, the Governance Committee of the Board of Directors of the Registrant approved the compensation of non-employee</w:t>
      </w:r>
    </w:p>
    <w:p>
      <w:pPr>
        <w:spacing w:after="0" w:line="234" w:lineRule="auto"/>
        <w:rPr>
          <w:sz w:val="20"/>
          <w:szCs w:val="20"/>
          <w:color w:val="auto"/>
        </w:rPr>
      </w:pPr>
      <w:r>
        <w:rPr>
          <w:rFonts w:ascii="Arial" w:cs="Arial" w:eastAsia="Arial" w:hAnsi="Arial"/>
          <w:sz w:val="18"/>
          <w:szCs w:val="18"/>
          <w:color w:val="auto"/>
        </w:rPr>
        <w:t>directors for its fiscal year beginning November 1, 2004. Non-employee directors receive an annual retainer of $36,000, and meeting fees of</w:t>
      </w:r>
    </w:p>
    <w:p>
      <w:pPr>
        <w:spacing w:after="0" w:line="235" w:lineRule="auto"/>
        <w:rPr>
          <w:sz w:val="20"/>
          <w:szCs w:val="20"/>
          <w:color w:val="auto"/>
        </w:rPr>
      </w:pPr>
      <w:r>
        <w:rPr>
          <w:rFonts w:ascii="Arial" w:cs="Arial" w:eastAsia="Arial" w:hAnsi="Arial"/>
          <w:sz w:val="18"/>
          <w:szCs w:val="18"/>
          <w:color w:val="auto"/>
        </w:rPr>
        <w:t>$2,000 for in-person Board and Committee meetings, $2,000 for telephonic meetings of two or more hours, and $1,000 for telephonic meetings</w:t>
      </w:r>
    </w:p>
    <w:p>
      <w:pPr>
        <w:spacing w:after="0" w:line="235" w:lineRule="auto"/>
        <w:rPr>
          <w:sz w:val="20"/>
          <w:szCs w:val="20"/>
          <w:color w:val="auto"/>
        </w:rPr>
      </w:pPr>
      <w:r>
        <w:rPr>
          <w:rFonts w:ascii="Arial" w:cs="Arial" w:eastAsia="Arial" w:hAnsi="Arial"/>
          <w:sz w:val="18"/>
          <w:szCs w:val="18"/>
          <w:color w:val="auto"/>
        </w:rPr>
        <w:t>of less than two hours. In addition, the Chair of the Audit Committee receives an additional fee of 100% of the applicable meeting fee for each</w:t>
      </w:r>
    </w:p>
    <w:p>
      <w:pPr>
        <w:spacing w:after="0" w:line="235" w:lineRule="auto"/>
        <w:rPr>
          <w:sz w:val="20"/>
          <w:szCs w:val="20"/>
          <w:color w:val="auto"/>
        </w:rPr>
      </w:pPr>
      <w:r>
        <w:rPr>
          <w:rFonts w:ascii="Arial" w:cs="Arial" w:eastAsia="Arial" w:hAnsi="Arial"/>
          <w:sz w:val="18"/>
          <w:szCs w:val="18"/>
          <w:color w:val="auto"/>
        </w:rPr>
        <w:t>Audit Committee meeting and each of the Chairs of the other Committees (Governance Committee, Compensation Committee, and Executive</w:t>
      </w:r>
    </w:p>
    <w:p>
      <w:pPr>
        <w:spacing w:after="0" w:line="235" w:lineRule="auto"/>
        <w:rPr>
          <w:sz w:val="20"/>
          <w:szCs w:val="20"/>
          <w:color w:val="auto"/>
        </w:rPr>
      </w:pPr>
      <w:r>
        <w:rPr>
          <w:rFonts w:ascii="Arial" w:cs="Arial" w:eastAsia="Arial" w:hAnsi="Arial"/>
          <w:sz w:val="18"/>
          <w:szCs w:val="18"/>
          <w:color w:val="auto"/>
        </w:rPr>
        <w:t>Committee) receives an additional fee of 50% of the applicable meeting fee for each meeting of his or her respective Committee. The fees to</w:t>
      </w:r>
    </w:p>
    <w:p>
      <w:pPr>
        <w:spacing w:after="0" w:line="235" w:lineRule="auto"/>
        <w:rPr>
          <w:sz w:val="20"/>
          <w:szCs w:val="20"/>
          <w:color w:val="auto"/>
        </w:rPr>
      </w:pPr>
      <w:r>
        <w:rPr>
          <w:rFonts w:ascii="Arial" w:cs="Arial" w:eastAsia="Arial" w:hAnsi="Arial"/>
          <w:sz w:val="18"/>
          <w:szCs w:val="18"/>
          <w:color w:val="auto"/>
        </w:rPr>
        <w:t>the Committee Chairs took effect November 1, 2004, except for the Chair of the Executive Committee, which took effect January 1, 2005.</w:t>
      </w:r>
    </w:p>
    <w:p>
      <w:pPr>
        <w:spacing w:after="0"/>
        <w:rPr>
          <w:sz w:val="20"/>
          <w:szCs w:val="20"/>
          <w:color w:val="auto"/>
        </w:rPr>
      </w:pPr>
      <w:r>
        <w:rPr>
          <w:rFonts w:ascii="Arial" w:cs="Arial" w:eastAsia="Arial" w:hAnsi="Arial"/>
          <w:sz w:val="18"/>
          <w:szCs w:val="18"/>
          <w:color w:val="auto"/>
        </w:rPr>
        <w:t>These arrangements remain in effect.</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Chairman of the Board Martinn Mandles, whose employment ended on November 1, 2004, receives an additional annual retainer of</w:t>
      </w:r>
    </w:p>
    <w:p>
      <w:pPr>
        <w:spacing w:after="0" w:line="234" w:lineRule="auto"/>
        <w:rPr>
          <w:sz w:val="20"/>
          <w:szCs w:val="20"/>
          <w:color w:val="auto"/>
        </w:rPr>
      </w:pPr>
      <w:r>
        <w:rPr>
          <w:rFonts w:ascii="Arial" w:cs="Arial" w:eastAsia="Arial" w:hAnsi="Arial"/>
          <w:sz w:val="18"/>
          <w:szCs w:val="18"/>
          <w:color w:val="auto"/>
        </w:rPr>
        <w:t>$36,000. In addition, the Registrant paid Mr. Mandles $50,000 in fiscal year 2005 for certain transition services, which fee continues on a pro-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rata basis through January 31, 2006.</w:t>
      </w:r>
    </w:p>
    <w:p>
      <w:pPr>
        <w:spacing w:after="0" w:line="104" w:lineRule="exact"/>
        <w:rPr>
          <w:sz w:val="20"/>
          <w:szCs w:val="20"/>
          <w:color w:val="auto"/>
        </w:rPr>
      </w:pPr>
    </w:p>
    <w:p>
      <w:pPr>
        <w:ind w:right="80" w:firstLine="240"/>
        <w:spacing w:after="0" w:line="239" w:lineRule="auto"/>
        <w:rPr>
          <w:sz w:val="20"/>
          <w:szCs w:val="20"/>
          <w:color w:val="auto"/>
        </w:rPr>
      </w:pPr>
      <w:r>
        <w:rPr>
          <w:rFonts w:ascii="Arial" w:cs="Arial" w:eastAsia="Arial" w:hAnsi="Arial"/>
          <w:sz w:val="18"/>
          <w:szCs w:val="18"/>
          <w:color w:val="auto"/>
        </w:rPr>
        <w:t>As a result of the expected reduced frequency of meetings of the Executive Committee on a going forward basis, effective January 1, 2005, Registrant made a lump sum retirement payment of $300,000 to Chairman of the Executive Committee William Steele and terminated the annual consulting retainer of $100,000 paid to Mr. Steele. The Registrant paid an annual fee of $100,000 to director Theodore Rosenberg in 2005, which fee continues on a pro-rata basis through January 31, 2006.</w:t>
      </w:r>
    </w:p>
    <w:p>
      <w:pPr>
        <w:sectPr>
          <w:pgSz w:w="11900" w:h="16838" w:orient="portrait"/>
          <w:cols w:equalWidth="0" w:num="1">
            <w:col w:w="11400"/>
          </w:cols>
          <w:pgMar w:left="240" w:top="949"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EXHIBIT 10.22</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EMPLOYMENT AGREEMENT</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September 20, 2005, by and between</w:t>
      </w:r>
      <w:r>
        <w:rPr>
          <w:rFonts w:ascii="Arial" w:cs="Arial" w:eastAsia="Arial" w:hAnsi="Arial"/>
          <w:sz w:val="18"/>
          <w:szCs w:val="18"/>
          <w:b w:val="1"/>
          <w:bCs w:val="1"/>
          <w:color w:val="auto"/>
        </w:rPr>
        <w:t xml:space="preserve"> Linda S. Auwers </w:t>
      </w:r>
      <w:r>
        <w:rPr>
          <w:rFonts w:ascii="Arial" w:cs="Arial" w:eastAsia="Arial" w:hAnsi="Arial"/>
          <w:sz w:val="18"/>
          <w:szCs w:val="18"/>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ABM Industries Incorporated</w:t>
      </w:r>
      <w:r>
        <w:rPr>
          <w:rFonts w:ascii="Arial" w:cs="Arial" w:eastAsia="Arial" w:hAnsi="Arial"/>
          <w:sz w:val="18"/>
          <w:szCs w:val="18"/>
          <w:color w:val="auto"/>
        </w:rPr>
        <w:t xml:space="preserve"> (“ABM”) for itself and on behalf of its subsidiary corporations as applicable herein.</w:t>
      </w:r>
    </w:p>
    <w:p>
      <w:pPr>
        <w:spacing w:after="0" w:line="54" w:lineRule="exact"/>
        <w:rPr>
          <w:sz w:val="20"/>
          <w:szCs w:val="20"/>
          <w:color w:val="auto"/>
        </w:rPr>
      </w:pPr>
    </w:p>
    <w:p>
      <w:pPr>
        <w:ind w:right="2340"/>
        <w:spacing w:after="0" w:line="4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subsidiaries of ABM are engaged in the building maintenance and related service businesses,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Executive is experienced in the administration, finance, legal, marketing, and/or operation of such services, and</w:t>
      </w:r>
    </w:p>
    <w:p>
      <w:pPr>
        <w:spacing w:after="0" w:line="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ABM and its subsidiaries have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Executive will utilize in the performance of her duties and responsibilities as Senior Vice President, General Counsel &amp; Secretary and under this Agreement; and</w:t>
      </w:r>
    </w:p>
    <w:p>
      <w:pPr>
        <w:spacing w:after="0" w:line="6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ABM,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in connection with her employment;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ABM agree as follows:</w:t>
      </w:r>
    </w:p>
    <w:p>
      <w:pPr>
        <w:spacing w:after="0" w:line="117" w:lineRule="exact"/>
        <w:rPr>
          <w:sz w:val="20"/>
          <w:szCs w:val="20"/>
          <w:color w:val="auto"/>
        </w:rPr>
      </w:pPr>
    </w:p>
    <w:p>
      <w:pPr>
        <w:ind w:left="260" w:hanging="252"/>
        <w:spacing w:after="0" w:line="282" w:lineRule="auto"/>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ABM hereby agrees to employ Executive, and Executive hereby accepts such employment, on the terms and conditions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7" w:lineRule="exact"/>
        <w:rPr>
          <w:rFonts w:ascii="Arial" w:cs="Arial" w:eastAsia="Arial" w:hAnsi="Arial"/>
          <w:sz w:val="18"/>
          <w:szCs w:val="18"/>
          <w:b w:val="1"/>
          <w:bCs w:val="1"/>
          <w:color w:val="auto"/>
        </w:rPr>
      </w:pPr>
    </w:p>
    <w:p>
      <w:pPr>
        <w:ind w:left="260" w:hanging="252"/>
        <w:spacing w:after="0" w:line="282" w:lineRule="auto"/>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Senior Vice President, General Counsel &amp; Secretary of ABM, subject to modification as determined by ABM’s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w:t>
      </w:r>
    </w:p>
    <w:p>
      <w:pPr>
        <w:spacing w:after="0" w:line="67" w:lineRule="exact"/>
        <w:rPr>
          <w:rFonts w:ascii="Arial" w:cs="Arial" w:eastAsia="Arial" w:hAnsi="Arial"/>
          <w:sz w:val="18"/>
          <w:szCs w:val="18"/>
          <w:b w:val="1"/>
          <w:bCs w:val="1"/>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1" w:lineRule="exact"/>
        <w:rPr>
          <w:rFonts w:ascii="Arial" w:cs="Arial" w:eastAsia="Arial" w:hAnsi="Arial"/>
          <w:sz w:val="18"/>
          <w:szCs w:val="18"/>
          <w:b w:val="1"/>
          <w:bCs w:val="1"/>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“ABM” means ABM Industries Incorporated and its successors and assigns.</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“Board” means the Board of Directors of ABM.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ABM.</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“Company” means ABM, its subsidiaries, successors, and assigns.</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Committee” means the Compensation Committee of the Board.</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“EPS” means earnings per share for the applicable Fiscal Year as reported by ABM in its Annual Report on Form 10-K.</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means Linda S. Auwers.</w:t>
      </w:r>
    </w:p>
    <w:p>
      <w:pPr>
        <w:spacing w:after="0" w:line="130" w:lineRule="exact"/>
        <w:rPr>
          <w:rFonts w:ascii="Arial" w:cs="Arial" w:eastAsia="Arial" w:hAnsi="Arial"/>
          <w:sz w:val="18"/>
          <w:szCs w:val="18"/>
          <w:color w:val="auto"/>
        </w:rPr>
      </w:pPr>
    </w:p>
    <w:p>
      <w:pPr>
        <w:ind w:left="460" w:hanging="45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30" w:lineRule="exact"/>
        <w:rPr>
          <w:rFonts w:ascii="Arial" w:cs="Arial" w:eastAsia="Arial" w:hAnsi="Arial"/>
          <w:sz w:val="18"/>
          <w:szCs w:val="18"/>
          <w:color w:val="auto"/>
        </w:rPr>
      </w:pPr>
    </w:p>
    <w:p>
      <w:pPr>
        <w:ind w:left="460" w:hanging="454"/>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75" w:lineRule="exact"/>
        <w:rPr>
          <w:rFonts w:ascii="Arial" w:cs="Arial" w:eastAsia="Arial" w:hAnsi="Arial"/>
          <w:sz w:val="18"/>
          <w:szCs w:val="18"/>
          <w:color w:val="auto"/>
        </w:rPr>
      </w:pPr>
    </w:p>
    <w:p>
      <w:pPr>
        <w:ind w:left="460" w:right="120" w:hanging="454"/>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“Initial Term” is the period beginning on September ___, 2005 and ending October 31, 2007, unless sooner terminated under Paragraph 16 of this Agreement.</w:t>
      </w:r>
    </w:p>
    <w:p>
      <w:pPr>
        <w:spacing w:after="0" w:line="75" w:lineRule="exact"/>
        <w:rPr>
          <w:rFonts w:ascii="Arial" w:cs="Arial" w:eastAsia="Arial" w:hAnsi="Arial"/>
          <w:sz w:val="18"/>
          <w:szCs w:val="18"/>
          <w:color w:val="auto"/>
        </w:rPr>
      </w:pPr>
    </w:p>
    <w:p>
      <w:pPr>
        <w:ind w:left="460" w:right="540" w:hanging="454"/>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Contribution” means ABM’s contribution to provide group health and life insurance for Executive and excludes any payment by Executive for such coverage.</w:t>
      </w:r>
    </w:p>
    <w:p>
      <w:pPr>
        <w:spacing w:after="0" w:line="75" w:lineRule="exact"/>
        <w:rPr>
          <w:rFonts w:ascii="Arial" w:cs="Arial" w:eastAsia="Arial" w:hAnsi="Arial"/>
          <w:sz w:val="18"/>
          <w:szCs w:val="18"/>
          <w:color w:val="auto"/>
        </w:rPr>
      </w:pPr>
    </w:p>
    <w:p>
      <w:pPr>
        <w:ind w:left="460" w:right="80" w:hanging="454"/>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her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98" w:lineRule="exact"/>
        <w:rPr>
          <w:rFonts w:ascii="Arial" w:cs="Arial" w:eastAsia="Arial" w:hAnsi="Arial"/>
          <w:sz w:val="18"/>
          <w:szCs w:val="18"/>
          <w:color w:val="auto"/>
        </w:rPr>
      </w:pPr>
    </w:p>
    <w:p>
      <w:pPr>
        <w:ind w:left="460" w:right="60" w:hanging="454"/>
        <w:spacing w:after="0" w:line="34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5" w:right="259" w:bottom="1440" w:gutter="0" w:footer="0" w:header="0"/>
        </w:sectPr>
      </w:pPr>
    </w:p>
    <w:bookmarkStart w:id="98" w:name="page99"/>
    <w:bookmarkEnd w:id="98"/>
    <w:p>
      <w:pPr>
        <w:ind w:left="792" w:hanging="454"/>
        <w:spacing w:after="0"/>
        <w:tabs>
          <w:tab w:leader="none" w:pos="7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“Performance Assessment” means the Chief Executive Officer’s annual assessment of Executive’s performance against the Performance Criteria.</w:t>
      </w:r>
    </w:p>
    <w:p>
      <w:pPr>
        <w:spacing w:after="0" w:line="153" w:lineRule="exact"/>
        <w:rPr>
          <w:rFonts w:ascii="Arial" w:cs="Arial" w:eastAsia="Arial" w:hAnsi="Arial"/>
          <w:sz w:val="16"/>
          <w:szCs w:val="16"/>
          <w:color w:val="auto"/>
        </w:rPr>
      </w:pPr>
    </w:p>
    <w:p>
      <w:pPr>
        <w:ind w:left="792" w:right="400" w:hanging="454"/>
        <w:spacing w:after="0" w:line="277" w:lineRule="auto"/>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“Performance Criteria” means the performance criteria for Executive established annually by the Chief Executive Officer in accordance with Paragraph 7B of this Agreement.</w:t>
      </w:r>
    </w:p>
    <w:p>
      <w:pPr>
        <w:spacing w:after="0" w:line="75" w:lineRule="exact"/>
        <w:rPr>
          <w:rFonts w:ascii="Arial" w:cs="Arial" w:eastAsia="Arial" w:hAnsi="Arial"/>
          <w:sz w:val="18"/>
          <w:szCs w:val="18"/>
          <w:color w:val="auto"/>
        </w:rPr>
      </w:pPr>
    </w:p>
    <w:p>
      <w:pPr>
        <w:ind w:left="792" w:right="20" w:hanging="454"/>
        <w:spacing w:after="0" w:line="276" w:lineRule="auto"/>
        <w:tabs>
          <w:tab w:leader="none" w:pos="792" w:val="left"/>
        </w:tabs>
        <w:numPr>
          <w:ilvl w:val="1"/>
          <w:numId w:val="46"/>
        </w:numPr>
        <w:rPr>
          <w:rFonts w:ascii="Arial" w:cs="Arial" w:eastAsia="Arial" w:hAnsi="Arial"/>
          <w:sz w:val="17"/>
          <w:szCs w:val="17"/>
          <w:color w:val="auto"/>
        </w:rPr>
      </w:pPr>
      <w:r>
        <w:rPr>
          <w:rFonts w:ascii="Arial" w:cs="Arial" w:eastAsia="Arial" w:hAnsi="Arial"/>
          <w:sz w:val="17"/>
          <w:szCs w:val="17"/>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77" w:lineRule="exact"/>
        <w:rPr>
          <w:rFonts w:ascii="Arial" w:cs="Arial" w:eastAsia="Arial" w:hAnsi="Arial"/>
          <w:sz w:val="17"/>
          <w:szCs w:val="17"/>
          <w:color w:val="auto"/>
        </w:rPr>
      </w:pPr>
    </w:p>
    <w:p>
      <w:pPr>
        <w:ind w:left="792" w:hanging="454"/>
        <w:spacing w:after="0"/>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“Section 162(m)” means Section 162(m) of the Internal Revenue Code of 1986, as amended, or any successor statute.</w:t>
      </w:r>
    </w:p>
    <w:p>
      <w:pPr>
        <w:spacing w:after="0" w:line="130" w:lineRule="exact"/>
        <w:rPr>
          <w:rFonts w:ascii="Arial" w:cs="Arial" w:eastAsia="Arial" w:hAnsi="Arial"/>
          <w:sz w:val="18"/>
          <w:szCs w:val="18"/>
          <w:color w:val="auto"/>
        </w:rPr>
      </w:pPr>
    </w:p>
    <w:p>
      <w:pPr>
        <w:ind w:left="792" w:right="40" w:hanging="454"/>
        <w:spacing w:after="0" w:line="277" w:lineRule="auto"/>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“Significant Transaction” means Company’s acquisition or disposition of a business or assets which ABM is required to report under Item 2.01 of Form 8-K under the rules and regulations issued by the Securities and Exchange Commission.</w:t>
      </w:r>
    </w:p>
    <w:p>
      <w:pPr>
        <w:spacing w:after="0" w:line="75" w:lineRule="exact"/>
        <w:rPr>
          <w:rFonts w:ascii="Arial" w:cs="Arial" w:eastAsia="Arial" w:hAnsi="Arial"/>
          <w:sz w:val="18"/>
          <w:szCs w:val="18"/>
          <w:color w:val="auto"/>
        </w:rPr>
      </w:pPr>
    </w:p>
    <w:p>
      <w:pPr>
        <w:ind w:left="792" w:hanging="454"/>
        <w:spacing w:after="0"/>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“State of Employment” means California.</w:t>
      </w:r>
    </w:p>
    <w:p>
      <w:pPr>
        <w:spacing w:after="0" w:line="130" w:lineRule="exact"/>
        <w:rPr>
          <w:rFonts w:ascii="Arial" w:cs="Arial" w:eastAsia="Arial" w:hAnsi="Arial"/>
          <w:sz w:val="18"/>
          <w:szCs w:val="18"/>
          <w:color w:val="auto"/>
        </w:rPr>
      </w:pPr>
    </w:p>
    <w:p>
      <w:pPr>
        <w:ind w:left="792" w:hanging="454"/>
        <w:spacing w:after="0"/>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“Target Bonus” means 33.3% of Executive’s Base Salary.</w:t>
      </w:r>
    </w:p>
    <w:p>
      <w:pPr>
        <w:spacing w:after="0" w:line="130" w:lineRule="exact"/>
        <w:rPr>
          <w:rFonts w:ascii="Arial" w:cs="Arial" w:eastAsia="Arial" w:hAnsi="Arial"/>
          <w:sz w:val="18"/>
          <w:szCs w:val="18"/>
          <w:color w:val="auto"/>
        </w:rPr>
      </w:pPr>
    </w:p>
    <w:p>
      <w:pPr>
        <w:ind w:left="792" w:right="20" w:hanging="454"/>
        <w:spacing w:after="0" w:line="264" w:lineRule="auto"/>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her duties under this Agreement and shall be deemed to occur on the 91st consecutive or non-consecutive calendar day within any 12 month period that Executive is unable to perform her duties under this Agreement because of any physical or mental illness or disability.</w:t>
      </w:r>
    </w:p>
    <w:p>
      <w:pPr>
        <w:spacing w:after="0" w:line="86" w:lineRule="exact"/>
        <w:rPr>
          <w:rFonts w:ascii="Arial" w:cs="Arial" w:eastAsia="Arial" w:hAnsi="Arial"/>
          <w:sz w:val="18"/>
          <w:szCs w:val="18"/>
          <w:color w:val="auto"/>
        </w:rPr>
      </w:pPr>
    </w:p>
    <w:p>
      <w:pPr>
        <w:ind w:left="792" w:hanging="454"/>
        <w:spacing w:after="0" w:line="264" w:lineRule="auto"/>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“WTC Related Gain” means the total amount of all items of income included in ABM’s audited consolidated financial statements for any Fiscal Year that result from ABM’s receipt of insurance proceeds or other compensation or damages due to ABM’s loss of property, business or profits as a result of the destruction of the World Trade Center on September 11, 2001.</w:t>
      </w:r>
    </w:p>
    <w:p>
      <w:pPr>
        <w:spacing w:after="0" w:line="69" w:lineRule="exact"/>
        <w:rPr>
          <w:rFonts w:ascii="Arial" w:cs="Arial" w:eastAsia="Arial" w:hAnsi="Arial"/>
          <w:sz w:val="18"/>
          <w:szCs w:val="18"/>
          <w:color w:val="auto"/>
        </w:rPr>
      </w:pPr>
    </w:p>
    <w:p>
      <w:pPr>
        <w:ind w:left="252" w:right="200" w:hanging="252"/>
        <w:spacing w:after="0" w:line="266" w:lineRule="auto"/>
        <w:tabs>
          <w:tab w:leader="none" w:pos="2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 assigned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time-to-time by the Chief Executive Officer or such other officer designated by the Chief Executive Officer, to whom Executive shall report and be accountable.</w:t>
      </w:r>
    </w:p>
    <w:p>
      <w:pPr>
        <w:spacing w:after="0" w:line="15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99" w:name="page100"/>
    <w:bookmarkEnd w:id="99"/>
    <w:p>
      <w:pPr>
        <w:ind w:left="252" w:right="280" w:hanging="252"/>
        <w:spacing w:after="0" w:line="282" w:lineRule="auto"/>
        <w:tabs>
          <w:tab w:leader="none" w:pos="2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 October 31, 2007, unless sooner terminated pursuant to Paragraph 16 or later extended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 under Paragraph 15 of this Agreement.</w:t>
      </w:r>
    </w:p>
    <w:p>
      <w:pPr>
        <w:spacing w:after="0" w:line="67" w:lineRule="exact"/>
        <w:rPr>
          <w:rFonts w:ascii="Arial" w:cs="Arial" w:eastAsia="Arial" w:hAnsi="Arial"/>
          <w:sz w:val="18"/>
          <w:szCs w:val="18"/>
          <w:b w:val="1"/>
          <w:bCs w:val="1"/>
          <w:color w:val="auto"/>
        </w:rPr>
      </w:pPr>
    </w:p>
    <w:p>
      <w:pPr>
        <w:ind w:left="252" w:right="320" w:hanging="252"/>
        <w:spacing w:after="0" w:line="282" w:lineRule="auto"/>
        <w:tabs>
          <w:tab w:leader="none" w:pos="2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During the Initial Term and any Extended Term, as applicable, of this Agreement, Executive shall be based at an ABM office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State of Employment or such other location as shall be mutually agreed upon by ABM and Executive.</w:t>
      </w:r>
    </w:p>
    <w:p>
      <w:pPr>
        <w:spacing w:after="0" w:line="67" w:lineRule="exact"/>
        <w:rPr>
          <w:rFonts w:ascii="Arial" w:cs="Arial" w:eastAsia="Arial" w:hAnsi="Arial"/>
          <w:sz w:val="18"/>
          <w:szCs w:val="18"/>
          <w:b w:val="1"/>
          <w:bCs w:val="1"/>
          <w:color w:val="auto"/>
        </w:rPr>
      </w:pPr>
    </w:p>
    <w:p>
      <w:pPr>
        <w:ind w:left="252" w:right="420" w:hanging="252"/>
        <w:spacing w:after="0" w:line="282" w:lineRule="auto"/>
        <w:tabs>
          <w:tab w:leader="none" w:pos="2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ABM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57" w:lineRule="exact"/>
        <w:rPr>
          <w:rFonts w:ascii="Arial" w:cs="Arial" w:eastAsia="Arial" w:hAnsi="Arial"/>
          <w:sz w:val="18"/>
          <w:szCs w:val="18"/>
          <w:b w:val="1"/>
          <w:bCs w:val="1"/>
          <w:color w:val="auto"/>
        </w:rPr>
      </w:pPr>
    </w:p>
    <w:p>
      <w:pPr>
        <w:ind w:left="792" w:right="180" w:hanging="454"/>
        <w:spacing w:after="0" w:line="264" w:lineRule="auto"/>
        <w:tabs>
          <w:tab w:leader="none" w:pos="7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at the annual rate of $306,153. Executive shall be eligible, at the sole discretion of the Compensation Committee, to receive a merit increase based on Executive’s job performance or for any other reason deemed appropriate by the Compensation Committee.</w:t>
      </w:r>
    </w:p>
    <w:p>
      <w:pPr>
        <w:spacing w:after="0" w:line="86" w:lineRule="exact"/>
        <w:rPr>
          <w:rFonts w:ascii="Arial" w:cs="Arial" w:eastAsia="Arial" w:hAnsi="Arial"/>
          <w:sz w:val="18"/>
          <w:szCs w:val="18"/>
          <w:color w:val="auto"/>
        </w:rPr>
      </w:pPr>
    </w:p>
    <w:p>
      <w:pPr>
        <w:ind w:left="792" w:hanging="454"/>
        <w:spacing w:after="0"/>
        <w:tabs>
          <w:tab w:leader="none" w:pos="7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entitled to a Bonus for each Fiscal Year, as follows:</w:t>
      </w:r>
    </w:p>
    <w:p>
      <w:pPr>
        <w:spacing w:after="0" w:line="117" w:lineRule="exact"/>
        <w:rPr>
          <w:rFonts w:ascii="Arial" w:cs="Arial" w:eastAsia="Arial" w:hAnsi="Arial"/>
          <w:sz w:val="18"/>
          <w:szCs w:val="18"/>
          <w:color w:val="auto"/>
        </w:rPr>
      </w:pPr>
    </w:p>
    <w:p>
      <w:pPr>
        <w:ind w:left="1112" w:right="120" w:hanging="437"/>
        <w:spacing w:after="0" w:line="253" w:lineRule="auto"/>
        <w:tabs>
          <w:tab w:leader="none" w:pos="1112" w:val="left"/>
        </w:tabs>
        <w:numPr>
          <w:ilvl w:val="2"/>
          <w:numId w:val="48"/>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for the applicable Fiscal Year evaluated on the basis of the Performance Criteria. Performance Criteria may include both ABM and individual objectives, may be both qualitative and quantitative in nature and shall be established by the Chief Executive Officer, reviewed by the Compensation Committee, and communicated to Executive within 90 days after the beginning of the Fiscal Year for which they apply. The 2005 Performance Criteria are attached as Exhibit A to this Agreement. The Performance Assessment for each Fiscal Year shall be the responsibility of the Chief Executive Officer, who shall submit the Performance Assessment to the Compensation Committee on the Calculation Worksheet attached as Exhibit B to this Agreement. The determination of the Bonus amount for each Fiscal Year shall be determined by the Compensation Committee based upon the Performance Assessment and the recommendation of the Chief Executive Officer.</w:t>
      </w:r>
    </w:p>
    <w:p>
      <w:pPr>
        <w:spacing w:after="0" w:line="102" w:lineRule="exact"/>
        <w:rPr>
          <w:rFonts w:ascii="Arial" w:cs="Arial" w:eastAsia="Arial" w:hAnsi="Arial"/>
          <w:sz w:val="18"/>
          <w:szCs w:val="18"/>
          <w:color w:val="auto"/>
        </w:rPr>
      </w:pPr>
    </w:p>
    <w:p>
      <w:pPr>
        <w:ind w:left="1112" w:hanging="437"/>
        <w:spacing w:after="0" w:line="259" w:lineRule="auto"/>
        <w:tabs>
          <w:tab w:leader="none" w:pos="1112"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Compensation Committee reserves the right at any time to adjust the Performance Criteria in the event of a Significant Transaction and/or for any unanticipated and material events that are beyond the control of ABM, including but not limited to acts of god, nature, war or terrorism, or changes in the rules for financial reporting set forth by the Financial Accounting Standards Board, the Securities and Exchange Commission,</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100" w:name="page101"/>
    <w:bookmarkEnd w:id="100"/>
    <w:p>
      <w:pPr>
        <w:ind w:left="800" w:right="460"/>
        <w:spacing w:after="0" w:line="277" w:lineRule="auto"/>
        <w:rPr>
          <w:sz w:val="20"/>
          <w:szCs w:val="20"/>
          <w:color w:val="auto"/>
        </w:rPr>
      </w:pPr>
      <w:r>
        <w:rPr>
          <w:rFonts w:ascii="Arial" w:cs="Arial" w:eastAsia="Arial" w:hAnsi="Arial"/>
          <w:sz w:val="18"/>
          <w:szCs w:val="18"/>
          <w:color w:val="auto"/>
        </w:rPr>
        <w:t>rules of the New York Stock Exchange and/or for any other reason which the Compensation Committee determines, in good faith, to be appropriate.</w:t>
      </w:r>
    </w:p>
    <w:p>
      <w:pPr>
        <w:spacing w:after="0" w:line="62" w:lineRule="exact"/>
        <w:rPr>
          <w:sz w:val="20"/>
          <w:szCs w:val="20"/>
          <w:color w:val="auto"/>
        </w:rPr>
      </w:pPr>
    </w:p>
    <w:p>
      <w:pPr>
        <w:ind w:left="780" w:right="20" w:hanging="437"/>
        <w:spacing w:after="0" w:line="255"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ABM shall pay Executive the Bonus for each Fiscal Year following completion of the audit of ABM’s financial statements for such Fiscal Year and within 10 days after determination of the Bonus by the Compensation Committee. In the event of modification of employment under Paragraph 14 or termination of employment hereunder other than (a) a termination under Paragraph 16B, (b) a termination under Paragraph 16C for reasons other than Executive’s health, or (c) Executive’s retiring at age 65 or more with no less than 10 years of employment at Company, ABM shall pay Executive, within 75 days thereafter, a prorated portion of the Target Bonus based on the fraction of the Fiscal Year that has been completed prior to the date of modification or termination.</w:t>
      </w:r>
    </w:p>
    <w:p>
      <w:pPr>
        <w:spacing w:after="0" w:line="98" w:lineRule="exact"/>
        <w:rPr>
          <w:rFonts w:ascii="Arial" w:cs="Arial" w:eastAsia="Arial" w:hAnsi="Arial"/>
          <w:sz w:val="18"/>
          <w:szCs w:val="18"/>
          <w:color w:val="auto"/>
        </w:rPr>
      </w:pPr>
    </w:p>
    <w:p>
      <w:pPr>
        <w:jc w:val="both"/>
        <w:ind w:left="780" w:right="620" w:hanging="437"/>
        <w:spacing w:after="0" w:line="342" w:lineRule="auto"/>
        <w:tabs>
          <w:tab w:leader="none" w:pos="7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Absent bad faith or material error, any conclusions of the Chief Executive Officer with respect to the Performance Assessment or the Compensation Committee with respect to the Performance Criteria or the Bonus shall be final and binding upon Executive and ABM.</w:t>
      </w:r>
    </w:p>
    <w:p>
      <w:pPr>
        <w:spacing w:after="0" w:line="29" w:lineRule="exact"/>
        <w:rPr>
          <w:rFonts w:ascii="Arial" w:cs="Arial" w:eastAsia="Arial" w:hAnsi="Arial"/>
          <w:sz w:val="16"/>
          <w:szCs w:val="16"/>
          <w:color w:val="auto"/>
        </w:rPr>
      </w:pPr>
    </w:p>
    <w:p>
      <w:pPr>
        <w:ind w:left="780" w:right="80" w:hanging="437"/>
        <w:spacing w:after="0" w:line="259"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Bonus for any Fiscal Year of ABM (other than the payment of a prorated portion of the Target Bonus under Paragraph 7B(iii) following a modification or termination of employment) shall be payable unless ABM’s EPS for the Fiscal Year then ending is equal to or greater than 80% of ABM’s EPS for the previous Fiscal Year of ABM, in each case excluding any gains and losses from sales of discontinued operations and any WTC Related Gain.</w:t>
      </w:r>
    </w:p>
    <w:p>
      <w:pPr>
        <w:spacing w:after="0" w:line="92" w:lineRule="exact"/>
        <w:rPr>
          <w:rFonts w:ascii="Arial" w:cs="Arial" w:eastAsia="Arial" w:hAnsi="Arial"/>
          <w:sz w:val="18"/>
          <w:szCs w:val="18"/>
          <w:color w:val="auto"/>
        </w:rPr>
      </w:pPr>
    </w:p>
    <w:p>
      <w:pPr>
        <w:ind w:left="780" w:hanging="437"/>
        <w:spacing w:after="0" w:line="259"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Compensation Committee may, prior to the beginning of any Fiscal Year, approve and notify the Executive of a modification to the Target Bonus or the bonus range set forth in subparagraph (i) above. The Compensation Committee’s decision in this regard shall be deemed final and binding on Executive. In addition, the Compensation Committee may grant a discretionary incentive bonus to Executive at any time in its sole discretion.</w:t>
      </w:r>
    </w:p>
    <w:p>
      <w:pPr>
        <w:spacing w:after="0" w:line="78" w:lineRule="exact"/>
        <w:rPr>
          <w:rFonts w:ascii="Arial" w:cs="Arial" w:eastAsia="Arial" w:hAnsi="Arial"/>
          <w:sz w:val="18"/>
          <w:szCs w:val="18"/>
          <w:color w:val="auto"/>
        </w:rPr>
      </w:pPr>
    </w:p>
    <w:p>
      <w:pPr>
        <w:ind w:left="460" w:right="120" w:hanging="454"/>
        <w:spacing w:after="0" w:line="273"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FRINGE BENEFITS. Executive shall receive the then current fringe benefits generally provided by ABM to its executives. Such benefits may include but not be limited to the use of an ABM-leased car or a car allowance, group health benefits, long-term disability benefits, group life insurance, sick leave and vacation. Each of these fringe benefits is subject to the applicable ABM policy at all times. Executive expressly agrees that should she terminate employment with ABM for the purpose of being re-employed by an ABM subsidiary or affiliate, she shall “carry-over” any previously accrued but unused vacation balance to the books of the affiliate. ABM reserves the right to add, increase, reduce or eliminate any fringe benefit at any time, but no such benefit or benefits shall be</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1043" w:right="279" w:bottom="1440" w:gutter="0" w:footer="0" w:header="0"/>
        </w:sectPr>
      </w:pPr>
    </w:p>
    <w:bookmarkStart w:id="101" w:name="page102"/>
    <w:bookmarkEnd w:id="101"/>
    <w:p>
      <w:pPr>
        <w:ind w:left="792"/>
        <w:spacing w:after="0"/>
        <w:rPr>
          <w:sz w:val="20"/>
          <w:szCs w:val="20"/>
          <w:color w:val="auto"/>
        </w:rPr>
      </w:pPr>
      <w:r>
        <w:rPr>
          <w:rFonts w:ascii="Arial" w:cs="Arial" w:eastAsia="Arial" w:hAnsi="Arial"/>
          <w:sz w:val="18"/>
          <w:szCs w:val="18"/>
          <w:color w:val="auto"/>
        </w:rPr>
        <w:t>reduced or eliminated as to Executive unless generally reduced or eliminated as to senior executives at ABM.</w:t>
      </w:r>
    </w:p>
    <w:p>
      <w:pPr>
        <w:spacing w:after="0" w:line="117" w:lineRule="exact"/>
        <w:rPr>
          <w:sz w:val="20"/>
          <w:szCs w:val="20"/>
          <w:color w:val="auto"/>
        </w:rPr>
      </w:pPr>
    </w:p>
    <w:p>
      <w:pPr>
        <w:ind w:left="792" w:right="180" w:hanging="454"/>
        <w:spacing w:after="0" w:line="286" w:lineRule="auto"/>
        <w:tabs>
          <w:tab w:leader="none" w:pos="7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cause compensation payable to Executive to be non-deductible by ABM as a result of the $1 million compensation limit provisions of Section 162(m), Executive agrees that any such amount in excess of $1 million shall not be paid out to Executive but shall be deferred by Executive under the ABM Deferred Compensation Plan. The distribution of such deferred amounts will be made only after Executive is no longer considered a “covered employee” as defined in</w:t>
      </w:r>
    </w:p>
    <w:p>
      <w:pPr>
        <w:spacing w:after="0" w:line="1" w:lineRule="exact"/>
        <w:rPr>
          <w:rFonts w:ascii="Arial" w:cs="Arial" w:eastAsia="Arial" w:hAnsi="Arial"/>
          <w:sz w:val="16"/>
          <w:szCs w:val="16"/>
          <w:color w:val="auto"/>
        </w:rPr>
      </w:pPr>
    </w:p>
    <w:p>
      <w:pPr>
        <w:ind w:left="792" w:right="800"/>
        <w:spacing w:after="0" w:line="261" w:lineRule="auto"/>
        <w:rPr>
          <w:rFonts w:ascii="Arial" w:cs="Arial" w:eastAsia="Arial" w:hAnsi="Arial"/>
          <w:sz w:val="16"/>
          <w:szCs w:val="16"/>
          <w:color w:val="auto"/>
        </w:rPr>
      </w:pPr>
      <w:r>
        <w:rPr>
          <w:rFonts w:ascii="Arial" w:cs="Arial" w:eastAsia="Arial" w:hAnsi="Arial"/>
          <w:sz w:val="18"/>
          <w:szCs w:val="18"/>
          <w:color w:val="auto"/>
        </w:rPr>
        <w:t>Section 162(m). Amounts deferred by Executive will be credited with interest or gains and losses in accordance with the ABM Deferred Compensation Plan.</w:t>
      </w:r>
    </w:p>
    <w:p>
      <w:pPr>
        <w:spacing w:after="0" w:line="71" w:lineRule="exact"/>
        <w:rPr>
          <w:rFonts w:ascii="Arial" w:cs="Arial" w:eastAsia="Arial" w:hAnsi="Arial"/>
          <w:sz w:val="16"/>
          <w:szCs w:val="16"/>
          <w:color w:val="auto"/>
        </w:rPr>
      </w:pPr>
    </w:p>
    <w:p>
      <w:pPr>
        <w:ind w:left="252" w:right="160" w:hanging="252"/>
        <w:spacing w:after="0" w:line="282" w:lineRule="auto"/>
        <w:tabs>
          <w:tab w:leader="none" w:pos="2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ABM shall pay directly or reimburse Executive for reasonable 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of ABM incurred by Executive in connection with ABM business in accordance with the ABM Travel &amp; Entertainment Policy.</w:t>
      </w:r>
    </w:p>
    <w:p>
      <w:pPr>
        <w:spacing w:after="0" w:line="67" w:lineRule="exact"/>
        <w:rPr>
          <w:rFonts w:ascii="Arial" w:cs="Arial" w:eastAsia="Arial" w:hAnsi="Arial"/>
          <w:sz w:val="18"/>
          <w:szCs w:val="18"/>
          <w:b w:val="1"/>
          <w:bCs w:val="1"/>
          <w:color w:val="auto"/>
        </w:rPr>
      </w:pPr>
    </w:p>
    <w:p>
      <w:pPr>
        <w:ind w:left="252" w:hanging="252"/>
        <w:spacing w:after="0" w:line="282" w:lineRule="auto"/>
        <w:tabs>
          <w:tab w:leader="none" w:pos="2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CONDUCT. </w:t>
      </w:r>
      <w:r>
        <w:rPr>
          <w:rFonts w:ascii="Arial" w:cs="Arial" w:eastAsia="Arial" w:hAnsi="Arial"/>
          <w:sz w:val="18"/>
          <w:szCs w:val="18"/>
          <w:color w:val="auto"/>
        </w:rPr>
        <w:t>Executive shall comply with all applicable laws pertaining to the performance of this Agreement, and with all lawful and ethical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regulations, policies, codes of conduct, procedures and instructions of Company, including but not limited to the following:</w:t>
      </w:r>
    </w:p>
    <w:p>
      <w:pPr>
        <w:spacing w:after="0" w:line="57" w:lineRule="exact"/>
        <w:rPr>
          <w:rFonts w:ascii="Arial" w:cs="Arial" w:eastAsia="Arial" w:hAnsi="Arial"/>
          <w:sz w:val="18"/>
          <w:szCs w:val="18"/>
          <w:b w:val="1"/>
          <w:bCs w:val="1"/>
          <w:color w:val="auto"/>
        </w:rPr>
      </w:pPr>
    </w:p>
    <w:p>
      <w:pPr>
        <w:ind w:left="792" w:hanging="454"/>
        <w:spacing w:after="0"/>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w:t>
      </w:r>
    </w:p>
    <w:p>
      <w:pPr>
        <w:spacing w:after="0" w:line="130" w:lineRule="exact"/>
        <w:rPr>
          <w:rFonts w:ascii="Arial" w:cs="Arial" w:eastAsia="Arial" w:hAnsi="Arial"/>
          <w:sz w:val="18"/>
          <w:szCs w:val="18"/>
          <w:color w:val="auto"/>
        </w:rPr>
      </w:pPr>
    </w:p>
    <w:p>
      <w:pPr>
        <w:ind w:left="792" w:hanging="454"/>
        <w:spacing w:after="0"/>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ABM.</w:t>
      </w:r>
    </w:p>
    <w:p>
      <w:pPr>
        <w:spacing w:after="0" w:line="130" w:lineRule="exact"/>
        <w:rPr>
          <w:rFonts w:ascii="Arial" w:cs="Arial" w:eastAsia="Arial" w:hAnsi="Arial"/>
          <w:sz w:val="18"/>
          <w:szCs w:val="18"/>
          <w:color w:val="auto"/>
        </w:rPr>
      </w:pPr>
    </w:p>
    <w:p>
      <w:pPr>
        <w:ind w:left="792" w:right="240" w:hanging="454"/>
        <w:spacing w:after="0" w:line="277" w:lineRule="auto"/>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75" w:lineRule="exact"/>
        <w:rPr>
          <w:rFonts w:ascii="Arial" w:cs="Arial" w:eastAsia="Arial" w:hAnsi="Arial"/>
          <w:sz w:val="18"/>
          <w:szCs w:val="18"/>
          <w:color w:val="auto"/>
        </w:rPr>
      </w:pPr>
    </w:p>
    <w:p>
      <w:pPr>
        <w:ind w:left="792" w:right="500" w:hanging="454"/>
        <w:spacing w:after="0" w:line="264" w:lineRule="auto"/>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she is approached by any person to discuss a possible acquisition or other transaction that could result in a change of control of ABM, Executive will immediately advise the Chief Executive Officer, ABM’s General Counsel and the Chair of the Governance Committee of the Board.</w:t>
      </w:r>
    </w:p>
    <w:p>
      <w:pPr>
        <w:spacing w:after="0" w:line="86" w:lineRule="exact"/>
        <w:rPr>
          <w:rFonts w:ascii="Arial" w:cs="Arial" w:eastAsia="Arial" w:hAnsi="Arial"/>
          <w:sz w:val="18"/>
          <w:szCs w:val="18"/>
          <w:color w:val="auto"/>
        </w:rPr>
      </w:pPr>
    </w:p>
    <w:p>
      <w:pPr>
        <w:ind w:left="792" w:right="180" w:hanging="454"/>
        <w:spacing w:after="0" w:line="277" w:lineRule="auto"/>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w:t>
      </w:r>
    </w:p>
    <w:p>
      <w:pPr>
        <w:spacing w:after="0" w:line="75" w:lineRule="exact"/>
        <w:rPr>
          <w:rFonts w:ascii="Arial" w:cs="Arial" w:eastAsia="Arial" w:hAnsi="Arial"/>
          <w:sz w:val="18"/>
          <w:szCs w:val="18"/>
          <w:color w:val="auto"/>
        </w:rPr>
      </w:pPr>
    </w:p>
    <w:p>
      <w:pPr>
        <w:ind w:left="792" w:right="260" w:hanging="454"/>
        <w:spacing w:after="0" w:line="277" w:lineRule="auto"/>
        <w:tabs>
          <w:tab w:leader="none" w:pos="7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her performance and receipt of compensation under this Agreement.</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02" w:name="page103"/>
    <w:bookmarkEnd w:id="102"/>
    <w:p>
      <w:pPr>
        <w:ind w:left="332" w:hanging="332"/>
        <w:spacing w:after="0" w:line="261" w:lineRule="auto"/>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ABM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 Agreement. Executive further represents that she is not bound by any other contracts or covenants that in any way restrict or limit Executive’s activities in relation to his or her employment with ABM that have not been fully disclosed to ABM prior to the signing of this Agreement.</w:t>
      </w:r>
    </w:p>
    <w:p>
      <w:pPr>
        <w:spacing w:after="0" w:line="71" w:lineRule="exact"/>
        <w:rPr>
          <w:rFonts w:ascii="Arial" w:cs="Arial" w:eastAsia="Arial" w:hAnsi="Arial"/>
          <w:sz w:val="18"/>
          <w:szCs w:val="18"/>
          <w:b w:val="1"/>
          <w:bCs w:val="1"/>
          <w:color w:val="auto"/>
        </w:rPr>
      </w:pPr>
    </w:p>
    <w:p>
      <w:pPr>
        <w:ind w:left="332" w:right="40" w:hanging="332"/>
        <w:spacing w:after="0" w:line="295" w:lineRule="auto"/>
        <w:tabs>
          <w:tab w:leader="none" w:pos="33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PROPERTY. </w:t>
      </w:r>
      <w:r>
        <w:rPr>
          <w:rFonts w:ascii="Arial" w:cs="Arial" w:eastAsia="Arial" w:hAnsi="Arial"/>
          <w:sz w:val="16"/>
          <w:szCs w:val="16"/>
          <w:color w:val="auto"/>
        </w:rPr>
        <w:t>ABM shall, from time to time, entrust to the care, custody and control of Executive certain of Company’s property,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47" w:lineRule="exact"/>
        <w:rPr>
          <w:rFonts w:ascii="Arial" w:cs="Arial" w:eastAsia="Arial" w:hAnsi="Arial"/>
          <w:sz w:val="16"/>
          <w:szCs w:val="16"/>
          <w:b w:val="1"/>
          <w:bCs w:val="1"/>
          <w:color w:val="auto"/>
        </w:rPr>
      </w:pPr>
    </w:p>
    <w:p>
      <w:pPr>
        <w:ind w:left="332" w:hanging="332"/>
        <w:spacing w:after="0"/>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1" w:lineRule="exact"/>
        <w:rPr>
          <w:rFonts w:ascii="Arial" w:cs="Arial" w:eastAsia="Arial" w:hAnsi="Arial"/>
          <w:sz w:val="18"/>
          <w:szCs w:val="18"/>
          <w:b w:val="1"/>
          <w:bCs w:val="1"/>
          <w:color w:val="auto"/>
        </w:rPr>
      </w:pPr>
    </w:p>
    <w:p>
      <w:pPr>
        <w:ind w:left="792" w:right="640" w:hanging="454"/>
        <w:spacing w:after="0" w:line="342" w:lineRule="auto"/>
        <w:tabs>
          <w:tab w:leader="none" w:pos="792" w:val="left"/>
        </w:tabs>
        <w:numPr>
          <w:ilvl w:val="1"/>
          <w:numId w:val="53"/>
        </w:numPr>
        <w:rPr>
          <w:rFonts w:ascii="Arial" w:cs="Arial" w:eastAsia="Arial" w:hAnsi="Arial"/>
          <w:sz w:val="16"/>
          <w:szCs w:val="16"/>
          <w:color w:val="auto"/>
        </w:rPr>
      </w:pPr>
      <w:r>
        <w:rPr>
          <w:rFonts w:ascii="Arial" w:cs="Arial" w:eastAsia="Arial" w:hAnsi="Arial"/>
          <w:sz w:val="16"/>
          <w:szCs w:val="16"/>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29" w:lineRule="exact"/>
        <w:rPr>
          <w:rFonts w:ascii="Arial" w:cs="Arial" w:eastAsia="Arial" w:hAnsi="Arial"/>
          <w:sz w:val="16"/>
          <w:szCs w:val="16"/>
          <w:color w:val="auto"/>
        </w:rPr>
      </w:pPr>
    </w:p>
    <w:p>
      <w:pPr>
        <w:ind w:left="792" w:right="20" w:hanging="454"/>
        <w:spacing w:after="0" w:line="255" w:lineRule="auto"/>
        <w:tabs>
          <w:tab w:leader="none" w:pos="7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ABM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81" w:lineRule="exact"/>
        <w:rPr>
          <w:rFonts w:ascii="Arial" w:cs="Arial" w:eastAsia="Arial" w:hAnsi="Arial"/>
          <w:sz w:val="18"/>
          <w:szCs w:val="18"/>
          <w:color w:val="auto"/>
        </w:rPr>
      </w:pPr>
    </w:p>
    <w:p>
      <w:pPr>
        <w:ind w:left="332" w:right="140" w:hanging="332"/>
        <w:spacing w:after="0" w:line="282" w:lineRule="auto"/>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as specifically agreed herein:</w:t>
      </w:r>
    </w:p>
    <w:p>
      <w:pPr>
        <w:spacing w:after="0" w:line="57" w:lineRule="exact"/>
        <w:rPr>
          <w:rFonts w:ascii="Arial" w:cs="Arial" w:eastAsia="Arial" w:hAnsi="Arial"/>
          <w:sz w:val="18"/>
          <w:szCs w:val="18"/>
          <w:b w:val="1"/>
          <w:bCs w:val="1"/>
          <w:color w:val="auto"/>
        </w:rPr>
      </w:pPr>
    </w:p>
    <w:p>
      <w:pPr>
        <w:ind w:left="792" w:right="840" w:hanging="454"/>
        <w:spacing w:after="0" w:line="277" w:lineRule="auto"/>
        <w:tabs>
          <w:tab w:leader="none" w:pos="7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NON-SOLICITATION OF EMPLOYEES. While employed by ABM and for a period of one year following Executive’s termination of employment, Executive shall at no time directly or indirectly solicit or otherwise encourage or arrange for</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39" w:right="27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t>any employee to terminate employment with Company except in the proper performance of this Agreement.</w:t>
      </w:r>
    </w:p>
    <w:p>
      <w:pPr>
        <w:spacing w:after="0" w:line="117" w:lineRule="exact"/>
        <w:rPr>
          <w:sz w:val="20"/>
          <w:szCs w:val="20"/>
          <w:color w:val="auto"/>
        </w:rPr>
      </w:pPr>
    </w:p>
    <w:p>
      <w:pPr>
        <w:ind w:left="460" w:right="300" w:hanging="454"/>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51" w:lineRule="exact"/>
        <w:rPr>
          <w:rFonts w:ascii="Arial" w:cs="Arial" w:eastAsia="Arial" w:hAnsi="Arial"/>
          <w:sz w:val="17"/>
          <w:szCs w:val="17"/>
          <w:color w:val="auto"/>
        </w:rPr>
      </w:pPr>
    </w:p>
    <w:p>
      <w:pPr>
        <w:ind w:left="460" w:right="160" w:hanging="454"/>
        <w:spacing w:after="0" w:line="293"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NON-SOLICITATION OF CUSTOMERS. Executive agrees that for a reasonable time after the termination of this Agreement, which Executive and ABM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within one year prior to termination of this Agreement. In addition, Executive agrees that at all times after the termination of this Agreement, Executive shall not seek, solicit, divert, take away, obtain or accept the patronage of any customer or sales prospect of Company through the direct or indirect use of any Proprietary Information or by any other unfair or unlawful business practice.</w:t>
      </w:r>
    </w:p>
    <w:p>
      <w:pPr>
        <w:spacing w:after="0" w:line="70" w:lineRule="exact"/>
        <w:rPr>
          <w:rFonts w:ascii="Arial" w:cs="Arial" w:eastAsia="Arial" w:hAnsi="Arial"/>
          <w:sz w:val="16"/>
          <w:szCs w:val="16"/>
          <w:color w:val="auto"/>
        </w:rPr>
      </w:pPr>
    </w:p>
    <w:p>
      <w:pPr>
        <w:ind w:left="460" w:right="20" w:hanging="454"/>
        <w:spacing w:after="0" w:line="279"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NON-DISPARAGEMENT. During Executive’s employment with ABM and for a period of two years following termination of employment (whether voluntary or involuntary), Executive agrees not to make any comment or take any action which disparages, defames, or places in a negative light Company, its past and present officers, directors, and employees. ABM agrees that during this same period, its officers and directors shall refrain from making any comment or taking any action to disparage, defame, or place Executive in a negative public light.</w:t>
      </w:r>
    </w:p>
    <w:p>
      <w:pPr>
        <w:spacing w:after="0" w:line="76" w:lineRule="exact"/>
        <w:rPr>
          <w:rFonts w:ascii="Arial" w:cs="Arial" w:eastAsia="Arial" w:hAnsi="Arial"/>
          <w:sz w:val="17"/>
          <w:szCs w:val="17"/>
          <w:color w:val="auto"/>
        </w:rPr>
      </w:pPr>
    </w:p>
    <w:p>
      <w:pPr>
        <w:ind w:left="460" w:hanging="454"/>
        <w:spacing w:after="0" w:line="288"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COOPERATION. Upon termination of employment hereunder, Executive shall cooperate with Company in its defense or prosecution of any current or future matter in any forum, including but not limited to lawsuits, federal, state or local agency claims, audits and investigations, and internal and external investigations concerning any matter in which she was involved during her employment with ABM or about which she has or should have knowledge and information. Executive’s cooperation shall include, but is not limited to, meeting with ABM’s in-house and/or outside attorneys, communicating her knowledge of relevant facts to ABM’s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ABM. In performing the tasks outlined in this Paragraph 13E, Executive shall be bound by the covenants of good faith and veracity set forth in Paragraph 9 of this Agreement and as outlined in ABM’s Code of Business Conduct and Ethics. In performing responsibilities under this Paragraph 13E, Executive shall be compensated for her time at an hourly rate of $250 per hour.</w:t>
      </w:r>
    </w:p>
    <w:p>
      <w:pPr>
        <w:spacing w:after="0" w:line="14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935" w:right="299" w:bottom="1440" w:gutter="0" w:footer="0" w:header="0"/>
        </w:sectPr>
      </w:pPr>
    </w:p>
    <w:bookmarkStart w:id="104" w:name="page105"/>
    <w:bookmarkEnd w:id="104"/>
    <w:p>
      <w:pPr>
        <w:ind w:left="792" w:right="60" w:hanging="454"/>
        <w:spacing w:after="0" w:line="308" w:lineRule="auto"/>
        <w:tabs>
          <w:tab w:leader="none" w:pos="792" w:val="left"/>
        </w:tabs>
        <w:numPr>
          <w:ilvl w:val="1"/>
          <w:numId w:val="55"/>
        </w:numPr>
        <w:rPr>
          <w:rFonts w:ascii="Arial" w:cs="Arial" w:eastAsia="Arial" w:hAnsi="Arial"/>
          <w:sz w:val="17"/>
          <w:szCs w:val="17"/>
          <w:color w:val="auto"/>
        </w:rPr>
      </w:pPr>
      <w:r>
        <w:rPr>
          <w:rFonts w:ascii="Arial" w:cs="Arial" w:eastAsia="Arial" w:hAnsi="Arial"/>
          <w:sz w:val="17"/>
          <w:szCs w:val="17"/>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34" w:lineRule="exact"/>
        <w:rPr>
          <w:rFonts w:ascii="Arial" w:cs="Arial" w:eastAsia="Arial" w:hAnsi="Arial"/>
          <w:sz w:val="17"/>
          <w:szCs w:val="17"/>
          <w:color w:val="auto"/>
        </w:rPr>
      </w:pPr>
    </w:p>
    <w:p>
      <w:pPr>
        <w:ind w:left="332" w:hanging="332"/>
        <w:spacing w:after="0" w:line="256" w:lineRule="auto"/>
        <w:tabs>
          <w:tab w:leader="none" w:pos="3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upon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majority of the non-management directors of the Board, the Board shall have the absolute right, with or without cause and without terminating this Agreement or Executive’s employment hereunder, to remove Executive as Senior Vice President &amp; General Counsel or from any other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ABM giving Executive written notice of such change.</w:t>
      </w:r>
    </w:p>
    <w:p>
      <w:pPr>
        <w:spacing w:after="0" w:line="83" w:lineRule="exact"/>
        <w:rPr>
          <w:rFonts w:ascii="Arial" w:cs="Arial" w:eastAsia="Arial" w:hAnsi="Arial"/>
          <w:sz w:val="18"/>
          <w:szCs w:val="18"/>
          <w:b w:val="1"/>
          <w:bCs w:val="1"/>
          <w:color w:val="auto"/>
        </w:rPr>
      </w:pPr>
    </w:p>
    <w:p>
      <w:pPr>
        <w:ind w:left="792" w:right="60" w:hanging="454"/>
        <w:spacing w:after="0" w:line="276" w:lineRule="auto"/>
        <w:tabs>
          <w:tab w:leader="none" w:pos="7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MODIFICATION ACTIONS. Upon commencement of the Modification Period: (i) Executive shall immediately resign as an officer and/or director of ABM and of any ABM subsidiaries, as applicable, (ii) Executive shall promptly return all Company property in Executive’s possession to Company, including but not limited to any motor vehicles, equipment, supplies and documents set forth in Paragraph 11 of this Agreement, and (iii) ABM shall pay Executive when due any and all previously earned, but as yet unpaid, salary, Bonus pursuant to Paragraph 7B(iii), or other contingent compensation, reimbursement of business expenses and fringe benefits.</w:t>
      </w:r>
    </w:p>
    <w:p>
      <w:pPr>
        <w:spacing w:after="0" w:line="77" w:lineRule="exact"/>
        <w:rPr>
          <w:rFonts w:ascii="Arial" w:cs="Arial" w:eastAsia="Arial" w:hAnsi="Arial"/>
          <w:sz w:val="17"/>
          <w:szCs w:val="17"/>
          <w:color w:val="auto"/>
        </w:rPr>
      </w:pPr>
    </w:p>
    <w:p>
      <w:pPr>
        <w:ind w:left="792" w:hanging="454"/>
        <w:spacing w:after="0" w:line="288" w:lineRule="auto"/>
        <w:tabs>
          <w:tab w:leader="none" w:pos="792" w:val="left"/>
        </w:tabs>
        <w:numPr>
          <w:ilvl w:val="1"/>
          <w:numId w:val="56"/>
        </w:numPr>
        <w:rPr>
          <w:rFonts w:ascii="Arial" w:cs="Arial" w:eastAsia="Arial" w:hAnsi="Arial"/>
          <w:sz w:val="16"/>
          <w:szCs w:val="16"/>
          <w:color w:val="auto"/>
        </w:rPr>
      </w:pPr>
      <w:r>
        <w:rPr>
          <w:rFonts w:ascii="Arial" w:cs="Arial" w:eastAsia="Arial" w:hAnsi="Arial"/>
          <w:sz w:val="16"/>
          <w:szCs w:val="16"/>
          <w:color w:val="auto"/>
        </w:rPr>
        <w:t>MODIFICATION OBLIGATIONS. During the Modification Period: (i) Executive shall be deemed a part-time employee and not a full-time employee of ABM, (ii) Executive shall provide ABM with such occasional executive or managerial services as reasonably requested by the person(s) designated by the Chief Executive Officer,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ABM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fringe benefits other than the ABM Employee Stock Purchase Plan and 401(k) plan provided that Executive continues to qualify under the terms of such plans, (v) Executive may exercise rights under COBRA to obtain medical insurance coverage as may be available to Executive, and (vi) ABM shall pay directly or reimburse Executive in accordance with the provisions of Paragraph 8 of this Agreement for reasonable</w:t>
      </w:r>
    </w:p>
    <w:p>
      <w:pPr>
        <w:spacing w:after="0" w:line="1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05" w:name="page106"/>
    <w:bookmarkEnd w:id="105"/>
    <w:p>
      <w:pPr>
        <w:jc w:val="center"/>
        <w:ind w:right="80"/>
        <w:spacing w:after="0"/>
        <w:rPr>
          <w:sz w:val="20"/>
          <w:szCs w:val="20"/>
          <w:color w:val="auto"/>
        </w:rPr>
      </w:pPr>
      <w:r>
        <w:rPr>
          <w:rFonts w:ascii="Arial" w:cs="Arial" w:eastAsia="Arial" w:hAnsi="Arial"/>
          <w:sz w:val="18"/>
          <w:szCs w:val="18"/>
          <w:color w:val="auto"/>
        </w:rPr>
        <w:t>business expenses of ABM incurred by Executive in connection with such services requested by the person(s) designated by the Board.</w:t>
      </w:r>
    </w:p>
    <w:p>
      <w:pPr>
        <w:spacing w:after="0" w:line="117" w:lineRule="exact"/>
        <w:rPr>
          <w:sz w:val="20"/>
          <w:szCs w:val="20"/>
          <w:color w:val="auto"/>
        </w:rPr>
      </w:pPr>
    </w:p>
    <w:p>
      <w:pPr>
        <w:ind w:left="800" w:right="60" w:hanging="454"/>
        <w:spacing w:after="0" w:line="302" w:lineRule="auto"/>
        <w:tabs>
          <w:tab w:leader="none" w:pos="8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MODIFICATION PERIOD. The Modification Period shall continue until the earlier of: (i) Total Disability or death, (ii) termination of this Agreement by ABM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150" w:lineRule="exact"/>
        <w:rPr>
          <w:rFonts w:ascii="Arial" w:cs="Arial" w:eastAsia="Arial" w:hAnsi="Arial"/>
          <w:sz w:val="16"/>
          <w:szCs w:val="16"/>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1" w:lineRule="exact"/>
        <w:rPr>
          <w:rFonts w:ascii="Arial" w:cs="Arial" w:eastAsia="Arial" w:hAnsi="Arial"/>
          <w:sz w:val="18"/>
          <w:szCs w:val="18"/>
          <w:b w:val="1"/>
          <w:bCs w:val="1"/>
          <w:color w:val="auto"/>
        </w:rPr>
      </w:pPr>
    </w:p>
    <w:p>
      <w:pPr>
        <w:ind w:left="800" w:right="280" w:hanging="454"/>
        <w:spacing w:after="0" w:line="264"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ABM to Executive prior to expiration of the then current Initial or Extended Term, as applicable, of this Agreement, employment hereunder shall continue for an Extended Term (or another Extended Term, as applicable) of one year.</w:t>
      </w:r>
    </w:p>
    <w:p>
      <w:pPr>
        <w:spacing w:after="0" w:line="86" w:lineRule="exact"/>
        <w:rPr>
          <w:rFonts w:ascii="Arial" w:cs="Arial" w:eastAsia="Arial" w:hAnsi="Arial"/>
          <w:sz w:val="18"/>
          <w:szCs w:val="18"/>
          <w:color w:val="auto"/>
        </w:rPr>
      </w:pPr>
    </w:p>
    <w:p>
      <w:pPr>
        <w:ind w:left="800" w:right="60" w:hanging="454"/>
        <w:spacing w:after="0" w:line="259"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ABM shall have the right to terminate Executive’s employment or to change the terms and conditions of Executive’s employment, including but not limited to Executive’s position and/or compensation.</w:t>
      </w:r>
    </w:p>
    <w:p>
      <w:pPr>
        <w:spacing w:after="0" w:line="182"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rFonts w:ascii="Arial" w:cs="Arial" w:eastAsia="Arial" w:hAnsi="Arial"/>
          <w:sz w:val="18"/>
          <w:szCs w:val="18"/>
          <w:b w:val="1"/>
          <w:bCs w:val="1"/>
          <w:color w:val="auto"/>
        </w:rPr>
      </w:pPr>
    </w:p>
    <w:p>
      <w:pPr>
        <w:ind w:left="800" w:hanging="454"/>
        <w:spacing w:after="0" w:line="259"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ABM has the option, without terminating this Agreement, of placing Executive on a leave of absence at the full compensation set forth in Paragraph 7 of this Agreement, for any or all of such notice period.</w:t>
      </w:r>
    </w:p>
    <w:p>
      <w:pPr>
        <w:spacing w:after="0" w:line="78" w:lineRule="exact"/>
        <w:rPr>
          <w:rFonts w:ascii="Arial" w:cs="Arial" w:eastAsia="Arial" w:hAnsi="Arial"/>
          <w:sz w:val="18"/>
          <w:szCs w:val="18"/>
          <w:color w:val="auto"/>
        </w:rPr>
      </w:pPr>
    </w:p>
    <w:p>
      <w:pPr>
        <w:ind w:left="800" w:right="240" w:hanging="454"/>
        <w:spacing w:after="0" w:line="342"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TERMINATION FOR CAUSE. ABM may terminate Executive’s employment hereunder at any time during the then current Initial or Extended Term, as applicable, of this Agreement, without notice subject only to a good faith determination by a majority of the Board of Just Cause.</w:t>
      </w:r>
    </w:p>
    <w:p>
      <w:pPr>
        <w:spacing w:after="0" w:line="29" w:lineRule="exact"/>
        <w:rPr>
          <w:rFonts w:ascii="Arial" w:cs="Arial" w:eastAsia="Arial" w:hAnsi="Arial"/>
          <w:sz w:val="16"/>
          <w:szCs w:val="16"/>
          <w:color w:val="auto"/>
        </w:rPr>
      </w:pPr>
    </w:p>
    <w:p>
      <w:pPr>
        <w:ind w:left="800" w:right="20" w:hanging="454"/>
        <w:spacing w:after="0" w:line="277" w:lineRule="auto"/>
        <w:tabs>
          <w:tab w:leader="none" w:pos="8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VOLUNTARY TERMINATION BY EXECUTIVE. At any time during the then current Initial or Extended Term, as applicable, of this Agreement and with or without cause, Executive may terminate employment hereunder by giving ABM 90 days prior written notice</w:t>
      </w:r>
      <w:r>
        <w:rPr>
          <w:rFonts w:ascii="Arial" w:cs="Arial" w:eastAsia="Arial" w:hAnsi="Arial"/>
          <w:sz w:val="18"/>
          <w:szCs w:val="18"/>
          <w:b w:val="1"/>
          <w:bCs w:val="1"/>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6" w:name="page107"/>
    <w:bookmarkEnd w:id="106"/>
    <w:p>
      <w:pPr>
        <w:ind w:left="792" w:right="20" w:hanging="454"/>
        <w:spacing w:after="0" w:line="279" w:lineRule="auto"/>
        <w:tabs>
          <w:tab w:leader="none" w:pos="792"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DISABILITY OR DEATH. Employment hereunder shall automatically terminate upon the Total Disability or death of Executive. ABM shall pay when due to Executive or, upon death, Executive’s designated beneficiary or estate, as applicable, any and all previously earned, but as yet unpaid, salary, Bonus, other contingent compensation, reimbursement of business expenses and fringe benefits which would have otherwise been payable to Executive under this Agreement, through the end of the month in which Total Disability or death occurs.</w:t>
      </w:r>
    </w:p>
    <w:p>
      <w:pPr>
        <w:spacing w:after="0" w:line="76" w:lineRule="exact"/>
        <w:rPr>
          <w:rFonts w:ascii="Arial" w:cs="Arial" w:eastAsia="Arial" w:hAnsi="Arial"/>
          <w:sz w:val="17"/>
          <w:szCs w:val="17"/>
          <w:color w:val="auto"/>
        </w:rPr>
      </w:pPr>
    </w:p>
    <w:p>
      <w:pPr>
        <w:ind w:left="792" w:right="20" w:hanging="454"/>
        <w:spacing w:after="0" w:line="257" w:lineRule="auto"/>
        <w:tabs>
          <w:tab w:leader="none" w:pos="7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ABM and of any ABM subsidiaries or affiliates, as applicable. Executive shall promptly return and release all Company property in Executive’s possession to Company, including but not limited to, any motor vehicles, equipment, supplies, passwords and documents set forth in Paragraph 11 of this Agreement. ABM shall pay Executive when due any and all previously earned, but as yet unpaid, salary, Bonus, other contingent compensation, reimbursement of business expenses and fringe benefits.</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225" w:lineRule="exact"/>
        <w:rPr>
          <w:rFonts w:ascii="Arial" w:cs="Arial" w:eastAsia="Arial" w:hAnsi="Arial"/>
          <w:sz w:val="18"/>
          <w:szCs w:val="18"/>
          <w:b w:val="1"/>
          <w:bCs w:val="1"/>
          <w:color w:val="auto"/>
        </w:rPr>
      </w:pPr>
    </w:p>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1" w:lineRule="exact"/>
        <w:rPr>
          <w:rFonts w:ascii="Arial" w:cs="Arial" w:eastAsia="Arial" w:hAnsi="Arial"/>
          <w:sz w:val="18"/>
          <w:szCs w:val="18"/>
          <w:b w:val="1"/>
          <w:bCs w:val="1"/>
          <w:color w:val="auto"/>
        </w:rPr>
      </w:pPr>
    </w:p>
    <w:p>
      <w:pPr>
        <w:ind w:left="792" w:hanging="454"/>
        <w:spacing w:after="0" w:line="259" w:lineRule="auto"/>
        <w:tabs>
          <w:tab w:leader="none" w:pos="7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78" w:lineRule="exact"/>
        <w:rPr>
          <w:rFonts w:ascii="Arial" w:cs="Arial" w:eastAsia="Arial" w:hAnsi="Arial"/>
          <w:sz w:val="18"/>
          <w:szCs w:val="18"/>
          <w:color w:val="auto"/>
        </w:rPr>
      </w:pPr>
    </w:p>
    <w:p>
      <w:pPr>
        <w:ind w:left="1112" w:hanging="437"/>
        <w:spacing w:after="0"/>
        <w:tabs>
          <w:tab w:leader="none" w:pos="11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30" w:lineRule="exact"/>
        <w:rPr>
          <w:rFonts w:ascii="Arial" w:cs="Arial" w:eastAsia="Arial" w:hAnsi="Arial"/>
          <w:sz w:val="18"/>
          <w:szCs w:val="18"/>
          <w:color w:val="auto"/>
        </w:rPr>
      </w:pPr>
    </w:p>
    <w:p>
      <w:pPr>
        <w:ind w:left="1112" w:right="160" w:hanging="437"/>
        <w:spacing w:after="0" w:line="259" w:lineRule="auto"/>
        <w:tabs>
          <w:tab w:leader="none" w:pos="11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07" w:name="page108"/>
    <w:bookmarkEnd w:id="107"/>
    <w:p>
      <w:pPr>
        <w:ind w:left="1112" w:right="240" w:hanging="437"/>
        <w:spacing w:after="0" w:line="279" w:lineRule="auto"/>
        <w:tabs>
          <w:tab w:leader="none" w:pos="1112"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76" w:lineRule="exact"/>
        <w:rPr>
          <w:rFonts w:ascii="Arial" w:cs="Arial" w:eastAsia="Arial" w:hAnsi="Arial"/>
          <w:sz w:val="17"/>
          <w:szCs w:val="17"/>
          <w:color w:val="auto"/>
        </w:rPr>
      </w:pPr>
    </w:p>
    <w:p>
      <w:pPr>
        <w:ind w:left="1112" w:right="60" w:hanging="437"/>
        <w:spacing w:after="0" w:line="264" w:lineRule="auto"/>
        <w:tabs>
          <w:tab w:leader="none" w:pos="1112"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86" w:lineRule="exact"/>
        <w:rPr>
          <w:rFonts w:ascii="Arial" w:cs="Arial" w:eastAsia="Arial" w:hAnsi="Arial"/>
          <w:sz w:val="18"/>
          <w:szCs w:val="18"/>
          <w:color w:val="auto"/>
        </w:rPr>
      </w:pPr>
    </w:p>
    <w:p>
      <w:pPr>
        <w:ind w:left="1112" w:hanging="437"/>
        <w:spacing w:after="0"/>
        <w:tabs>
          <w:tab w:leader="none" w:pos="1112"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cost of such arbitration shall be borne by ABM.</w:t>
      </w:r>
    </w:p>
    <w:p>
      <w:pPr>
        <w:spacing w:after="0" w:line="130" w:lineRule="exact"/>
        <w:rPr>
          <w:rFonts w:ascii="Arial" w:cs="Arial" w:eastAsia="Arial" w:hAnsi="Arial"/>
          <w:sz w:val="18"/>
          <w:szCs w:val="18"/>
          <w:color w:val="auto"/>
        </w:rPr>
      </w:pPr>
    </w:p>
    <w:p>
      <w:pPr>
        <w:ind w:left="1112" w:right="40" w:hanging="437"/>
        <w:spacing w:after="0" w:line="277" w:lineRule="auto"/>
        <w:tabs>
          <w:tab w:leader="none" w:pos="1112"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75" w:lineRule="exact"/>
        <w:rPr>
          <w:rFonts w:ascii="Arial" w:cs="Arial" w:eastAsia="Arial" w:hAnsi="Arial"/>
          <w:sz w:val="18"/>
          <w:szCs w:val="18"/>
          <w:color w:val="auto"/>
        </w:rPr>
      </w:pPr>
    </w:p>
    <w:p>
      <w:pPr>
        <w:ind w:left="1112" w:right="560" w:hanging="437"/>
        <w:spacing w:after="0" w:line="277" w:lineRule="auto"/>
        <w:tabs>
          <w:tab w:leader="none" w:pos="1112"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62" w:lineRule="exact"/>
        <w:rPr>
          <w:rFonts w:ascii="Arial" w:cs="Arial" w:eastAsia="Arial" w:hAnsi="Arial"/>
          <w:sz w:val="18"/>
          <w:szCs w:val="18"/>
          <w:color w:val="auto"/>
        </w:rPr>
      </w:pPr>
    </w:p>
    <w:p>
      <w:pPr>
        <w:ind w:left="792" w:hanging="454"/>
        <w:spacing w:after="0" w:line="264" w:lineRule="auto"/>
        <w:tabs>
          <w:tab w:leader="none" w:pos="7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69" w:lineRule="exact"/>
        <w:rPr>
          <w:rFonts w:ascii="Arial" w:cs="Arial" w:eastAsia="Arial" w:hAnsi="Arial"/>
          <w:sz w:val="18"/>
          <w:szCs w:val="18"/>
          <w:color w:val="auto"/>
        </w:rPr>
      </w:pPr>
    </w:p>
    <w:p>
      <w:pPr>
        <w:ind w:left="332" w:hanging="332"/>
        <w:spacing w:after="0"/>
        <w:tabs>
          <w:tab w:leader="none" w:pos="3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1" w:lineRule="exact"/>
        <w:rPr>
          <w:rFonts w:ascii="Arial" w:cs="Arial" w:eastAsia="Arial" w:hAnsi="Arial"/>
          <w:sz w:val="18"/>
          <w:szCs w:val="18"/>
          <w:b w:val="1"/>
          <w:bCs w:val="1"/>
          <w:color w:val="auto"/>
        </w:rPr>
      </w:pPr>
    </w:p>
    <w:p>
      <w:pPr>
        <w:ind w:left="792" w:right="120" w:hanging="454"/>
        <w:spacing w:after="0" w:line="255" w:lineRule="auto"/>
        <w:tabs>
          <w:tab w:leader="none" w:pos="7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ABM and Executive agree that ABM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98" w:lineRule="exact"/>
        <w:rPr>
          <w:rFonts w:ascii="Arial" w:cs="Arial" w:eastAsia="Arial" w:hAnsi="Arial"/>
          <w:sz w:val="18"/>
          <w:szCs w:val="18"/>
          <w:color w:val="auto"/>
        </w:rPr>
      </w:pPr>
    </w:p>
    <w:p>
      <w:pPr>
        <w:ind w:left="792" w:right="100" w:hanging="454"/>
        <w:spacing w:after="0" w:line="277" w:lineRule="auto"/>
        <w:tabs>
          <w:tab w:leader="none" w:pos="7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ABM to</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108" w:name="page109"/>
    <w:bookmarkEnd w:id="108"/>
    <w:p>
      <w:pPr>
        <w:ind w:left="792"/>
        <w:spacing w:after="0" w:line="264" w:lineRule="auto"/>
        <w:rPr>
          <w:sz w:val="20"/>
          <w:szCs w:val="20"/>
          <w:color w:val="auto"/>
        </w:rPr>
      </w:pPr>
      <w:r>
        <w:rPr>
          <w:rFonts w:ascii="Arial" w:cs="Arial" w:eastAsia="Arial" w:hAnsi="Arial"/>
          <w:sz w:val="18"/>
          <w:szCs w:val="18"/>
          <w:color w:val="auto"/>
        </w:rPr>
        <w:t>withhold from any severance payments otherwise due to Executive and from any other funds held for Executive’s benefit by ABM, any damages or losses sustained by Company as a result of any material breach or other material violation of this Agreement by Executive, pending resolution of the underlying dispute as provided in Paragraph 18 above.</w:t>
      </w:r>
    </w:p>
    <w:p>
      <w:pPr>
        <w:spacing w:after="0" w:line="69" w:lineRule="exact"/>
        <w:rPr>
          <w:sz w:val="20"/>
          <w:szCs w:val="20"/>
          <w:color w:val="auto"/>
        </w:rPr>
      </w:pPr>
    </w:p>
    <w:p>
      <w:pPr>
        <w:ind w:left="332" w:right="240" w:hanging="332"/>
        <w:spacing w:after="0" w:line="282" w:lineRule="auto"/>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53" w:lineRule="exact"/>
        <w:rPr>
          <w:rFonts w:ascii="Arial" w:cs="Arial" w:eastAsia="Arial" w:hAnsi="Arial"/>
          <w:sz w:val="18"/>
          <w:szCs w:val="18"/>
          <w:b w:val="1"/>
          <w:bCs w:val="1"/>
          <w:color w:val="auto"/>
        </w:rPr>
      </w:pPr>
    </w:p>
    <w:p>
      <w:pPr>
        <w:ind w:left="332" w:right="360" w:hanging="332"/>
        <w:spacing w:after="0" w:line="281" w:lineRule="auto"/>
        <w:tabs>
          <w:tab w:leader="none" w:pos="332"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56" w:lineRule="exact"/>
        <w:rPr>
          <w:rFonts w:ascii="Arial" w:cs="Arial" w:eastAsia="Arial" w:hAnsi="Arial"/>
          <w:sz w:val="17"/>
          <w:szCs w:val="17"/>
          <w:b w:val="1"/>
          <w:bCs w:val="1"/>
          <w:color w:val="auto"/>
        </w:rPr>
      </w:pPr>
    </w:p>
    <w:p>
      <w:pPr>
        <w:ind w:left="332" w:right="240" w:hanging="332"/>
        <w:spacing w:after="0" w:line="266" w:lineRule="auto"/>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provisions of Paragraphs 13 and 18 of this Agreement, shall remain in full force and effect after the termination of this Agreement.</w:t>
      </w:r>
    </w:p>
    <w:p>
      <w:pPr>
        <w:spacing w:after="0" w:line="68" w:lineRule="exact"/>
        <w:rPr>
          <w:rFonts w:ascii="Arial" w:cs="Arial" w:eastAsia="Arial" w:hAnsi="Arial"/>
          <w:sz w:val="18"/>
          <w:szCs w:val="18"/>
          <w:b w:val="1"/>
          <w:bCs w:val="1"/>
          <w:color w:val="auto"/>
        </w:rPr>
      </w:pPr>
    </w:p>
    <w:p>
      <w:pPr>
        <w:ind w:left="332" w:right="20" w:hanging="332"/>
        <w:spacing w:after="0" w:line="266" w:lineRule="auto"/>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she has carefully read and fully understands all of the provisions of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she is voluntarily entering into this Agreement and has been given an opportunity to review all aspects of this Agreement with an attorney, if she chooses to do so.</w:t>
      </w:r>
    </w:p>
    <w:p>
      <w:pPr>
        <w:spacing w:after="0" w:line="176" w:lineRule="exact"/>
        <w:rPr>
          <w:rFonts w:ascii="Arial" w:cs="Arial" w:eastAsia="Arial" w:hAnsi="Arial"/>
          <w:sz w:val="18"/>
          <w:szCs w:val="18"/>
          <w:b w:val="1"/>
          <w:bCs w:val="1"/>
          <w:color w:val="auto"/>
        </w:rPr>
      </w:pPr>
    </w:p>
    <w:p>
      <w:pPr>
        <w:ind w:left="332" w:hanging="332"/>
        <w:spacing w:after="0"/>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jc w:val="both"/>
        <w:ind w:left="792" w:right="40" w:hanging="454"/>
        <w:spacing w:after="0" w:line="264" w:lineRule="auto"/>
        <w:tabs>
          <w:tab w:leader="none" w:pos="7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7" w:lineRule="exact"/>
        <w:rPr>
          <w:sz w:val="20"/>
          <w:szCs w:val="20"/>
          <w:color w:val="auto"/>
        </w:rPr>
      </w:pPr>
    </w:p>
    <w:tbl>
      <w:tblPr>
        <w:tblLayout w:type="fixed"/>
        <w:tblInd w:w="812"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720" w:type="dxa"/>
            <w:vAlign w:val="bottom"/>
            <w:gridSpan w:val="2"/>
          </w:tcPr>
          <w:p>
            <w:pPr>
              <w:ind w:left="220"/>
              <w:spacing w:after="0"/>
              <w:rPr>
                <w:sz w:val="20"/>
                <w:szCs w:val="20"/>
                <w:color w:val="auto"/>
              </w:rPr>
            </w:pPr>
            <w:r>
              <w:rPr>
                <w:rFonts w:ascii="Arial" w:cs="Arial" w:eastAsia="Arial" w:hAnsi="Arial"/>
                <w:sz w:val="18"/>
                <w:szCs w:val="18"/>
                <w:b w:val="1"/>
                <w:bCs w:val="1"/>
                <w:color w:val="auto"/>
              </w:rPr>
              <w:t>Linda S. Auwers</w:t>
            </w:r>
          </w:p>
        </w:tc>
      </w:tr>
      <w:tr>
        <w:trPr>
          <w:trHeight w:val="216"/>
        </w:trPr>
        <w:tc>
          <w:tcPr>
            <w:tcW w:w="10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186</w:t>
            </w:r>
          </w:p>
        </w:tc>
        <w:tc>
          <w:tcPr>
            <w:tcW w:w="2220" w:type="dxa"/>
            <w:vAlign w:val="bottom"/>
          </w:tcPr>
          <w:p>
            <w:pPr>
              <w:ind w:left="20"/>
              <w:spacing w:after="0"/>
              <w:rPr>
                <w:sz w:val="20"/>
                <w:szCs w:val="20"/>
                <w:color w:val="auto"/>
              </w:rPr>
            </w:pPr>
            <w:r>
              <w:rPr>
                <w:rFonts w:ascii="Arial" w:cs="Arial" w:eastAsia="Arial" w:hAnsi="Arial"/>
                <w:sz w:val="18"/>
                <w:szCs w:val="18"/>
                <w:color w:val="auto"/>
              </w:rPr>
              <w:t>Francisco St., #4</w:t>
            </w:r>
          </w:p>
        </w:tc>
      </w:tr>
      <w:tr>
        <w:trPr>
          <w:trHeight w:val="230"/>
        </w:trPr>
        <w:tc>
          <w:tcPr>
            <w:tcW w:w="1040" w:type="dxa"/>
            <w:vAlign w:val="bottom"/>
          </w:tcPr>
          <w:p>
            <w:pPr>
              <w:spacing w:after="0"/>
              <w:rPr>
                <w:sz w:val="20"/>
                <w:szCs w:val="20"/>
                <w:color w:val="auto"/>
              </w:rPr>
            </w:pP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San Francisco, CA 94133</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ABM:</w:t>
            </w:r>
          </w:p>
        </w:tc>
        <w:tc>
          <w:tcPr>
            <w:tcW w:w="2720" w:type="dxa"/>
            <w:vAlign w:val="bottom"/>
            <w:gridSpan w:val="2"/>
          </w:tcPr>
          <w:p>
            <w:pPr>
              <w:ind w:left="220"/>
              <w:spacing w:after="0"/>
              <w:rPr>
                <w:sz w:val="20"/>
                <w:szCs w:val="20"/>
                <w:color w:val="auto"/>
              </w:rPr>
            </w:pPr>
            <w:r>
              <w:rPr>
                <w:rFonts w:ascii="Arial" w:cs="Arial" w:eastAsia="Arial" w:hAnsi="Arial"/>
                <w:sz w:val="18"/>
                <w:szCs w:val="18"/>
                <w:b w:val="1"/>
                <w:bCs w:val="1"/>
                <w:color w:val="auto"/>
              </w:rPr>
              <w:t>ABM Industries Incorporated</w:t>
            </w:r>
          </w:p>
        </w:tc>
      </w:tr>
      <w:tr>
        <w:trPr>
          <w:trHeight w:val="216"/>
        </w:trPr>
        <w:tc>
          <w:tcPr>
            <w:tcW w:w="10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160</w:t>
            </w:r>
          </w:p>
        </w:tc>
        <w:tc>
          <w:tcPr>
            <w:tcW w:w="2220" w:type="dxa"/>
            <w:vAlign w:val="bottom"/>
          </w:tcPr>
          <w:p>
            <w:pPr>
              <w:ind w:left="20"/>
              <w:spacing w:after="0"/>
              <w:rPr>
                <w:sz w:val="20"/>
                <w:szCs w:val="20"/>
                <w:color w:val="auto"/>
              </w:rPr>
            </w:pPr>
            <w:r>
              <w:rPr>
                <w:rFonts w:ascii="Arial" w:cs="Arial" w:eastAsia="Arial" w:hAnsi="Arial"/>
                <w:sz w:val="18"/>
                <w:szCs w:val="18"/>
                <w:color w:val="auto"/>
              </w:rPr>
              <w:t>Pacific Avenue, Suite 222</w:t>
            </w:r>
          </w:p>
        </w:tc>
      </w:tr>
      <w:tr>
        <w:trPr>
          <w:trHeight w:val="216"/>
        </w:trPr>
        <w:tc>
          <w:tcPr>
            <w:tcW w:w="1040" w:type="dxa"/>
            <w:vAlign w:val="bottom"/>
          </w:tcPr>
          <w:p>
            <w:pPr>
              <w:spacing w:after="0"/>
              <w:rPr>
                <w:sz w:val="18"/>
                <w:szCs w:val="18"/>
                <w:color w:val="auto"/>
              </w:rPr>
            </w:pP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San Francisco, CA 94111</w:t>
            </w:r>
          </w:p>
        </w:tc>
      </w:tr>
      <w:tr>
        <w:trPr>
          <w:trHeight w:val="230"/>
        </w:trPr>
        <w:tc>
          <w:tcPr>
            <w:tcW w:w="1040" w:type="dxa"/>
            <w:vAlign w:val="bottom"/>
          </w:tcPr>
          <w:p>
            <w:pPr>
              <w:spacing w:after="0"/>
              <w:rPr>
                <w:sz w:val="20"/>
                <w:szCs w:val="20"/>
                <w:color w:val="auto"/>
              </w:rPr>
            </w:pP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w w:val="93"/>
              </w:rPr>
              <w:t>Attention: Chief Executive Officer</w:t>
            </w:r>
          </w:p>
        </w:tc>
      </w:tr>
    </w:tbl>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09" w:name="page110"/>
    <w:bookmarkEnd w:id="109"/>
    <w:p>
      <w:pPr>
        <w:jc w:val="center"/>
        <w:ind w:left="732"/>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Vice President, Human Resources</w:t>
      </w:r>
    </w:p>
    <w:p>
      <w:pPr>
        <w:spacing w:after="0" w:line="126" w:lineRule="exact"/>
        <w:rPr>
          <w:sz w:val="20"/>
          <w:szCs w:val="20"/>
          <w:color w:val="auto"/>
        </w:rPr>
      </w:pPr>
    </w:p>
    <w:p>
      <w:pPr>
        <w:sectPr>
          <w:pgSz w:w="11900" w:h="16838" w:orient="portrait"/>
          <w:cols w:equalWidth="0" w:num="2">
            <w:col w:w="1352" w:space="720"/>
            <w:col w:w="9320"/>
          </w:cols>
          <w:pgMar w:left="248" w:top="1147" w:right="259" w:bottom="1440" w:gutter="0" w:footer="0" w:header="0"/>
        </w:sectPr>
      </w:pPr>
    </w:p>
    <w:p>
      <w:pPr>
        <w:ind w:left="792" w:right="160" w:hanging="454"/>
        <w:spacing w:after="0" w:line="277" w:lineRule="auto"/>
        <w:tabs>
          <w:tab w:leader="none" w:pos="792"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58" w:lineRule="exact"/>
        <w:rPr>
          <w:rFonts w:ascii="Arial" w:cs="Arial" w:eastAsia="Arial" w:hAnsi="Arial"/>
          <w:sz w:val="18"/>
          <w:szCs w:val="18"/>
          <w:color w:val="auto"/>
        </w:rPr>
      </w:pPr>
    </w:p>
    <w:p>
      <w:pPr>
        <w:jc w:val="both"/>
        <w:ind w:left="332" w:right="660" w:hanging="332"/>
        <w:spacing w:after="0" w:line="347" w:lineRule="auto"/>
        <w:tabs>
          <w:tab w:leader="none" w:pos="33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ABM, and may only be changed by a written amendment signed by both Executive and ABM.</w:t>
      </w:r>
    </w:p>
    <w:p>
      <w:pPr>
        <w:spacing w:after="0" w:line="12" w:lineRule="exact"/>
        <w:rPr>
          <w:rFonts w:ascii="Arial" w:cs="Arial" w:eastAsia="Arial" w:hAnsi="Arial"/>
          <w:sz w:val="16"/>
          <w:szCs w:val="16"/>
          <w:b w:val="1"/>
          <w:bCs w:val="1"/>
          <w:color w:val="auto"/>
        </w:rPr>
      </w:pPr>
    </w:p>
    <w:p>
      <w:pPr>
        <w:ind w:left="792" w:hanging="454"/>
        <w:spacing w:after="0" w:line="308" w:lineRule="auto"/>
        <w:tabs>
          <w:tab w:leader="none" w:pos="792" w:val="left"/>
        </w:tabs>
        <w:numPr>
          <w:ilvl w:val="1"/>
          <w:numId w:val="66"/>
        </w:numPr>
        <w:rPr>
          <w:rFonts w:ascii="Arial" w:cs="Arial" w:eastAsia="Arial" w:hAnsi="Arial"/>
          <w:sz w:val="17"/>
          <w:szCs w:val="17"/>
          <w:color w:val="auto"/>
        </w:rPr>
      </w:pPr>
      <w:r>
        <w:rPr>
          <w:rFonts w:ascii="Arial" w:cs="Arial" w:eastAsia="Arial" w:hAnsi="Arial"/>
          <w:sz w:val="17"/>
          <w:szCs w:val="17"/>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51" w:lineRule="exact"/>
        <w:rPr>
          <w:rFonts w:ascii="Arial" w:cs="Arial" w:eastAsia="Arial" w:hAnsi="Arial"/>
          <w:sz w:val="17"/>
          <w:szCs w:val="17"/>
          <w:color w:val="auto"/>
        </w:rPr>
      </w:pPr>
    </w:p>
    <w:p>
      <w:pPr>
        <w:ind w:left="792" w:right="500" w:hanging="454"/>
        <w:spacing w:after="0" w:line="312" w:lineRule="auto"/>
        <w:tabs>
          <w:tab w:leader="none" w:pos="792"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SUPERSEDES OTHER AGREEMENTS. It is specifically understood and accepted that this Agreement supersedes all oral and written employment agreements between Executive and ABM prior to the date of this Agreement as well as all conflicting provisions of Company’s Human Resources Manual, including but not limited to the termination, discipline and discharge provisions contained therein.</w:t>
      </w:r>
    </w:p>
    <w:p>
      <w:pPr>
        <w:spacing w:after="0" w:line="52" w:lineRule="exact"/>
        <w:rPr>
          <w:rFonts w:ascii="Arial" w:cs="Arial" w:eastAsia="Arial" w:hAnsi="Arial"/>
          <w:sz w:val="16"/>
          <w:szCs w:val="16"/>
          <w:color w:val="auto"/>
        </w:rPr>
      </w:pPr>
    </w:p>
    <w:p>
      <w:pPr>
        <w:ind w:left="792" w:right="380" w:hanging="454"/>
        <w:spacing w:after="0" w:line="277" w:lineRule="auto"/>
        <w:tabs>
          <w:tab w:leader="none" w:pos="7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58" w:lineRule="exact"/>
        <w:rPr>
          <w:sz w:val="20"/>
          <w:szCs w:val="20"/>
          <w:color w:val="auto"/>
        </w:rPr>
      </w:pPr>
    </w:p>
    <w:p>
      <w:pPr>
        <w:ind w:left="352"/>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the Chief Executive Officer have executed this Agreement as of the date set forth above.</w:t>
      </w:r>
    </w:p>
    <w:p>
      <w:pPr>
        <w:spacing w:after="0" w:line="225" w:lineRule="exact"/>
        <w:rPr>
          <w:sz w:val="20"/>
          <w:szCs w:val="20"/>
          <w:color w:val="auto"/>
        </w:rPr>
      </w:pPr>
    </w:p>
    <w:tbl>
      <w:tblPr>
        <w:tblLayout w:type="fixed"/>
        <w:tblInd w:w="352"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900" w:type="dxa"/>
            <w:vAlign w:val="bottom"/>
          </w:tcPr>
          <w:p>
            <w:pPr>
              <w:ind w:left="220"/>
              <w:spacing w:after="0"/>
              <w:rPr>
                <w:sz w:val="20"/>
                <w:szCs w:val="20"/>
                <w:color w:val="auto"/>
              </w:rPr>
            </w:pPr>
            <w:r>
              <w:rPr>
                <w:rFonts w:ascii="Arial" w:cs="Arial" w:eastAsia="Arial" w:hAnsi="Arial"/>
                <w:sz w:val="18"/>
                <w:szCs w:val="18"/>
                <w:b w:val="1"/>
                <w:bCs w:val="1"/>
                <w:color w:val="auto"/>
              </w:rPr>
              <w:t>Linda S. Auwers</w:t>
            </w:r>
          </w:p>
        </w:tc>
        <w:tc>
          <w:tcPr>
            <w:tcW w:w="186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Signature:</w:t>
            </w:r>
          </w:p>
        </w:tc>
        <w:tc>
          <w:tcPr>
            <w:tcW w:w="1860" w:type="dxa"/>
            <w:vAlign w:val="bottom"/>
          </w:tcPr>
          <w:p>
            <w:pPr>
              <w:ind w:left="120"/>
              <w:spacing w:after="0"/>
              <w:rPr>
                <w:sz w:val="20"/>
                <w:szCs w:val="20"/>
                <w:color w:val="auto"/>
              </w:rPr>
            </w:pPr>
            <w:r>
              <w:rPr>
                <w:rFonts w:ascii="Arial" w:cs="Arial" w:eastAsia="Arial" w:hAnsi="Arial"/>
                <w:sz w:val="18"/>
                <w:szCs w:val="18"/>
                <w:color w:val="auto"/>
              </w:rPr>
              <w:t>/s/Linda S. Auwers</w:t>
            </w:r>
          </w:p>
        </w:tc>
      </w:tr>
      <w:tr>
        <w:trPr>
          <w:trHeight w:val="230"/>
        </w:trPr>
        <w:tc>
          <w:tcPr>
            <w:tcW w:w="1040" w:type="dxa"/>
            <w:vAlign w:val="bottom"/>
          </w:tcPr>
          <w:p>
            <w:pPr>
              <w:spacing w:after="0"/>
              <w:rPr>
                <w:sz w:val="20"/>
                <w:szCs w:val="20"/>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Date:</w:t>
            </w:r>
          </w:p>
        </w:tc>
        <w:tc>
          <w:tcPr>
            <w:tcW w:w="1860" w:type="dxa"/>
            <w:vAlign w:val="bottom"/>
          </w:tcPr>
          <w:p>
            <w:pPr>
              <w:ind w:left="120"/>
              <w:spacing w:after="0"/>
              <w:rPr>
                <w:sz w:val="20"/>
                <w:szCs w:val="20"/>
                <w:color w:val="auto"/>
              </w:rPr>
            </w:pPr>
            <w:r>
              <w:rPr>
                <w:rFonts w:ascii="Arial" w:cs="Arial" w:eastAsia="Arial" w:hAnsi="Arial"/>
                <w:sz w:val="18"/>
                <w:szCs w:val="18"/>
                <w:color w:val="auto"/>
              </w:rPr>
              <w:t>September 20, 2005</w:t>
            </w:r>
          </w:p>
        </w:tc>
      </w:tr>
      <w:tr>
        <w:trPr>
          <w:trHeight w:val="41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w w:val="97"/>
              </w:rPr>
              <w:t>ABM: ABM Industries Incorporated</w:t>
            </w:r>
          </w:p>
        </w:tc>
        <w:tc>
          <w:tcPr>
            <w:tcW w:w="186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Signature:</w:t>
            </w:r>
          </w:p>
        </w:tc>
        <w:tc>
          <w:tcPr>
            <w:tcW w:w="1860" w:type="dxa"/>
            <w:vAlign w:val="bottom"/>
          </w:tcPr>
          <w:p>
            <w:pPr>
              <w:ind w:left="120"/>
              <w:spacing w:after="0"/>
              <w:rPr>
                <w:sz w:val="20"/>
                <w:szCs w:val="20"/>
                <w:color w:val="auto"/>
              </w:rPr>
            </w:pPr>
            <w:r>
              <w:rPr>
                <w:rFonts w:ascii="Arial" w:cs="Arial" w:eastAsia="Arial" w:hAnsi="Arial"/>
                <w:sz w:val="18"/>
                <w:szCs w:val="18"/>
                <w:color w:val="auto"/>
                <w:w w:val="96"/>
              </w:rPr>
              <w:t>/s/ Henrik C. Slipsager</w:t>
            </w:r>
          </w:p>
        </w:tc>
      </w:tr>
      <w:tr>
        <w:trPr>
          <w:trHeight w:val="216"/>
        </w:trPr>
        <w:tc>
          <w:tcPr>
            <w:tcW w:w="1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ind w:left="120"/>
              <w:spacing w:after="0"/>
              <w:rPr>
                <w:sz w:val="20"/>
                <w:szCs w:val="20"/>
                <w:color w:val="auto"/>
              </w:rPr>
            </w:pPr>
            <w:r>
              <w:rPr>
                <w:rFonts w:ascii="Arial" w:cs="Arial" w:eastAsia="Arial" w:hAnsi="Arial"/>
                <w:sz w:val="18"/>
                <w:szCs w:val="18"/>
                <w:color w:val="auto"/>
              </w:rPr>
              <w:t>Henrik C. Slipsager</w:t>
            </w:r>
          </w:p>
        </w:tc>
      </w:tr>
      <w:tr>
        <w:trPr>
          <w:trHeight w:val="216"/>
        </w:trPr>
        <w:tc>
          <w:tcPr>
            <w:tcW w:w="10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Title:</w:t>
            </w:r>
          </w:p>
        </w:tc>
        <w:tc>
          <w:tcPr>
            <w:tcW w:w="1860" w:type="dxa"/>
            <w:vAlign w:val="bottom"/>
          </w:tcPr>
          <w:p>
            <w:pPr>
              <w:ind w:left="12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1040" w:type="dxa"/>
            <w:vAlign w:val="bottom"/>
          </w:tcPr>
          <w:p>
            <w:pPr>
              <w:spacing w:after="0"/>
              <w:rPr>
                <w:sz w:val="20"/>
                <w:szCs w:val="20"/>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Date:</w:t>
            </w:r>
          </w:p>
        </w:tc>
        <w:tc>
          <w:tcPr>
            <w:tcW w:w="1860" w:type="dxa"/>
            <w:vAlign w:val="bottom"/>
          </w:tcPr>
          <w:p>
            <w:pPr>
              <w:ind w:left="120"/>
              <w:spacing w:after="0"/>
              <w:rPr>
                <w:sz w:val="20"/>
                <w:szCs w:val="20"/>
                <w:color w:val="auto"/>
              </w:rPr>
            </w:pPr>
            <w:r>
              <w:rPr>
                <w:rFonts w:ascii="Arial" w:cs="Arial" w:eastAsia="Arial" w:hAnsi="Arial"/>
                <w:sz w:val="18"/>
                <w:szCs w:val="18"/>
                <w:color w:val="auto"/>
              </w:rPr>
              <w:t>September 20, 2005</w:t>
            </w:r>
          </w:p>
        </w:tc>
      </w:tr>
    </w:tbl>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47" w:right="259" w:bottom="1440" w:gutter="0" w:footer="0" w:header="0"/>
          <w:type w:val="continuous"/>
        </w:sectPr>
      </w:pPr>
    </w:p>
    <w:bookmarkStart w:id="110" w:name="page111"/>
    <w:bookmarkEnd w:id="110"/>
    <w:p>
      <w:pPr>
        <w:jc w:val="center"/>
        <w:ind w:right="-51"/>
        <w:spacing w:after="0"/>
        <w:rPr>
          <w:sz w:val="20"/>
          <w:szCs w:val="20"/>
          <w:color w:val="auto"/>
        </w:rPr>
      </w:pPr>
      <w:r>
        <w:rPr>
          <w:rFonts w:ascii="Arial" w:cs="Arial" w:eastAsia="Arial" w:hAnsi="Arial"/>
          <w:sz w:val="18"/>
          <w:szCs w:val="18"/>
          <w:color w:val="auto"/>
        </w:rPr>
        <w:t>EXHIBIT A</w:t>
      </w:r>
    </w:p>
    <w:p>
      <w:pPr>
        <w:spacing w:after="0" w:line="33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2005 EXECUTIVE PERFORMANCE PEFORMANCE CRITERIA</w:t>
      </w:r>
    </w:p>
    <w:p>
      <w:pPr>
        <w:spacing w:after="0" w:line="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ABM CORPORATE EXECUTIVE OFFICERS</w:t>
      </w:r>
    </w:p>
    <w:p>
      <w:pPr>
        <w:spacing w:after="0" w:line="103" w:lineRule="exact"/>
        <w:rPr>
          <w:sz w:val="20"/>
          <w:szCs w:val="20"/>
          <w:color w:val="auto"/>
        </w:rPr>
      </w:pPr>
    </w:p>
    <w:p>
      <w:pPr>
        <w:ind w:left="212" w:hanging="212"/>
        <w:spacing w:after="0" w:line="264" w:lineRule="auto"/>
        <w:tabs>
          <w:tab w:leader="none" w:pos="2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PERFORMANCE: Represents 50% of Target Bonus (Actual earnings as published in Company’s Form 10-K as filed with the Securities and Exchange Commission must exceed 80% of the 2005 budget, as approved by the ABM Board of Directors and adjusted for acquisitions, for Executive to receive a Financial Performance Bonus.)</w:t>
      </w:r>
    </w:p>
    <w:p>
      <w:pPr>
        <w:spacing w:after="0" w:line="86" w:lineRule="exact"/>
        <w:rPr>
          <w:rFonts w:ascii="Arial" w:cs="Arial" w:eastAsia="Arial" w:hAnsi="Arial"/>
          <w:sz w:val="18"/>
          <w:szCs w:val="18"/>
          <w:color w:val="auto"/>
        </w:rPr>
      </w:pPr>
    </w:p>
    <w:p>
      <w:pPr>
        <w:ind w:left="212" w:right="80"/>
        <w:spacing w:after="0" w:line="276" w:lineRule="auto"/>
        <w:rPr>
          <w:rFonts w:ascii="Arial" w:cs="Arial" w:eastAsia="Arial" w:hAnsi="Arial"/>
          <w:sz w:val="18"/>
          <w:szCs w:val="18"/>
          <w:color w:val="auto"/>
        </w:rPr>
      </w:pPr>
      <w:r>
        <w:rPr>
          <w:rFonts w:ascii="Arial" w:cs="Arial" w:eastAsia="Arial" w:hAnsi="Arial"/>
          <w:sz w:val="17"/>
          <w:szCs w:val="17"/>
          <w:color w:val="auto"/>
        </w:rPr>
        <w:t>Develops, obtains approval for, and effectively communicates realistic and GAAP compliant financial budgets and forecasts consistent with the approved Company and business unit strategy. Develops and ensures compliance with internal financial controls. Ensures that key financial goals are aggressively pursued. Contributes directly to the achievement of financial goals for Company and one’s area(s) of responsibility. Ensures, to the extent possible, that performance of Company and one’s area(s) of responsibility meets or exceeds budget in all key financial categories, including revenue, expense, and capital management. Effectively manages costs and, where appropriate, vendors and receivables.</w:t>
      </w:r>
    </w:p>
    <w:p>
      <w:pPr>
        <w:spacing w:after="0" w:line="78" w:lineRule="exact"/>
        <w:rPr>
          <w:sz w:val="20"/>
          <w:szCs w:val="20"/>
          <w:color w:val="auto"/>
        </w:rPr>
      </w:pPr>
    </w:p>
    <w:p>
      <w:pPr>
        <w:ind w:left="212" w:right="560"/>
        <w:spacing w:after="0" w:line="264" w:lineRule="auto"/>
        <w:rPr>
          <w:sz w:val="20"/>
          <w:szCs w:val="20"/>
          <w:color w:val="auto"/>
        </w:rPr>
      </w:pPr>
      <w:r>
        <w:rPr>
          <w:rFonts w:ascii="Arial" w:cs="Arial" w:eastAsia="Arial" w:hAnsi="Arial"/>
          <w:sz w:val="18"/>
          <w:szCs w:val="18"/>
          <w:color w:val="auto"/>
        </w:rPr>
        <w:t>Indicators: Timely development and approval of realistic financial goals and plans; understanding and acceptance of financial goals throughout the organization and one’s direct span of control; existence of and compliance with effective internal financial controls. Company and business unit performance against budget.</w:t>
      </w:r>
    </w:p>
    <w:p>
      <w:pPr>
        <w:spacing w:after="0" w:line="73" w:lineRule="exact"/>
        <w:rPr>
          <w:sz w:val="20"/>
          <w:szCs w:val="20"/>
          <w:color w:val="auto"/>
        </w:rPr>
      </w:pPr>
    </w:p>
    <w:p>
      <w:pPr>
        <w:ind w:left="292" w:hanging="292"/>
        <w:spacing w:after="0"/>
        <w:tabs>
          <w:tab w:leader="none" w:pos="2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CATEGORIES: Represents 50% of Target Bonus</w:t>
      </w:r>
    </w:p>
    <w:p>
      <w:pPr>
        <w:spacing w:after="0" w:line="130" w:lineRule="exact"/>
        <w:rPr>
          <w:rFonts w:ascii="Arial" w:cs="Arial" w:eastAsia="Arial" w:hAnsi="Arial"/>
          <w:sz w:val="18"/>
          <w:szCs w:val="18"/>
          <w:color w:val="auto"/>
        </w:rPr>
      </w:pPr>
    </w:p>
    <w:p>
      <w:pPr>
        <w:ind w:left="292"/>
        <w:spacing w:after="0"/>
        <w:rPr>
          <w:rFonts w:ascii="Arial" w:cs="Arial" w:eastAsia="Arial" w:hAnsi="Arial"/>
          <w:sz w:val="18"/>
          <w:szCs w:val="18"/>
          <w:color w:val="auto"/>
        </w:rPr>
      </w:pPr>
      <w:r>
        <w:rPr>
          <w:rFonts w:ascii="Arial" w:cs="Arial" w:eastAsia="Arial" w:hAnsi="Arial"/>
          <w:sz w:val="18"/>
          <w:szCs w:val="18"/>
          <w:color w:val="auto"/>
        </w:rPr>
        <w:t>STRATEGIC LEADERSHIP</w:t>
      </w:r>
    </w:p>
    <w:p>
      <w:pPr>
        <w:spacing w:after="0" w:line="130" w:lineRule="exact"/>
        <w:rPr>
          <w:rFonts w:ascii="Arial" w:cs="Arial" w:eastAsia="Arial" w:hAnsi="Arial"/>
          <w:sz w:val="18"/>
          <w:szCs w:val="18"/>
          <w:color w:val="auto"/>
        </w:rPr>
      </w:pPr>
    </w:p>
    <w:p>
      <w:pPr>
        <w:ind w:left="292" w:right="140"/>
        <w:spacing w:after="0" w:line="259" w:lineRule="auto"/>
        <w:rPr>
          <w:rFonts w:ascii="Arial" w:cs="Arial" w:eastAsia="Arial" w:hAnsi="Arial"/>
          <w:sz w:val="18"/>
          <w:szCs w:val="18"/>
          <w:color w:val="auto"/>
        </w:rPr>
      </w:pPr>
      <w:r>
        <w:rPr>
          <w:rFonts w:ascii="Arial" w:cs="Arial" w:eastAsia="Arial" w:hAnsi="Arial"/>
          <w:sz w:val="18"/>
          <w:szCs w:val="18"/>
          <w:color w:val="auto"/>
        </w:rPr>
        <w:t>Contributes materially to the development, approval, implementation and ongoing evolution of a sound business strategy for Company and/or one’s area(s) of responsibility. Researches concepts and presents new ideas designed to optimize growth, profitability and shareholder value. Effectively communicates the approved strategy both internally and externally, as appropriate, and provides guidance to ensure that the approved strategy is carried out.</w:t>
      </w:r>
    </w:p>
    <w:p>
      <w:pPr>
        <w:spacing w:after="0" w:line="92" w:lineRule="exact"/>
        <w:rPr>
          <w:rFonts w:ascii="Arial" w:cs="Arial" w:eastAsia="Arial" w:hAnsi="Arial"/>
          <w:sz w:val="18"/>
          <w:szCs w:val="18"/>
          <w:color w:val="auto"/>
        </w:rPr>
      </w:pPr>
    </w:p>
    <w:p>
      <w:pPr>
        <w:ind w:left="292" w:right="140"/>
        <w:spacing w:after="0" w:line="264" w:lineRule="auto"/>
        <w:rPr>
          <w:rFonts w:ascii="Arial" w:cs="Arial" w:eastAsia="Arial" w:hAnsi="Arial"/>
          <w:sz w:val="18"/>
          <w:szCs w:val="18"/>
          <w:color w:val="auto"/>
        </w:rPr>
      </w:pPr>
      <w:r>
        <w:rPr>
          <w:rFonts w:ascii="Arial" w:cs="Arial" w:eastAsia="Arial" w:hAnsi="Arial"/>
          <w:sz w:val="18"/>
          <w:szCs w:val="18"/>
          <w:color w:val="auto"/>
        </w:rPr>
        <w:t>Indicators: Agreement among management and approval by the Board of Directors of a defined business strategy; effective translation and communication of the approved strategy to one’s area of responsibility and other internal and external constituents, as appropriate; proactive revision of strategy to reflect changing situations; depth of knowledge of one’s market, competitors, and trends.</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62" w:right="2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EMPLOYEE LEADERSHIP</w:t>
      </w:r>
    </w:p>
    <w:p>
      <w:pPr>
        <w:spacing w:after="0" w:line="117"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Relations</w:t>
      </w:r>
    </w:p>
    <w:p>
      <w:pPr>
        <w:spacing w:after="0" w:line="23" w:lineRule="exact"/>
        <w:rPr>
          <w:rFonts w:ascii="Arial" w:cs="Arial" w:eastAsia="Arial" w:hAnsi="Arial"/>
          <w:sz w:val="18"/>
          <w:szCs w:val="18"/>
          <w:color w:val="auto"/>
        </w:rPr>
      </w:pPr>
    </w:p>
    <w:p>
      <w:pPr>
        <w:ind w:left="260" w:right="120"/>
        <w:spacing w:after="0" w:line="261" w:lineRule="auto"/>
        <w:rPr>
          <w:rFonts w:ascii="Arial" w:cs="Arial" w:eastAsia="Arial" w:hAnsi="Arial"/>
          <w:sz w:val="18"/>
          <w:szCs w:val="18"/>
          <w:color w:val="auto"/>
        </w:rPr>
      </w:pPr>
      <w:r>
        <w:rPr>
          <w:rFonts w:ascii="Arial" w:cs="Arial" w:eastAsia="Arial" w:hAnsi="Arial"/>
          <w:sz w:val="18"/>
          <w:szCs w:val="18"/>
          <w:color w:val="auto"/>
        </w:rPr>
        <w:t>Maintains sound relationships with superiors, peers, subordinates and, as appropriate, the Board of Directors. Commands respect and trust while being considered fair and open in dealings with others.</w:t>
      </w:r>
    </w:p>
    <w:p>
      <w:pPr>
        <w:spacing w:after="0" w:line="8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Indicators: Employee complaints; perception among supervisors, peers, subordinates and the Board of Directors.</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Staff Development</w:t>
      </w:r>
    </w:p>
    <w:p>
      <w:pPr>
        <w:spacing w:after="0" w:line="23" w:lineRule="exact"/>
        <w:rPr>
          <w:rFonts w:ascii="Arial" w:cs="Arial" w:eastAsia="Arial" w:hAnsi="Arial"/>
          <w:sz w:val="18"/>
          <w:szCs w:val="18"/>
          <w:color w:val="auto"/>
        </w:rPr>
      </w:pPr>
    </w:p>
    <w:p>
      <w:pPr>
        <w:jc w:val="both"/>
        <w:ind w:left="260" w:right="180"/>
        <w:spacing w:after="0" w:line="255" w:lineRule="auto"/>
        <w:rPr>
          <w:rFonts w:ascii="Arial" w:cs="Arial" w:eastAsia="Arial" w:hAnsi="Arial"/>
          <w:sz w:val="18"/>
          <w:szCs w:val="18"/>
          <w:color w:val="auto"/>
        </w:rPr>
      </w:pPr>
      <w:r>
        <w:rPr>
          <w:rFonts w:ascii="Arial" w:cs="Arial" w:eastAsia="Arial" w:hAnsi="Arial"/>
          <w:sz w:val="18"/>
          <w:szCs w:val="18"/>
          <w:color w:val="auto"/>
        </w:rPr>
        <w:t>Actively contributes to the development of staff under one’s span of control. Provides guidance to subordinates on key issues and makes time to help others. Establishes and communicates goals and expectations. Provides open and honest feedback. Identifies and develops potential successors to key roles.</w:t>
      </w:r>
    </w:p>
    <w:p>
      <w:pPr>
        <w:spacing w:after="0" w:line="95" w:lineRule="exact"/>
        <w:rPr>
          <w:rFonts w:ascii="Arial" w:cs="Arial" w:eastAsia="Arial" w:hAnsi="Arial"/>
          <w:sz w:val="18"/>
          <w:szCs w:val="18"/>
          <w:color w:val="auto"/>
        </w:rPr>
      </w:pPr>
    </w:p>
    <w:p>
      <w:pPr>
        <w:ind w:left="260"/>
        <w:spacing w:after="0" w:line="277" w:lineRule="auto"/>
        <w:rPr>
          <w:rFonts w:ascii="Arial" w:cs="Arial" w:eastAsia="Arial" w:hAnsi="Arial"/>
          <w:sz w:val="18"/>
          <w:szCs w:val="18"/>
          <w:color w:val="auto"/>
        </w:rPr>
      </w:pPr>
      <w:r>
        <w:rPr>
          <w:rFonts w:ascii="Arial" w:cs="Arial" w:eastAsia="Arial" w:hAnsi="Arial"/>
          <w:sz w:val="18"/>
          <w:szCs w:val="18"/>
          <w:color w:val="auto"/>
        </w:rPr>
        <w:t>Indicators: Proactive individual goal-setting and ongoing review process; demonstrated development/improvement of subordinates; effective succession planning.</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Recruitment, Retention and Motivation</w:t>
      </w:r>
    </w:p>
    <w:p>
      <w:pPr>
        <w:spacing w:after="0" w:line="23" w:lineRule="exact"/>
        <w:rPr>
          <w:rFonts w:ascii="Arial" w:cs="Arial" w:eastAsia="Arial" w:hAnsi="Arial"/>
          <w:sz w:val="18"/>
          <w:szCs w:val="18"/>
          <w:color w:val="auto"/>
        </w:rPr>
      </w:pPr>
    </w:p>
    <w:p>
      <w:pPr>
        <w:ind w:left="260" w:right="740"/>
        <w:spacing w:after="0" w:line="323" w:lineRule="auto"/>
        <w:rPr>
          <w:rFonts w:ascii="Arial" w:cs="Arial" w:eastAsia="Arial" w:hAnsi="Arial"/>
          <w:sz w:val="18"/>
          <w:szCs w:val="18"/>
          <w:color w:val="auto"/>
        </w:rPr>
      </w:pPr>
      <w:r>
        <w:rPr>
          <w:rFonts w:ascii="Arial" w:cs="Arial" w:eastAsia="Arial" w:hAnsi="Arial"/>
          <w:sz w:val="16"/>
          <w:szCs w:val="16"/>
          <w:color w:val="auto"/>
        </w:rPr>
        <w:t>Generates enthusiasm among superiors, subordinates and peers. Directly contributes to creating a performance oriented culture. Identifies and distinguishes top performers. Retains key employees and assists in identifying and recruiting top external talent as needed.</w:t>
      </w:r>
    </w:p>
    <w:p>
      <w:pPr>
        <w:spacing w:after="0" w:line="4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Indicators: Employee retention; positive morale; success in recruiting new talent.</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Teamwork</w:t>
      </w:r>
    </w:p>
    <w:p>
      <w:pPr>
        <w:spacing w:after="0" w:line="23" w:lineRule="exact"/>
        <w:rPr>
          <w:rFonts w:ascii="Arial" w:cs="Arial" w:eastAsia="Arial" w:hAnsi="Arial"/>
          <w:sz w:val="18"/>
          <w:szCs w:val="18"/>
          <w:color w:val="auto"/>
        </w:rPr>
      </w:pPr>
    </w:p>
    <w:p>
      <w:pPr>
        <w:ind w:left="260" w:right="40"/>
        <w:spacing w:after="0" w:line="261" w:lineRule="auto"/>
        <w:rPr>
          <w:rFonts w:ascii="Arial" w:cs="Arial" w:eastAsia="Arial" w:hAnsi="Arial"/>
          <w:sz w:val="18"/>
          <w:szCs w:val="18"/>
          <w:color w:val="auto"/>
        </w:rPr>
      </w:pPr>
      <w:r>
        <w:rPr>
          <w:rFonts w:ascii="Arial" w:cs="Arial" w:eastAsia="Arial" w:hAnsi="Arial"/>
          <w:sz w:val="18"/>
          <w:szCs w:val="18"/>
          <w:color w:val="auto"/>
        </w:rPr>
        <w:t>Practices open, effective and inclusive communication within one’s own span of control and across Company. Actively seeks ways to build links across Company with the objective of capitalizing on and sharing “best practices.”</w:t>
      </w:r>
    </w:p>
    <w:p>
      <w:pPr>
        <w:spacing w:after="0" w:line="89" w:lineRule="exact"/>
        <w:rPr>
          <w:rFonts w:ascii="Arial" w:cs="Arial" w:eastAsia="Arial" w:hAnsi="Arial"/>
          <w:sz w:val="18"/>
          <w:szCs w:val="18"/>
          <w:color w:val="auto"/>
        </w:rPr>
      </w:pPr>
    </w:p>
    <w:p>
      <w:pPr>
        <w:ind w:left="260" w:right="120"/>
        <w:spacing w:after="0" w:line="277" w:lineRule="auto"/>
        <w:rPr>
          <w:rFonts w:ascii="Arial" w:cs="Arial" w:eastAsia="Arial" w:hAnsi="Arial"/>
          <w:sz w:val="18"/>
          <w:szCs w:val="18"/>
          <w:color w:val="auto"/>
        </w:rPr>
      </w:pPr>
      <w:r>
        <w:rPr>
          <w:rFonts w:ascii="Arial" w:cs="Arial" w:eastAsia="Arial" w:hAnsi="Arial"/>
          <w:sz w:val="18"/>
          <w:szCs w:val="18"/>
          <w:color w:val="auto"/>
        </w:rPr>
        <w:t>Indicators: Development and implementation of procedures and processes that promote the application of “best practices” across Company and within one’s span of control. Perception as a “team player.”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COMPLIANCE AND ADMINISTRATION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Ensures compliance with all external regulations and internal guidelines and policies associated with Safety, Employee/Labor Relations and other areas pertaining to Company’s various businesses. Ensures management policies and reports effectively address key issues. Provides for open channels of communication to ensure that appropriate individuals, both internally and externally, are notified in a timely manner in the event of compliance or other related issues. Achieves certification of Internal Controls for Sarbanes-Oxley Section 404.</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Indicators: Volume and severity of labor/employee relations or other compliance issues; effective handling of such issues as they arise; timely and proper reporting of such issues.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1152"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EXHIBIT 10.23</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EMPLOYMENT AGREEMENT</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w:t>
      </w:r>
      <w:r>
        <w:rPr>
          <w:rFonts w:ascii="Arial" w:cs="Arial" w:eastAsia="Arial" w:hAnsi="Arial"/>
          <w:sz w:val="18"/>
          <w:szCs w:val="18"/>
          <w:b w:val="1"/>
          <w:bCs w:val="1"/>
          <w:color w:val="auto"/>
        </w:rPr>
        <w:t xml:space="preser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(Executive name) </w:t>
      </w:r>
      <w:r>
        <w:rPr>
          <w:rFonts w:ascii="Arial" w:cs="Arial" w:eastAsia="Arial" w:hAnsi="Arial"/>
          <w:sz w:val="18"/>
          <w:szCs w:val="18"/>
          <w:color w:val="auto"/>
        </w:rPr>
        <w:t>(“Executive”) and</w:t>
      </w:r>
      <w:r>
        <w:rPr>
          <w:rFonts w:ascii="Arial" w:cs="Arial" w:eastAsia="Arial" w:hAnsi="Arial"/>
          <w:sz w:val="18"/>
          <w:szCs w:val="18"/>
          <w:b w:val="1"/>
          <w:bCs w:val="1"/>
          <w:color w:val="auto"/>
        </w:rPr>
        <w:t xml:space="preserve"> (Legal Company name) </w:t>
      </w:r>
      <w:r>
        <w:rPr>
          <w:rFonts w:ascii="Arial" w:cs="Arial" w:eastAsia="Arial" w:hAnsi="Arial"/>
          <w:sz w:val="18"/>
          <w:szCs w:val="18"/>
          <w:color w:val="auto"/>
        </w:rPr>
        <w:t>(“Company”) Corporate language: for itself and on behalf of its subsidiary corporations as applicable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engaged in the building maintenance and related service businesses, 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experienced in the administration, finance, marketing, and/or operation of such services, and</w:t>
      </w:r>
    </w:p>
    <w:p>
      <w:pPr>
        <w:spacing w:after="0" w:line="104"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Executive will utilize in the performance of Executive’s duties and responsibilities as </w:t>
      </w:r>
      <w:r>
        <w:rPr>
          <w:rFonts w:ascii="Arial" w:cs="Arial" w:eastAsia="Arial" w:hAnsi="Arial"/>
          <w:sz w:val="18"/>
          <w:szCs w:val="18"/>
          <w:b w:val="1"/>
          <w:bCs w:val="1"/>
          <w:color w:val="auto"/>
        </w:rPr>
        <w:t>(title)</w:t>
      </w:r>
      <w:r>
        <w:rPr>
          <w:rFonts w:ascii="Arial" w:cs="Arial" w:eastAsia="Arial" w:hAnsi="Arial"/>
          <w:sz w:val="18"/>
          <w:szCs w:val="18"/>
          <w:color w:val="auto"/>
        </w:rPr>
        <w:t xml:space="preserve"> and under this Agreement; and</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Company, and to utilize such proprietary trade secrets,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business information and goodwill in connection with Executive’s employment;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Company agree as follows:</w:t>
      </w:r>
    </w:p>
    <w:p>
      <w:pPr>
        <w:spacing w:after="0" w:line="104" w:lineRule="exact"/>
        <w:rPr>
          <w:sz w:val="20"/>
          <w:szCs w:val="20"/>
          <w:color w:val="auto"/>
        </w:rPr>
      </w:pPr>
    </w:p>
    <w:p>
      <w:pPr>
        <w:ind w:left="460" w:right="520" w:hanging="452"/>
        <w:spacing w:after="0" w:line="271" w:lineRule="auto"/>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Company hereby agrees to employ Executive, and Executive hereby accepts such employment,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59" w:lineRule="exact"/>
        <w:rPr>
          <w:rFonts w:ascii="Arial" w:cs="Arial" w:eastAsia="Arial" w:hAnsi="Arial"/>
          <w:sz w:val="18"/>
          <w:szCs w:val="18"/>
          <w:b w:val="1"/>
          <w:b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w:t>
      </w:r>
      <w:r>
        <w:rPr>
          <w:rFonts w:ascii="Arial" w:cs="Arial" w:eastAsia="Arial" w:hAnsi="Arial"/>
          <w:sz w:val="18"/>
          <w:szCs w:val="18"/>
          <w:b w:val="1"/>
          <w:bCs w:val="1"/>
          <w:color w:val="auto"/>
        </w:rPr>
        <w:t xml:space="preserve"> (title) </w:t>
      </w:r>
      <w:r>
        <w:rPr>
          <w:rFonts w:ascii="Arial" w:cs="Arial" w:eastAsia="Arial" w:hAnsi="Arial"/>
          <w:sz w:val="18"/>
          <w:szCs w:val="18"/>
          <w:color w:val="auto"/>
        </w:rPr>
        <w:t>of Company, subject to modification as determined by the Company’s Board of Directors.</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5" w:lineRule="exact"/>
        <w:rPr>
          <w:rFonts w:ascii="Arial" w:cs="Arial" w:eastAsia="Arial" w:hAnsi="Arial"/>
          <w:sz w:val="18"/>
          <w:szCs w:val="18"/>
          <w:b w:val="1"/>
          <w:bCs w:val="1"/>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“ABM” means ABM Industries Incorporated, its subsidiaries, successors, and assigns.</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“Company” means </w:t>
      </w:r>
      <w:r>
        <w:rPr>
          <w:rFonts w:ascii="Arial" w:cs="Arial" w:eastAsia="Arial" w:hAnsi="Arial"/>
          <w:sz w:val="18"/>
          <w:szCs w:val="18"/>
          <w:b w:val="1"/>
          <w:bCs w:val="1"/>
          <w:color w:val="auto"/>
        </w:rPr>
        <w:t>(Company legal name)</w:t>
      </w:r>
      <w:r>
        <w:rPr>
          <w:rFonts w:ascii="Arial" w:cs="Arial" w:eastAsia="Arial" w:hAnsi="Arial"/>
          <w:sz w:val="18"/>
          <w:szCs w:val="18"/>
          <w:color w:val="auto"/>
        </w:rPr>
        <w:t xml:space="preserve"> and its successors and assigns.</w:t>
      </w:r>
    </w:p>
    <w:p>
      <w:pPr>
        <w:spacing w:after="0" w:line="139"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“Board” means the Board of Directors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13" w:name="page114"/>
    <w:bookmarkEnd w:id="113"/>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17" w:lineRule="exact"/>
        <w:rPr>
          <w:rFonts w:ascii="Arial" w:cs="Arial" w:eastAsia="Arial" w:hAnsi="Arial"/>
          <w:sz w:val="18"/>
          <w:szCs w:val="18"/>
          <w:color w:val="auto"/>
        </w:rPr>
      </w:pPr>
    </w:p>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Company.</w:t>
      </w:r>
    </w:p>
    <w:p>
      <w:pPr>
        <w:spacing w:after="0" w:line="95" w:lineRule="exact"/>
        <w:rPr>
          <w:rFonts w:ascii="Arial" w:cs="Arial" w:eastAsia="Arial" w:hAnsi="Arial"/>
          <w:sz w:val="18"/>
          <w:szCs w:val="18"/>
          <w:color w:val="auto"/>
        </w:rPr>
      </w:pPr>
    </w:p>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“Executive” means </w:t>
      </w:r>
      <w:r>
        <w:rPr>
          <w:rFonts w:ascii="Arial" w:cs="Arial" w:eastAsia="Arial" w:hAnsi="Arial"/>
          <w:sz w:val="18"/>
          <w:szCs w:val="18"/>
          <w:b w:val="1"/>
          <w:bCs w:val="1"/>
          <w:color w:val="auto"/>
        </w:rPr>
        <w:t>(Executive name)</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17" w:lineRule="exact"/>
        <w:rPr>
          <w:rFonts w:ascii="Arial" w:cs="Arial" w:eastAsia="Arial" w:hAnsi="Arial"/>
          <w:sz w:val="18"/>
          <w:szCs w:val="18"/>
          <w:color w:val="auto"/>
        </w:rPr>
      </w:pPr>
    </w:p>
    <w:p>
      <w:pPr>
        <w:ind w:left="446" w:right="340" w:hanging="446"/>
        <w:spacing w:after="0" w:line="246"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80" w:lineRule="exact"/>
        <w:rPr>
          <w:rFonts w:ascii="Arial" w:cs="Arial" w:eastAsia="Arial" w:hAnsi="Arial"/>
          <w:sz w:val="18"/>
          <w:szCs w:val="18"/>
          <w:color w:val="auto"/>
        </w:rPr>
      </w:pPr>
    </w:p>
    <w:p>
      <w:pPr>
        <w:ind w:left="446" w:right="620" w:hanging="446"/>
        <w:spacing w:after="0" w:line="271"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“Initial Term” is the period beginning on </w:t>
      </w:r>
      <w:r>
        <w:rPr>
          <w:rFonts w:ascii="Arial" w:cs="Arial" w:eastAsia="Arial" w:hAnsi="Arial"/>
          <w:sz w:val="18"/>
          <w:szCs w:val="18"/>
          <w:b w:val="1"/>
          <w:bCs w:val="1"/>
          <w:color w:val="auto"/>
        </w:rPr>
        <w:t>(start date of term</w:t>
      </w:r>
      <w:r>
        <w:rPr>
          <w:rFonts w:ascii="Arial" w:cs="Arial" w:eastAsia="Arial" w:hAnsi="Arial"/>
          <w:sz w:val="18"/>
          <w:szCs w:val="18"/>
          <w:color w:val="auto"/>
        </w:rPr>
        <w:t xml:space="preserve">) and ending </w:t>
      </w:r>
      <w:r>
        <w:rPr>
          <w:rFonts w:ascii="Arial" w:cs="Arial" w:eastAsia="Arial" w:hAnsi="Arial"/>
          <w:sz w:val="18"/>
          <w:szCs w:val="18"/>
          <w:b w:val="1"/>
          <w:bCs w:val="1"/>
          <w:color w:val="auto"/>
        </w:rPr>
        <w:t>(end date of term</w:t>
      </w:r>
      <w:r>
        <w:rPr>
          <w:rFonts w:ascii="Arial" w:cs="Arial" w:eastAsia="Arial" w:hAnsi="Arial"/>
          <w:sz w:val="18"/>
          <w:szCs w:val="18"/>
          <w:color w:val="auto"/>
        </w:rPr>
        <w:t>), unless sooner terminated under Paragraph 16 of this Agreement.</w:t>
      </w:r>
    </w:p>
    <w:p>
      <w:pPr>
        <w:spacing w:after="0" w:line="81" w:lineRule="exact"/>
        <w:rPr>
          <w:rFonts w:ascii="Arial" w:cs="Arial" w:eastAsia="Arial" w:hAnsi="Arial"/>
          <w:sz w:val="18"/>
          <w:szCs w:val="18"/>
          <w:color w:val="auto"/>
        </w:rPr>
      </w:pPr>
    </w:p>
    <w:p>
      <w:pPr>
        <w:ind w:left="446" w:right="160" w:hanging="446"/>
        <w:spacing w:after="0" w:line="246"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“Insurance Contribution” means Company’s contribution to provide group health and life insurance for Executive and excludes any payment by Executive for such coverage.</w:t>
      </w:r>
    </w:p>
    <w:p>
      <w:pPr>
        <w:spacing w:after="0" w:line="102" w:lineRule="exact"/>
        <w:rPr>
          <w:rFonts w:ascii="Arial" w:cs="Arial" w:eastAsia="Arial" w:hAnsi="Arial"/>
          <w:sz w:val="18"/>
          <w:szCs w:val="18"/>
          <w:color w:val="auto"/>
        </w:rPr>
      </w:pPr>
    </w:p>
    <w:p>
      <w:pPr>
        <w:ind w:left="446" w:hanging="446"/>
        <w:spacing w:after="0" w:line="237"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Executive’s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110" w:lineRule="exact"/>
        <w:rPr>
          <w:rFonts w:ascii="Arial" w:cs="Arial" w:eastAsia="Arial" w:hAnsi="Arial"/>
          <w:sz w:val="18"/>
          <w:szCs w:val="18"/>
          <w:color w:val="auto"/>
        </w:rPr>
      </w:pPr>
    </w:p>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“Managing Officer” means the officer designated by the Company to whom Executive shall report and be accountable.</w:t>
      </w:r>
    </w:p>
    <w:p>
      <w:pPr>
        <w:spacing w:after="0" w:line="117" w:lineRule="exact"/>
        <w:rPr>
          <w:rFonts w:ascii="Arial" w:cs="Arial" w:eastAsia="Arial" w:hAnsi="Arial"/>
          <w:sz w:val="18"/>
          <w:szCs w:val="18"/>
          <w:color w:val="auto"/>
        </w:rPr>
      </w:pPr>
    </w:p>
    <w:p>
      <w:pPr>
        <w:ind w:left="446" w:right="520"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108" w:lineRule="exact"/>
        <w:rPr>
          <w:rFonts w:ascii="Arial" w:cs="Arial" w:eastAsia="Arial" w:hAnsi="Arial"/>
          <w:sz w:val="18"/>
          <w:szCs w:val="18"/>
          <w:color w:val="auto"/>
        </w:rPr>
      </w:pPr>
    </w:p>
    <w:p>
      <w:pPr>
        <w:ind w:left="446" w:right="40" w:hanging="446"/>
        <w:spacing w:after="0" w:line="246"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Assessment” means the Managing Officer’s annual assessment of Executive’s performance against the Performance Criteria.</w:t>
      </w:r>
    </w:p>
    <w:p>
      <w:pPr>
        <w:spacing w:after="0" w:line="102" w:lineRule="exact"/>
        <w:rPr>
          <w:rFonts w:ascii="Arial" w:cs="Arial" w:eastAsia="Arial" w:hAnsi="Arial"/>
          <w:sz w:val="18"/>
          <w:szCs w:val="18"/>
          <w:color w:val="auto"/>
        </w:rPr>
      </w:pPr>
    </w:p>
    <w:p>
      <w:pPr>
        <w:ind w:left="446" w:right="140" w:hanging="446"/>
        <w:spacing w:after="0" w:line="246"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Objectives” means the performance goals for Executive established annually by the Managing Officer and approved by the Chief Executive Officer of Company or designee, in accordance with Paragraph 7B of this Agreement.</w:t>
      </w:r>
    </w:p>
    <w:p>
      <w:pPr>
        <w:spacing w:after="0" w:line="17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49" w:right="259" w:bottom="1440" w:gutter="0" w:footer="0" w:header="0"/>
        </w:sectPr>
      </w:pPr>
    </w:p>
    <w:bookmarkStart w:id="114" w:name="page115"/>
    <w:bookmarkEnd w:id="114"/>
    <w:p>
      <w:pPr>
        <w:ind w:left="892" w:right="140" w:hanging="446"/>
        <w:spacing w:after="0" w:line="237" w:lineRule="auto"/>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 (iii)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110" w:lineRule="exact"/>
        <w:rPr>
          <w:rFonts w:ascii="Arial" w:cs="Arial" w:eastAsia="Arial" w:hAnsi="Arial"/>
          <w:sz w:val="18"/>
          <w:szCs w:val="18"/>
          <w:color w:val="auto"/>
        </w:rPr>
      </w:pPr>
    </w:p>
    <w:p>
      <w:pPr>
        <w:ind w:left="892" w:right="160" w:hanging="446"/>
        <w:spacing w:after="0"/>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“Significant Transaction” means ABM Industries Incorporated’s acquisition or disposition of a business or assets which ABM Industries Incorporated is required to report under Item 2.01 of Form 8-K under the rules and regulations issued by the Securities and Exchange Commission.</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“State of Employment” means </w:t>
      </w:r>
      <w:r>
        <w:rPr>
          <w:rFonts w:ascii="Arial" w:cs="Arial" w:eastAsia="Arial" w:hAnsi="Arial"/>
          <w:sz w:val="18"/>
          <w:szCs w:val="18"/>
          <w:b w:val="1"/>
          <w:bCs w:val="1"/>
          <w:color w:val="auto"/>
        </w:rPr>
        <w:t>(State)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“Target Bonus” means </w:t>
      </w:r>
      <w:r>
        <w:rPr>
          <w:rFonts w:ascii="Arial" w:cs="Arial" w:eastAsia="Arial" w:hAnsi="Arial"/>
          <w:sz w:val="18"/>
          <w:szCs w:val="18"/>
          <w:b w:val="1"/>
          <w:bCs w:val="1"/>
          <w:color w:val="auto"/>
        </w:rPr>
        <w:t>(___)%</w:t>
      </w:r>
      <w:r>
        <w:rPr>
          <w:rFonts w:ascii="Arial" w:cs="Arial" w:eastAsia="Arial" w:hAnsi="Arial"/>
          <w:sz w:val="18"/>
          <w:szCs w:val="18"/>
          <w:color w:val="auto"/>
        </w:rPr>
        <w:t xml:space="preserve"> of Executive’s Base Salary.</w:t>
      </w:r>
    </w:p>
    <w:p>
      <w:pPr>
        <w:spacing w:after="0" w:line="139" w:lineRule="exact"/>
        <w:rPr>
          <w:rFonts w:ascii="Arial" w:cs="Arial" w:eastAsia="Arial" w:hAnsi="Arial"/>
          <w:sz w:val="18"/>
          <w:szCs w:val="18"/>
          <w:color w:val="auto"/>
        </w:rPr>
      </w:pPr>
    </w:p>
    <w:p>
      <w:pPr>
        <w:jc w:val="both"/>
        <w:ind w:left="892" w:right="120" w:hanging="446"/>
        <w:spacing w:after="0"/>
        <w:tabs>
          <w:tab w:leader="none" w:pos="8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Executive’s duties under this Agreement and shall be deemed to occur on the 91st consecutive or non-consecutive calendar day within any 12 month period that Executive is unable to perform Executive’s duties under this Agreement because of any physical or mental illness or disability.</w:t>
      </w:r>
    </w:p>
    <w:p>
      <w:pPr>
        <w:spacing w:after="0" w:line="72" w:lineRule="exact"/>
        <w:rPr>
          <w:rFonts w:ascii="Arial" w:cs="Arial" w:eastAsia="Arial" w:hAnsi="Arial"/>
          <w:sz w:val="18"/>
          <w:szCs w:val="18"/>
          <w:color w:val="auto"/>
        </w:rPr>
      </w:pPr>
    </w:p>
    <w:p>
      <w:pPr>
        <w:jc w:val="both"/>
        <w:ind w:left="452" w:right="220" w:hanging="452"/>
        <w:spacing w:after="0" w:line="253" w:lineRule="auto"/>
        <w:tabs>
          <w:tab w:leader="none" w:pos="4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from time-to-time by the Managing Officer or such other officer designated by the Managing Officer, to whom Executive shall report and be accountable.</w:t>
      </w:r>
    </w:p>
    <w:p>
      <w:pPr>
        <w:spacing w:after="0" w:line="74" w:lineRule="exact"/>
        <w:rPr>
          <w:rFonts w:ascii="Arial" w:cs="Arial" w:eastAsia="Arial" w:hAnsi="Arial"/>
          <w:sz w:val="18"/>
          <w:szCs w:val="18"/>
          <w:b w:val="1"/>
          <w:bCs w:val="1"/>
          <w:color w:val="auto"/>
        </w:rPr>
      </w:pPr>
    </w:p>
    <w:p>
      <w:pPr>
        <w:ind w:left="452" w:right="100" w:hanging="452"/>
        <w:spacing w:after="0" w:line="271" w:lineRule="auto"/>
        <w:tabs>
          <w:tab w:leader="none" w:pos="4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w:t>
      </w:r>
      <w:r>
        <w:rPr>
          <w:rFonts w:ascii="Arial" w:cs="Arial" w:eastAsia="Arial" w:hAnsi="Arial"/>
          <w:sz w:val="18"/>
          <w:szCs w:val="18"/>
          <w:b w:val="1"/>
          <w:bCs w:val="1"/>
          <w:color w:val="auto"/>
        </w:rPr>
        <w:t xml:space="preserve"> (end date of term</w:t>
      </w:r>
      <w:r>
        <w:rPr>
          <w:rFonts w:ascii="Arial" w:cs="Arial" w:eastAsia="Arial" w:hAnsi="Arial"/>
          <w:sz w:val="18"/>
          <w:szCs w:val="18"/>
          <w:color w:val="auto"/>
        </w:rPr>
        <w:t>), unless sooner terminated pursuant to Paragraph 16 or later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to an Extended Term under Paragraph 15 of this Agreement.</w:t>
      </w:r>
    </w:p>
    <w:p>
      <w:pPr>
        <w:spacing w:after="0" w:line="59" w:lineRule="exact"/>
        <w:rPr>
          <w:rFonts w:ascii="Arial" w:cs="Arial" w:eastAsia="Arial" w:hAnsi="Arial"/>
          <w:sz w:val="18"/>
          <w:szCs w:val="18"/>
          <w:b w:val="1"/>
          <w:bCs w:val="1"/>
          <w:color w:val="auto"/>
        </w:rPr>
      </w:pPr>
    </w:p>
    <w:p>
      <w:pPr>
        <w:ind w:left="452" w:hanging="452"/>
        <w:spacing w:after="0" w:line="302" w:lineRule="auto"/>
        <w:tabs>
          <w:tab w:leader="none" w:pos="452"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OFFICE. </w:t>
      </w:r>
      <w:r>
        <w:rPr>
          <w:rFonts w:ascii="Arial" w:cs="Arial" w:eastAsia="Arial" w:hAnsi="Arial"/>
          <w:sz w:val="17"/>
          <w:szCs w:val="17"/>
          <w:color w:val="auto"/>
        </w:rPr>
        <w:t>During the Initial Term and any Extended Term, as applicable, of this Agreement, Executive shall be based at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office located in the State of Employment or such other location as shall be mutually agreed upon by Company and Executive.</w:t>
      </w:r>
    </w:p>
    <w:p>
      <w:pPr>
        <w:spacing w:after="0" w:line="34" w:lineRule="exact"/>
        <w:rPr>
          <w:rFonts w:ascii="Arial" w:cs="Arial" w:eastAsia="Arial" w:hAnsi="Arial"/>
          <w:sz w:val="17"/>
          <w:szCs w:val="17"/>
          <w:b w:val="1"/>
          <w:bCs w:val="1"/>
          <w:color w:val="auto"/>
        </w:rPr>
      </w:pPr>
    </w:p>
    <w:p>
      <w:pPr>
        <w:ind w:left="452" w:right="100" w:hanging="452"/>
        <w:spacing w:after="0" w:line="271" w:lineRule="auto"/>
        <w:tabs>
          <w:tab w:leader="none" w:pos="4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for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and performance of duties and responsibilities pursuant to this Agreement:</w:t>
      </w:r>
    </w:p>
    <w:p>
      <w:pPr>
        <w:spacing w:after="0" w:line="67" w:lineRule="exact"/>
        <w:rPr>
          <w:rFonts w:ascii="Arial" w:cs="Arial" w:eastAsia="Arial" w:hAnsi="Arial"/>
          <w:sz w:val="18"/>
          <w:szCs w:val="18"/>
          <w:b w:val="1"/>
          <w:bCs w:val="1"/>
          <w:color w:val="auto"/>
        </w:rPr>
      </w:pPr>
    </w:p>
    <w:p>
      <w:pPr>
        <w:jc w:val="both"/>
        <w:ind w:left="892" w:right="20" w:hanging="446"/>
        <w:spacing w:after="0"/>
        <w:tabs>
          <w:tab w:leader="none" w:pos="8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Executive shall be eligible, at the sole discretion of the Company, to receive a merit increase based on Executive’s job performance or for any other reason deemed appropriate by the Company.</w:t>
      </w:r>
    </w:p>
    <w:p>
      <w:pPr>
        <w:spacing w:after="0" w:line="17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949" w:right="359" w:bottom="1440" w:gutter="0" w:footer="0" w:header="0"/>
        </w:sectPr>
      </w:pPr>
    </w:p>
    <w:bookmarkStart w:id="115" w:name="page116"/>
    <w:bookmarkEnd w:id="115"/>
    <w:p>
      <w:pPr>
        <w:ind w:left="446" w:hanging="446"/>
        <w:spacing w:after="0" w:line="246"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eligible to participate in the Company’s Bonus Plan for each Fiscal Year, as follows:</w:t>
      </w:r>
    </w:p>
    <w:p>
      <w:pPr>
        <w:spacing w:after="0" w:line="88" w:lineRule="exact"/>
        <w:rPr>
          <w:rFonts w:ascii="Arial" w:cs="Arial" w:eastAsia="Arial" w:hAnsi="Arial"/>
          <w:sz w:val="18"/>
          <w:szCs w:val="18"/>
          <w:color w:val="auto"/>
        </w:rPr>
      </w:pPr>
    </w:p>
    <w:p>
      <w:pPr>
        <w:ind w:left="906" w:right="160" w:hanging="447"/>
        <w:spacing w:after="0" w:line="238" w:lineRule="auto"/>
        <w:tabs>
          <w:tab w:leader="none" w:pos="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in terms of Performance Objectives established for the Executive for the applicable Fiscal Year. Performance Objectives will include both Company and individual objectives, be both qualitative and quantitative in nature and shall be established by the Managing Officer. The actual Bonus payout for each Fiscal Year shall be approved by the Compensation Committee based upon the Performance Assessment.</w:t>
      </w:r>
    </w:p>
    <w:p>
      <w:pPr>
        <w:spacing w:after="0" w:line="108" w:lineRule="exact"/>
        <w:rPr>
          <w:rFonts w:ascii="Arial" w:cs="Arial" w:eastAsia="Arial" w:hAnsi="Arial"/>
          <w:sz w:val="18"/>
          <w:szCs w:val="18"/>
          <w:color w:val="auto"/>
        </w:rPr>
      </w:pPr>
    </w:p>
    <w:p>
      <w:pPr>
        <w:ind w:left="906" w:right="180" w:hanging="447"/>
        <w:spacing w:after="0" w:line="238" w:lineRule="auto"/>
        <w:tabs>
          <w:tab w:leader="none" w:pos="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reserves the right at any time to adjust the Performance Objectives in the event of a Significant Transaction and/or for any unanticipated and material events that are beyond the control of Company, including but not limited to acts of god, nature, war or terrorism, or changes in the rules for financial reporting set forth by the Financial Accounting Standards Board, the Securities and Exchange Commission, rules of the New York Stock Exchange and/or for any other reason which the Company determines, in good faith, to be appropriate.</w:t>
      </w:r>
    </w:p>
    <w:p>
      <w:pPr>
        <w:spacing w:after="0" w:line="108" w:lineRule="exact"/>
        <w:rPr>
          <w:rFonts w:ascii="Arial" w:cs="Arial" w:eastAsia="Arial" w:hAnsi="Arial"/>
          <w:sz w:val="18"/>
          <w:szCs w:val="18"/>
          <w:color w:val="auto"/>
        </w:rPr>
      </w:pPr>
    </w:p>
    <w:p>
      <w:pPr>
        <w:ind w:left="906" w:right="40" w:hanging="447"/>
        <w:spacing w:after="0" w:line="237" w:lineRule="auto"/>
        <w:tabs>
          <w:tab w:leader="none" w:pos="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Company shall pay any Bonus to Executive for the Fiscal Year following completion of the audit of ABM Industries Incorporated financial statements, but no later than seventy-five (75) days after the end of each Fiscal Year. The Company in its sole discretion may pay any prorated Target Bonus earlier. In the event of modification of employment under Paragraph 14 or termination of employment hereunder other than (a) a termination under Paragraph 16B, (b) a termination under Paragraph 16C for reasons other than Executive’s health, or (c) Executive’s retiring at age 65 or more with less than 10 years of employment at Company, Company shall pay Executive, within 75 days thereafter, a prorated portion of the Target Bonus based on the fraction of the Fiscal Year that has been completed prior to the date of modification or termination.</w:t>
      </w:r>
    </w:p>
    <w:p>
      <w:pPr>
        <w:spacing w:after="0" w:line="108" w:lineRule="exact"/>
        <w:rPr>
          <w:rFonts w:ascii="Arial" w:cs="Arial" w:eastAsia="Arial" w:hAnsi="Arial"/>
          <w:sz w:val="18"/>
          <w:szCs w:val="18"/>
          <w:color w:val="auto"/>
        </w:rPr>
      </w:pPr>
    </w:p>
    <w:p>
      <w:pPr>
        <w:ind w:left="906" w:right="40" w:hanging="447"/>
        <w:spacing w:after="0"/>
        <w:tabs>
          <w:tab w:leader="none" w:pos="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Absent bad faith or material error, any conclusions of the Managing Officer, President and/or Chief Executive Officer with respect to the Performance Assessment, Performance Objectives or the Bonus shall be final and binding upon Executive and Company.</w:t>
      </w:r>
    </w:p>
    <w:p>
      <w:pPr>
        <w:spacing w:after="0" w:line="108" w:lineRule="exact"/>
        <w:rPr>
          <w:rFonts w:ascii="Arial" w:cs="Arial" w:eastAsia="Arial" w:hAnsi="Arial"/>
          <w:sz w:val="18"/>
          <w:szCs w:val="18"/>
          <w:color w:val="auto"/>
        </w:rPr>
      </w:pPr>
    </w:p>
    <w:p>
      <w:pPr>
        <w:ind w:left="906" w:right="140" w:hanging="447"/>
        <w:spacing w:after="0" w:line="239" w:lineRule="auto"/>
        <w:tabs>
          <w:tab w:leader="none" w:pos="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Company may, prior to the beginning of any Fiscal Year, approve and notify the Executive of a modification to the Target Bonus or the bonus range set forth in subparagraph (i) above. The Company’s decision in this regard shall be deemed final and binding on Executive. In addition, the Company may grant a discretionary incentive bonus to Executive at any time in its sole discretion.</w:t>
      </w:r>
    </w:p>
    <w:p>
      <w:pPr>
        <w:spacing w:after="0" w:line="17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949" w:right="299" w:bottom="1440" w:gutter="0" w:footer="0" w:header="0"/>
        </w:sectPr>
      </w:pPr>
    </w:p>
    <w:bookmarkStart w:id="116" w:name="page117"/>
    <w:bookmarkEnd w:id="116"/>
    <w:p>
      <w:pPr>
        <w:ind w:left="892" w:hanging="446"/>
        <w:spacing w:after="0" w:line="237" w:lineRule="auto"/>
        <w:tabs>
          <w:tab w:leader="none" w:pos="8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PERQUISITES. Executive shall receive the then current perquisites generally provided by Company to its executives. Such perquisites may include but not be limited to car allowance, group health benefits, long-term disability benefits, group life insurance, sick leave and vacation. Each of these perquisites is subject to the applicable Company policy at all times. Executive expressly agrees that should Executive terminate employment with Company for the purpose of being re-employed by an ABM subsidiary or affiliate, Executive shall “carry-over” any previously accrued but unused vacation balance to the books of the affiliate. Company reserves the right to add, increase, reduce or eliminate any perquisites at any time, but no such benefit or benefits shall be reduced or eliminated as to Executive unless generally reduced or eliminated as to similarly-situated executives at Company.</w:t>
      </w:r>
    </w:p>
    <w:p>
      <w:pPr>
        <w:spacing w:after="0" w:line="73" w:lineRule="exact"/>
        <w:rPr>
          <w:rFonts w:ascii="Arial" w:cs="Arial" w:eastAsia="Arial" w:hAnsi="Arial"/>
          <w:sz w:val="18"/>
          <w:szCs w:val="18"/>
          <w:color w:val="auto"/>
        </w:rPr>
      </w:pPr>
    </w:p>
    <w:p>
      <w:pPr>
        <w:jc w:val="both"/>
        <w:ind w:left="452" w:right="440" w:hanging="452"/>
        <w:spacing w:after="0" w:line="253" w:lineRule="auto"/>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Company shall pay directly or reimburse Executive for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expenses of Company incurred by Executive in connection with Company business in accordance with the ABM Travel &amp; Entertainment Policy.</w:t>
      </w:r>
    </w:p>
    <w:p>
      <w:pPr>
        <w:spacing w:after="0" w:line="74" w:lineRule="exact"/>
        <w:rPr>
          <w:rFonts w:ascii="Arial" w:cs="Arial" w:eastAsia="Arial" w:hAnsi="Arial"/>
          <w:sz w:val="18"/>
          <w:szCs w:val="18"/>
          <w:b w:val="1"/>
          <w:bCs w:val="1"/>
          <w:color w:val="auto"/>
        </w:rPr>
      </w:pPr>
    </w:p>
    <w:p>
      <w:pPr>
        <w:ind w:left="452" w:right="120" w:hanging="452"/>
        <w:spacing w:after="0" w:line="253" w:lineRule="auto"/>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CONDUCT. </w:t>
      </w:r>
      <w:r>
        <w:rPr>
          <w:rFonts w:ascii="Arial" w:cs="Arial" w:eastAsia="Arial" w:hAnsi="Arial"/>
          <w:sz w:val="18"/>
          <w:szCs w:val="18"/>
          <w:color w:val="auto"/>
        </w:rPr>
        <w:t>Executive shall comply with all applicable laws pertaining to the performance of this Agreement, and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lawful and ethical rules, regulations, policies, codes of conduct, procedures and instructions of Company, including but not limited to the following:</w:t>
      </w:r>
    </w:p>
    <w:p>
      <w:pPr>
        <w:spacing w:after="0" w:line="83" w:lineRule="exact"/>
        <w:rPr>
          <w:rFonts w:ascii="Arial" w:cs="Arial" w:eastAsia="Arial" w:hAnsi="Arial"/>
          <w:sz w:val="18"/>
          <w:szCs w:val="18"/>
          <w:b w:val="1"/>
          <w:bCs w:val="1"/>
          <w:color w:val="auto"/>
        </w:rPr>
      </w:pPr>
    </w:p>
    <w:p>
      <w:pPr>
        <w:ind w:left="892" w:hanging="446"/>
        <w:spacing w:after="0"/>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 or ABM.</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Company.</w:t>
      </w:r>
    </w:p>
    <w:p>
      <w:pPr>
        <w:spacing w:after="0" w:line="117" w:lineRule="exact"/>
        <w:rPr>
          <w:rFonts w:ascii="Arial" w:cs="Arial" w:eastAsia="Arial" w:hAnsi="Arial"/>
          <w:sz w:val="18"/>
          <w:szCs w:val="18"/>
          <w:color w:val="auto"/>
        </w:rPr>
      </w:pPr>
    </w:p>
    <w:p>
      <w:pPr>
        <w:ind w:left="892" w:right="520" w:hanging="446"/>
        <w:spacing w:after="0" w:line="246"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102" w:lineRule="exact"/>
        <w:rPr>
          <w:rFonts w:ascii="Arial" w:cs="Arial" w:eastAsia="Arial" w:hAnsi="Arial"/>
          <w:sz w:val="18"/>
          <w:szCs w:val="18"/>
          <w:color w:val="auto"/>
        </w:rPr>
      </w:pPr>
    </w:p>
    <w:p>
      <w:pPr>
        <w:ind w:left="892" w:right="360" w:hanging="446"/>
        <w:spacing w:after="0"/>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Executive is approached by any person to discuss a possible acquisition or other transaction that could result in a change of control of Company, Executive will immediately advise the Chief Executive Officer, ABM’s General Counsel and the Chair of the Governance Committee of the Board.</w:t>
      </w:r>
    </w:p>
    <w:p>
      <w:pPr>
        <w:spacing w:after="0" w:line="108" w:lineRule="exact"/>
        <w:rPr>
          <w:rFonts w:ascii="Arial" w:cs="Arial" w:eastAsia="Arial" w:hAnsi="Arial"/>
          <w:sz w:val="18"/>
          <w:szCs w:val="18"/>
          <w:color w:val="auto"/>
        </w:rPr>
      </w:pPr>
    </w:p>
    <w:p>
      <w:pPr>
        <w:ind w:left="892" w:right="300" w:hanging="446"/>
        <w:spacing w:after="0" w:line="246"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 and Ethics.</w:t>
      </w:r>
    </w:p>
    <w:p>
      <w:pPr>
        <w:spacing w:after="0" w:line="102" w:lineRule="exact"/>
        <w:rPr>
          <w:rFonts w:ascii="Arial" w:cs="Arial" w:eastAsia="Arial" w:hAnsi="Arial"/>
          <w:sz w:val="18"/>
          <w:szCs w:val="18"/>
          <w:color w:val="auto"/>
        </w:rPr>
      </w:pPr>
    </w:p>
    <w:p>
      <w:pPr>
        <w:ind w:left="892" w:right="440" w:hanging="446"/>
        <w:spacing w:after="0" w:line="246"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Executive’s performance and receipt of compensation under this Agreement.</w:t>
      </w:r>
    </w:p>
    <w:p>
      <w:pPr>
        <w:spacing w:after="0" w:line="17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057" w:right="319" w:bottom="1440" w:gutter="0" w:footer="0" w:header="0"/>
        </w:sectPr>
      </w:pPr>
    </w:p>
    <w:bookmarkStart w:id="117" w:name="page118"/>
    <w:bookmarkEnd w:id="117"/>
    <w:p>
      <w:pPr>
        <w:jc w:val="both"/>
        <w:ind w:left="452" w:hanging="452"/>
        <w:spacing w:after="0" w:line="247" w:lineRule="auto"/>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Company that Executive is not bound by any contract with a previous employer or with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that might prevent Executive from entering into this Agreement. Executive further represents that Executive is not bound by any other contracts or covenants that in any way restrict or limit Executive’s activities in relation to Executive’s employment with Company that have not been fully disclosed to Company prior to the signing of this Agreement.</w:t>
      </w:r>
    </w:p>
    <w:p>
      <w:pPr>
        <w:spacing w:after="0" w:line="79" w:lineRule="exact"/>
        <w:rPr>
          <w:rFonts w:ascii="Arial" w:cs="Arial" w:eastAsia="Arial" w:hAnsi="Arial"/>
          <w:sz w:val="18"/>
          <w:szCs w:val="18"/>
          <w:b w:val="1"/>
          <w:bCs w:val="1"/>
          <w:color w:val="auto"/>
        </w:rPr>
      </w:pPr>
    </w:p>
    <w:p>
      <w:pPr>
        <w:ind w:left="452" w:right="240" w:hanging="452"/>
        <w:spacing w:after="0" w:line="241" w:lineRule="auto"/>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PROPERTY. </w:t>
      </w:r>
      <w:r>
        <w:rPr>
          <w:rFonts w:ascii="Arial" w:cs="Arial" w:eastAsia="Arial" w:hAnsi="Arial"/>
          <w:sz w:val="18"/>
          <w:szCs w:val="18"/>
          <w:color w:val="auto"/>
        </w:rPr>
        <w:t>Company shall, from time to time, entrust to the care, custody and control of Executive certain of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such as 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84" w:lineRule="exact"/>
        <w:rPr>
          <w:rFonts w:ascii="Arial" w:cs="Arial" w:eastAsia="Arial" w:hAnsi="Arial"/>
          <w:sz w:val="18"/>
          <w:szCs w:val="18"/>
          <w:b w:val="1"/>
          <w:bCs w:val="1"/>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5" w:lineRule="exact"/>
        <w:rPr>
          <w:rFonts w:ascii="Arial" w:cs="Arial" w:eastAsia="Arial" w:hAnsi="Arial"/>
          <w:sz w:val="18"/>
          <w:szCs w:val="18"/>
          <w:b w:val="1"/>
          <w:bCs w:val="1"/>
          <w:color w:val="auto"/>
        </w:rPr>
      </w:pPr>
    </w:p>
    <w:p>
      <w:pPr>
        <w:jc w:val="both"/>
        <w:ind w:left="892" w:right="100" w:hanging="446"/>
        <w:spacing w:after="0"/>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108" w:lineRule="exact"/>
        <w:rPr>
          <w:rFonts w:ascii="Arial" w:cs="Arial" w:eastAsia="Arial" w:hAnsi="Arial"/>
          <w:sz w:val="18"/>
          <w:szCs w:val="18"/>
          <w:color w:val="auto"/>
        </w:rPr>
      </w:pPr>
    </w:p>
    <w:p>
      <w:pPr>
        <w:ind w:left="892" w:right="20" w:hanging="446"/>
        <w:spacing w:after="0" w:line="237" w:lineRule="auto"/>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Company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75" w:lineRule="exact"/>
        <w:rPr>
          <w:rFonts w:ascii="Arial" w:cs="Arial" w:eastAsia="Arial" w:hAnsi="Arial"/>
          <w:sz w:val="18"/>
          <w:szCs w:val="18"/>
          <w:color w:val="auto"/>
        </w:rPr>
      </w:pPr>
    </w:p>
    <w:p>
      <w:pPr>
        <w:ind w:left="452" w:right="20" w:hanging="452"/>
        <w:spacing w:after="0" w:line="271" w:lineRule="auto"/>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as specifically agreed herein:</w:t>
      </w:r>
    </w:p>
    <w:p>
      <w:pPr>
        <w:spacing w:after="0" w:line="67" w:lineRule="exact"/>
        <w:rPr>
          <w:rFonts w:ascii="Arial" w:cs="Arial" w:eastAsia="Arial" w:hAnsi="Arial"/>
          <w:sz w:val="18"/>
          <w:szCs w:val="18"/>
          <w:b w:val="1"/>
          <w:bCs w:val="1"/>
          <w:color w:val="auto"/>
        </w:rPr>
      </w:pPr>
    </w:p>
    <w:p>
      <w:pPr>
        <w:ind w:left="892" w:hanging="446"/>
        <w:spacing w:after="0"/>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NON-SOLICITATION OF EMPLOYEES. While employed by Company and for a period of one year following Executive’s termination of employment, Executive shall at no time directly or indirectly solicit or otherwise encourage or arrange for any employee to terminate employment with Company except in the proper performance of this Agreement.</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35" w:right="259" w:bottom="1440" w:gutter="0" w:footer="0" w:header="0"/>
        </w:sectPr>
      </w:pPr>
    </w:p>
    <w:bookmarkStart w:id="118" w:name="page119"/>
    <w:bookmarkEnd w:id="118"/>
    <w:p>
      <w:pPr>
        <w:ind w:left="446" w:right="500"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108" w:lineRule="exact"/>
        <w:rPr>
          <w:rFonts w:ascii="Arial" w:cs="Arial" w:eastAsia="Arial" w:hAnsi="Arial"/>
          <w:sz w:val="18"/>
          <w:szCs w:val="18"/>
          <w:color w:val="auto"/>
        </w:rPr>
      </w:pPr>
    </w:p>
    <w:p>
      <w:pPr>
        <w:ind w:left="446" w:right="20" w:hanging="446"/>
        <w:spacing w:after="0" w:line="237"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NON-SOLICITATION OF CUSTOMERS. Executive agrees that for a reasonable time after the termination of this Agreement, which Executive and Company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or any other ABM subsidiary within one year prior to termination of this Agreement. In addition, Executive agrees that at all times after the termination of this Agreement, Executive shall not seek, solicit, divert, take away, obtain or accept the patronage of any customer or sales prospect of Company or any other ABM subsidiary through the direct or indirect use of any Proprietary Information or by any other unfair or unlawful business practice.</w:t>
      </w:r>
    </w:p>
    <w:p>
      <w:pPr>
        <w:spacing w:after="0" w:line="108" w:lineRule="exact"/>
        <w:rPr>
          <w:rFonts w:ascii="Arial" w:cs="Arial" w:eastAsia="Arial" w:hAnsi="Arial"/>
          <w:sz w:val="18"/>
          <w:szCs w:val="18"/>
          <w:color w:val="auto"/>
        </w:rPr>
      </w:pPr>
    </w:p>
    <w:p>
      <w:pPr>
        <w:ind w:left="446" w:right="200" w:hanging="446"/>
        <w:spacing w:after="0" w:line="238"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NON-DISPARAGEMENT. During Executive’s employment with Company and for a period of two years following termination of employment (whether voluntary or involuntary), Executive agrees not to make any comment or take any action which disparages, defames, or places in a negative light ABM, its subsidiaries, its past and present officers, directors, and employees. Company agrees that during this same period, its officers and directors shall refrain from making any comment or taking any action to disparage, defame, or place Executive in a negative public light.</w:t>
      </w:r>
    </w:p>
    <w:p>
      <w:pPr>
        <w:spacing w:after="0" w:line="108" w:lineRule="exact"/>
        <w:rPr>
          <w:rFonts w:ascii="Arial" w:cs="Arial" w:eastAsia="Arial" w:hAnsi="Arial"/>
          <w:sz w:val="18"/>
          <w:szCs w:val="18"/>
          <w:color w:val="auto"/>
        </w:rPr>
      </w:pPr>
    </w:p>
    <w:p>
      <w:pPr>
        <w:ind w:left="446" w:hanging="446"/>
        <w:spacing w:after="0" w:line="236"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COOPERATION. Upon termination of employment hereunder, Executive shall cooperate with Company, ABM and any ABM subsidiaries in its defense or prosecution of any current or future matter in any forum, including but not limited to lawsuits, federal, state or local agency claims, audits and investigations, and internal and external investigations concerning any matter in which Executive was involved during Executive’s employment with Company, ABM and any ABM subsidiaries or about which Executive has or should have knowledge and information. Executive’s cooperation shall include, but is not limited to, meeting with Company’s, ABM’s and any ABM subsidiaries’ in-house and/or outside attorneys, communicating Executive’s knowledge of relevant facts to Company’s, ABM’s and any ABM subsidiaries’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Company, ABM and any ABM subsidiaries. In performing the tasks outlined in this Paragraph 13E, Executive shall be bound by the covenants of good faith and veracity set forth in Paragraph 9 of this Agreement and as outlined in ABM’s Code of Business Conduct and Ethics.</w:t>
      </w:r>
    </w:p>
    <w:p>
      <w:pPr>
        <w:spacing w:after="0" w:line="17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949" w:right="299" w:bottom="1440" w:gutter="0" w:footer="0" w:header="0"/>
        </w:sectPr>
      </w:pPr>
    </w:p>
    <w:bookmarkStart w:id="119" w:name="page120"/>
    <w:bookmarkEnd w:id="119"/>
    <w:p>
      <w:pPr>
        <w:jc w:val="both"/>
        <w:ind w:left="892" w:right="40" w:hanging="446"/>
        <w:spacing w:after="0"/>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72" w:lineRule="exact"/>
        <w:rPr>
          <w:rFonts w:ascii="Arial" w:cs="Arial" w:eastAsia="Arial" w:hAnsi="Arial"/>
          <w:sz w:val="18"/>
          <w:szCs w:val="18"/>
          <w:color w:val="auto"/>
        </w:rPr>
      </w:pPr>
    </w:p>
    <w:p>
      <w:pPr>
        <w:ind w:left="452" w:right="60" w:hanging="452"/>
        <w:spacing w:after="0" w:line="242" w:lineRule="auto"/>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 majority of the non-management directors of the Board, the Board shall have the absolute right, with or without cause and without terminating this Agreement or Executive’s employment hereunder, to remove Executive from any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Company giving Executive written notice of such change.</w:t>
      </w:r>
    </w:p>
    <w:p>
      <w:pPr>
        <w:spacing w:after="0" w:line="93" w:lineRule="exact"/>
        <w:rPr>
          <w:rFonts w:ascii="Arial" w:cs="Arial" w:eastAsia="Arial" w:hAnsi="Arial"/>
          <w:sz w:val="18"/>
          <w:szCs w:val="18"/>
          <w:b w:val="1"/>
          <w:bCs w:val="1"/>
          <w:color w:val="auto"/>
        </w:rPr>
      </w:pPr>
    </w:p>
    <w:p>
      <w:pPr>
        <w:ind w:left="892" w:hanging="446"/>
        <w:spacing w:after="0" w:line="237"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MODIFICATION ACTIONS. Upon commencement of the Modification Period: (i) Executive shall immediately resign as an officer and/or director of Company, ABM and/or of any ABM subsidiaries, as applicable, (ii) Executive shall promptly return all Company property in Executive’s possession to Company, including but not limited to any motor vehicles, equipment, supplies and documents set forth in Paragraph 11 of this Agreement, and (iii) Company shall pay Executive when due any and all previously earned, but as yet unpaid, salary, Bonus pursuant to Paragraph 7B(iii), or other contingent compensation, reimbursement of business expenses and perquisites.</w:t>
      </w:r>
    </w:p>
    <w:p>
      <w:pPr>
        <w:spacing w:after="0" w:line="110" w:lineRule="exact"/>
        <w:rPr>
          <w:rFonts w:ascii="Arial" w:cs="Arial" w:eastAsia="Arial" w:hAnsi="Arial"/>
          <w:sz w:val="18"/>
          <w:szCs w:val="18"/>
          <w:color w:val="auto"/>
        </w:rPr>
      </w:pPr>
    </w:p>
    <w:p>
      <w:pPr>
        <w:ind w:left="892" w:right="40" w:hanging="446"/>
        <w:spacing w:after="0" w:line="248" w:lineRule="auto"/>
        <w:tabs>
          <w:tab w:leader="none" w:pos="892" w:val="left"/>
        </w:tabs>
        <w:numPr>
          <w:ilvl w:val="1"/>
          <w:numId w:val="80"/>
        </w:numPr>
        <w:rPr>
          <w:rFonts w:ascii="Arial" w:cs="Arial" w:eastAsia="Arial" w:hAnsi="Arial"/>
          <w:sz w:val="17"/>
          <w:szCs w:val="17"/>
          <w:color w:val="auto"/>
        </w:rPr>
      </w:pPr>
      <w:r>
        <w:rPr>
          <w:rFonts w:ascii="Arial" w:cs="Arial" w:eastAsia="Arial" w:hAnsi="Arial"/>
          <w:sz w:val="17"/>
          <w:szCs w:val="17"/>
          <w:color w:val="auto"/>
        </w:rPr>
        <w:t>MODIFICATION OBLIGATIONS. During the Modification Period: (i) Executive shall be deemed a part-time employee and not a full-time employee of Company; (ii) Executive shall provide Company with such occasional executive or managerial services as reasonably requested by the person(s) designated by the Managing Officer,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Company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perquisites other than the ABM Employee Stock Purchase Plan and 401(k) plan provided that Executive continues to qualify under the terms of such plans;</w:t>
      </w:r>
    </w:p>
    <w:p>
      <w:pPr>
        <w:spacing w:after="0" w:line="5" w:lineRule="exact"/>
        <w:rPr>
          <w:rFonts w:ascii="Arial" w:cs="Arial" w:eastAsia="Arial" w:hAnsi="Arial"/>
          <w:sz w:val="17"/>
          <w:szCs w:val="17"/>
          <w:color w:val="auto"/>
        </w:rPr>
      </w:pPr>
    </w:p>
    <w:p>
      <w:pPr>
        <w:ind w:left="1152" w:hanging="261"/>
        <w:spacing w:after="0" w:line="234" w:lineRule="auto"/>
        <w:tabs>
          <w:tab w:leader="none" w:pos="11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Executive may exercise rights under COBRA to obtain medical insurance coverage as may be available to Executive; and</w:t>
      </w:r>
    </w:p>
    <w:p>
      <w:pPr>
        <w:ind w:left="892" w:right="400" w:hanging="1"/>
        <w:spacing w:after="0"/>
        <w:tabs>
          <w:tab w:leader="none" w:pos="1192" w:val="left"/>
        </w:tabs>
        <w:numPr>
          <w:ilvl w:val="2"/>
          <w:numId w:val="80"/>
        </w:numPr>
        <w:rPr>
          <w:rFonts w:ascii="Arial" w:cs="Arial" w:eastAsia="Arial" w:hAnsi="Arial"/>
          <w:sz w:val="18"/>
          <w:szCs w:val="18"/>
          <w:color w:val="auto"/>
        </w:rPr>
      </w:pPr>
      <w:r>
        <w:rPr>
          <w:rFonts w:ascii="Arial" w:cs="Arial" w:eastAsia="Arial" w:hAnsi="Arial"/>
          <w:sz w:val="18"/>
          <w:szCs w:val="18"/>
          <w:color w:val="auto"/>
        </w:rPr>
        <w:t>Company shall pay directly or reimburse Executive in accordance with the provisions of Paragraph 8 of this Agreement for reasonable business expenses of Company incurred by Executive in connection with such services requested by the person(s) designated by the Board.</w:t>
      </w:r>
    </w:p>
    <w:p>
      <w:pPr>
        <w:spacing w:after="0" w:line="108" w:lineRule="exact"/>
        <w:rPr>
          <w:rFonts w:ascii="Arial" w:cs="Arial" w:eastAsia="Arial" w:hAnsi="Arial"/>
          <w:sz w:val="18"/>
          <w:szCs w:val="18"/>
          <w:color w:val="auto"/>
        </w:rPr>
      </w:pPr>
    </w:p>
    <w:p>
      <w:pPr>
        <w:ind w:left="892" w:right="260" w:hanging="446"/>
        <w:spacing w:after="0" w:line="246" w:lineRule="auto"/>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color w:val="auto"/>
        </w:rPr>
        <w:t>MODIFICATION PERIOD. The Modification Period shall continue until the earlier of: (i) Total Disability or death, (ii) termination of this Agreement by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120" w:name="page121"/>
    <w:bookmarkEnd w:id="120"/>
    <w:p>
      <w:pPr>
        <w:ind w:left="892" w:right="300"/>
        <w:spacing w:after="0" w:line="239" w:lineRule="auto"/>
        <w:rPr>
          <w:sz w:val="20"/>
          <w:szCs w:val="20"/>
          <w:color w:val="auto"/>
        </w:rPr>
      </w:pPr>
      <w:r>
        <w:rPr>
          <w:rFonts w:ascii="Arial" w:cs="Arial" w:eastAsia="Arial" w:hAnsi="Arial"/>
          <w:sz w:val="18"/>
          <w:szCs w:val="18"/>
          <w:color w:val="auto"/>
        </w:rPr>
        <w:t>Company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72"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5" w:lineRule="exact"/>
        <w:rPr>
          <w:rFonts w:ascii="Arial" w:cs="Arial" w:eastAsia="Arial" w:hAnsi="Arial"/>
          <w:sz w:val="18"/>
          <w:szCs w:val="18"/>
          <w:b w:val="1"/>
          <w:bCs w:val="1"/>
          <w:color w:val="auto"/>
        </w:rPr>
      </w:pPr>
    </w:p>
    <w:p>
      <w:pPr>
        <w:ind w:left="892" w:right="220" w:hanging="446"/>
        <w:spacing w:after="0"/>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Company to Executive prior to expiration of the then current Initial or Extended Term, as applicable, of this Agreement, employment hereunder shall continue for an Extended Term (or another Extended Term, as applicable) of one year.</w:t>
      </w:r>
    </w:p>
    <w:p>
      <w:pPr>
        <w:spacing w:after="0" w:line="108" w:lineRule="exact"/>
        <w:rPr>
          <w:rFonts w:ascii="Arial" w:cs="Arial" w:eastAsia="Arial" w:hAnsi="Arial"/>
          <w:sz w:val="18"/>
          <w:szCs w:val="18"/>
          <w:color w:val="auto"/>
        </w:rPr>
      </w:pPr>
    </w:p>
    <w:p>
      <w:pPr>
        <w:ind w:left="892" w:right="160" w:hanging="446"/>
        <w:spacing w:after="0" w:line="239"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Company shall have the right to terminate Executive’s employment or to change the terms and conditions of Executive’s employment, including but not limited to Executive’s position and/or compensation .</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5" w:lineRule="exact"/>
        <w:rPr>
          <w:rFonts w:ascii="Arial" w:cs="Arial" w:eastAsia="Arial" w:hAnsi="Arial"/>
          <w:sz w:val="18"/>
          <w:szCs w:val="18"/>
          <w:b w:val="1"/>
          <w:bCs w:val="1"/>
          <w:color w:val="auto"/>
        </w:rPr>
      </w:pPr>
    </w:p>
    <w:p>
      <w:pPr>
        <w:ind w:left="892" w:right="220" w:hanging="446"/>
        <w:spacing w:after="0" w:line="239"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Company has the option, without terminating this Agreement, of placing Executive on a leave of absence at the full compensation set forth in Paragraph 7 of this Agreement, for any or all of such notice period.</w:t>
      </w:r>
    </w:p>
    <w:p>
      <w:pPr>
        <w:spacing w:after="0" w:line="107" w:lineRule="exact"/>
        <w:rPr>
          <w:rFonts w:ascii="Arial" w:cs="Arial" w:eastAsia="Arial" w:hAnsi="Arial"/>
          <w:sz w:val="18"/>
          <w:szCs w:val="18"/>
          <w:color w:val="auto"/>
        </w:rPr>
      </w:pPr>
    </w:p>
    <w:p>
      <w:pPr>
        <w:ind w:left="892" w:hanging="446"/>
        <w:spacing w:after="0"/>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TERMINATION FOR CAUSE. Company may terminate Executive’s employment hereunder at any time during the then current Initial or Extended Term, as applicable, of this Agreement, without notice subject only to a good faith determination by a majority of the Board of Just Cause.</w:t>
      </w:r>
    </w:p>
    <w:p>
      <w:pPr>
        <w:spacing w:after="0" w:line="108" w:lineRule="exact"/>
        <w:rPr>
          <w:rFonts w:ascii="Arial" w:cs="Arial" w:eastAsia="Arial" w:hAnsi="Arial"/>
          <w:sz w:val="18"/>
          <w:szCs w:val="18"/>
          <w:color w:val="auto"/>
        </w:rPr>
      </w:pPr>
    </w:p>
    <w:p>
      <w:pPr>
        <w:ind w:left="892" w:right="240" w:hanging="446"/>
        <w:spacing w:after="0" w:line="239" w:lineRule="auto"/>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VOLUNTARY TERMINATION BY EXECUTIVE. At any time during the then current Initial or Extended Term, as applicable, of this Agreement and with or without cause, Executive may terminate employment hereunder by giving Company 90 days prior written notice. For a voluntary termination for reasons other than health, Executive will not receive any prorated Bonus pursuant with Paragraph 7.B.iii.</w:t>
      </w:r>
    </w:p>
    <w:p>
      <w:pPr>
        <w:spacing w:after="0" w:line="107" w:lineRule="exact"/>
        <w:rPr>
          <w:rFonts w:ascii="Arial" w:cs="Arial" w:eastAsia="Arial" w:hAnsi="Arial"/>
          <w:sz w:val="18"/>
          <w:szCs w:val="18"/>
          <w:color w:val="auto"/>
        </w:rPr>
      </w:pPr>
    </w:p>
    <w:p>
      <w:pPr>
        <w:ind w:left="892" w:right="180" w:hanging="446"/>
        <w:spacing w:after="0"/>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DISABILITY OR DEATH. Employment hereunder shall automatically terminate upon the Total Disability or death of Executive. Company shall pay when due to Executive or, upon death, Executive’s designated beneficiary or estate, as applicable, any and all previously earned, but as yet unpaid, salary, Bonus, other</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121" w:name="page122"/>
    <w:bookmarkEnd w:id="121"/>
    <w:p>
      <w:pPr>
        <w:ind w:left="892" w:right="540"/>
        <w:spacing w:after="0" w:line="246" w:lineRule="auto"/>
        <w:rPr>
          <w:sz w:val="20"/>
          <w:szCs w:val="20"/>
          <w:color w:val="auto"/>
        </w:rPr>
      </w:pPr>
      <w:r>
        <w:rPr>
          <w:rFonts w:ascii="Arial" w:cs="Arial" w:eastAsia="Arial" w:hAnsi="Arial"/>
          <w:sz w:val="18"/>
          <w:szCs w:val="18"/>
          <w:color w:val="auto"/>
        </w:rPr>
        <w:t>contingent compensation, reimbursement of business expenses and perquisites which would have otherwise been payable to Executive under this Agreement, through the end of the month in which Total Disability or death occurs.</w:t>
      </w:r>
    </w:p>
    <w:p>
      <w:pPr>
        <w:spacing w:after="0" w:line="183" w:lineRule="exact"/>
        <w:rPr>
          <w:sz w:val="20"/>
          <w:szCs w:val="20"/>
          <w:color w:val="auto"/>
        </w:rPr>
      </w:pPr>
    </w:p>
    <w:p>
      <w:pPr>
        <w:ind w:left="892" w:hanging="446"/>
        <w:spacing w:after="0" w:line="237" w:lineRule="auto"/>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Company and of any Company subsidiaries or affiliates, as applicable. Executive shall promptly return and release all Company property in Executive’s possession to Company, including but not limited to, any motor vehicles, equipment, supplies, passwords and documents set forth in Paragraph 11 of this Agreement. Company shall pay Executive when due any and all previously earned, but as yet unpaid, salary, Bonus, other contingent compensation, reimbursement of business expenses and perquisites.</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117"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5" w:lineRule="exact"/>
        <w:rPr>
          <w:rFonts w:ascii="Arial" w:cs="Arial" w:eastAsia="Arial" w:hAnsi="Arial"/>
          <w:sz w:val="18"/>
          <w:szCs w:val="18"/>
          <w:b w:val="1"/>
          <w:bCs w:val="1"/>
          <w:color w:val="auto"/>
        </w:rPr>
      </w:pPr>
    </w:p>
    <w:p>
      <w:pPr>
        <w:ind w:left="892" w:right="20" w:hanging="446"/>
        <w:spacing w:after="0" w:line="239" w:lineRule="auto"/>
        <w:tabs>
          <w:tab w:leader="none" w:pos="892" w:val="left"/>
        </w:tabs>
        <w:numPr>
          <w:ilvl w:val="1"/>
          <w:numId w:val="83"/>
        </w:numPr>
        <w:rPr>
          <w:rFonts w:ascii="Arial" w:cs="Arial" w:eastAsia="Arial" w:hAnsi="Arial"/>
          <w:sz w:val="18"/>
          <w:szCs w:val="18"/>
          <w:color w:val="auto"/>
        </w:rPr>
      </w:pPr>
      <w:r>
        <w:rPr>
          <w:rFonts w:ascii="Arial" w:cs="Arial" w:eastAsia="Arial" w:hAnsi="Arial"/>
          <w:sz w:val="18"/>
          <w:szCs w:val="18"/>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93" w:lineRule="exact"/>
        <w:rPr>
          <w:rFonts w:ascii="Arial" w:cs="Arial" w:eastAsia="Arial" w:hAnsi="Arial"/>
          <w:sz w:val="18"/>
          <w:szCs w:val="18"/>
          <w:color w:val="auto"/>
        </w:rPr>
      </w:pPr>
    </w:p>
    <w:p>
      <w:pPr>
        <w:ind w:left="1352" w:hanging="447"/>
        <w:spacing w:after="0"/>
        <w:tabs>
          <w:tab w:leader="none" w:pos="13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17" w:lineRule="exact"/>
        <w:rPr>
          <w:rFonts w:ascii="Arial" w:cs="Arial" w:eastAsia="Arial" w:hAnsi="Arial"/>
          <w:sz w:val="18"/>
          <w:szCs w:val="18"/>
          <w:color w:val="auto"/>
        </w:rPr>
      </w:pPr>
    </w:p>
    <w:p>
      <w:pPr>
        <w:ind w:left="1352" w:hanging="447"/>
        <w:spacing w:after="0"/>
        <w:tabs>
          <w:tab w:leader="none" w:pos="13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17" w:lineRule="exact"/>
        <w:rPr>
          <w:rFonts w:ascii="Arial" w:cs="Arial" w:eastAsia="Arial" w:hAnsi="Arial"/>
          <w:sz w:val="18"/>
          <w:szCs w:val="18"/>
          <w:color w:val="auto"/>
        </w:rPr>
      </w:pPr>
    </w:p>
    <w:p>
      <w:pPr>
        <w:ind w:left="1352" w:right="120" w:hanging="447"/>
        <w:spacing w:after="0" w:line="239" w:lineRule="auto"/>
        <w:tabs>
          <w:tab w:leader="none" w:pos="13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107" w:lineRule="exact"/>
        <w:rPr>
          <w:rFonts w:ascii="Arial" w:cs="Arial" w:eastAsia="Arial" w:hAnsi="Arial"/>
          <w:sz w:val="18"/>
          <w:szCs w:val="18"/>
          <w:color w:val="auto"/>
        </w:rPr>
      </w:pPr>
    </w:p>
    <w:p>
      <w:pPr>
        <w:ind w:left="1352" w:right="140" w:hanging="447"/>
        <w:spacing w:after="0" w:line="238" w:lineRule="auto"/>
        <w:tabs>
          <w:tab w:leader="none" w:pos="135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122" w:name="page123"/>
    <w:bookmarkEnd w:id="122"/>
    <w:p>
      <w:pPr>
        <w:ind w:left="1352" w:hanging="447"/>
        <w:spacing w:after="0"/>
        <w:tabs>
          <w:tab w:leader="none" w:pos="13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108" w:lineRule="exact"/>
        <w:rPr>
          <w:rFonts w:ascii="Arial" w:cs="Arial" w:eastAsia="Arial" w:hAnsi="Arial"/>
          <w:sz w:val="18"/>
          <w:szCs w:val="18"/>
          <w:color w:val="auto"/>
        </w:rPr>
      </w:pPr>
    </w:p>
    <w:p>
      <w:pPr>
        <w:ind w:left="1352" w:hanging="447"/>
        <w:spacing w:after="0"/>
        <w:tabs>
          <w:tab w:leader="none" w:pos="13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cost of such arbitration shall be borne by Company.</w:t>
      </w:r>
    </w:p>
    <w:p>
      <w:pPr>
        <w:spacing w:after="0" w:line="117" w:lineRule="exact"/>
        <w:rPr>
          <w:rFonts w:ascii="Arial" w:cs="Arial" w:eastAsia="Arial" w:hAnsi="Arial"/>
          <w:sz w:val="18"/>
          <w:szCs w:val="18"/>
          <w:color w:val="auto"/>
        </w:rPr>
      </w:pPr>
    </w:p>
    <w:p>
      <w:pPr>
        <w:ind w:left="1352" w:right="460" w:hanging="447"/>
        <w:spacing w:after="0" w:line="246" w:lineRule="auto"/>
        <w:tabs>
          <w:tab w:leader="none" w:pos="13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102" w:lineRule="exact"/>
        <w:rPr>
          <w:rFonts w:ascii="Arial" w:cs="Arial" w:eastAsia="Arial" w:hAnsi="Arial"/>
          <w:sz w:val="18"/>
          <w:szCs w:val="18"/>
          <w:color w:val="auto"/>
        </w:rPr>
      </w:pPr>
    </w:p>
    <w:p>
      <w:pPr>
        <w:ind w:left="1352" w:right="380" w:hanging="447"/>
        <w:spacing w:after="0" w:line="246" w:lineRule="auto"/>
        <w:tabs>
          <w:tab w:leader="none" w:pos="13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88" w:lineRule="exact"/>
        <w:rPr>
          <w:rFonts w:ascii="Arial" w:cs="Arial" w:eastAsia="Arial" w:hAnsi="Arial"/>
          <w:sz w:val="18"/>
          <w:szCs w:val="18"/>
          <w:color w:val="auto"/>
        </w:rPr>
      </w:pPr>
    </w:p>
    <w:p>
      <w:pPr>
        <w:ind w:left="892" w:right="40" w:hanging="446"/>
        <w:spacing w:after="0"/>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72" w:lineRule="exact"/>
        <w:rPr>
          <w:rFonts w:ascii="Arial" w:cs="Arial" w:eastAsia="Arial" w:hAnsi="Arial"/>
          <w:sz w:val="18"/>
          <w:szCs w:val="18"/>
          <w:color w:val="auto"/>
        </w:rPr>
      </w:pPr>
    </w:p>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5" w:lineRule="exact"/>
        <w:rPr>
          <w:rFonts w:ascii="Arial" w:cs="Arial" w:eastAsia="Arial" w:hAnsi="Arial"/>
          <w:sz w:val="18"/>
          <w:szCs w:val="18"/>
          <w:b w:val="1"/>
          <w:bCs w:val="1"/>
          <w:color w:val="auto"/>
        </w:rPr>
      </w:pPr>
    </w:p>
    <w:p>
      <w:pPr>
        <w:ind w:left="892" w:right="120" w:hanging="446"/>
        <w:spacing w:after="0" w:line="237" w:lineRule="auto"/>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110" w:lineRule="exact"/>
        <w:rPr>
          <w:rFonts w:ascii="Arial" w:cs="Arial" w:eastAsia="Arial" w:hAnsi="Arial"/>
          <w:sz w:val="18"/>
          <w:szCs w:val="18"/>
          <w:color w:val="auto"/>
        </w:rPr>
      </w:pPr>
    </w:p>
    <w:p>
      <w:pPr>
        <w:ind w:left="892" w:right="40" w:hanging="446"/>
        <w:spacing w:after="0" w:line="239" w:lineRule="auto"/>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Company to withhold from any severance payments otherwise due to Executive and from any other funds held for Executive’s benefit by Company, any damages or losses sustained by Company as a result of any material breach or other material violation of this Agreement by Executive, pending resolution of the underlying dispute as provided in Paragraph 18 above.</w:t>
      </w:r>
    </w:p>
    <w:p>
      <w:pPr>
        <w:spacing w:after="0" w:line="71" w:lineRule="exact"/>
        <w:rPr>
          <w:rFonts w:ascii="Arial" w:cs="Arial" w:eastAsia="Arial" w:hAnsi="Arial"/>
          <w:sz w:val="18"/>
          <w:szCs w:val="18"/>
          <w:color w:val="auto"/>
        </w:rPr>
      </w:pPr>
    </w:p>
    <w:p>
      <w:pPr>
        <w:ind w:left="452" w:right="420" w:hanging="452"/>
        <w:spacing w:after="0" w:line="271" w:lineRule="auto"/>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w:t>
      </w:r>
      <w:r>
        <w:rPr>
          <w:rFonts w:ascii="Arial" w:cs="Arial" w:eastAsia="Arial" w:hAnsi="Arial"/>
          <w:sz w:val="18"/>
          <w:szCs w:val="18"/>
          <w:b w:val="1"/>
          <w:bCs w:val="1"/>
          <w:color w:val="auto"/>
        </w:rPr>
        <w:t xml:space="preserve"> </w:t>
      </w:r>
      <w:r>
        <w:rPr>
          <w:rFonts w:ascii="Arial" w:cs="Arial" w:eastAsia="Arial" w:hAnsi="Arial"/>
          <w:sz w:val="18"/>
          <w:szCs w:val="18"/>
          <w:color w:val="auto"/>
        </w:rPr>
        <w:t>enforcing that provision, or any other provision of this Agreement, at any later time.</w:t>
      </w:r>
    </w:p>
    <w:p>
      <w:pPr>
        <w:spacing w:after="0" w:line="1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123" w:name="page124"/>
    <w:bookmarkEnd w:id="123"/>
    <w:p>
      <w:pPr>
        <w:ind w:left="460" w:right="20" w:hanging="452"/>
        <w:spacing w:after="0" w:line="244" w:lineRule="auto"/>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If any arbitrator (or court as applicable hereunder) rules that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68" w:lineRule="exact"/>
        <w:rPr>
          <w:rFonts w:ascii="Arial" w:cs="Arial" w:eastAsia="Arial" w:hAnsi="Arial"/>
          <w:sz w:val="18"/>
          <w:szCs w:val="18"/>
          <w:b w:val="1"/>
          <w:bCs w:val="1"/>
          <w:color w:val="auto"/>
        </w:rPr>
      </w:pPr>
    </w:p>
    <w:p>
      <w:pPr>
        <w:ind w:left="460" w:right="20" w:hanging="452"/>
        <w:spacing w:after="0" w:line="253" w:lineRule="auto"/>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but not limited to the provisions of Paragraphs 13 and 18 of this Agreement, shall remain in full force and effect after the termination of this Agreement.</w:t>
      </w:r>
    </w:p>
    <w:p>
      <w:pPr>
        <w:spacing w:after="0" w:line="61" w:lineRule="exact"/>
        <w:rPr>
          <w:rFonts w:ascii="Arial" w:cs="Arial" w:eastAsia="Arial" w:hAnsi="Arial"/>
          <w:sz w:val="18"/>
          <w:szCs w:val="18"/>
          <w:b w:val="1"/>
          <w:bCs w:val="1"/>
          <w:color w:val="auto"/>
        </w:rPr>
      </w:pPr>
    </w:p>
    <w:p>
      <w:pPr>
        <w:ind w:left="460" w:right="180" w:hanging="452"/>
        <w:spacing w:after="0" w:line="253" w:lineRule="auto"/>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Executive has carefully read and fully understands all of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that Executive is voluntarily entering into this Agreement and has been given an opportunity to review all aspects of this Agreement with an attorney, if Executive chooses to do so.</w:t>
      </w:r>
    </w:p>
    <w:p>
      <w:pPr>
        <w:spacing w:after="0" w:line="61" w:lineRule="exact"/>
        <w:rPr>
          <w:rFonts w:ascii="Arial" w:cs="Arial" w:eastAsia="Arial" w:hAnsi="Arial"/>
          <w:sz w:val="18"/>
          <w:szCs w:val="18"/>
          <w:b w:val="1"/>
          <w:bCs w:val="1"/>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5" w:lineRule="exact"/>
        <w:rPr>
          <w:rFonts w:ascii="Arial" w:cs="Arial" w:eastAsia="Arial" w:hAnsi="Arial"/>
          <w:sz w:val="18"/>
          <w:szCs w:val="18"/>
          <w:b w:val="1"/>
          <w:bCs w:val="1"/>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or electronically to the party named at the address set forth below or at such other address as either party may hereafter designate in writing to the other party:</w:t>
      </w:r>
    </w:p>
    <w:p>
      <w:pPr>
        <w:sectPr>
          <w:pgSz w:w="11900" w:h="16838" w:orient="portrait"/>
          <w:cols w:equalWidth="0" w:num="1">
            <w:col w:w="11420"/>
          </w:cols>
          <w:pgMar w:left="240" w:top="1035"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(Home address)</w:t>
      </w:r>
    </w:p>
    <w:p>
      <w:pPr>
        <w:spacing w:after="0" w:line="234" w:lineRule="auto"/>
        <w:rPr>
          <w:sz w:val="20"/>
          <w:szCs w:val="20"/>
          <w:color w:val="auto"/>
        </w:rPr>
      </w:pPr>
      <w:r>
        <w:rPr>
          <w:rFonts w:ascii="Arial" w:cs="Arial" w:eastAsia="Arial" w:hAnsi="Arial"/>
          <w:sz w:val="18"/>
          <w:szCs w:val="18"/>
          <w:color w:val="auto"/>
        </w:rPr>
        <w:t>(Home city, state ZIP)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(known email address, typically ABM address)</w:t>
      </w:r>
    </w:p>
    <w:p>
      <w:pPr>
        <w:spacing w:after="0" w:line="176" w:lineRule="exact"/>
        <w:rPr>
          <w:sz w:val="20"/>
          <w:szCs w:val="20"/>
          <w:color w:val="auto"/>
        </w:rPr>
      </w:pPr>
    </w:p>
    <w:p>
      <w:pPr>
        <w:sectPr>
          <w:pgSz w:w="11900" w:h="16838" w:orient="portrait"/>
          <w:cols w:equalWidth="0" w:num="2">
            <w:col w:w="1920" w:space="720"/>
            <w:col w:w="8780"/>
          </w:cols>
          <w:pgMar w:left="240" w:top="1035"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(Legal Company 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234" w:lineRule="auto"/>
        <w:rPr>
          <w:sz w:val="20"/>
          <w:szCs w:val="20"/>
          <w:color w:val="auto"/>
        </w:rPr>
      </w:pPr>
      <w:r>
        <w:rPr>
          <w:rFonts w:ascii="Arial" w:cs="Arial" w:eastAsia="Arial" w:hAnsi="Arial"/>
          <w:sz w:val="18"/>
          <w:szCs w:val="18"/>
          <w:color w:val="auto"/>
        </w:rPr>
        <w:t>San Francisco, CA 94111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188" w:lineRule="exact"/>
        <w:rPr>
          <w:sz w:val="20"/>
          <w:szCs w:val="20"/>
          <w:color w:val="auto"/>
        </w:rPr>
      </w:pPr>
    </w:p>
    <w:p>
      <w:pPr>
        <w:sectPr>
          <w:pgSz w:w="11900" w:h="16838" w:orient="portrait"/>
          <w:cols w:equalWidth="0" w:num="2">
            <w:col w:w="1920" w:space="720"/>
            <w:col w:w="8780"/>
          </w:cols>
          <w:pgMar w:left="240" w:top="103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234" w:lineRule="auto"/>
        <w:rPr>
          <w:sz w:val="20"/>
          <w:szCs w:val="20"/>
          <w:color w:val="auto"/>
        </w:rPr>
      </w:pPr>
      <w:r>
        <w:rPr>
          <w:rFonts w:ascii="Arial" w:cs="Arial" w:eastAsia="Arial" w:hAnsi="Arial"/>
          <w:sz w:val="18"/>
          <w:szCs w:val="18"/>
          <w:color w:val="auto"/>
        </w:rPr>
        <w:t>San Francisco, CA 94111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Senior Vice President of Human Resources</w:t>
      </w:r>
    </w:p>
    <w:p>
      <w:pPr>
        <w:spacing w:after="0" w:line="115" w:lineRule="exact"/>
        <w:rPr>
          <w:sz w:val="20"/>
          <w:szCs w:val="20"/>
          <w:color w:val="auto"/>
        </w:rPr>
      </w:pPr>
    </w:p>
    <w:p>
      <w:pPr>
        <w:sectPr>
          <w:pgSz w:w="11900" w:h="16838" w:orient="portrait"/>
          <w:cols w:equalWidth="0" w:num="2">
            <w:col w:w="1920" w:space="720"/>
            <w:col w:w="8780"/>
          </w:cols>
          <w:pgMar w:left="240" w:top="1035" w:right="239" w:bottom="1440" w:gutter="0" w:footer="0" w:header="0"/>
          <w:type w:val="continuous"/>
        </w:sectPr>
      </w:pPr>
    </w:p>
    <w:p>
      <w:pPr>
        <w:ind w:left="900" w:right="320" w:hanging="446"/>
        <w:spacing w:after="0" w:line="246"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66" w:lineRule="exact"/>
        <w:rPr>
          <w:rFonts w:ascii="Arial" w:cs="Arial" w:eastAsia="Arial" w:hAnsi="Arial"/>
          <w:sz w:val="18"/>
          <w:szCs w:val="18"/>
          <w:color w:val="auto"/>
        </w:rPr>
      </w:pPr>
    </w:p>
    <w:p>
      <w:pPr>
        <w:ind w:left="460" w:right="160" w:hanging="452"/>
        <w:spacing w:after="0" w:line="271"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Unless otherwise specified herein, this Agreement sets forth every contract, understanding and arrangement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employment relationship</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24" w:name="page125"/>
    <w:bookmarkEnd w:id="124"/>
    <w:p>
      <w:pPr>
        <w:ind w:left="460"/>
        <w:spacing w:after="0"/>
        <w:rPr>
          <w:sz w:val="20"/>
          <w:szCs w:val="20"/>
          <w:color w:val="auto"/>
        </w:rPr>
      </w:pPr>
      <w:r>
        <w:rPr>
          <w:rFonts w:ascii="Arial" w:cs="Arial" w:eastAsia="Arial" w:hAnsi="Arial"/>
          <w:sz w:val="18"/>
          <w:szCs w:val="18"/>
          <w:color w:val="auto"/>
        </w:rPr>
        <w:t>between Executive and Company, and may only be changed by a written amendment signed by both Executive and Company.</w:t>
      </w:r>
    </w:p>
    <w:p>
      <w:pPr>
        <w:spacing w:after="0" w:line="104" w:lineRule="exact"/>
        <w:rPr>
          <w:sz w:val="20"/>
          <w:szCs w:val="20"/>
          <w:color w:val="auto"/>
        </w:rPr>
      </w:pPr>
    </w:p>
    <w:p>
      <w:pPr>
        <w:ind w:left="900" w:right="6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08" w:lineRule="exact"/>
        <w:rPr>
          <w:rFonts w:ascii="Arial" w:cs="Arial" w:eastAsia="Arial" w:hAnsi="Arial"/>
          <w:sz w:val="18"/>
          <w:szCs w:val="18"/>
          <w:color w:val="auto"/>
        </w:rPr>
      </w:pPr>
    </w:p>
    <w:p>
      <w:pPr>
        <w:ind w:left="900" w:right="400" w:hanging="446"/>
        <w:spacing w:after="0" w:line="23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SUPERSEDES OTHER AGREEMENTS. It is specifically understood and accepted that this Agreement supersedes all oral and written employment agreements between Executive and Company prior to the date of this Agreement as well as all conflicting provisions of ABM’s Human Resources Manual, including but not limited to the termination, discipline and discharge provisions contained therein.</w:t>
      </w:r>
    </w:p>
    <w:p>
      <w:pPr>
        <w:spacing w:after="0" w:line="107"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Company have executed this Agreement as of the date set forth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0040" w:type="dxa"/>
            <w:vAlign w:val="bottom"/>
            <w:gridSpan w:val="2"/>
          </w:tcPr>
          <w:p>
            <w:pPr>
              <w:ind w:left="460"/>
              <w:spacing w:after="0"/>
              <w:rPr>
                <w:sz w:val="20"/>
                <w:szCs w:val="20"/>
                <w:color w:val="auto"/>
              </w:rPr>
            </w:pPr>
            <w:r>
              <w:rPr>
                <w:rFonts w:ascii="Arial" w:cs="Arial" w:eastAsia="Arial" w:hAnsi="Arial"/>
                <w:sz w:val="18"/>
                <w:szCs w:val="18"/>
                <w:b w:val="1"/>
                <w:bCs w:val="1"/>
                <w:color w:val="auto"/>
              </w:rPr>
              <w:t>(Executive Name)</w:t>
            </w:r>
          </w:p>
        </w:tc>
      </w:tr>
      <w:tr>
        <w:trPr>
          <w:trHeight w:val="203"/>
        </w:trPr>
        <w:tc>
          <w:tcPr>
            <w:tcW w:w="1380" w:type="dxa"/>
            <w:vAlign w:val="bottom"/>
          </w:tcPr>
          <w:p>
            <w:pPr>
              <w:spacing w:after="0"/>
              <w:rPr>
                <w:sz w:val="17"/>
                <w:szCs w:val="17"/>
                <w:color w:val="auto"/>
              </w:rPr>
            </w:pPr>
          </w:p>
        </w:tc>
        <w:tc>
          <w:tcPr>
            <w:tcW w:w="1940" w:type="dxa"/>
            <w:vAlign w:val="bottom"/>
          </w:tcPr>
          <w:p>
            <w:pPr>
              <w:ind w:left="460"/>
              <w:spacing w:after="0" w:line="203" w:lineRule="exact"/>
              <w:rPr>
                <w:sz w:val="20"/>
                <w:szCs w:val="20"/>
                <w:color w:val="auto"/>
              </w:rPr>
            </w:pPr>
            <w:r>
              <w:rPr>
                <w:rFonts w:ascii="Arial" w:cs="Arial" w:eastAsia="Arial" w:hAnsi="Arial"/>
                <w:sz w:val="18"/>
                <w:szCs w:val="18"/>
                <w:color w:val="auto"/>
              </w:rPr>
              <w:t>Signature:</w:t>
            </w:r>
          </w:p>
        </w:tc>
        <w:tc>
          <w:tcPr>
            <w:tcW w:w="8100" w:type="dxa"/>
            <w:vAlign w:val="bottom"/>
            <w:tcBorders>
              <w:bottom w:val="single" w:sz="8" w:color="auto"/>
            </w:tcBorders>
          </w:tcPr>
          <w:p>
            <w:pPr>
              <w:spacing w:after="0"/>
              <w:rPr>
                <w:sz w:val="17"/>
                <w:szCs w:val="17"/>
                <w:color w:val="auto"/>
              </w:rPr>
            </w:pPr>
          </w:p>
        </w:tc>
      </w:tr>
      <w:tr>
        <w:trPr>
          <w:trHeight w:val="210"/>
        </w:trPr>
        <w:tc>
          <w:tcPr>
            <w:tcW w:w="1380" w:type="dxa"/>
            <w:vAlign w:val="bottom"/>
          </w:tcPr>
          <w:p>
            <w:pPr>
              <w:spacing w:after="0"/>
              <w:rPr>
                <w:sz w:val="18"/>
                <w:szCs w:val="18"/>
                <w:color w:val="auto"/>
              </w:rPr>
            </w:pPr>
          </w:p>
        </w:tc>
        <w:tc>
          <w:tcPr>
            <w:tcW w:w="1940" w:type="dxa"/>
            <w:vAlign w:val="bottom"/>
          </w:tcPr>
          <w:p>
            <w:pPr>
              <w:ind w:left="460"/>
              <w:spacing w:after="0"/>
              <w:rPr>
                <w:sz w:val="20"/>
                <w:szCs w:val="20"/>
                <w:color w:val="auto"/>
              </w:rPr>
            </w:pPr>
            <w:r>
              <w:rPr>
                <w:rFonts w:ascii="Arial" w:cs="Arial" w:eastAsia="Arial" w:hAnsi="Arial"/>
                <w:sz w:val="18"/>
                <w:szCs w:val="18"/>
                <w:color w:val="auto"/>
              </w:rPr>
              <w:t>Date:</w:t>
            </w:r>
          </w:p>
        </w:tc>
        <w:tc>
          <w:tcPr>
            <w:tcW w:w="8100" w:type="dxa"/>
            <w:vAlign w:val="bottom"/>
            <w:tcBorders>
              <w:bottom w:val="single" w:sz="8" w:color="auto"/>
            </w:tcBorders>
          </w:tcPr>
          <w:p>
            <w:pPr>
              <w:spacing w:after="0"/>
              <w:rPr>
                <w:sz w:val="18"/>
                <w:szCs w:val="18"/>
                <w:color w:val="auto"/>
              </w:rPr>
            </w:pPr>
          </w:p>
        </w:tc>
      </w:tr>
      <w:tr>
        <w:trPr>
          <w:trHeight w:val="411"/>
        </w:trPr>
        <w:tc>
          <w:tcPr>
            <w:tcW w:w="13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0040" w:type="dxa"/>
            <w:vAlign w:val="bottom"/>
            <w:gridSpan w:val="2"/>
          </w:tcPr>
          <w:p>
            <w:pPr>
              <w:ind w:left="460"/>
              <w:spacing w:after="0"/>
              <w:rPr>
                <w:sz w:val="20"/>
                <w:szCs w:val="20"/>
                <w:color w:val="auto"/>
              </w:rPr>
            </w:pPr>
            <w:r>
              <w:rPr>
                <w:rFonts w:ascii="Arial" w:cs="Arial" w:eastAsia="Arial" w:hAnsi="Arial"/>
                <w:sz w:val="18"/>
                <w:szCs w:val="18"/>
                <w:b w:val="1"/>
                <w:bCs w:val="1"/>
                <w:color w:val="auto"/>
              </w:rPr>
              <w:t>(Legal Company Name)</w:t>
            </w:r>
          </w:p>
        </w:tc>
      </w:tr>
      <w:tr>
        <w:trPr>
          <w:trHeight w:val="203"/>
        </w:trPr>
        <w:tc>
          <w:tcPr>
            <w:tcW w:w="1380" w:type="dxa"/>
            <w:vAlign w:val="bottom"/>
          </w:tcPr>
          <w:p>
            <w:pPr>
              <w:spacing w:after="0"/>
              <w:rPr>
                <w:sz w:val="17"/>
                <w:szCs w:val="17"/>
                <w:color w:val="auto"/>
              </w:rPr>
            </w:pPr>
          </w:p>
        </w:tc>
        <w:tc>
          <w:tcPr>
            <w:tcW w:w="1940" w:type="dxa"/>
            <w:vAlign w:val="bottom"/>
          </w:tcPr>
          <w:p>
            <w:pPr>
              <w:ind w:left="460"/>
              <w:spacing w:after="0" w:line="203" w:lineRule="exact"/>
              <w:rPr>
                <w:sz w:val="20"/>
                <w:szCs w:val="20"/>
                <w:color w:val="auto"/>
              </w:rPr>
            </w:pPr>
            <w:r>
              <w:rPr>
                <w:rFonts w:ascii="Arial" w:cs="Arial" w:eastAsia="Arial" w:hAnsi="Arial"/>
                <w:sz w:val="18"/>
                <w:szCs w:val="18"/>
                <w:color w:val="auto"/>
              </w:rPr>
              <w:t>Signature:</w:t>
            </w:r>
          </w:p>
        </w:tc>
        <w:tc>
          <w:tcPr>
            <w:tcW w:w="8100" w:type="dxa"/>
            <w:vAlign w:val="bottom"/>
            <w:tcBorders>
              <w:bottom w:val="single" w:sz="8" w:color="auto"/>
            </w:tcBorders>
          </w:tcPr>
          <w:p>
            <w:pPr>
              <w:spacing w:after="0"/>
              <w:rPr>
                <w:sz w:val="17"/>
                <w:szCs w:val="17"/>
                <w:color w:val="auto"/>
              </w:rPr>
            </w:pPr>
          </w:p>
        </w:tc>
      </w:tr>
      <w:tr>
        <w:trPr>
          <w:trHeight w:val="210"/>
        </w:trPr>
        <w:tc>
          <w:tcPr>
            <w:tcW w:w="1380" w:type="dxa"/>
            <w:vAlign w:val="bottom"/>
          </w:tcPr>
          <w:p>
            <w:pPr>
              <w:spacing w:after="0"/>
              <w:rPr>
                <w:sz w:val="18"/>
                <w:szCs w:val="18"/>
                <w:color w:val="auto"/>
              </w:rPr>
            </w:pPr>
          </w:p>
        </w:tc>
        <w:tc>
          <w:tcPr>
            <w:tcW w:w="1940" w:type="dxa"/>
            <w:vAlign w:val="bottom"/>
          </w:tcPr>
          <w:p>
            <w:pPr>
              <w:ind w:left="460"/>
              <w:spacing w:after="0"/>
              <w:rPr>
                <w:sz w:val="20"/>
                <w:szCs w:val="20"/>
                <w:color w:val="auto"/>
              </w:rPr>
            </w:pPr>
            <w:r>
              <w:rPr>
                <w:rFonts w:ascii="Arial" w:cs="Arial" w:eastAsia="Arial" w:hAnsi="Arial"/>
                <w:sz w:val="18"/>
                <w:szCs w:val="18"/>
                <w:color w:val="auto"/>
              </w:rPr>
              <w:t>Title:</w:t>
            </w:r>
          </w:p>
        </w:tc>
        <w:tc>
          <w:tcPr>
            <w:tcW w:w="8100" w:type="dxa"/>
            <w:vAlign w:val="bottom"/>
            <w:tcBorders>
              <w:bottom w:val="single" w:sz="8" w:color="auto"/>
            </w:tcBorders>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1940" w:type="dxa"/>
            <w:vAlign w:val="bottom"/>
          </w:tcPr>
          <w:p>
            <w:pPr>
              <w:ind w:left="460"/>
              <w:spacing w:after="0"/>
              <w:rPr>
                <w:sz w:val="20"/>
                <w:szCs w:val="20"/>
                <w:color w:val="auto"/>
              </w:rPr>
            </w:pPr>
            <w:r>
              <w:rPr>
                <w:rFonts w:ascii="Arial" w:cs="Arial" w:eastAsia="Arial" w:hAnsi="Arial"/>
                <w:sz w:val="18"/>
                <w:szCs w:val="18"/>
                <w:color w:val="auto"/>
              </w:rPr>
              <w:t>Date:</w:t>
            </w:r>
          </w:p>
        </w:tc>
        <w:tc>
          <w:tcPr>
            <w:tcW w:w="8100" w:type="dxa"/>
            <w:vAlign w:val="bottom"/>
            <w:tcBorders>
              <w:bottom w:val="single" w:sz="8" w:color="auto"/>
            </w:tcBorders>
          </w:tcPr>
          <w:p>
            <w:pPr>
              <w:spacing w:after="0"/>
              <w:rPr>
                <w:sz w:val="18"/>
                <w:szCs w:val="18"/>
                <w:color w:val="auto"/>
              </w:rPr>
            </w:pPr>
          </w:p>
        </w:tc>
      </w:tr>
      <w:tr>
        <w:trPr>
          <w:trHeight w:val="412"/>
        </w:trPr>
        <w:tc>
          <w:tcPr>
            <w:tcW w:w="138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949"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EXHIBIT 10.24</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EMPLOYMENT AGREEMENT</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w:t>
      </w:r>
      <w:r>
        <w:rPr>
          <w:rFonts w:ascii="Arial" w:cs="Arial" w:eastAsia="Arial" w:hAnsi="Arial"/>
          <w:sz w:val="18"/>
          <w:szCs w:val="18"/>
          <w:b w:val="1"/>
          <w:bCs w:val="1"/>
          <w:color w:val="auto"/>
        </w:rPr>
        <w:t xml:space="preser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(Executive name) </w:t>
      </w:r>
      <w:r>
        <w:rPr>
          <w:rFonts w:ascii="Arial" w:cs="Arial" w:eastAsia="Arial" w:hAnsi="Arial"/>
          <w:sz w:val="18"/>
          <w:szCs w:val="18"/>
          <w:color w:val="auto"/>
        </w:rPr>
        <w:t>(“Executive”) and</w:t>
      </w:r>
      <w:r>
        <w:rPr>
          <w:rFonts w:ascii="Arial" w:cs="Arial" w:eastAsia="Arial" w:hAnsi="Arial"/>
          <w:sz w:val="18"/>
          <w:szCs w:val="18"/>
          <w:b w:val="1"/>
          <w:bCs w:val="1"/>
          <w:color w:val="auto"/>
        </w:rPr>
        <w:t xml:space="preserve"> (Legal Company name) </w:t>
      </w:r>
      <w:r>
        <w:rPr>
          <w:rFonts w:ascii="Arial" w:cs="Arial" w:eastAsia="Arial" w:hAnsi="Arial"/>
          <w:sz w:val="18"/>
          <w:szCs w:val="18"/>
          <w:color w:val="auto"/>
        </w:rPr>
        <w:t>(“Company”) Corporate language: for itself and on behalf of its subsidiary corporations as applicable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engaged in the building maintenance and related service businesses, 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experienced in the administration, finance, marketing, and/or operation of such services, and</w:t>
      </w:r>
    </w:p>
    <w:p>
      <w:pPr>
        <w:spacing w:after="0" w:line="104"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invested significant time and money to develop proprietary trade secrets and other confidential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well as invaluable goodwill among its customers, sales prospects and employees, and</w:t>
      </w:r>
    </w:p>
    <w:p>
      <w:pPr>
        <w:spacing w:after="0" w:line="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disclosed or will disclose to Executive such proprietary trade secrets and other confidential business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Executive will utilize in the performance of Executive’s duties and responsibilities as </w:t>
      </w:r>
      <w:r>
        <w:rPr>
          <w:rFonts w:ascii="Arial" w:cs="Arial" w:eastAsia="Arial" w:hAnsi="Arial"/>
          <w:sz w:val="18"/>
          <w:szCs w:val="18"/>
          <w:b w:val="1"/>
          <w:bCs w:val="1"/>
          <w:color w:val="auto"/>
        </w:rPr>
        <w:t>(title)</w:t>
      </w:r>
      <w:r>
        <w:rPr>
          <w:rFonts w:ascii="Arial" w:cs="Arial" w:eastAsia="Arial" w:hAnsi="Arial"/>
          <w:sz w:val="18"/>
          <w:szCs w:val="18"/>
          <w:color w:val="auto"/>
        </w:rPr>
        <w:t xml:space="preserve"> and under this Agreement; and</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Company, and to utilize such proprietary trade secrets,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business information and goodwill in connection with Executive’s employment;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Company agree as follows:</w:t>
      </w:r>
    </w:p>
    <w:p>
      <w:pPr>
        <w:spacing w:after="0" w:line="104" w:lineRule="exact"/>
        <w:rPr>
          <w:sz w:val="20"/>
          <w:szCs w:val="20"/>
          <w:color w:val="auto"/>
        </w:rPr>
      </w:pPr>
    </w:p>
    <w:p>
      <w:pPr>
        <w:ind w:left="280" w:right="680" w:hanging="272"/>
        <w:spacing w:after="0" w:line="271" w:lineRule="auto"/>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Company hereby agrees to employ Executive, and Executive hereby accepts such employment,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45" w:lineRule="exact"/>
        <w:rPr>
          <w:rFonts w:ascii="Arial" w:cs="Arial" w:eastAsia="Arial" w:hAnsi="Arial"/>
          <w:sz w:val="18"/>
          <w:szCs w:val="18"/>
          <w:b w:val="1"/>
          <w:bCs w:val="1"/>
          <w:color w:val="auto"/>
        </w:rPr>
      </w:pPr>
    </w:p>
    <w:p>
      <w:pPr>
        <w:ind w:left="280" w:hanging="272"/>
        <w:spacing w:after="0"/>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w:t>
      </w:r>
      <w:r>
        <w:rPr>
          <w:rFonts w:ascii="Arial" w:cs="Arial" w:eastAsia="Arial" w:hAnsi="Arial"/>
          <w:sz w:val="18"/>
          <w:szCs w:val="18"/>
          <w:b w:val="1"/>
          <w:bCs w:val="1"/>
          <w:color w:val="auto"/>
        </w:rPr>
        <w:t xml:space="preserve"> (title) </w:t>
      </w:r>
      <w:r>
        <w:rPr>
          <w:rFonts w:ascii="Arial" w:cs="Arial" w:eastAsia="Arial" w:hAnsi="Arial"/>
          <w:sz w:val="18"/>
          <w:szCs w:val="18"/>
          <w:color w:val="auto"/>
        </w:rPr>
        <w:t>of Company, subject to modification as determined by the Company’s Board of Directors.</w:t>
      </w:r>
    </w:p>
    <w:p>
      <w:pPr>
        <w:spacing w:after="0" w:line="103" w:lineRule="exact"/>
        <w:rPr>
          <w:rFonts w:ascii="Arial" w:cs="Arial" w:eastAsia="Arial" w:hAnsi="Arial"/>
          <w:sz w:val="18"/>
          <w:szCs w:val="18"/>
          <w:b w:val="1"/>
          <w:bCs w:val="1"/>
          <w:color w:val="auto"/>
        </w:rPr>
      </w:pPr>
    </w:p>
    <w:p>
      <w:pPr>
        <w:ind w:left="280" w:hanging="272"/>
        <w:spacing w:after="0"/>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agreement shall have the following definitions:</w:t>
      </w:r>
    </w:p>
    <w:p>
      <w:pPr>
        <w:spacing w:after="0" w:line="125" w:lineRule="exact"/>
        <w:rPr>
          <w:rFonts w:ascii="Arial" w:cs="Arial" w:eastAsia="Arial" w:hAnsi="Arial"/>
          <w:sz w:val="18"/>
          <w:szCs w:val="18"/>
          <w:b w:val="1"/>
          <w:bCs w:val="1"/>
          <w:color w:val="auto"/>
        </w:rPr>
      </w:pPr>
    </w:p>
    <w:p>
      <w:pPr>
        <w:ind w:left="800" w:hanging="454"/>
        <w:spacing w:after="0"/>
        <w:tabs>
          <w:tab w:leader="none" w:pos="8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“AAA” means the American Arbitration Association.</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“ABM” means ABM Industries Incorporated, its subsidiaries, successors, and assigns.</w:t>
      </w:r>
    </w:p>
    <w:p>
      <w:pPr>
        <w:spacing w:after="0" w:line="95" w:lineRule="exact"/>
        <w:rPr>
          <w:rFonts w:ascii="Arial" w:cs="Arial" w:eastAsia="Arial" w:hAnsi="Arial"/>
          <w:sz w:val="18"/>
          <w:szCs w:val="18"/>
          <w:color w:val="auto"/>
        </w:rPr>
      </w:pPr>
    </w:p>
    <w:p>
      <w:pPr>
        <w:ind w:left="800" w:hanging="454"/>
        <w:spacing w:after="0"/>
        <w:tabs>
          <w:tab w:leader="none" w:pos="8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“Company” means </w:t>
      </w:r>
      <w:r>
        <w:rPr>
          <w:rFonts w:ascii="Arial" w:cs="Arial" w:eastAsia="Arial" w:hAnsi="Arial"/>
          <w:sz w:val="18"/>
          <w:szCs w:val="18"/>
          <w:b w:val="1"/>
          <w:bCs w:val="1"/>
          <w:color w:val="auto"/>
        </w:rPr>
        <w:t>(Company legal name)</w:t>
      </w:r>
      <w:r>
        <w:rPr>
          <w:rFonts w:ascii="Arial" w:cs="Arial" w:eastAsia="Arial" w:hAnsi="Arial"/>
          <w:sz w:val="18"/>
          <w:szCs w:val="18"/>
          <w:color w:val="auto"/>
        </w:rPr>
        <w:t xml:space="preserve"> and its successors and assigns.</w:t>
      </w:r>
    </w:p>
    <w:p>
      <w:pPr>
        <w:spacing w:after="0" w:line="139" w:lineRule="exact"/>
        <w:rPr>
          <w:rFonts w:ascii="Arial" w:cs="Arial" w:eastAsia="Arial" w:hAnsi="Arial"/>
          <w:sz w:val="18"/>
          <w:szCs w:val="18"/>
          <w:color w:val="auto"/>
        </w:rPr>
      </w:pPr>
    </w:p>
    <w:p>
      <w:pPr>
        <w:ind w:left="800" w:hanging="454"/>
        <w:spacing w:after="0"/>
        <w:tabs>
          <w:tab w:leader="none" w:pos="8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“Base Salary” means the salary paid under Paragraph 7A for the applicable Fiscal Year.</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“Board” means the Board of Directors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26" w:name="page127"/>
    <w:bookmarkEnd w:id="126"/>
    <w:p>
      <w:pPr>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“Bonus” means a performance-based bonus payable under Paragraph 7B of this Agreement.</w:t>
      </w:r>
    </w:p>
    <w:p>
      <w:pPr>
        <w:spacing w:after="0" w:line="117" w:lineRule="exact"/>
        <w:rPr>
          <w:rFonts w:ascii="Arial" w:cs="Arial" w:eastAsia="Arial" w:hAnsi="Arial"/>
          <w:sz w:val="18"/>
          <w:szCs w:val="18"/>
          <w:color w:val="auto"/>
        </w:rPr>
      </w:pPr>
    </w:p>
    <w:p>
      <w:pPr>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Company.</w:t>
      </w:r>
    </w:p>
    <w:p>
      <w:pPr>
        <w:spacing w:after="0" w:line="95" w:lineRule="exact"/>
        <w:rPr>
          <w:rFonts w:ascii="Arial" w:cs="Arial" w:eastAsia="Arial" w:hAnsi="Arial"/>
          <w:sz w:val="18"/>
          <w:szCs w:val="18"/>
          <w:color w:val="auto"/>
        </w:rPr>
      </w:pPr>
    </w:p>
    <w:p>
      <w:pPr>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“Executive” means </w:t>
      </w:r>
      <w:r>
        <w:rPr>
          <w:rFonts w:ascii="Arial" w:cs="Arial" w:eastAsia="Arial" w:hAnsi="Arial"/>
          <w:sz w:val="18"/>
          <w:szCs w:val="18"/>
          <w:b w:val="1"/>
          <w:bCs w:val="1"/>
          <w:color w:val="auto"/>
        </w:rPr>
        <w:t>(Executive name)</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“Extended Term” means the period for which this agreement is extended under Paragraph 15 of this Agreement.</w:t>
      </w:r>
    </w:p>
    <w:p>
      <w:pPr>
        <w:spacing w:after="0" w:line="117" w:lineRule="exact"/>
        <w:rPr>
          <w:rFonts w:ascii="Arial" w:cs="Arial" w:eastAsia="Arial" w:hAnsi="Arial"/>
          <w:sz w:val="18"/>
          <w:szCs w:val="18"/>
          <w:color w:val="auto"/>
        </w:rPr>
      </w:pPr>
    </w:p>
    <w:p>
      <w:pPr>
        <w:ind w:left="460" w:right="40" w:hanging="454"/>
        <w:spacing w:after="0" w:line="24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“Fiscal Year” means the period beginning on November 1 of a calendar year and ending on October 31 of the following calendar year or such other period as shall be designated by the Board as ABM’s fiscal year.</w:t>
      </w:r>
    </w:p>
    <w:p>
      <w:pPr>
        <w:spacing w:after="0" w:line="80" w:lineRule="exact"/>
        <w:rPr>
          <w:rFonts w:ascii="Arial" w:cs="Arial" w:eastAsia="Arial" w:hAnsi="Arial"/>
          <w:sz w:val="18"/>
          <w:szCs w:val="18"/>
          <w:color w:val="auto"/>
        </w:rPr>
      </w:pPr>
    </w:p>
    <w:p>
      <w:pPr>
        <w:ind w:left="460" w:right="720" w:hanging="454"/>
        <w:spacing w:after="0" w:line="271"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“Initial Term” is the period beginning on </w:t>
      </w:r>
      <w:r>
        <w:rPr>
          <w:rFonts w:ascii="Arial" w:cs="Arial" w:eastAsia="Arial" w:hAnsi="Arial"/>
          <w:sz w:val="18"/>
          <w:szCs w:val="18"/>
          <w:b w:val="1"/>
          <w:bCs w:val="1"/>
          <w:color w:val="auto"/>
        </w:rPr>
        <w:t>(start date of term</w:t>
      </w:r>
      <w:r>
        <w:rPr>
          <w:rFonts w:ascii="Arial" w:cs="Arial" w:eastAsia="Arial" w:hAnsi="Arial"/>
          <w:sz w:val="18"/>
          <w:szCs w:val="18"/>
          <w:color w:val="auto"/>
        </w:rPr>
        <w:t xml:space="preserve">) and ending </w:t>
      </w:r>
      <w:r>
        <w:rPr>
          <w:rFonts w:ascii="Arial" w:cs="Arial" w:eastAsia="Arial" w:hAnsi="Arial"/>
          <w:sz w:val="18"/>
          <w:szCs w:val="18"/>
          <w:b w:val="1"/>
          <w:bCs w:val="1"/>
          <w:color w:val="auto"/>
        </w:rPr>
        <w:t>(end date of term</w:t>
      </w:r>
      <w:r>
        <w:rPr>
          <w:rFonts w:ascii="Arial" w:cs="Arial" w:eastAsia="Arial" w:hAnsi="Arial"/>
          <w:sz w:val="18"/>
          <w:szCs w:val="18"/>
          <w:color w:val="auto"/>
        </w:rPr>
        <w:t>), unless sooner terminated under Paragraph 16 of this Agreement.</w:t>
      </w:r>
    </w:p>
    <w:p>
      <w:pPr>
        <w:spacing w:after="0" w:line="81" w:lineRule="exact"/>
        <w:rPr>
          <w:rFonts w:ascii="Arial" w:cs="Arial" w:eastAsia="Arial" w:hAnsi="Arial"/>
          <w:sz w:val="18"/>
          <w:szCs w:val="18"/>
          <w:color w:val="auto"/>
        </w:rPr>
      </w:pPr>
    </w:p>
    <w:p>
      <w:pPr>
        <w:ind w:left="460" w:right="260" w:hanging="454"/>
        <w:spacing w:after="0" w:line="24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“Insurance Contribution” means Company’s contribution to provide group health and life insurance for Executive and excludes any payment by Executive for such coverage.</w:t>
      </w:r>
    </w:p>
    <w:p>
      <w:pPr>
        <w:spacing w:after="0" w:line="102" w:lineRule="exact"/>
        <w:rPr>
          <w:rFonts w:ascii="Arial" w:cs="Arial" w:eastAsia="Arial" w:hAnsi="Arial"/>
          <w:sz w:val="18"/>
          <w:szCs w:val="18"/>
          <w:color w:val="auto"/>
        </w:rPr>
      </w:pPr>
    </w:p>
    <w:p>
      <w:pPr>
        <w:ind w:left="460" w:right="20" w:hanging="454"/>
        <w:spacing w:after="0" w:line="23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“Just Cause” means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Executive’s employment duties; (vi) material and willful breach of this Agreement; (vii) other misconduct, unethical or unlawful activity; (viii) a conviction of or plea of “guilty” or “no contest” to a felony under the laws of the United States or any state thereof; or (ix) a conviction of or plea of “guilty” or “no contest” to a misdemeanor involving a crime of moral turpitude under the laws of the United States or any state thereof.</w:t>
      </w:r>
    </w:p>
    <w:p>
      <w:pPr>
        <w:spacing w:after="0" w:line="110" w:lineRule="exact"/>
        <w:rPr>
          <w:rFonts w:ascii="Arial" w:cs="Arial" w:eastAsia="Arial" w:hAnsi="Arial"/>
          <w:sz w:val="18"/>
          <w:szCs w:val="18"/>
          <w:color w:val="auto"/>
        </w:rPr>
      </w:pPr>
    </w:p>
    <w:p>
      <w:pPr>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“Managing Officer” means the officer designated by the Company to whom Executive shall report and be accountable.</w:t>
      </w:r>
    </w:p>
    <w:p>
      <w:pPr>
        <w:spacing w:after="0" w:line="117" w:lineRule="exact"/>
        <w:rPr>
          <w:rFonts w:ascii="Arial" w:cs="Arial" w:eastAsia="Arial" w:hAnsi="Arial"/>
          <w:sz w:val="18"/>
          <w:szCs w:val="18"/>
          <w:color w:val="auto"/>
        </w:rPr>
      </w:pPr>
    </w:p>
    <w:p>
      <w:pPr>
        <w:jc w:val="both"/>
        <w:ind w:left="460" w:hanging="454"/>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“Modification Period” means the remainder of the Initial or the then current Extended Term, as applicable, of this Agreement, following the change in Executive’s employment status from that of a full-time employee to that of a part-time employee under Paragraph 14 of this Agreement.</w:t>
      </w:r>
    </w:p>
    <w:p>
      <w:pPr>
        <w:spacing w:after="0" w:line="108" w:lineRule="exact"/>
        <w:rPr>
          <w:rFonts w:ascii="Arial" w:cs="Arial" w:eastAsia="Arial" w:hAnsi="Arial"/>
          <w:sz w:val="18"/>
          <w:szCs w:val="18"/>
          <w:color w:val="auto"/>
        </w:rPr>
      </w:pPr>
    </w:p>
    <w:p>
      <w:pPr>
        <w:ind w:left="460" w:right="160" w:hanging="454"/>
        <w:spacing w:after="0" w:line="24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Assessment” means the Managing Officer’s annual assessment of Executive’s performance against the Performance Criteria.</w:t>
      </w:r>
    </w:p>
    <w:p>
      <w:pPr>
        <w:spacing w:after="0" w:line="102" w:lineRule="exact"/>
        <w:rPr>
          <w:rFonts w:ascii="Arial" w:cs="Arial" w:eastAsia="Arial" w:hAnsi="Arial"/>
          <w:sz w:val="18"/>
          <w:szCs w:val="18"/>
          <w:color w:val="auto"/>
        </w:rPr>
      </w:pPr>
    </w:p>
    <w:p>
      <w:pPr>
        <w:ind w:left="460" w:right="20" w:hanging="454"/>
        <w:spacing w:after="0" w:line="24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Objectives” means the performance goals for Executive established annually by the Managing Officer and approved by the Chief Executive Officer of Company or designee, in accordance with Paragraph 7B of this Agreement.</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49" w:right="259" w:bottom="1440" w:gutter="0" w:footer="0" w:header="0"/>
        </w:sectPr>
      </w:pPr>
    </w:p>
    <w:bookmarkStart w:id="127" w:name="page128"/>
    <w:bookmarkEnd w:id="127"/>
    <w:p>
      <w:pPr>
        <w:ind w:left="792" w:right="380" w:hanging="454"/>
        <w:spacing w:after="0" w:line="248" w:lineRule="auto"/>
        <w:tabs>
          <w:tab w:leader="none" w:pos="792" w:val="left"/>
        </w:tabs>
        <w:numPr>
          <w:ilvl w:val="1"/>
          <w:numId w:val="93"/>
        </w:numPr>
        <w:rPr>
          <w:rFonts w:ascii="Arial" w:cs="Arial" w:eastAsia="Arial" w:hAnsi="Arial"/>
          <w:sz w:val="17"/>
          <w:szCs w:val="17"/>
          <w:color w:val="auto"/>
        </w:rPr>
      </w:pPr>
      <w:r>
        <w:rPr>
          <w:rFonts w:ascii="Arial" w:cs="Arial" w:eastAsia="Arial" w:hAnsi="Arial"/>
          <w:sz w:val="17"/>
          <w:szCs w:val="17"/>
          <w:color w:val="auto"/>
        </w:rPr>
        <w:t>“Proprietary Information” means Company’s proprietary trade secrets and other confidential information not in the public domain, including but not limited to specific customer data such as: (i) the identity of Company’s customers and sales prospects; (ii) the nature, extent, frequency, methodology, cost, price and profit associated with services and products purchased from Company;</w:t>
      </w:r>
    </w:p>
    <w:p>
      <w:pPr>
        <w:spacing w:after="0" w:line="1" w:lineRule="exact"/>
        <w:rPr>
          <w:rFonts w:ascii="Arial" w:cs="Arial" w:eastAsia="Arial" w:hAnsi="Arial"/>
          <w:sz w:val="17"/>
          <w:szCs w:val="17"/>
          <w:color w:val="auto"/>
        </w:rPr>
      </w:pPr>
    </w:p>
    <w:p>
      <w:pPr>
        <w:ind w:left="792" w:right="20"/>
        <w:spacing w:after="0"/>
        <w:rPr>
          <w:rFonts w:ascii="Arial" w:cs="Arial" w:eastAsia="Arial" w:hAnsi="Arial"/>
          <w:sz w:val="17"/>
          <w:szCs w:val="17"/>
          <w:color w:val="auto"/>
        </w:rPr>
      </w:pPr>
      <w:r>
        <w:rPr>
          <w:rFonts w:ascii="Arial" w:cs="Arial" w:eastAsia="Arial" w:hAnsi="Arial"/>
          <w:sz w:val="18"/>
          <w:szCs w:val="18"/>
          <w:color w:val="auto"/>
        </w:rPr>
        <w:t>(iii) any particular needs or preferences regarding its service or supply requirements; (iv) the names, office hours, telephone numbers and street addresses of its purchasing agents or other buyers; (v) its billing procedures; (vi) its credit limits and payment practices; and (vii) its organization structure.</w:t>
      </w:r>
    </w:p>
    <w:p>
      <w:pPr>
        <w:spacing w:after="0" w:line="108" w:lineRule="exact"/>
        <w:rPr>
          <w:rFonts w:ascii="Arial" w:cs="Arial" w:eastAsia="Arial" w:hAnsi="Arial"/>
          <w:sz w:val="17"/>
          <w:szCs w:val="17"/>
          <w:color w:val="auto"/>
        </w:rPr>
      </w:pPr>
    </w:p>
    <w:p>
      <w:pPr>
        <w:ind w:left="792" w:hanging="454"/>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“Significant Transaction” means ABM Industries Incorporated’s acquisition or disposition of a business or assets which ABM Industries Incorporated is required to report under Item 2.01 of Form 8-K under the rules and regulations issued by the Securities and Exchange Commission.</w:t>
      </w:r>
    </w:p>
    <w:p>
      <w:pPr>
        <w:spacing w:after="0" w:line="86" w:lineRule="exact"/>
        <w:rPr>
          <w:rFonts w:ascii="Arial" w:cs="Arial" w:eastAsia="Arial" w:hAnsi="Arial"/>
          <w:sz w:val="18"/>
          <w:szCs w:val="18"/>
          <w:color w:val="auto"/>
        </w:rPr>
      </w:pPr>
    </w:p>
    <w:p>
      <w:pPr>
        <w:ind w:left="792" w:hanging="454"/>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“State of Employment” means </w:t>
      </w:r>
      <w:r>
        <w:rPr>
          <w:rFonts w:ascii="Arial" w:cs="Arial" w:eastAsia="Arial" w:hAnsi="Arial"/>
          <w:sz w:val="18"/>
          <w:szCs w:val="18"/>
          <w:b w:val="1"/>
          <w:bCs w:val="1"/>
          <w:color w:val="auto"/>
        </w:rPr>
        <w:t>(State)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92" w:hanging="454"/>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“Target Bonus” means </w:t>
      </w:r>
      <w:r>
        <w:rPr>
          <w:rFonts w:ascii="Arial" w:cs="Arial" w:eastAsia="Arial" w:hAnsi="Arial"/>
          <w:sz w:val="18"/>
          <w:szCs w:val="18"/>
          <w:b w:val="1"/>
          <w:bCs w:val="1"/>
          <w:color w:val="auto"/>
        </w:rPr>
        <w:t>(___)%</w:t>
      </w:r>
      <w:r>
        <w:rPr>
          <w:rFonts w:ascii="Arial" w:cs="Arial" w:eastAsia="Arial" w:hAnsi="Arial"/>
          <w:sz w:val="18"/>
          <w:szCs w:val="18"/>
          <w:color w:val="auto"/>
        </w:rPr>
        <w:t xml:space="preserve"> of Executive’s Base Salary.</w:t>
      </w:r>
    </w:p>
    <w:p>
      <w:pPr>
        <w:spacing w:after="0" w:line="139" w:lineRule="exact"/>
        <w:rPr>
          <w:rFonts w:ascii="Arial" w:cs="Arial" w:eastAsia="Arial" w:hAnsi="Arial"/>
          <w:sz w:val="18"/>
          <w:szCs w:val="18"/>
          <w:color w:val="auto"/>
        </w:rPr>
      </w:pPr>
    </w:p>
    <w:p>
      <w:pPr>
        <w:jc w:val="both"/>
        <w:ind w:left="792" w:right="20" w:hanging="454"/>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“Total Disability” means Executive’s inability to perform Executive’s duties under this Agreement and shall be deemed to occur on the 91st consecutive or non-consecutive calendar day within any 12 month period that Executive is unable to perform Executive’s duties under this Agreement because of any physical or mental illness or disability.</w:t>
      </w:r>
    </w:p>
    <w:p>
      <w:pPr>
        <w:spacing w:after="0" w:line="72" w:lineRule="exact"/>
        <w:rPr>
          <w:rFonts w:ascii="Arial" w:cs="Arial" w:eastAsia="Arial" w:hAnsi="Arial"/>
          <w:sz w:val="18"/>
          <w:szCs w:val="18"/>
          <w:color w:val="auto"/>
        </w:rPr>
      </w:pPr>
    </w:p>
    <w:p>
      <w:pPr>
        <w:ind w:left="212" w:right="20" w:hanging="212"/>
        <w:spacing w:after="0" w:line="253" w:lineRule="auto"/>
        <w:tabs>
          <w:tab w:leader="none" w:pos="21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&amp; RESPONSIBILITIES. </w:t>
      </w:r>
      <w:r>
        <w:rPr>
          <w:rFonts w:ascii="Arial" w:cs="Arial" w:eastAsia="Arial" w:hAnsi="Arial"/>
          <w:sz w:val="18"/>
          <w:szCs w:val="18"/>
          <w:color w:val="auto"/>
        </w:rPr>
        <w:t>Executive shall assume and perform such executive or managerial duties and responsibilities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from time-to-time by the Managing Officer or such other officer designated by the Managing Officer, to whom Executive shall report and be accountable.</w:t>
      </w:r>
    </w:p>
    <w:p>
      <w:pPr>
        <w:spacing w:after="0" w:line="61" w:lineRule="exact"/>
        <w:rPr>
          <w:rFonts w:ascii="Arial" w:cs="Arial" w:eastAsia="Arial" w:hAnsi="Arial"/>
          <w:sz w:val="18"/>
          <w:szCs w:val="18"/>
          <w:b w:val="1"/>
          <w:bCs w:val="1"/>
          <w:color w:val="auto"/>
        </w:rPr>
      </w:pPr>
    </w:p>
    <w:p>
      <w:pPr>
        <w:ind w:left="212" w:right="420" w:hanging="212"/>
        <w:spacing w:after="0" w:line="271" w:lineRule="auto"/>
        <w:tabs>
          <w:tab w:leader="none" w:pos="21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This agreement shall end on</w:t>
      </w:r>
      <w:r>
        <w:rPr>
          <w:rFonts w:ascii="Arial" w:cs="Arial" w:eastAsia="Arial" w:hAnsi="Arial"/>
          <w:sz w:val="18"/>
          <w:szCs w:val="18"/>
          <w:b w:val="1"/>
          <w:bCs w:val="1"/>
          <w:color w:val="auto"/>
        </w:rPr>
        <w:t xml:space="preserve"> (end date of term</w:t>
      </w:r>
      <w:r>
        <w:rPr>
          <w:rFonts w:ascii="Arial" w:cs="Arial" w:eastAsia="Arial" w:hAnsi="Arial"/>
          <w:sz w:val="18"/>
          <w:szCs w:val="18"/>
          <w:color w:val="auto"/>
        </w:rPr>
        <w:t>), unless sooner terminated pursuant to Paragraph 16 or later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to an Extended Term under Paragraph 15 of this Agreement.</w:t>
      </w:r>
    </w:p>
    <w:p>
      <w:pPr>
        <w:spacing w:after="0" w:line="45" w:lineRule="exact"/>
        <w:rPr>
          <w:rFonts w:ascii="Arial" w:cs="Arial" w:eastAsia="Arial" w:hAnsi="Arial"/>
          <w:sz w:val="18"/>
          <w:szCs w:val="18"/>
          <w:b w:val="1"/>
          <w:bCs w:val="1"/>
          <w:color w:val="auto"/>
        </w:rPr>
      </w:pPr>
    </w:p>
    <w:p>
      <w:pPr>
        <w:ind w:left="212" w:right="320" w:hanging="212"/>
        <w:spacing w:after="0" w:line="302" w:lineRule="auto"/>
        <w:tabs>
          <w:tab w:leader="none" w:pos="21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OFFICE. </w:t>
      </w:r>
      <w:r>
        <w:rPr>
          <w:rFonts w:ascii="Arial" w:cs="Arial" w:eastAsia="Arial" w:hAnsi="Arial"/>
          <w:sz w:val="17"/>
          <w:szCs w:val="17"/>
          <w:color w:val="auto"/>
        </w:rPr>
        <w:t>During the Initial Term and any Extended Term, as applicable, of this Agreement, Executive shall be based at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office located in the State of Employment or such other location as shall be mutually agreed upon by Company and Executive.</w:t>
      </w:r>
    </w:p>
    <w:p>
      <w:pPr>
        <w:spacing w:after="0" w:line="21" w:lineRule="exact"/>
        <w:rPr>
          <w:rFonts w:ascii="Arial" w:cs="Arial" w:eastAsia="Arial" w:hAnsi="Arial"/>
          <w:sz w:val="17"/>
          <w:szCs w:val="17"/>
          <w:b w:val="1"/>
          <w:bCs w:val="1"/>
          <w:color w:val="auto"/>
        </w:rPr>
      </w:pPr>
    </w:p>
    <w:p>
      <w:pPr>
        <w:ind w:left="212" w:right="420" w:hanging="212"/>
        <w:spacing w:after="0" w:line="271" w:lineRule="auto"/>
        <w:tabs>
          <w:tab w:leader="none" w:pos="21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for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and performance of duties and responsibilities pursuant to this Agreement:</w:t>
      </w:r>
    </w:p>
    <w:p>
      <w:pPr>
        <w:spacing w:after="0" w:line="67" w:lineRule="exact"/>
        <w:rPr>
          <w:rFonts w:ascii="Arial" w:cs="Arial" w:eastAsia="Arial" w:hAnsi="Arial"/>
          <w:sz w:val="18"/>
          <w:szCs w:val="18"/>
          <w:b w:val="1"/>
          <w:bCs w:val="1"/>
          <w:color w:val="auto"/>
        </w:rPr>
      </w:pPr>
    </w:p>
    <w:p>
      <w:pPr>
        <w:ind w:left="792" w:hanging="454"/>
        <w:spacing w:after="0"/>
        <w:tabs>
          <w:tab w:leader="none" w:pos="7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SALARY. A salary paid in equal installments no less frequently than semi-monthly. Executive shall be eligible, at the sole discretion of the Company, to receive a merit increase based on Executive’s job performance or for any other reason deemed appropriate by the Company.</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128" w:name="page129"/>
    <w:bookmarkEnd w:id="128"/>
    <w:p>
      <w:pPr>
        <w:ind w:left="460" w:right="140" w:hanging="454"/>
        <w:spacing w:after="0" w:line="246"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BONUS. Subject to subparagraphs (iii), (iv) and (v) below, Executive shall be eligible to participate in the Company’s Bonus Plan for each Fiscal Year, as follows:</w:t>
      </w:r>
    </w:p>
    <w:p>
      <w:pPr>
        <w:spacing w:after="0" w:line="88" w:lineRule="exact"/>
        <w:rPr>
          <w:rFonts w:ascii="Arial" w:cs="Arial" w:eastAsia="Arial" w:hAnsi="Arial"/>
          <w:sz w:val="18"/>
          <w:szCs w:val="18"/>
          <w:color w:val="auto"/>
        </w:rPr>
      </w:pPr>
    </w:p>
    <w:p>
      <w:pPr>
        <w:ind w:left="780" w:right="380" w:hanging="437"/>
        <w:spacing w:after="0" w:line="238" w:lineRule="auto"/>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Executive’s Bonus may range from 0% to 150% of the Target Bonus and shall be based on the Performance Assessment of Executive in terms of Performance Objectives established for the Executive for the applicable Fiscal Year. Performance Objectives will include both Company and individual objectives, be both qualitative and quantitative in nature and shall be established by the Managing Officer. The actual Bonus payout for each Fiscal Year shall be approved by the Chief Executive Officer based upon the Performance Assessment.</w:t>
      </w:r>
    </w:p>
    <w:p>
      <w:pPr>
        <w:spacing w:after="0" w:line="108" w:lineRule="exact"/>
        <w:rPr>
          <w:rFonts w:ascii="Arial" w:cs="Arial" w:eastAsia="Arial" w:hAnsi="Arial"/>
          <w:sz w:val="18"/>
          <w:szCs w:val="18"/>
          <w:color w:val="auto"/>
        </w:rPr>
      </w:pPr>
    </w:p>
    <w:p>
      <w:pPr>
        <w:ind w:left="780" w:hanging="437"/>
        <w:spacing w:after="0" w:line="238" w:lineRule="auto"/>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Company reserves the right at any time to adjust the Performance Objectives in the event of a Significant Transaction and/or for any unanticipated and material events that are beyond the control of Company, including but not limited to acts of god, nature, war or terrorism, or changes in the rules for financial reporting set forth by the Financial Accounting Standards Board, the Securities and Exchange Commission, rules of the New York Stock Exchange and/or for any other reason which the Company determines, in good faith, to be appropriate.</w:t>
      </w:r>
    </w:p>
    <w:p>
      <w:pPr>
        <w:spacing w:after="0" w:line="108" w:lineRule="exact"/>
        <w:rPr>
          <w:rFonts w:ascii="Arial" w:cs="Arial" w:eastAsia="Arial" w:hAnsi="Arial"/>
          <w:sz w:val="18"/>
          <w:szCs w:val="18"/>
          <w:color w:val="auto"/>
        </w:rPr>
      </w:pPr>
    </w:p>
    <w:p>
      <w:pPr>
        <w:ind w:left="780" w:hanging="437"/>
        <w:spacing w:after="0" w:line="237" w:lineRule="auto"/>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Company shall pay any Bonus to Executive for the Fiscal Year following completion of the audit of ABM Industries Incorporated financial statements, but no later than seventy-five (75) days after the end of each Fiscal Year. The Company in its sole discretion may pay any prorated Target Bonus earlier. In the event of modification of employment under Paragraph 14 or termination of employment hereunder other than (a) a termination under Paragraph 16B, (b) a termination under Paragraph 16C for reasons other than Executive’s health, or (c) Executive’s retiring at age 65 or more with less than 10 years of employment at Company, Company shall pay Executive, within 75 days thereafter, a prorated portion of the Target Bonus based on the fraction of the Fiscal Year that has been completed prior to the date of modification or termination.</w:t>
      </w:r>
    </w:p>
    <w:p>
      <w:pPr>
        <w:spacing w:after="0" w:line="108" w:lineRule="exact"/>
        <w:rPr>
          <w:rFonts w:ascii="Arial" w:cs="Arial" w:eastAsia="Arial" w:hAnsi="Arial"/>
          <w:sz w:val="18"/>
          <w:szCs w:val="18"/>
          <w:color w:val="auto"/>
        </w:rPr>
      </w:pPr>
    </w:p>
    <w:p>
      <w:pPr>
        <w:jc w:val="both"/>
        <w:ind w:left="780" w:right="60" w:hanging="437"/>
        <w:spacing w:after="0" w:line="275" w:lineRule="auto"/>
        <w:tabs>
          <w:tab w:leader="none" w:pos="7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Absent bad faith or material error, any conclusions of the Managing Officer, President and/or Chief Executive Officer with respect to the Performance Assessment, Performance Objectives or the Bonus shall be final and binding upon Executive and Company.</w:t>
      </w:r>
    </w:p>
    <w:p>
      <w:pPr>
        <w:spacing w:after="0" w:line="78" w:lineRule="exact"/>
        <w:rPr>
          <w:rFonts w:ascii="Arial" w:cs="Arial" w:eastAsia="Arial" w:hAnsi="Arial"/>
          <w:sz w:val="17"/>
          <w:szCs w:val="17"/>
          <w:color w:val="auto"/>
        </w:rPr>
      </w:pPr>
    </w:p>
    <w:p>
      <w:pPr>
        <w:ind w:left="780" w:right="20" w:hanging="437"/>
        <w:spacing w:after="0" w:line="239" w:lineRule="auto"/>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Company may, prior to the beginning of any Fiscal Year, approve and notify the Executive of a modification to the Target Bonus or the bonus range set forth in subparagraph (i) above. The Company’s decision in this regard shall be deemed final and binding on Executive. In addition, the Company may grant a discretionary incentive bonus to Executive at any time in its sole discretion.</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49" w:right="259" w:bottom="1440" w:gutter="0" w:footer="0" w:header="0"/>
        </w:sectPr>
      </w:pPr>
    </w:p>
    <w:bookmarkStart w:id="129" w:name="page130"/>
    <w:bookmarkEnd w:id="129"/>
    <w:p>
      <w:pPr>
        <w:ind w:left="792" w:right="160" w:hanging="454"/>
        <w:spacing w:after="0" w:line="237" w:lineRule="auto"/>
        <w:tabs>
          <w:tab w:leader="none" w:pos="7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PERQUISITES. Executive shall receive the then current perquisites generally provided by Company to its executives. Such perquisites may include but not be limited to car allowance, group health benefits, long-term disability benefits, group life insurance, sick leave and vacation. Each of these perquisites is subject to the applicable Company policy at all times. Executive expressly agrees that should Executive terminate employment with Company for the purpose of being re-employed by an ABM subsidiary or affiliate, Executive shall “carry-over” any previously accrued but unused vacation balance to the books of the affiliate. Company reserves the right to add, increase, reduce or eliminate any perquisites at any time, but no such benefit or benefits shall be reduced or eliminated as to Executive unless generally reduced or eliminated as to similarly-situated executives at Company.</w:t>
      </w:r>
    </w:p>
    <w:p>
      <w:pPr>
        <w:spacing w:after="0" w:line="73" w:lineRule="exact"/>
        <w:rPr>
          <w:rFonts w:ascii="Arial" w:cs="Arial" w:eastAsia="Arial" w:hAnsi="Arial"/>
          <w:sz w:val="18"/>
          <w:szCs w:val="18"/>
          <w:color w:val="auto"/>
        </w:rPr>
      </w:pPr>
    </w:p>
    <w:p>
      <w:pPr>
        <w:jc w:val="both"/>
        <w:ind w:left="272" w:right="660" w:hanging="272"/>
        <w:spacing w:after="0" w:line="253" w:lineRule="auto"/>
        <w:tabs>
          <w:tab w:leader="none" w:pos="27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Company shall pay directly or reimburse Executive for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expenses of Company incurred by Executive in connection with Company business in accordance with the ABM Travel &amp; Entertainment Policy.</w:t>
      </w:r>
    </w:p>
    <w:p>
      <w:pPr>
        <w:spacing w:after="0" w:line="61" w:lineRule="exact"/>
        <w:rPr>
          <w:rFonts w:ascii="Arial" w:cs="Arial" w:eastAsia="Arial" w:hAnsi="Arial"/>
          <w:sz w:val="18"/>
          <w:szCs w:val="18"/>
          <w:b w:val="1"/>
          <w:bCs w:val="1"/>
          <w:color w:val="auto"/>
        </w:rPr>
      </w:pPr>
    </w:p>
    <w:p>
      <w:pPr>
        <w:jc w:val="both"/>
        <w:ind w:left="272" w:right="40" w:hanging="272"/>
        <w:spacing w:after="0" w:line="302" w:lineRule="auto"/>
        <w:tabs>
          <w:tab w:leader="none" w:pos="272"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w:t>
      </w:r>
      <w:r>
        <w:rPr>
          <w:rFonts w:ascii="Arial" w:cs="Arial" w:eastAsia="Arial" w:hAnsi="Arial"/>
          <w:sz w:val="17"/>
          <w:szCs w:val="17"/>
          <w:b w:val="1"/>
          <w:bCs w:val="1"/>
          <w:color w:val="auto"/>
        </w:rPr>
        <w:t xml:space="preserve"> </w:t>
      </w:r>
      <w:r>
        <w:rPr>
          <w:rFonts w:ascii="Arial" w:cs="Arial" w:eastAsia="Arial" w:hAnsi="Arial"/>
          <w:sz w:val="17"/>
          <w:szCs w:val="17"/>
          <w:color w:val="auto"/>
        </w:rPr>
        <w:t>and ethical rules, regulations, policies, codes of conduct, procedures and instructions of Company, including but not limited to the following:</w:t>
      </w:r>
    </w:p>
    <w:p>
      <w:pPr>
        <w:spacing w:after="0" w:line="43" w:lineRule="exact"/>
        <w:rPr>
          <w:rFonts w:ascii="Arial" w:cs="Arial" w:eastAsia="Arial" w:hAnsi="Arial"/>
          <w:sz w:val="17"/>
          <w:szCs w:val="17"/>
          <w:b w:val="1"/>
          <w:bCs w:val="1"/>
          <w:color w:val="auto"/>
        </w:rPr>
      </w:pPr>
    </w:p>
    <w:p>
      <w:pPr>
        <w:ind w:left="792" w:hanging="454"/>
        <w:spacing w:after="0"/>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 or ABM.</w:t>
      </w:r>
    </w:p>
    <w:p>
      <w:pPr>
        <w:spacing w:after="0" w:line="117" w:lineRule="exact"/>
        <w:rPr>
          <w:rFonts w:ascii="Arial" w:cs="Arial" w:eastAsia="Arial" w:hAnsi="Arial"/>
          <w:sz w:val="18"/>
          <w:szCs w:val="18"/>
          <w:color w:val="auto"/>
        </w:rPr>
      </w:pPr>
    </w:p>
    <w:p>
      <w:pPr>
        <w:ind w:left="792" w:hanging="454"/>
        <w:spacing w:after="0"/>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BEST EFFORTS. During all full-time employment hereunder, Executive shall devote full working time and attention to Company.</w:t>
      </w:r>
    </w:p>
    <w:p>
      <w:pPr>
        <w:spacing w:after="0" w:line="117" w:lineRule="exact"/>
        <w:rPr>
          <w:rFonts w:ascii="Arial" w:cs="Arial" w:eastAsia="Arial" w:hAnsi="Arial"/>
          <w:sz w:val="18"/>
          <w:szCs w:val="18"/>
          <w:color w:val="auto"/>
        </w:rPr>
      </w:pPr>
    </w:p>
    <w:p>
      <w:pPr>
        <w:ind w:left="792" w:right="680" w:hanging="454"/>
        <w:spacing w:after="0" w:line="246" w:lineRule="auto"/>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102" w:lineRule="exact"/>
        <w:rPr>
          <w:rFonts w:ascii="Arial" w:cs="Arial" w:eastAsia="Arial" w:hAnsi="Arial"/>
          <w:sz w:val="18"/>
          <w:szCs w:val="18"/>
          <w:color w:val="auto"/>
        </w:rPr>
      </w:pPr>
    </w:p>
    <w:p>
      <w:pPr>
        <w:ind w:left="792" w:right="500" w:hanging="454"/>
        <w:spacing w:after="0"/>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POSSIBLE CHANGE OF CONTROL. Executive agrees that if Executive is approached by any person to discuss a possible acquisition or other transaction that could result in a change of control of Company, Executive will immediately advise the Chief Executive Officer, ABM’s General Counsel and the Chair of the Governance Committee of the Board.</w:t>
      </w:r>
    </w:p>
    <w:p>
      <w:pPr>
        <w:spacing w:after="0" w:line="108" w:lineRule="exact"/>
        <w:rPr>
          <w:rFonts w:ascii="Arial" w:cs="Arial" w:eastAsia="Arial" w:hAnsi="Arial"/>
          <w:sz w:val="18"/>
          <w:szCs w:val="18"/>
          <w:color w:val="auto"/>
        </w:rPr>
      </w:pPr>
    </w:p>
    <w:p>
      <w:pPr>
        <w:ind w:left="792" w:right="440" w:hanging="454"/>
        <w:spacing w:after="0" w:line="246" w:lineRule="auto"/>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CODE OF BUSINESS CONDUCT. Executive agrees to fully comply with and annually execute a certification of compliance with ABM’s Code of Business Conduct and Ethics.</w:t>
      </w:r>
    </w:p>
    <w:p>
      <w:pPr>
        <w:spacing w:after="0" w:line="102" w:lineRule="exact"/>
        <w:rPr>
          <w:rFonts w:ascii="Arial" w:cs="Arial" w:eastAsia="Arial" w:hAnsi="Arial"/>
          <w:sz w:val="18"/>
          <w:szCs w:val="18"/>
          <w:color w:val="auto"/>
        </w:rPr>
      </w:pPr>
    </w:p>
    <w:p>
      <w:pPr>
        <w:ind w:left="792" w:hanging="454"/>
        <w:spacing w:after="0" w:line="246" w:lineRule="auto"/>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OTHER LAWS. Executive agrees to fully comply with the other laws and regulations that govern Executive’s performance and receipt of compensation under this Agreement.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57" w:right="279" w:bottom="1440" w:gutter="0" w:footer="0" w:header="0"/>
        </w:sectPr>
      </w:pPr>
    </w:p>
    <w:bookmarkStart w:id="130" w:name="page131"/>
    <w:bookmarkEnd w:id="130"/>
    <w:p>
      <w:pPr>
        <w:jc w:val="both"/>
        <w:ind w:left="372" w:right="60" w:hanging="372"/>
        <w:spacing w:after="0" w:line="247" w:lineRule="auto"/>
        <w:tabs>
          <w:tab w:leader="none" w:pos="37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Company that Executive is not bound by any contract with a previous employer or with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that might prevent Executive from entering into this Agreement. Executive further represents that Executive is not bound by any other contracts or covenants that in any way restrict or limit Executive’s activities in relation to Executive’s employment with Company that have not been fully disclosed to Company prior to the signing of this Agreement.</w:t>
      </w:r>
    </w:p>
    <w:p>
      <w:pPr>
        <w:spacing w:after="0" w:line="66" w:lineRule="exact"/>
        <w:rPr>
          <w:rFonts w:ascii="Arial" w:cs="Arial" w:eastAsia="Arial" w:hAnsi="Arial"/>
          <w:sz w:val="18"/>
          <w:szCs w:val="18"/>
          <w:b w:val="1"/>
          <w:bCs w:val="1"/>
          <w:color w:val="auto"/>
        </w:rPr>
      </w:pPr>
    </w:p>
    <w:p>
      <w:pPr>
        <w:ind w:left="372" w:hanging="372"/>
        <w:spacing w:after="0" w:line="241" w:lineRule="auto"/>
        <w:tabs>
          <w:tab w:leader="none" w:pos="37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PROPERTY. </w:t>
      </w:r>
      <w:r>
        <w:rPr>
          <w:rFonts w:ascii="Arial" w:cs="Arial" w:eastAsia="Arial" w:hAnsi="Arial"/>
          <w:sz w:val="18"/>
          <w:szCs w:val="18"/>
          <w:color w:val="auto"/>
        </w:rPr>
        <w:t>Company shall, from time to time, entrust to the care, custody and control of Executive certain of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such as motor vehicles, equipment, supplies, passwords and electronic and paper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71" w:lineRule="exact"/>
        <w:rPr>
          <w:rFonts w:ascii="Arial" w:cs="Arial" w:eastAsia="Arial" w:hAnsi="Arial"/>
          <w:sz w:val="18"/>
          <w:szCs w:val="18"/>
          <w:b w:val="1"/>
          <w:bCs w:val="1"/>
          <w:color w:val="auto"/>
        </w:rPr>
      </w:pPr>
    </w:p>
    <w:p>
      <w:pPr>
        <w:ind w:left="372" w:hanging="372"/>
        <w:spacing w:after="0"/>
        <w:tabs>
          <w:tab w:leader="none" w:pos="37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125" w:lineRule="exact"/>
        <w:rPr>
          <w:rFonts w:ascii="Arial" w:cs="Arial" w:eastAsia="Arial" w:hAnsi="Arial"/>
          <w:sz w:val="18"/>
          <w:szCs w:val="18"/>
          <w:b w:val="1"/>
          <w:bCs w:val="1"/>
          <w:color w:val="auto"/>
        </w:rPr>
      </w:pPr>
    </w:p>
    <w:p>
      <w:pPr>
        <w:jc w:val="both"/>
        <w:ind w:left="792" w:right="200" w:hanging="454"/>
        <w:spacing w:after="0"/>
        <w:tabs>
          <w:tab w:leader="none" w:pos="7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PROPRIETARY INFORMATION. Executive agrees to utilize and further Company’s goodwill among its customers, sales prospects and employees, and acknowledges that Company may disclose to Executive and Executive may disclose to Company, Proprietary Information.</w:t>
      </w:r>
    </w:p>
    <w:p>
      <w:pPr>
        <w:spacing w:after="0" w:line="108" w:lineRule="exact"/>
        <w:rPr>
          <w:rFonts w:ascii="Arial" w:cs="Arial" w:eastAsia="Arial" w:hAnsi="Arial"/>
          <w:sz w:val="18"/>
          <w:szCs w:val="18"/>
          <w:color w:val="auto"/>
        </w:rPr>
      </w:pPr>
    </w:p>
    <w:p>
      <w:pPr>
        <w:ind w:left="792" w:right="100" w:hanging="454"/>
        <w:spacing w:after="0" w:line="237" w:lineRule="auto"/>
        <w:tabs>
          <w:tab w:leader="none" w:pos="7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DUTY OF LOYALTY. Executive agrees that the Proprietary Information and Company’s goodwill have unique value to Company, are not generally known or readily available to Company’s competitors, and could only be developed by others after investing significant time and money. Company makes the Proprietary Information and Company’s goodwill available to Executive in reliance on Executive’s agreement to hold the Proprietary Information and Company’s goodwill in trust and confidence. Executive hereby acknowledges that to use this Proprietary Information and Company’s goodwill other than for the benefit of Company would be a breach of such trust and confidence and a violation of Executive’s duty of loyalty to Company.</w:t>
      </w:r>
    </w:p>
    <w:p>
      <w:pPr>
        <w:spacing w:after="0" w:line="75" w:lineRule="exact"/>
        <w:rPr>
          <w:rFonts w:ascii="Arial" w:cs="Arial" w:eastAsia="Arial" w:hAnsi="Arial"/>
          <w:sz w:val="18"/>
          <w:szCs w:val="18"/>
          <w:color w:val="auto"/>
        </w:rPr>
      </w:pPr>
    </w:p>
    <w:p>
      <w:pPr>
        <w:ind w:left="372" w:right="80" w:hanging="372"/>
        <w:spacing w:after="0" w:line="271" w:lineRule="auto"/>
        <w:tabs>
          <w:tab w:leader="none" w:pos="37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12 above, Executive hereby agrees that during the term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as specifically agreed herein:</w:t>
      </w:r>
    </w:p>
    <w:p>
      <w:pPr>
        <w:spacing w:after="0" w:line="67" w:lineRule="exact"/>
        <w:rPr>
          <w:rFonts w:ascii="Arial" w:cs="Arial" w:eastAsia="Arial" w:hAnsi="Arial"/>
          <w:sz w:val="18"/>
          <w:szCs w:val="18"/>
          <w:b w:val="1"/>
          <w:bCs w:val="1"/>
          <w:color w:val="auto"/>
        </w:rPr>
      </w:pPr>
    </w:p>
    <w:p>
      <w:pPr>
        <w:ind w:left="792" w:right="100" w:hanging="454"/>
        <w:spacing w:after="0"/>
        <w:tabs>
          <w:tab w:leader="none" w:pos="7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NON-SOLICITATION OF EMPLOYEES. While employed by Company and for a period of one year following Executive’s termination of employment, Executive shall at no time directly or indirectly solicit or otherwise encourage or arrange for any employee to terminate employment with Company except in the proper performance of this Agreement.</w:t>
      </w:r>
    </w:p>
    <w:p>
      <w:pPr>
        <w:spacing w:after="0" w:line="17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35" w:right="279" w:bottom="1440" w:gutter="0" w:footer="0" w:header="0"/>
        </w:sectPr>
      </w:pPr>
    </w:p>
    <w:bookmarkStart w:id="131" w:name="page132"/>
    <w:bookmarkEnd w:id="131"/>
    <w:p>
      <w:pPr>
        <w:ind w:left="460" w:right="40" w:hanging="454"/>
        <w:spacing w:after="0" w:line="275"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NON-DISCLOSURE. Except in the proper performance of this Agreement, Executive shall not directly or indirectly disclose or deliver to any other person or business, any Proprietary Information obtained directly or indirectly by Executive from, or for, Company.</w:t>
      </w:r>
    </w:p>
    <w:p>
      <w:pPr>
        <w:spacing w:after="0" w:line="78" w:lineRule="exact"/>
        <w:rPr>
          <w:rFonts w:ascii="Arial" w:cs="Arial" w:eastAsia="Arial" w:hAnsi="Arial"/>
          <w:sz w:val="17"/>
          <w:szCs w:val="17"/>
          <w:color w:val="auto"/>
        </w:rPr>
      </w:pPr>
    </w:p>
    <w:p>
      <w:pPr>
        <w:ind w:left="460" w:right="40" w:hanging="454"/>
        <w:spacing w:after="0" w:line="23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NON-SOLICITATION OF CUSTOMERS. Executive agrees that for a reasonable time after the termination of this Agreement, which Executive and Company hereby agree to be one year, Executive shall not directly or indirectly, for Executive or for any other person or business, seek, solicit, divert, take away, obtain or accept any customer account or sales prospect with which Executive had direct business involvement on behalf of Company or any other ABM subsidiary within one year prior to termination of this Agreement. In addition, Executive agrees that at all times after the termination of this Agreement, Executive shall not seek, solicit, divert, take away, obtain or accept the patronage of any customer or sales prospect of Company or any other ABM subsidiary through the direct or indirect use of any Proprietary Information or by any other unfair or unlawful business practice.</w:t>
      </w:r>
    </w:p>
    <w:p>
      <w:pPr>
        <w:spacing w:after="0" w:line="108" w:lineRule="exact"/>
        <w:rPr>
          <w:rFonts w:ascii="Arial" w:cs="Arial" w:eastAsia="Arial" w:hAnsi="Arial"/>
          <w:sz w:val="18"/>
          <w:szCs w:val="18"/>
          <w:color w:val="auto"/>
        </w:rPr>
      </w:pPr>
    </w:p>
    <w:p>
      <w:pPr>
        <w:ind w:left="460" w:right="20" w:hanging="454"/>
        <w:spacing w:after="0" w:line="23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NON-DISPARAGEMENT. During Executive’s employment with Company and for a period of two years following termination of employment (whether voluntary or involuntary), Executive agrees not to make any comment or take any action which disparages, defames, or places in a negative light ABM, its subsidiaries, its past and present officers, directors, and employees. Company agrees that during this same period, its officers and directors shall refrain from making any comment or taking any action to disparage, defame, or place Executive in a negative public light.</w:t>
      </w:r>
    </w:p>
    <w:p>
      <w:pPr>
        <w:spacing w:after="0" w:line="108" w:lineRule="exact"/>
        <w:rPr>
          <w:rFonts w:ascii="Arial" w:cs="Arial" w:eastAsia="Arial" w:hAnsi="Arial"/>
          <w:sz w:val="18"/>
          <w:szCs w:val="18"/>
          <w:color w:val="auto"/>
        </w:rPr>
      </w:pPr>
    </w:p>
    <w:p>
      <w:pPr>
        <w:ind w:left="460" w:hanging="454"/>
        <w:spacing w:after="0" w:line="236"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COOPERATION. Upon termination of employment hereunder, Executive shall cooperate with Company, ABM and any ABM subsidiaries in its defense or prosecution of any current or future matter in any forum, including but not limited to lawsuits, federal, state or local agency claims, audits and investigations, and internal and external investigations concerning any matter in which Executive was involved during Executive’s employment with Company, ABM and any ABM subsidiaries or about which Executive has or should have knowledge and information. Executive’s cooperation shall include, but is not limited to, meeting with Company’s, ABM’s and any ABM subsidiaries’ in-house and/or outside attorneys, communicating Executive’s knowledge of relevant facts to Company’s, ABM’s and any ABM subsidiaries’ attorneys, experts, consultants, investigators, executives, management and human resources employees and other representatives, reviewing and commenting on any relevant documents, preparing any requested documentation and testifying at depositions, hearings, arbitrations, trials and any other forum at which Executive’s participation and testimony is requested by Company, ABM and any ABM subsidiaries. In performing the tasks outlined in this Paragraph 13E, Executive shall be bound by the covenants of good faith and veracity set forth in Paragraph 9 of this Agreement and as outlined in ABM’s Code of Business Conduct and Ethics.</w:t>
      </w:r>
    </w:p>
    <w:p>
      <w:pPr>
        <w:spacing w:after="0" w:line="17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949" w:right="279" w:bottom="1440" w:gutter="0" w:footer="0" w:header="0"/>
        </w:sectPr>
      </w:pPr>
    </w:p>
    <w:bookmarkStart w:id="132" w:name="page133"/>
    <w:bookmarkEnd w:id="132"/>
    <w:p>
      <w:pPr>
        <w:jc w:val="both"/>
        <w:ind w:left="792" w:right="180" w:hanging="454"/>
        <w:spacing w:after="0"/>
        <w:tabs>
          <w:tab w:leader="none" w:pos="7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LIMITATIONS. 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72" w:lineRule="exact"/>
        <w:rPr>
          <w:rFonts w:ascii="Arial" w:cs="Arial" w:eastAsia="Arial" w:hAnsi="Arial"/>
          <w:sz w:val="18"/>
          <w:szCs w:val="18"/>
          <w:color w:val="auto"/>
        </w:rPr>
      </w:pPr>
    </w:p>
    <w:p>
      <w:pPr>
        <w:ind w:left="372" w:right="180" w:hanging="372"/>
        <w:spacing w:after="0" w:line="242" w:lineRule="auto"/>
        <w:tabs>
          <w:tab w:leader="none" w:pos="37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 majority of the non-management directors of the Board, the Board shall have the absolute right, with or without cause and without terminating this Agreement or Executive’s employment hereunder, to remove Executive from any position in which Executive is then serving and to modify the nature of Executive’s employment for the remainder of the then current Initial or Extended Term, as applicable, from that of a full-time employee to that of a part-time employee. The Modification Period shall commence immediately upon Company giving Executive written notice of such change.</w:t>
      </w:r>
    </w:p>
    <w:p>
      <w:pPr>
        <w:spacing w:after="0" w:line="93" w:lineRule="exact"/>
        <w:rPr>
          <w:rFonts w:ascii="Arial" w:cs="Arial" w:eastAsia="Arial" w:hAnsi="Arial"/>
          <w:sz w:val="18"/>
          <w:szCs w:val="18"/>
          <w:b w:val="1"/>
          <w:bCs w:val="1"/>
          <w:color w:val="auto"/>
        </w:rPr>
      </w:pPr>
    </w:p>
    <w:p>
      <w:pPr>
        <w:ind w:left="792" w:right="60" w:hanging="454"/>
        <w:spacing w:after="0" w:line="237" w:lineRule="auto"/>
        <w:tabs>
          <w:tab w:leader="none" w:pos="7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MODIFICATION ACTIONS. Upon commencement of the Modification Period: (i) Executive shall immediately resign as an officer and/or director of Company, ABM and/or of any ABM subsidiaries, as applicable, (ii) Executive shall promptly return all Company property in Executive’s possession to Company, including but not limited to any motor vehicles, equipment, supplies and documents set forth in Paragraph 11 of this Agreement, and (iii) Company shall pay Executive when due any and all previously earned, but as yet unpaid, salary, Bonus pursuant to Paragraph 7B(iii), or other contingent compensation, reimbursement of business expenses and perquisites.</w:t>
      </w:r>
    </w:p>
    <w:p>
      <w:pPr>
        <w:spacing w:after="0" w:line="110" w:lineRule="exact"/>
        <w:rPr>
          <w:rFonts w:ascii="Arial" w:cs="Arial" w:eastAsia="Arial" w:hAnsi="Arial"/>
          <w:sz w:val="18"/>
          <w:szCs w:val="18"/>
          <w:color w:val="auto"/>
        </w:rPr>
      </w:pPr>
    </w:p>
    <w:p>
      <w:pPr>
        <w:ind w:left="792" w:hanging="454"/>
        <w:spacing w:after="0" w:line="251" w:lineRule="auto"/>
        <w:tabs>
          <w:tab w:leader="none" w:pos="79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MODIFICATION OBLIGATIONS. During the Modification Period: (i) Executive shall be deemed a part-time employee and not a full-time employee of Company; (ii) Executive shall provide Company with such occasional executive or managerial services as reasonably requested by the person(s) designated by the Managing Officer, except that failure to render such services by reason of any physical or mental illness or disability other than Total Disability or death, or unavailability because of absence from the State of Employment, shall not affect Executive’s right to receive payments under subparagraph 14B(iii); (iii) Company shall continue to pay Executive’s monthly salary pursuant to Paragraph 7A of this Agreement and shall pay directly to Executive a monthly amount equal to the Insurance Contribution immediately prior to the beginning of the Modification Period; (iv) Executive shall not be eligible or entitled to receive a Bonus with respect to the Modification Period or participate in any bonus or perquisites other than the ABM Employee Stock Purchase Plan and 401(k) plan provided that Executive continues to qualify under the terms of such plans; (v) Executive may exercise rights under COBRA to obtain medical insurance coverage as may be available to Executive; and (vi) Company shall pay directly or reimburse Executive in accordance with the provisions of Paragraph 8 of this Agreement for reasonable business expenses of Company incurred by Executive in connection with such services requested by the person(s) designated by the Board.</w:t>
      </w:r>
    </w:p>
    <w:p>
      <w:pPr>
        <w:spacing w:after="0" w:line="99" w:lineRule="exact"/>
        <w:rPr>
          <w:rFonts w:ascii="Arial" w:cs="Arial" w:eastAsia="Arial" w:hAnsi="Arial"/>
          <w:sz w:val="17"/>
          <w:szCs w:val="17"/>
          <w:color w:val="auto"/>
        </w:rPr>
      </w:pPr>
    </w:p>
    <w:p>
      <w:pPr>
        <w:ind w:left="792" w:right="80" w:hanging="454"/>
        <w:spacing w:after="0" w:line="246" w:lineRule="auto"/>
        <w:tabs>
          <w:tab w:leader="none" w:pos="7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MODIFICATION PERIOD. The Modification Period shall continue until the earlier of: (i) Total Disability or death, (ii) termination of this Agreement by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133" w:name="page134"/>
    <w:bookmarkEnd w:id="133"/>
    <w:p>
      <w:pPr>
        <w:ind w:left="792" w:right="400"/>
        <w:spacing w:after="0" w:line="239" w:lineRule="auto"/>
        <w:rPr>
          <w:sz w:val="20"/>
          <w:szCs w:val="20"/>
          <w:color w:val="auto"/>
        </w:rPr>
      </w:pPr>
      <w:r>
        <w:rPr>
          <w:rFonts w:ascii="Arial" w:cs="Arial" w:eastAsia="Arial" w:hAnsi="Arial"/>
          <w:sz w:val="18"/>
          <w:szCs w:val="18"/>
          <w:color w:val="auto"/>
        </w:rPr>
        <w:t>Company for Just Cause, (iii) Executive accepts employment or receives any other compensation from operating, assisting or otherwise being involved or associated with any business that is similar to or competitive with any business in which Company is engaged on the commencement date of the Modification Period, or (iv) expiration of the then current Initial or Extended Term, as applicable, of this Agreement.</w:t>
      </w:r>
    </w:p>
    <w:p>
      <w:pPr>
        <w:spacing w:after="0" w:line="72" w:lineRule="exact"/>
        <w:rPr>
          <w:sz w:val="20"/>
          <w:szCs w:val="20"/>
          <w:color w:val="auto"/>
        </w:rPr>
      </w:pPr>
    </w:p>
    <w:p>
      <w:pPr>
        <w:ind w:left="372" w:hanging="372"/>
        <w:spacing w:after="0"/>
        <w:tabs>
          <w:tab w:leader="none" w:pos="37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125" w:lineRule="exact"/>
        <w:rPr>
          <w:rFonts w:ascii="Arial" w:cs="Arial" w:eastAsia="Arial" w:hAnsi="Arial"/>
          <w:sz w:val="18"/>
          <w:szCs w:val="18"/>
          <w:b w:val="1"/>
          <w:bCs w:val="1"/>
          <w:color w:val="auto"/>
        </w:rPr>
      </w:pPr>
    </w:p>
    <w:p>
      <w:pPr>
        <w:jc w:val="both"/>
        <w:ind w:left="792" w:hanging="454"/>
        <w:spacing w:after="0"/>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RENEWAL. Absent at least 90 days written notice of termination of employment or notice of non-renewal from Company to Executive prior to expiration of the then current Initial or Extended Term, as applicable, of this Agreement, employment hereunder shall continue for an Extended Term (or another Extended Term, as applicable) of one year.</w:t>
      </w:r>
    </w:p>
    <w:p>
      <w:pPr>
        <w:spacing w:after="0" w:line="108" w:lineRule="exact"/>
        <w:rPr>
          <w:rFonts w:ascii="Arial" w:cs="Arial" w:eastAsia="Arial" w:hAnsi="Arial"/>
          <w:sz w:val="18"/>
          <w:szCs w:val="18"/>
          <w:color w:val="auto"/>
        </w:rPr>
      </w:pPr>
    </w:p>
    <w:p>
      <w:pPr>
        <w:ind w:left="792" w:right="280" w:hanging="454"/>
        <w:spacing w:after="0" w:line="239" w:lineRule="auto"/>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NOTICE OF NON-RENEWAL. In the event that notice of non-renewal is given 90 days prior to the expiration of the then Initial or Extended Term, as applicable, of this Agreement, employment shall continue on an “at will” basis following the expiration of such Initial or Extended Term. In such event, Company shall have the right to terminate Executive’s employment or to change the terms and conditions of Executive’s employment, including but not limited to Executive’s position and/or compensation .</w:t>
      </w:r>
    </w:p>
    <w:p>
      <w:pPr>
        <w:spacing w:after="0" w:line="179" w:lineRule="exact"/>
        <w:rPr>
          <w:rFonts w:ascii="Arial" w:cs="Arial" w:eastAsia="Arial" w:hAnsi="Arial"/>
          <w:sz w:val="18"/>
          <w:szCs w:val="18"/>
          <w:color w:val="auto"/>
        </w:rPr>
      </w:pPr>
    </w:p>
    <w:p>
      <w:pPr>
        <w:ind w:left="292" w:hanging="292"/>
        <w:spacing w:after="0"/>
        <w:tabs>
          <w:tab w:leader="none" w:pos="29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5" w:lineRule="exact"/>
        <w:rPr>
          <w:rFonts w:ascii="Arial" w:cs="Arial" w:eastAsia="Arial" w:hAnsi="Arial"/>
          <w:sz w:val="18"/>
          <w:szCs w:val="18"/>
          <w:b w:val="1"/>
          <w:bCs w:val="1"/>
          <w:color w:val="auto"/>
        </w:rPr>
      </w:pPr>
    </w:p>
    <w:p>
      <w:pPr>
        <w:ind w:left="792" w:right="40" w:hanging="454"/>
        <w:spacing w:after="0" w:line="239" w:lineRule="auto"/>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TERMINATION UPON EXPIRATION OF TERM. Subject to at least 90 days prior written notice of termination of employment, Executive’s employment shall terminate, with or without cause, at the expiration of the then current Initial or Extended Term. Company has the option, without terminating this Agreement, of placing Executive on a leave of absence at the full compensation set forth in Paragraph 7 of this Agreement, for any or all of such notice period.</w:t>
      </w:r>
    </w:p>
    <w:p>
      <w:pPr>
        <w:spacing w:after="0" w:line="107" w:lineRule="exact"/>
        <w:rPr>
          <w:rFonts w:ascii="Arial" w:cs="Arial" w:eastAsia="Arial" w:hAnsi="Arial"/>
          <w:sz w:val="18"/>
          <w:szCs w:val="18"/>
          <w:color w:val="auto"/>
        </w:rPr>
      </w:pPr>
    </w:p>
    <w:p>
      <w:pPr>
        <w:ind w:left="792" w:right="100" w:hanging="454"/>
        <w:spacing w:after="0"/>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TERMINATION FOR CAUSE. Company may terminate Executive’s employment hereunder at any time during the then current Initial or Extended Term, as applicable, of this Agreement, without notice subject only to a good faith determination by a majority of the Board of Just Cause.</w:t>
      </w:r>
    </w:p>
    <w:p>
      <w:pPr>
        <w:spacing w:after="0" w:line="108" w:lineRule="exact"/>
        <w:rPr>
          <w:rFonts w:ascii="Arial" w:cs="Arial" w:eastAsia="Arial" w:hAnsi="Arial"/>
          <w:sz w:val="18"/>
          <w:szCs w:val="18"/>
          <w:color w:val="auto"/>
        </w:rPr>
      </w:pPr>
    </w:p>
    <w:p>
      <w:pPr>
        <w:ind w:left="792" w:right="360" w:hanging="454"/>
        <w:spacing w:after="0" w:line="239" w:lineRule="auto"/>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VOLUNTARY TERMINATION BY EXECUTIVE. At any time during the then current Initial or Extended Term, as applicable, of this Agreement and with or without cause, Executive may terminate employment hereunder by giving Company 90 days prior written notice. For a voluntary termination for reasons other than health, Executive will not receive any prorated Bonus pursuant with Paragraph 7.B.iii.</w:t>
      </w:r>
    </w:p>
    <w:p>
      <w:pPr>
        <w:spacing w:after="0" w:line="107" w:lineRule="exact"/>
        <w:rPr>
          <w:rFonts w:ascii="Arial" w:cs="Arial" w:eastAsia="Arial" w:hAnsi="Arial"/>
          <w:sz w:val="18"/>
          <w:szCs w:val="18"/>
          <w:color w:val="auto"/>
        </w:rPr>
      </w:pPr>
    </w:p>
    <w:p>
      <w:pPr>
        <w:ind w:left="792" w:right="280" w:hanging="454"/>
        <w:spacing w:after="0"/>
        <w:tabs>
          <w:tab w:leader="none" w:pos="7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DISABILITY OR DEATH. Employment hereunder shall automatically terminate upon the Total Disability or death of Executive. Company shall pay when due to Executive or, upon death, Executive’s designated beneficiary or estate, as applicable, any and all previously earned, but as yet unpaid, salary, Bonus, other</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134" w:name="page135"/>
    <w:bookmarkEnd w:id="134"/>
    <w:p>
      <w:pPr>
        <w:ind w:left="792" w:right="640"/>
        <w:spacing w:after="0" w:line="246" w:lineRule="auto"/>
        <w:rPr>
          <w:sz w:val="20"/>
          <w:szCs w:val="20"/>
          <w:color w:val="auto"/>
        </w:rPr>
      </w:pPr>
      <w:r>
        <w:rPr>
          <w:rFonts w:ascii="Arial" w:cs="Arial" w:eastAsia="Arial" w:hAnsi="Arial"/>
          <w:sz w:val="18"/>
          <w:szCs w:val="18"/>
          <w:color w:val="auto"/>
        </w:rPr>
        <w:t>contingent compensation, reimbursement of business expenses and perquisites which would have otherwise been payable to Executive under this Agreement, through the end of the month in which Total Disability or death occurs.</w:t>
      </w:r>
    </w:p>
    <w:p>
      <w:pPr>
        <w:spacing w:after="0" w:line="89" w:lineRule="exact"/>
        <w:rPr>
          <w:sz w:val="20"/>
          <w:szCs w:val="20"/>
          <w:color w:val="auto"/>
        </w:rPr>
      </w:pPr>
    </w:p>
    <w:p>
      <w:pPr>
        <w:ind w:left="792" w:right="100" w:hanging="454"/>
        <w:spacing w:after="0" w:line="237" w:lineRule="auto"/>
        <w:tabs>
          <w:tab w:leader="none" w:pos="7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ACTIONS UPON TERMINATION. Upon termination of employment hereunder, Executive shall immediately resign as an officer and/or director of Company and of any Company subsidiaries or affiliates, as applicable. Executive shall promptly return and release all Company property in Executive’s possession to Company, including but not limited to, any motor vehicles, equipment, supplies, passwords and documents set forth in Paragraph 11 of this Agreement. Company shall pay Executive when due any and all previously earned, but as yet unpaid, salary, Bonus, other contingent compensation, reimbursement of business expenses and perquisites.</w:t>
      </w:r>
    </w:p>
    <w:p>
      <w:pPr>
        <w:spacing w:after="0" w:line="75" w:lineRule="exact"/>
        <w:rPr>
          <w:rFonts w:ascii="Arial" w:cs="Arial" w:eastAsia="Arial" w:hAnsi="Arial"/>
          <w:sz w:val="18"/>
          <w:szCs w:val="18"/>
          <w:color w:val="auto"/>
        </w:rPr>
      </w:pPr>
    </w:p>
    <w:p>
      <w:pPr>
        <w:ind w:left="372" w:hanging="372"/>
        <w:spacing w:after="0"/>
        <w:tabs>
          <w:tab w:leader="none" w:pos="37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w:t>
      </w:r>
    </w:p>
    <w:p>
      <w:pPr>
        <w:spacing w:after="0" w:line="103" w:lineRule="exact"/>
        <w:rPr>
          <w:rFonts w:ascii="Arial" w:cs="Arial" w:eastAsia="Arial" w:hAnsi="Arial"/>
          <w:sz w:val="18"/>
          <w:szCs w:val="18"/>
          <w:b w:val="1"/>
          <w:bCs w:val="1"/>
          <w:color w:val="auto"/>
        </w:rPr>
      </w:pPr>
    </w:p>
    <w:p>
      <w:pPr>
        <w:ind w:left="372" w:hanging="372"/>
        <w:spacing w:after="0"/>
        <w:tabs>
          <w:tab w:leader="none" w:pos="37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25" w:lineRule="exact"/>
        <w:rPr>
          <w:rFonts w:ascii="Arial" w:cs="Arial" w:eastAsia="Arial" w:hAnsi="Arial"/>
          <w:sz w:val="18"/>
          <w:szCs w:val="18"/>
          <w:b w:val="1"/>
          <w:bCs w:val="1"/>
          <w:color w:val="auto"/>
        </w:rPr>
      </w:pPr>
    </w:p>
    <w:p>
      <w:pPr>
        <w:jc w:val="both"/>
        <w:ind w:left="792" w:hanging="454"/>
        <w:spacing w:after="0" w:line="239" w:lineRule="auto"/>
        <w:tabs>
          <w:tab w:leader="none" w:pos="7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ARBITRATION. Except as provided in Paragraph 18B below, any claim or dispute related to or arising from this Agreement (whether based in contract, statute or tort, in law or equity) including, but not limited to, claims or disputes between Executive and Company or its directors, officers, employees and agents regarding Executive’s employment or termination of employment hereunder, or any other business of Company, shall be resolved by binding arbitration in accordance with the following procedures:</w:t>
      </w:r>
    </w:p>
    <w:p>
      <w:pPr>
        <w:spacing w:after="0" w:line="93" w:lineRule="exact"/>
        <w:rPr>
          <w:rFonts w:ascii="Arial" w:cs="Arial" w:eastAsia="Arial" w:hAnsi="Arial"/>
          <w:sz w:val="18"/>
          <w:szCs w:val="18"/>
          <w:color w:val="auto"/>
        </w:rPr>
      </w:pPr>
    </w:p>
    <w:p>
      <w:pPr>
        <w:ind w:left="1112" w:hanging="437"/>
        <w:spacing w:after="0"/>
        <w:tabs>
          <w:tab w:leader="none" w:pos="11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arbitration shall be administered by AAA.</w:t>
      </w:r>
    </w:p>
    <w:p>
      <w:pPr>
        <w:spacing w:after="0" w:line="117" w:lineRule="exact"/>
        <w:rPr>
          <w:rFonts w:ascii="Arial" w:cs="Arial" w:eastAsia="Arial" w:hAnsi="Arial"/>
          <w:sz w:val="18"/>
          <w:szCs w:val="18"/>
          <w:color w:val="auto"/>
        </w:rPr>
      </w:pPr>
    </w:p>
    <w:p>
      <w:pPr>
        <w:ind w:left="1112" w:hanging="437"/>
        <w:spacing w:after="0"/>
        <w:tabs>
          <w:tab w:leader="none" w:pos="11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Except as modified herein, the arbitration proceeding shall be administered pursuant to AAA’s Commercial Rules.</w:t>
      </w:r>
    </w:p>
    <w:p>
      <w:pPr>
        <w:spacing w:after="0" w:line="117" w:lineRule="exact"/>
        <w:rPr>
          <w:rFonts w:ascii="Arial" w:cs="Arial" w:eastAsia="Arial" w:hAnsi="Arial"/>
          <w:sz w:val="18"/>
          <w:szCs w:val="18"/>
          <w:color w:val="auto"/>
        </w:rPr>
      </w:pPr>
    </w:p>
    <w:p>
      <w:pPr>
        <w:ind w:left="1112" w:right="60" w:hanging="437"/>
        <w:spacing w:after="0" w:line="239" w:lineRule="auto"/>
        <w:tabs>
          <w:tab w:leader="none" w:pos="11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parties will mutually agree upon two neutral arbitrators who shall be respectively designated the “Pre-hearing Arbitrator” and the “Hearing Arbitrator.” The Pre-hearing Arbitrator shall preside over all issues or disputes arising prior to the hearing on the merits, including discovery issues and pre-hearing motions. The Hearing Arbitrator shall preside over the formal hearing on the merits and shall have the sole authority to issue a final and binding award in the matter.</w:t>
      </w:r>
    </w:p>
    <w:p>
      <w:pPr>
        <w:spacing w:after="0" w:line="107" w:lineRule="exact"/>
        <w:rPr>
          <w:rFonts w:ascii="Arial" w:cs="Arial" w:eastAsia="Arial" w:hAnsi="Arial"/>
          <w:sz w:val="18"/>
          <w:szCs w:val="18"/>
          <w:color w:val="auto"/>
        </w:rPr>
      </w:pPr>
    </w:p>
    <w:p>
      <w:pPr>
        <w:ind w:left="1112" w:right="360" w:hanging="437"/>
        <w:spacing w:after="0" w:line="238" w:lineRule="auto"/>
        <w:tabs>
          <w:tab w:leader="none" w:pos="11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parties may conduct the following discovery as a matter of right: (a) two depositions per side; (b) 35 non-compound interrogatories per side, which shall be answered under penalty of perjury by the responding party; (c) 35 non-compound document requests, which shall be answered under penalty of perjury by the responding party. Any additional discovery shall only take place as stipulated by the parties, as provided by the AAA’s Commercial Rules, or as ordered by the Pre-hearing Arbitrator.</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135" w:name="page136"/>
    <w:bookmarkEnd w:id="135"/>
    <w:p>
      <w:pPr>
        <w:ind w:left="1112" w:right="40" w:hanging="437"/>
        <w:spacing w:after="0"/>
        <w:tabs>
          <w:tab w:leader="none" w:pos="111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Pre-hearing Arbitrator shall hear and rule upon such motions for summary judgment or summary adjudication as might be made by either party. Upon receipt of such a motion, the Pre-hearing Arbitrator shall consult with the parties and establish both a hearing date and a briefing schedule which allows an opposition and reply submission prior to the hearing.</w:t>
      </w:r>
    </w:p>
    <w:p>
      <w:pPr>
        <w:spacing w:after="0" w:line="108" w:lineRule="exact"/>
        <w:rPr>
          <w:rFonts w:ascii="Arial" w:cs="Arial" w:eastAsia="Arial" w:hAnsi="Arial"/>
          <w:sz w:val="18"/>
          <w:szCs w:val="18"/>
          <w:color w:val="auto"/>
        </w:rPr>
      </w:pPr>
    </w:p>
    <w:p>
      <w:pPr>
        <w:ind w:left="1112" w:hanging="437"/>
        <w:spacing w:after="0"/>
        <w:tabs>
          <w:tab w:leader="none" w:pos="111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cost of such arbitration shall be borne by Company.</w:t>
      </w:r>
    </w:p>
    <w:p>
      <w:pPr>
        <w:spacing w:after="0" w:line="117" w:lineRule="exact"/>
        <w:rPr>
          <w:rFonts w:ascii="Arial" w:cs="Arial" w:eastAsia="Arial" w:hAnsi="Arial"/>
          <w:sz w:val="18"/>
          <w:szCs w:val="18"/>
          <w:color w:val="auto"/>
        </w:rPr>
      </w:pPr>
    </w:p>
    <w:p>
      <w:pPr>
        <w:ind w:left="1112" w:right="120" w:hanging="437"/>
        <w:spacing w:after="0" w:line="246" w:lineRule="auto"/>
        <w:tabs>
          <w:tab w:leader="none" w:pos="111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such arbitration must be requested in writing within one year from the date the party initiating the arbitration knew or should have known about the claim or dispute, or all claims arising from that dispute are forever waived.</w:t>
      </w:r>
    </w:p>
    <w:p>
      <w:pPr>
        <w:spacing w:after="0" w:line="102" w:lineRule="exact"/>
        <w:rPr>
          <w:rFonts w:ascii="Arial" w:cs="Arial" w:eastAsia="Arial" w:hAnsi="Arial"/>
          <w:sz w:val="18"/>
          <w:szCs w:val="18"/>
          <w:color w:val="auto"/>
        </w:rPr>
      </w:pPr>
    </w:p>
    <w:p>
      <w:pPr>
        <w:ind w:left="1112" w:right="600" w:hanging="437"/>
        <w:spacing w:after="0" w:line="246" w:lineRule="auto"/>
        <w:tabs>
          <w:tab w:leader="none" w:pos="111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such arbitration shall be held in the city and/or county of employment hereunder. Judgment upon the award rendered through such arbitration may be entered and enforced in any court having proper jurisdiction.</w:t>
      </w:r>
    </w:p>
    <w:p>
      <w:pPr>
        <w:spacing w:after="0" w:line="88" w:lineRule="exact"/>
        <w:rPr>
          <w:rFonts w:ascii="Arial" w:cs="Arial" w:eastAsia="Arial" w:hAnsi="Arial"/>
          <w:sz w:val="18"/>
          <w:szCs w:val="18"/>
          <w:color w:val="auto"/>
        </w:rPr>
      </w:pPr>
    </w:p>
    <w:p>
      <w:pPr>
        <w:ind w:left="792" w:right="40" w:hanging="454"/>
        <w:spacing w:after="0"/>
        <w:tabs>
          <w:tab w:leader="none" w:pos="7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LITIGATION / COURT ACTION. Disputes involving the threatened or actual breach of obligations set forth in Paragraphs 12 and 13 of this Agreement shall not be subject to arbitration. Rather, any such disputes shall be resolved through civil litigation, which may be filed in any court of competent jurisdiction.</w:t>
      </w:r>
    </w:p>
    <w:p>
      <w:pPr>
        <w:spacing w:after="0" w:line="72" w:lineRule="exact"/>
        <w:rPr>
          <w:rFonts w:ascii="Arial" w:cs="Arial" w:eastAsia="Arial" w:hAnsi="Arial"/>
          <w:sz w:val="18"/>
          <w:szCs w:val="18"/>
          <w:color w:val="auto"/>
        </w:rPr>
      </w:pPr>
    </w:p>
    <w:p>
      <w:pPr>
        <w:ind w:left="372" w:hanging="372"/>
        <w:spacing w:after="0"/>
        <w:tabs>
          <w:tab w:leader="none" w:pos="37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125" w:lineRule="exact"/>
        <w:rPr>
          <w:rFonts w:ascii="Arial" w:cs="Arial" w:eastAsia="Arial" w:hAnsi="Arial"/>
          <w:sz w:val="18"/>
          <w:szCs w:val="18"/>
          <w:b w:val="1"/>
          <w:bCs w:val="1"/>
          <w:color w:val="auto"/>
        </w:rPr>
      </w:pPr>
    </w:p>
    <w:p>
      <w:pPr>
        <w:ind w:left="792" w:hanging="454"/>
        <w:spacing w:after="0" w:line="237" w:lineRule="auto"/>
        <w:tabs>
          <w:tab w:leader="none" w:pos="7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INJUNCTIVE RELIEF. The parties agree that compliance with Paragraphs 12 and 13 of this Agreement is necessary to protect the business and goodwill of Company, and that any breach of such Paragraphs will result in irreparable and continuing harm to Company, for which monetary damages may not provide adequate relief. Accordingly, in the event of any actual or threatened breach of Paragraphs 12 and 13 of this Agreement by Executive,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110" w:lineRule="exact"/>
        <w:rPr>
          <w:rFonts w:ascii="Arial" w:cs="Arial" w:eastAsia="Arial" w:hAnsi="Arial"/>
          <w:sz w:val="18"/>
          <w:szCs w:val="18"/>
          <w:color w:val="auto"/>
        </w:rPr>
      </w:pPr>
    </w:p>
    <w:p>
      <w:pPr>
        <w:ind w:left="792" w:right="140" w:hanging="454"/>
        <w:spacing w:after="0" w:line="239" w:lineRule="auto"/>
        <w:tabs>
          <w:tab w:leader="none" w:pos="7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WITHHOLDING AUTHORIZATION. To the fullest extent permitted under the laws of the State of Employment hereunder, Executive authorizes Company to withhold from any severance payments otherwise due to Executive and from any other funds held for Executive’s benefit by Company, any damages or losses sustained by Company as a result of any material breach or other material violation of this Agreement by Executive, pending resolution of the underlying dispute as provided in Paragraph 18 above.</w:t>
      </w:r>
    </w:p>
    <w:p>
      <w:pPr>
        <w:spacing w:after="0" w:line="71" w:lineRule="exact"/>
        <w:rPr>
          <w:rFonts w:ascii="Arial" w:cs="Arial" w:eastAsia="Arial" w:hAnsi="Arial"/>
          <w:sz w:val="18"/>
          <w:szCs w:val="18"/>
          <w:color w:val="auto"/>
        </w:rPr>
      </w:pPr>
    </w:p>
    <w:p>
      <w:pPr>
        <w:ind w:left="372" w:right="500" w:hanging="372"/>
        <w:spacing w:after="0" w:line="271" w:lineRule="auto"/>
        <w:tabs>
          <w:tab w:leader="none" w:pos="37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w:t>
      </w:r>
      <w:r>
        <w:rPr>
          <w:rFonts w:ascii="Arial" w:cs="Arial" w:eastAsia="Arial" w:hAnsi="Arial"/>
          <w:sz w:val="18"/>
          <w:szCs w:val="18"/>
          <w:b w:val="1"/>
          <w:bCs w:val="1"/>
          <w:color w:val="auto"/>
        </w:rPr>
        <w:t xml:space="preserve"> </w:t>
      </w:r>
      <w:r>
        <w:rPr>
          <w:rFonts w:ascii="Arial" w:cs="Arial" w:eastAsia="Arial" w:hAnsi="Arial"/>
          <w:sz w:val="18"/>
          <w:szCs w:val="18"/>
          <w:color w:val="auto"/>
        </w:rPr>
        <w:t>enforcing that provision, or any other provision of this Agreement, at any later time.</w:t>
      </w:r>
    </w:p>
    <w:p>
      <w:pPr>
        <w:spacing w:after="0" w:line="1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136" w:name="page137"/>
    <w:bookmarkEnd w:id="136"/>
    <w:p>
      <w:pPr>
        <w:ind w:left="372" w:hanging="372"/>
        <w:spacing w:after="0" w:line="247" w:lineRule="auto"/>
        <w:tabs>
          <w:tab w:leader="none" w:pos="3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If any arbitrator (or court as applicable hereunder) rules that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consider such provision void.</w:t>
      </w:r>
    </w:p>
    <w:p>
      <w:pPr>
        <w:spacing w:after="0" w:line="66" w:lineRule="exact"/>
        <w:rPr>
          <w:rFonts w:ascii="Arial" w:cs="Arial" w:eastAsia="Arial" w:hAnsi="Arial"/>
          <w:sz w:val="18"/>
          <w:szCs w:val="18"/>
          <w:b w:val="1"/>
          <w:bCs w:val="1"/>
          <w:color w:val="auto"/>
        </w:rPr>
      </w:pPr>
    </w:p>
    <w:p>
      <w:pPr>
        <w:ind w:left="372" w:right="80" w:hanging="372"/>
        <w:spacing w:after="0" w:line="253" w:lineRule="auto"/>
        <w:tabs>
          <w:tab w:leader="none" w:pos="3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but not limited to the provisions of Paragraphs 13 and 18 of this Agreement, shall remain in full force and effect after the termination of this Agreement.</w:t>
      </w:r>
    </w:p>
    <w:p>
      <w:pPr>
        <w:spacing w:after="0" w:line="61" w:lineRule="exact"/>
        <w:rPr>
          <w:rFonts w:ascii="Arial" w:cs="Arial" w:eastAsia="Arial" w:hAnsi="Arial"/>
          <w:sz w:val="18"/>
          <w:szCs w:val="18"/>
          <w:b w:val="1"/>
          <w:bCs w:val="1"/>
          <w:color w:val="auto"/>
        </w:rPr>
      </w:pPr>
    </w:p>
    <w:p>
      <w:pPr>
        <w:ind w:left="372" w:hanging="372"/>
        <w:spacing w:after="0" w:line="253" w:lineRule="auto"/>
        <w:tabs>
          <w:tab w:leader="none" w:pos="3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Executive has carefully read and fully understands all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Executive is voluntarily entering into this Agreement and has been given an opportunity to review all aspects of this Agreement with an attorney, if Executive chooses to do so.</w:t>
      </w:r>
    </w:p>
    <w:p>
      <w:pPr>
        <w:spacing w:after="0" w:line="61" w:lineRule="exact"/>
        <w:rPr>
          <w:rFonts w:ascii="Arial" w:cs="Arial" w:eastAsia="Arial" w:hAnsi="Arial"/>
          <w:sz w:val="18"/>
          <w:szCs w:val="18"/>
          <w:b w:val="1"/>
          <w:bCs w:val="1"/>
          <w:color w:val="auto"/>
        </w:rPr>
      </w:pPr>
    </w:p>
    <w:p>
      <w:pPr>
        <w:ind w:left="372" w:hanging="372"/>
        <w:spacing w:after="0"/>
        <w:tabs>
          <w:tab w:leader="none" w:pos="37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5" w:lineRule="exact"/>
        <w:rPr>
          <w:rFonts w:ascii="Arial" w:cs="Arial" w:eastAsia="Arial" w:hAnsi="Arial"/>
          <w:sz w:val="18"/>
          <w:szCs w:val="18"/>
          <w:b w:val="1"/>
          <w:bCs w:val="1"/>
          <w:color w:val="auto"/>
        </w:rPr>
      </w:pPr>
    </w:p>
    <w:p>
      <w:pPr>
        <w:ind w:left="792" w:right="100" w:hanging="454"/>
        <w:spacing w:after="0"/>
        <w:tabs>
          <w:tab w:leader="none" w:pos="7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ADDRESSES. Any notice required or permitted to be given pursuant to this Agreement shall be in writing and delivered in person, or sent prepaid by certified mail, bonded messenger or overnight express, or electronically to the party named at the address set forth below or at such other address as either party may hereafter designate in writing to the other party:</w:t>
      </w:r>
    </w:p>
    <w:p>
      <w:pPr>
        <w:spacing w:after="0" w:line="167" w:lineRule="exact"/>
        <w:rPr>
          <w:sz w:val="20"/>
          <w:szCs w:val="20"/>
          <w:color w:val="auto"/>
        </w:rPr>
      </w:pPr>
    </w:p>
    <w:p>
      <w:pPr>
        <w:ind w:left="872"/>
        <w:spacing w:after="0"/>
        <w:rPr>
          <w:sz w:val="20"/>
          <w:szCs w:val="20"/>
          <w:color w:val="auto"/>
        </w:rPr>
      </w:pPr>
      <w:r>
        <w:rPr>
          <w:rFonts w:ascii="Arial" w:cs="Arial" w:eastAsia="Arial" w:hAnsi="Arial"/>
          <w:sz w:val="18"/>
          <w:szCs w:val="18"/>
          <w:b w:val="1"/>
          <w:bCs w:val="1"/>
          <w:color w:val="auto"/>
        </w:rPr>
        <w:t>Executive: (Executive Name)</w:t>
      </w:r>
    </w:p>
    <w:p>
      <w:pPr>
        <w:spacing w:after="0" w:line="13"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(Home address)</w:t>
      </w:r>
    </w:p>
    <w:p>
      <w:pPr>
        <w:ind w:left="1872"/>
        <w:spacing w:after="0" w:line="234" w:lineRule="auto"/>
        <w:rPr>
          <w:sz w:val="20"/>
          <w:szCs w:val="20"/>
          <w:color w:val="auto"/>
        </w:rPr>
      </w:pPr>
      <w:r>
        <w:rPr>
          <w:rFonts w:ascii="Arial" w:cs="Arial" w:eastAsia="Arial" w:hAnsi="Arial"/>
          <w:sz w:val="18"/>
          <w:szCs w:val="18"/>
          <w:color w:val="auto"/>
        </w:rPr>
        <w:t>(Home city, state ZIP)</w:t>
      </w:r>
    </w:p>
    <w:p>
      <w:pPr>
        <w:spacing w:after="0" w:line="1" w:lineRule="exact"/>
        <w:rPr>
          <w:sz w:val="20"/>
          <w:szCs w:val="20"/>
          <w:color w:val="auto"/>
        </w:rPr>
      </w:pPr>
    </w:p>
    <w:p>
      <w:pPr>
        <w:ind w:left="1872"/>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(known email address, typically ABM address)</w:t>
      </w:r>
    </w:p>
    <w:p>
      <w:pPr>
        <w:spacing w:after="0" w:line="176" w:lineRule="exact"/>
        <w:rPr>
          <w:sz w:val="20"/>
          <w:szCs w:val="20"/>
          <w:color w:val="auto"/>
        </w:rPr>
      </w:pPr>
    </w:p>
    <w:p>
      <w:pPr>
        <w:ind w:left="872"/>
        <w:spacing w:after="0"/>
        <w:rPr>
          <w:sz w:val="20"/>
          <w:szCs w:val="20"/>
          <w:color w:val="auto"/>
        </w:rPr>
      </w:pPr>
      <w:r>
        <w:rPr>
          <w:rFonts w:ascii="Arial" w:cs="Arial" w:eastAsia="Arial" w:hAnsi="Arial"/>
          <w:sz w:val="18"/>
          <w:szCs w:val="18"/>
          <w:b w:val="1"/>
          <w:bCs w:val="1"/>
          <w:color w:val="auto"/>
        </w:rPr>
        <w:t>Company:  (Legal Company Name)</w:t>
      </w:r>
    </w:p>
    <w:p>
      <w:pPr>
        <w:spacing w:after="0" w:line="13"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160 Pacific Avenue, Suite 222</w:t>
      </w:r>
    </w:p>
    <w:p>
      <w:pPr>
        <w:ind w:left="1872"/>
        <w:spacing w:after="0" w:line="234" w:lineRule="auto"/>
        <w:rPr>
          <w:sz w:val="20"/>
          <w:szCs w:val="20"/>
          <w:color w:val="auto"/>
        </w:rPr>
      </w:pPr>
      <w:r>
        <w:rPr>
          <w:rFonts w:ascii="Arial" w:cs="Arial" w:eastAsia="Arial" w:hAnsi="Arial"/>
          <w:sz w:val="18"/>
          <w:szCs w:val="18"/>
          <w:color w:val="auto"/>
        </w:rPr>
        <w:t>San Francisco, CA 94111</w:t>
      </w:r>
    </w:p>
    <w:p>
      <w:pPr>
        <w:spacing w:after="0" w:line="1"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Attention: Chief Executive Officer</w:t>
      </w:r>
    </w:p>
    <w:p>
      <w:pPr>
        <w:sectPr>
          <w:pgSz w:w="11900" w:h="16838" w:orient="portrait"/>
          <w:cols w:equalWidth="0" w:num="1">
            <w:col w:w="11392"/>
          </w:cols>
          <w:pgMar w:left="248" w:top="1035" w:right="259" w:bottom="1440" w:gutter="0" w:footer="0" w:header="0"/>
        </w:sectPr>
      </w:pPr>
    </w:p>
    <w:p>
      <w:pPr>
        <w:spacing w:after="0" w:line="176" w:lineRule="exact"/>
        <w:rPr>
          <w:sz w:val="20"/>
          <w:szCs w:val="20"/>
          <w:color w:val="auto"/>
        </w:rPr>
      </w:pPr>
    </w:p>
    <w:p>
      <w:pPr>
        <w:ind w:left="872"/>
        <w:spacing w:after="0"/>
        <w:rPr>
          <w:sz w:val="20"/>
          <w:szCs w:val="20"/>
          <w:color w:val="auto"/>
        </w:rPr>
      </w:pPr>
      <w:r>
        <w:rPr>
          <w:rFonts w:ascii="Arial" w:cs="Arial" w:eastAsia="Arial" w:hAnsi="Arial"/>
          <w:sz w:val="17"/>
          <w:szCs w:val="17"/>
          <w:b w:val="1"/>
          <w:bCs w:val="1"/>
          <w:color w:val="auto"/>
        </w:rPr>
        <w:t>Copy: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234" w:lineRule="auto"/>
        <w:rPr>
          <w:sz w:val="20"/>
          <w:szCs w:val="20"/>
          <w:color w:val="auto"/>
        </w:rPr>
      </w:pPr>
      <w:r>
        <w:rPr>
          <w:rFonts w:ascii="Arial" w:cs="Arial" w:eastAsia="Arial" w:hAnsi="Arial"/>
          <w:sz w:val="18"/>
          <w:szCs w:val="18"/>
          <w:color w:val="auto"/>
        </w:rPr>
        <w:t>San Francisco, CA 94111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Senior Vice President of Human Resources</w:t>
      </w:r>
    </w:p>
    <w:p>
      <w:pPr>
        <w:spacing w:after="0" w:line="115" w:lineRule="exact"/>
        <w:rPr>
          <w:sz w:val="20"/>
          <w:szCs w:val="20"/>
          <w:color w:val="auto"/>
        </w:rPr>
      </w:pPr>
    </w:p>
    <w:p>
      <w:pPr>
        <w:sectPr>
          <w:pgSz w:w="11900" w:h="16838" w:orient="portrait"/>
          <w:cols w:equalWidth="0" w:num="2">
            <w:col w:w="1372" w:space="500"/>
            <w:col w:w="9520"/>
          </w:cols>
          <w:pgMar w:left="248" w:top="1035" w:right="259" w:bottom="1440" w:gutter="0" w:footer="0" w:header="0"/>
          <w:type w:val="continuous"/>
        </w:sectPr>
      </w:pPr>
    </w:p>
    <w:p>
      <w:pPr>
        <w:ind w:left="792" w:right="420" w:hanging="454"/>
        <w:spacing w:after="0" w:line="246" w:lineRule="auto"/>
        <w:tabs>
          <w:tab w:leader="none" w:pos="7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RECEIPT. Any such notice shall be assumed to have been received when delivered in person or 48 hours after being sent in the manner specified above.</w:t>
      </w:r>
    </w:p>
    <w:p>
      <w:pPr>
        <w:spacing w:after="0" w:line="66" w:lineRule="exact"/>
        <w:rPr>
          <w:rFonts w:ascii="Arial" w:cs="Arial" w:eastAsia="Arial" w:hAnsi="Arial"/>
          <w:sz w:val="18"/>
          <w:szCs w:val="18"/>
          <w:color w:val="auto"/>
        </w:rPr>
      </w:pPr>
    </w:p>
    <w:p>
      <w:pPr>
        <w:ind w:left="372" w:right="20" w:hanging="372"/>
        <w:spacing w:after="0" w:line="271" w:lineRule="auto"/>
        <w:tabs>
          <w:tab w:leader="none" w:pos="37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Unless otherwise specified herein, this Agreement sets forth every contract, understanding and arrangement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relationship</w:t>
      </w:r>
    </w:p>
    <w:p>
      <w:pPr>
        <w:spacing w:after="0" w:line="1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35" w:right="259" w:bottom="1440" w:gutter="0" w:footer="0" w:header="0"/>
          <w:type w:val="continuous"/>
        </w:sectPr>
      </w:pPr>
    </w:p>
    <w:bookmarkStart w:id="137" w:name="page138"/>
    <w:bookmarkEnd w:id="137"/>
    <w:p>
      <w:pPr>
        <w:ind w:left="260"/>
        <w:spacing w:after="0"/>
        <w:rPr>
          <w:sz w:val="20"/>
          <w:szCs w:val="20"/>
          <w:color w:val="auto"/>
        </w:rPr>
      </w:pPr>
      <w:r>
        <w:rPr>
          <w:rFonts w:ascii="Arial" w:cs="Arial" w:eastAsia="Arial" w:hAnsi="Arial"/>
          <w:sz w:val="18"/>
          <w:szCs w:val="18"/>
          <w:color w:val="auto"/>
        </w:rPr>
        <w:t>between Executive and Company, and may only be changed by a written amendment signed by both Executive and Company.</w:t>
      </w:r>
    </w:p>
    <w:p>
      <w:pPr>
        <w:spacing w:after="0" w:line="104" w:lineRule="exact"/>
        <w:rPr>
          <w:sz w:val="20"/>
          <w:szCs w:val="20"/>
          <w:color w:val="auto"/>
        </w:rPr>
      </w:pPr>
    </w:p>
    <w:p>
      <w:pPr>
        <w:ind w:left="800" w:hanging="454"/>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08" w:lineRule="exact"/>
        <w:rPr>
          <w:rFonts w:ascii="Arial" w:cs="Arial" w:eastAsia="Arial" w:hAnsi="Arial"/>
          <w:sz w:val="18"/>
          <w:szCs w:val="18"/>
          <w:color w:val="auto"/>
        </w:rPr>
      </w:pPr>
    </w:p>
    <w:p>
      <w:pPr>
        <w:ind w:left="800" w:right="340" w:hanging="454"/>
        <w:spacing w:after="0" w:line="239"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SUPERSEDES OTHER AGREEMENTS. It is specifically understood and accepted that this Agreement supersedes all oral and written employment agreements between Executive and Company prior to the date of this Agreement as well as all conflicting provisions of ABM’s Human Resources Manual, including but not limited to the termination, discipline and discharge provisions contained therein.</w:t>
      </w:r>
    </w:p>
    <w:p>
      <w:pPr>
        <w:spacing w:after="0" w:line="107" w:lineRule="exact"/>
        <w:rPr>
          <w:rFonts w:ascii="Arial" w:cs="Arial" w:eastAsia="Arial" w:hAnsi="Arial"/>
          <w:sz w:val="18"/>
          <w:szCs w:val="18"/>
          <w:color w:val="auto"/>
        </w:rPr>
      </w:pPr>
    </w:p>
    <w:p>
      <w:pPr>
        <w:ind w:left="800" w:right="60" w:hanging="454"/>
        <w:spacing w:after="0" w:line="246"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AMENDMENTS. This Agreement may not be amended except in a writing approved by the Board and signed by the Executive and the Chief Executive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Company have executed this Agreement as of the date set forth above.</w:t>
      </w:r>
    </w:p>
    <w:p>
      <w:pPr>
        <w:spacing w:after="0" w:line="198" w:lineRule="exact"/>
        <w:rPr>
          <w:sz w:val="20"/>
          <w:szCs w:val="20"/>
          <w:color w:val="auto"/>
        </w:rPr>
      </w:pPr>
    </w:p>
    <w:p>
      <w:pPr>
        <w:ind w:left="860"/>
        <w:spacing w:after="0"/>
        <w:tabs>
          <w:tab w:leader="none" w:pos="206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b w:val="1"/>
          <w:bCs w:val="1"/>
          <w:color w:val="auto"/>
        </w:rPr>
        <w:t>(Executive Name)</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-1905</wp:posOffset>
            </wp:positionV>
            <wp:extent cx="51968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-1905</wp:posOffset>
            </wp:positionV>
            <wp:extent cx="51968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83" w:lineRule="exact"/>
        <w:rPr>
          <w:sz w:val="20"/>
          <w:szCs w:val="20"/>
          <w:color w:val="auto"/>
        </w:rPr>
      </w:pPr>
    </w:p>
    <w:p>
      <w:pPr>
        <w:jc w:val="center"/>
        <w:ind w:right="5460"/>
        <w:spacing w:after="0"/>
        <w:tabs>
          <w:tab w:leader="none" w:pos="3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(Legal Company Name)</w:t>
      </w:r>
    </w:p>
    <w:p>
      <w:pPr>
        <w:spacing w:after="0" w:line="220" w:lineRule="exact"/>
        <w:rPr>
          <w:sz w:val="20"/>
          <w:szCs w:val="20"/>
          <w:color w:val="auto"/>
        </w:rPr>
      </w:pPr>
    </w:p>
    <w:p>
      <w:pPr>
        <w:jc w:val="center"/>
        <w:ind w:righ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-1905</wp:posOffset>
            </wp:positionV>
            <wp:extent cx="51968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-1905</wp:posOffset>
            </wp:positionV>
            <wp:extent cx="51968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-1905</wp:posOffset>
            </wp:positionV>
            <wp:extent cx="51968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1057" w:right="3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EXHIBIT 10.25</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SEVERANCE AGREEMENT</w:t>
      </w:r>
    </w:p>
    <w:p>
      <w:pPr>
        <w:spacing w:after="0" w:line="126" w:lineRule="exact"/>
        <w:rPr>
          <w:sz w:val="20"/>
          <w:szCs w:val="20"/>
          <w:color w:val="auto"/>
        </w:rPr>
      </w:pPr>
    </w:p>
    <w:p>
      <w:pPr>
        <w:ind w:firstLine="247"/>
        <w:spacing w:after="0" w:line="246" w:lineRule="auto"/>
        <w:rPr>
          <w:sz w:val="20"/>
          <w:szCs w:val="20"/>
          <w:color w:val="auto"/>
        </w:rPr>
      </w:pPr>
      <w:r>
        <w:rPr>
          <w:rFonts w:ascii="Arial" w:cs="Arial" w:eastAsia="Arial" w:hAnsi="Arial"/>
          <w:sz w:val="18"/>
          <w:szCs w:val="18"/>
          <w:color w:val="auto"/>
        </w:rPr>
        <w:t>This Severance Agreement (this “Agreement”), dated as of December 13, 2005, is made between ABM Industries, Incorporated, a Delaware corporation (the “Company”), and the individual executing this Agreement as the Executive on the signature page (the “Executive”).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26" w:lineRule="exact"/>
        <w:rPr>
          <w:sz w:val="20"/>
          <w:szCs w:val="20"/>
          <w:color w:val="auto"/>
        </w:rPr>
      </w:pPr>
    </w:p>
    <w:p>
      <w:pPr>
        <w:ind w:right="80" w:firstLine="240"/>
        <w:spacing w:after="0" w:line="246" w:lineRule="auto"/>
        <w:rPr>
          <w:sz w:val="20"/>
          <w:szCs w:val="20"/>
          <w:color w:val="auto"/>
        </w:rPr>
      </w:pPr>
      <w:r>
        <w:rPr>
          <w:rFonts w:ascii="Arial" w:cs="Arial" w:eastAsia="Arial" w:hAnsi="Arial"/>
          <w:sz w:val="18"/>
          <w:szCs w:val="18"/>
          <w:color w:val="auto"/>
        </w:rPr>
        <w:t>A. The Executive is a senior executive of the Company and has made and is expected to continue to make major contributions to the short-and long-term profitability, growth and financial strength of the Company;</w:t>
      </w:r>
    </w:p>
    <w:p>
      <w:pPr>
        <w:spacing w:after="0" w:line="89" w:lineRule="exact"/>
        <w:rPr>
          <w:sz w:val="20"/>
          <w:szCs w:val="20"/>
          <w:color w:val="auto"/>
        </w:rPr>
      </w:pPr>
    </w:p>
    <w:p>
      <w:pPr>
        <w:ind w:right="380" w:firstLine="250"/>
        <w:spacing w:after="0"/>
        <w:rPr>
          <w:sz w:val="20"/>
          <w:szCs w:val="20"/>
          <w:color w:val="auto"/>
        </w:rPr>
      </w:pPr>
      <w:r>
        <w:rPr>
          <w:rFonts w:ascii="Arial" w:cs="Arial" w:eastAsia="Arial" w:hAnsi="Arial"/>
          <w:sz w:val="18"/>
          <w:szCs w:val="18"/>
          <w:color w:val="auto"/>
        </w:rPr>
        <w:t>B. The Company recognizes that the possibility of a Change in Control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95" w:lineRule="exact"/>
        <w:rPr>
          <w:sz w:val="20"/>
          <w:szCs w:val="20"/>
          <w:color w:val="auto"/>
        </w:rPr>
      </w:pPr>
    </w:p>
    <w:p>
      <w:pPr>
        <w:ind w:right="160" w:firstLine="250"/>
        <w:spacing w:after="0" w:line="246" w:lineRule="auto"/>
        <w:rPr>
          <w:sz w:val="20"/>
          <w:szCs w:val="20"/>
          <w:color w:val="auto"/>
        </w:rPr>
      </w:pPr>
      <w:r>
        <w:rPr>
          <w:rFonts w:ascii="Arial" w:cs="Arial" w:eastAsia="Arial" w:hAnsi="Arial"/>
          <w:sz w:val="18"/>
          <w:szCs w:val="18"/>
          <w:color w:val="auto"/>
        </w:rPr>
        <w:t>C. 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The Company desires to provide additional inducement for the Executive to continue to remain in the employ of the Company.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Accordingly, the Company and the Executive agree as follows:</w:t>
      </w:r>
    </w:p>
    <w:p>
      <w:pPr>
        <w:spacing w:after="0" w:line="104" w:lineRule="exact"/>
        <w:rPr>
          <w:sz w:val="20"/>
          <w:szCs w:val="20"/>
          <w:color w:val="auto"/>
        </w:rPr>
      </w:pPr>
    </w:p>
    <w:p>
      <w:pPr>
        <w:ind w:right="100" w:firstLine="258"/>
        <w:spacing w:after="0" w:line="246" w:lineRule="auto"/>
        <w:tabs>
          <w:tab w:leader="none" w:pos="45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88" w:lineRule="exact"/>
        <w:rPr>
          <w:rFonts w:ascii="Arial" w:cs="Arial" w:eastAsia="Arial" w:hAnsi="Arial"/>
          <w:sz w:val="18"/>
          <w:szCs w:val="18"/>
          <w:color w:val="auto"/>
        </w:rPr>
      </w:pPr>
    </w:p>
    <w:p>
      <w:pPr>
        <w:ind w:right="20" w:firstLine="508"/>
        <w:spacing w:after="0"/>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“After-Tax Amount” means the amount to be received by an Executive determined on an after-tax basis taking into account the excise tax imposed pursuant to Section 4999 of the Code, or any successor provision thereto, any tax imposed by any comparable provision of state law and any applicable federal, state and local income and employment taxes.</w:t>
      </w:r>
    </w:p>
    <w:p>
      <w:pPr>
        <w:spacing w:after="0" w:line="94" w:lineRule="exact"/>
        <w:rPr>
          <w:rFonts w:ascii="Arial" w:cs="Arial" w:eastAsia="Arial" w:hAnsi="Arial"/>
          <w:sz w:val="18"/>
          <w:szCs w:val="18"/>
          <w:color w:val="auto"/>
        </w:rPr>
      </w:pPr>
    </w:p>
    <w:p>
      <w:pPr>
        <w:ind w:right="520" w:firstLine="508"/>
        <w:spacing w:after="0" w:line="246" w:lineRule="auto"/>
        <w:tabs>
          <w:tab w:leader="none" w:pos="7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“Base Pay” means the Executive’s annual base salary rate as in effect at the time a determination is required to be made under Section 4;</w:t>
      </w:r>
    </w:p>
    <w:p>
      <w:pPr>
        <w:spacing w:after="0" w:line="88" w:lineRule="exact"/>
        <w:rPr>
          <w:rFonts w:ascii="Arial" w:cs="Arial" w:eastAsia="Arial" w:hAnsi="Arial"/>
          <w:sz w:val="18"/>
          <w:szCs w:val="18"/>
          <w:color w:val="auto"/>
        </w:rPr>
      </w:pPr>
    </w:p>
    <w:p>
      <w:pPr>
        <w:ind w:right="300" w:firstLine="508"/>
        <w:spacing w:after="0"/>
        <w:tabs>
          <w:tab w:leader="none" w:pos="7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39" w:name="page140"/>
    <w:bookmarkEnd w:id="139"/>
    <w:p>
      <w:pPr>
        <w:ind w:right="480"/>
        <w:spacing w:after="0" w:line="246" w:lineRule="auto"/>
        <w:rPr>
          <w:sz w:val="20"/>
          <w:szCs w:val="20"/>
          <w:color w:val="auto"/>
        </w:rPr>
      </w:pPr>
      <w:r>
        <w:rPr>
          <w:rFonts w:ascii="Arial" w:cs="Arial" w:eastAsia="Arial" w:hAnsi="Arial"/>
          <w:sz w:val="18"/>
          <w:szCs w:val="18"/>
          <w:color w:val="auto"/>
        </w:rPr>
        <w:t>unanimous, or may be delegated by specific action of the Board of Directors after the date hereof to any directorate committee comprised solely of Incumbent Directors who are also Independent Directors.</w:t>
      </w:r>
    </w:p>
    <w:p>
      <w:pPr>
        <w:spacing w:after="0" w:line="89" w:lineRule="exact"/>
        <w:rPr>
          <w:sz w:val="20"/>
          <w:szCs w:val="20"/>
          <w:color w:val="auto"/>
        </w:rPr>
      </w:pPr>
    </w:p>
    <w:p>
      <w:pPr>
        <w:ind w:left="780" w:hanging="272"/>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“Cause” means that, prior to any termination, the Executive shall have:</w:t>
      </w:r>
    </w:p>
    <w:p>
      <w:pPr>
        <w:spacing w:after="0" w:line="103" w:lineRule="exact"/>
        <w:rPr>
          <w:rFonts w:ascii="Arial" w:cs="Arial" w:eastAsia="Arial" w:hAnsi="Arial"/>
          <w:sz w:val="18"/>
          <w:szCs w:val="18"/>
          <w:color w:val="auto"/>
        </w:rPr>
      </w:pPr>
    </w:p>
    <w:p>
      <w:pPr>
        <w:ind w:left="360" w:right="680" w:firstLine="490"/>
        <w:spacing w:after="0" w:line="246" w:lineRule="auto"/>
        <w:tabs>
          <w:tab w:leader="none" w:pos="10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been charged with a crime involving fraud, embezzlement or theft in connection with Executive’s duties or in the course of Executive’s employment with the Company or any Subsidiary or been convicted of a felony;</w:t>
      </w:r>
    </w:p>
    <w:p>
      <w:pPr>
        <w:spacing w:after="0" w:line="88" w:lineRule="exact"/>
        <w:rPr>
          <w:rFonts w:ascii="Arial" w:cs="Arial" w:eastAsia="Arial" w:hAnsi="Arial"/>
          <w:sz w:val="18"/>
          <w:szCs w:val="18"/>
          <w:color w:val="auto"/>
        </w:rPr>
      </w:pPr>
    </w:p>
    <w:p>
      <w:pPr>
        <w:ind w:left="1100" w:hanging="250"/>
        <w:spacing w:after="0"/>
        <w:tabs>
          <w:tab w:leader="none" w:pos="11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intentionally breached his fiduciary obligations to the Company or any securities laws applicable to the Company; or</w:t>
      </w:r>
    </w:p>
    <w:p>
      <w:pPr>
        <w:spacing w:after="0" w:line="103" w:lineRule="exact"/>
        <w:rPr>
          <w:rFonts w:ascii="Arial" w:cs="Arial" w:eastAsia="Arial" w:hAnsi="Arial"/>
          <w:sz w:val="18"/>
          <w:szCs w:val="18"/>
          <w:color w:val="auto"/>
        </w:rPr>
      </w:pPr>
    </w:p>
    <w:p>
      <w:pPr>
        <w:ind w:left="1140" w:hanging="290"/>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committed intentional wrongful engagement in any Competitive Activity;</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Notwithstanding the foregoing, the Executive will not be deemed to have been terminated for “Cause” hereunder unless and until there shall have been delivered to the Executive a copy of a resolution duly adopted by the Board at a meeting of the Board called and held for such purpose, after reasonable notice to the Executive and an opportunity for the Executive, together with the Executive’s counsel (if the Executive chooses to have counsel present at such meeting), to be heard before the Board, finding that, in the good faith opinion of the Board after consultation with outside counsel, there is clear and convincing evidence that the Executive had committed an act constituting “Cause” as herein defined and specifying the particulars thereof in reasonable detail. Nothing herein will limit the right of the Executive or Executive’s beneficiaries to contest the validity or propriety of any such determination.</w:t>
      </w:r>
    </w:p>
    <w:p>
      <w:pPr>
        <w:spacing w:after="0" w:line="98" w:lineRule="exact"/>
        <w:rPr>
          <w:sz w:val="20"/>
          <w:szCs w:val="20"/>
          <w:color w:val="auto"/>
        </w:rPr>
      </w:pPr>
    </w:p>
    <w:p>
      <w:pPr>
        <w:ind w:left="780" w:hanging="272"/>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 in Control” means that during the Term any of the following events occurs:</w:t>
      </w:r>
    </w:p>
    <w:p>
      <w:pPr>
        <w:spacing w:after="0" w:line="103" w:lineRule="exact"/>
        <w:rPr>
          <w:rFonts w:ascii="Arial" w:cs="Arial" w:eastAsia="Arial" w:hAnsi="Arial"/>
          <w:sz w:val="18"/>
          <w:szCs w:val="18"/>
          <w:color w:val="auto"/>
        </w:rPr>
      </w:pPr>
    </w:p>
    <w:p>
      <w:pPr>
        <w:ind w:left="360" w:right="40" w:firstLine="490"/>
        <w:spacing w:after="0" w:line="238" w:lineRule="auto"/>
        <w:tabs>
          <w:tab w:leader="none" w:pos="107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of Directors of the Company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40" w:name="page141"/>
    <w:bookmarkEnd w:id="140"/>
    <w:p>
      <w:pPr>
        <w:ind w:left="300"/>
        <w:spacing w:after="0"/>
        <w:rPr>
          <w:sz w:val="20"/>
          <w:szCs w:val="20"/>
          <w:color w:val="auto"/>
        </w:rPr>
      </w:pPr>
      <w:r>
        <w:rPr>
          <w:rFonts w:ascii="Arial" w:cs="Arial" w:eastAsia="Arial" w:hAnsi="Arial"/>
          <w:sz w:val="18"/>
          <w:szCs w:val="18"/>
          <w:color w:val="auto"/>
        </w:rPr>
        <w:t>immediately prior to either such event cease to constitute a majority of the members of the Board of Directors of the Company; or</w:t>
      </w:r>
    </w:p>
    <w:p>
      <w:pPr>
        <w:spacing w:after="0" w:line="104" w:lineRule="exact"/>
        <w:rPr>
          <w:sz w:val="20"/>
          <w:szCs w:val="20"/>
          <w:color w:val="auto"/>
        </w:rPr>
      </w:pPr>
    </w:p>
    <w:p>
      <w:pPr>
        <w:ind w:left="1040" w:hanging="250"/>
        <w:spacing w:after="0"/>
        <w:tabs>
          <w:tab w:leader="none" w:pos="10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103" w:lineRule="exact"/>
        <w:rPr>
          <w:rFonts w:ascii="Arial" w:cs="Arial" w:eastAsia="Arial" w:hAnsi="Arial"/>
          <w:sz w:val="18"/>
          <w:szCs w:val="18"/>
          <w:color w:val="auto"/>
        </w:rPr>
      </w:pPr>
    </w:p>
    <w:p>
      <w:pPr>
        <w:ind w:left="300" w:firstLine="490"/>
        <w:spacing w:after="0" w:line="248" w:lineRule="auto"/>
        <w:tabs>
          <w:tab w:leader="none" w:pos="109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entity, the Company and</w:t>
      </w:r>
    </w:p>
    <w:p>
      <w:pPr>
        <w:spacing w:after="0" w:line="3" w:lineRule="exact"/>
        <w:rPr>
          <w:rFonts w:ascii="Arial" w:cs="Arial" w:eastAsia="Arial" w:hAnsi="Arial"/>
          <w:sz w:val="17"/>
          <w:szCs w:val="17"/>
          <w:color w:val="auto"/>
        </w:rPr>
      </w:pPr>
    </w:p>
    <w:p>
      <w:pPr>
        <w:ind w:left="300" w:right="520" w:hanging="10"/>
        <w:spacing w:after="0" w:line="246" w:lineRule="auto"/>
        <w:tabs>
          <w:tab w:leader="none" w:pos="59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least one-half of the members of the Board of Directors of the entity resulting from such Business Transaction were Incumbent Directors at the time of the execution of the initial agreement providing for such Business Transaction.</w:t>
      </w:r>
    </w:p>
    <w:p>
      <w:pPr>
        <w:spacing w:after="0" w:line="88" w:lineRule="exact"/>
        <w:rPr>
          <w:rFonts w:ascii="Arial" w:cs="Arial" w:eastAsia="Arial" w:hAnsi="Arial"/>
          <w:sz w:val="18"/>
          <w:szCs w:val="18"/>
          <w:color w:val="auto"/>
        </w:rPr>
      </w:pPr>
    </w:p>
    <w:p>
      <w:pPr>
        <w:ind w:left="660" w:hanging="212"/>
        <w:spacing w:after="0"/>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03" w:lineRule="exact"/>
        <w:rPr>
          <w:rFonts w:ascii="Arial" w:cs="Arial" w:eastAsia="Arial" w:hAnsi="Arial"/>
          <w:sz w:val="18"/>
          <w:szCs w:val="18"/>
          <w:color w:val="auto"/>
        </w:rPr>
      </w:pPr>
    </w:p>
    <w:p>
      <w:pPr>
        <w:ind w:left="-60" w:right="20" w:firstLine="508"/>
        <w:spacing w:after="0" w:line="236" w:lineRule="auto"/>
        <w:tabs>
          <w:tab w:leader="none" w:pos="71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00" w:lineRule="exact"/>
        <w:rPr>
          <w:rFonts w:ascii="Arial" w:cs="Arial" w:eastAsia="Arial" w:hAnsi="Arial"/>
          <w:sz w:val="18"/>
          <w:szCs w:val="18"/>
          <w:color w:val="auto"/>
        </w:rPr>
      </w:pPr>
    </w:p>
    <w:p>
      <w:pPr>
        <w:ind w:left="-60" w:right="160" w:firstLine="508"/>
        <w:spacing w:after="0" w:line="237" w:lineRule="auto"/>
        <w:tabs>
          <w:tab w:leader="none" w:pos="71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9" w:right="279" w:bottom="1440" w:gutter="0" w:footer="0" w:header="0"/>
        </w:sectPr>
      </w:pPr>
    </w:p>
    <w:bookmarkStart w:id="141" w:name="page142"/>
    <w:bookmarkEnd w:id="141"/>
    <w:p>
      <w:pPr>
        <w:ind w:right="460"/>
        <w:spacing w:after="0"/>
        <w:rPr>
          <w:sz w:val="20"/>
          <w:szCs w:val="20"/>
          <w:color w:val="auto"/>
        </w:rPr>
      </w:pPr>
      <w:r>
        <w:rPr>
          <w:rFonts w:ascii="Arial" w:cs="Arial" w:eastAsia="Arial" w:hAnsi="Arial"/>
          <w:sz w:val="18"/>
          <w:szCs w:val="18"/>
          <w:color w:val="auto"/>
        </w:rPr>
        <w:t>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95" w:lineRule="exact"/>
        <w:rPr>
          <w:sz w:val="20"/>
          <w:szCs w:val="20"/>
          <w:color w:val="auto"/>
        </w:rPr>
      </w:pPr>
    </w:p>
    <w:p>
      <w:pPr>
        <w:ind w:left="720" w:hanging="212"/>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1976, as amended</w:t>
      </w:r>
    </w:p>
    <w:p>
      <w:pPr>
        <w:spacing w:after="0" w:line="103" w:lineRule="exact"/>
        <w:rPr>
          <w:rFonts w:ascii="Arial" w:cs="Arial" w:eastAsia="Arial" w:hAnsi="Arial"/>
          <w:sz w:val="18"/>
          <w:szCs w:val="18"/>
          <w:color w:val="auto"/>
        </w:rPr>
      </w:pPr>
    </w:p>
    <w:p>
      <w:pPr>
        <w:ind w:firstLine="508"/>
        <w:spacing w:after="0" w:line="246" w:lineRule="auto"/>
        <w:tabs>
          <w:tab w:leader="none" w:pos="71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“Excess Parachute Payment” means a payment that creates an obligation for Executive to pay excise taxes under Section 280G of the Code or any successor provision thereto.</w:t>
      </w:r>
    </w:p>
    <w:p>
      <w:pPr>
        <w:spacing w:after="0" w:line="88" w:lineRule="exact"/>
        <w:rPr>
          <w:rFonts w:ascii="Arial" w:cs="Arial" w:eastAsia="Arial" w:hAnsi="Arial"/>
          <w:sz w:val="18"/>
          <w:szCs w:val="18"/>
          <w:color w:val="auto"/>
        </w:rPr>
      </w:pPr>
    </w:p>
    <w:p>
      <w:pPr>
        <w:ind w:left="760" w:hanging="252"/>
        <w:spacing w:after="0"/>
        <w:tabs>
          <w:tab w:leader="none" w:pos="7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03" w:lineRule="exact"/>
        <w:rPr>
          <w:rFonts w:ascii="Arial" w:cs="Arial" w:eastAsia="Arial" w:hAnsi="Arial"/>
          <w:sz w:val="18"/>
          <w:szCs w:val="18"/>
          <w:color w:val="auto"/>
        </w:rPr>
      </w:pPr>
    </w:p>
    <w:p>
      <w:pPr>
        <w:ind w:left="720" w:hanging="212"/>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“Good Reason” means the occurrence of one or more of the following events:</w:t>
      </w:r>
    </w:p>
    <w:p>
      <w:pPr>
        <w:spacing w:after="0" w:line="103" w:lineRule="exact"/>
        <w:rPr>
          <w:rFonts w:ascii="Arial" w:cs="Arial" w:eastAsia="Arial" w:hAnsi="Arial"/>
          <w:sz w:val="18"/>
          <w:szCs w:val="18"/>
          <w:color w:val="auto"/>
        </w:rPr>
      </w:pPr>
    </w:p>
    <w:p>
      <w:pPr>
        <w:ind w:left="360" w:right="40" w:firstLine="490"/>
        <w:spacing w:after="0" w:line="238" w:lineRule="auto"/>
        <w:tabs>
          <w:tab w:leader="none" w:pos="107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94" w:lineRule="exact"/>
        <w:rPr>
          <w:rFonts w:ascii="Arial" w:cs="Arial" w:eastAsia="Arial" w:hAnsi="Arial"/>
          <w:sz w:val="18"/>
          <w:szCs w:val="18"/>
          <w:color w:val="auto"/>
        </w:rPr>
      </w:pPr>
    </w:p>
    <w:p>
      <w:pPr>
        <w:ind w:left="360" w:right="40" w:firstLine="490"/>
        <w:spacing w:after="0" w:line="248" w:lineRule="auto"/>
        <w:tabs>
          <w:tab w:leader="none" w:pos="111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Failure of the Company to remedy any of the following within 10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reduction in the Executive’s Base Pay, (C) a reduction in the Executive’s Incentive Pay Opportunity or Incentive Pay Target, or (D) the termination or denial of the Executive’s rights to Employee Benefits or a reduction in the scope or value thereof, unless such termination or reduction referred to in clauses (B),</w:t>
      </w:r>
    </w:p>
    <w:p>
      <w:pPr>
        <w:spacing w:after="0" w:line="2" w:lineRule="exact"/>
        <w:rPr>
          <w:rFonts w:ascii="Arial" w:cs="Arial" w:eastAsia="Arial" w:hAnsi="Arial"/>
          <w:sz w:val="17"/>
          <w:szCs w:val="17"/>
          <w:color w:val="auto"/>
        </w:rPr>
      </w:pPr>
    </w:p>
    <w:p>
      <w:pPr>
        <w:ind w:left="660" w:hanging="310"/>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or (D) applies on a substantially similar basis to all executives of the Company and its parent entities;</w:t>
      </w:r>
    </w:p>
    <w:p>
      <w:pPr>
        <w:spacing w:after="0" w:line="103" w:lineRule="exact"/>
        <w:rPr>
          <w:rFonts w:ascii="Arial" w:cs="Arial" w:eastAsia="Arial" w:hAnsi="Arial"/>
          <w:sz w:val="18"/>
          <w:szCs w:val="18"/>
          <w:color w:val="auto"/>
        </w:rPr>
      </w:pPr>
    </w:p>
    <w:p>
      <w:pPr>
        <w:jc w:val="both"/>
        <w:ind w:left="360" w:right="80" w:firstLine="490"/>
        <w:spacing w:after="0" w:line="239" w:lineRule="auto"/>
        <w:tabs>
          <w:tab w:leader="none" w:pos="115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liquidation, dissolution, merger, consolidation or reorganization of the Company or the transfer of all or substantially all of its business and/or assets, unless the successor or successors (by liquidation, merger, consolidation, reorganization, transfer or otherwise) to which all or substantially all of its business and/or assets have been transferred (by operation of law or otherwise) assumed all duties and obligations of the Company under this Agreement pursuant to Section 11(a);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2" w:name="page143"/>
    <w:bookmarkEnd w:id="142"/>
    <w:p>
      <w:pPr>
        <w:ind w:left="360" w:right="160" w:firstLine="490"/>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Executive’s principal residence at the time in question is within 35 miles of the Company’s headquarters or the headquarters of the Subsidiary that is Executive’s employer, the Company requires the Executive to have Executive’s principal location of work changed to any location that is in excess of 50 miles from such residence without Executive’s prior written consent; or</w:t>
      </w:r>
    </w:p>
    <w:p>
      <w:pPr>
        <w:spacing w:after="0" w:line="94" w:lineRule="exact"/>
        <w:rPr>
          <w:rFonts w:ascii="Arial" w:cs="Arial" w:eastAsia="Arial" w:hAnsi="Arial"/>
          <w:sz w:val="18"/>
          <w:szCs w:val="18"/>
          <w:color w:val="auto"/>
        </w:rPr>
      </w:pPr>
    </w:p>
    <w:p>
      <w:pPr>
        <w:ind w:left="360" w:right="160" w:firstLine="490"/>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Without limiting the generality or effect of the foregoing, any material breach of this Agreement or any Other Employment Agreement (as defined in Section 6) by the Company or any successor thereto which is not remedied by the Company within 10 calendar days after receipt by the Company of written notice from the Executive of such breach.</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termination of employment by the Executive for one of the reasons set forth in clauses (i) — (v),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10 days of the receipt of such notice. The Company and the Executive may mutually waive in writing any of the foregoing provisions with respect to an event or events that otherwise would constitute Good Reason.</w:t>
      </w:r>
    </w:p>
    <w:p>
      <w:pPr>
        <w:spacing w:after="0" w:line="95" w:lineRule="exact"/>
        <w:rPr>
          <w:sz w:val="20"/>
          <w:szCs w:val="20"/>
          <w:color w:val="auto"/>
        </w:rPr>
      </w:pPr>
    </w:p>
    <w:p>
      <w:pPr>
        <w:ind w:right="20" w:firstLine="508"/>
        <w:spacing w:after="0" w:line="237" w:lineRule="auto"/>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95" w:lineRule="exact"/>
        <w:rPr>
          <w:rFonts w:ascii="Arial" w:cs="Arial" w:eastAsia="Arial" w:hAnsi="Arial"/>
          <w:sz w:val="18"/>
          <w:szCs w:val="18"/>
          <w:color w:val="auto"/>
        </w:rPr>
      </w:pPr>
    </w:p>
    <w:p>
      <w:pPr>
        <w:ind w:right="620" w:firstLine="508"/>
        <w:spacing w:after="0" w:line="246" w:lineRule="auto"/>
        <w:tabs>
          <w:tab w:leader="none" w:pos="7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“Incentive Pay” means compensation in addition to Base Pay determined by reference to one or more performance measures, whether payable in cash, securities or otherwise.</w:t>
      </w:r>
    </w:p>
    <w:p>
      <w:pPr>
        <w:spacing w:after="0" w:line="88" w:lineRule="exact"/>
        <w:rPr>
          <w:rFonts w:ascii="Arial" w:cs="Arial" w:eastAsia="Arial" w:hAnsi="Arial"/>
          <w:sz w:val="18"/>
          <w:szCs w:val="18"/>
          <w:color w:val="auto"/>
        </w:rPr>
      </w:pPr>
    </w:p>
    <w:p>
      <w:pPr>
        <w:ind w:right="60" w:firstLine="508"/>
        <w:spacing w:after="0" w:line="238" w:lineRule="auto"/>
        <w:tabs>
          <w:tab w:leader="none" w:pos="7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3" w:name="page144"/>
    <w:bookmarkEnd w:id="143"/>
    <w:p>
      <w:pPr>
        <w:ind w:right="340" w:firstLine="508"/>
        <w:spacing w:after="0" w:line="246" w:lineRule="auto"/>
        <w:tabs>
          <w:tab w:leader="none" w:pos="7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88" w:lineRule="exact"/>
        <w:rPr>
          <w:rFonts w:ascii="Arial" w:cs="Arial" w:eastAsia="Arial" w:hAnsi="Arial"/>
          <w:sz w:val="18"/>
          <w:szCs w:val="18"/>
          <w:color w:val="auto"/>
        </w:rPr>
      </w:pPr>
    </w:p>
    <w:p>
      <w:pPr>
        <w:jc w:val="both"/>
        <w:ind w:right="40" w:firstLine="508"/>
        <w:spacing w:after="0" w:line="239" w:lineRule="auto"/>
        <w:tabs>
          <w:tab w:leader="none" w:pos="7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93" w:lineRule="exact"/>
        <w:rPr>
          <w:rFonts w:ascii="Arial" w:cs="Arial" w:eastAsia="Arial" w:hAnsi="Arial"/>
          <w:sz w:val="18"/>
          <w:szCs w:val="18"/>
          <w:color w:val="auto"/>
        </w:rPr>
      </w:pPr>
    </w:p>
    <w:p>
      <w:pPr>
        <w:ind w:right="380" w:firstLine="508"/>
        <w:spacing w:after="0" w:line="275" w:lineRule="auto"/>
        <w:tabs>
          <w:tab w:leader="none" w:pos="73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65" w:lineRule="exact"/>
        <w:rPr>
          <w:rFonts w:ascii="Arial" w:cs="Arial" w:eastAsia="Arial" w:hAnsi="Arial"/>
          <w:sz w:val="17"/>
          <w:szCs w:val="17"/>
          <w:color w:val="auto"/>
        </w:rPr>
      </w:pPr>
    </w:p>
    <w:p>
      <w:pPr>
        <w:ind w:right="20" w:firstLine="508"/>
        <w:spacing w:after="0" w:line="246" w:lineRule="auto"/>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88" w:lineRule="exact"/>
        <w:rPr>
          <w:rFonts w:ascii="Arial" w:cs="Arial" w:eastAsia="Arial" w:hAnsi="Arial"/>
          <w:sz w:val="18"/>
          <w:szCs w:val="18"/>
          <w:color w:val="auto"/>
        </w:rPr>
      </w:pPr>
    </w:p>
    <w:p>
      <w:pPr>
        <w:ind w:right="220" w:firstLine="508"/>
        <w:spacing w:after="0" w:line="239"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93" w:lineRule="exact"/>
        <w:rPr>
          <w:rFonts w:ascii="Arial" w:cs="Arial" w:eastAsia="Arial" w:hAnsi="Arial"/>
          <w:sz w:val="18"/>
          <w:szCs w:val="18"/>
          <w:color w:val="auto"/>
        </w:rPr>
      </w:pPr>
    </w:p>
    <w:p>
      <w:pPr>
        <w:ind w:right="140" w:firstLine="508"/>
        <w:spacing w:after="0" w:line="246" w:lineRule="auto"/>
        <w:tabs>
          <w:tab w:leader="none" w:pos="7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84" w:lineRule="exact"/>
        <w:rPr>
          <w:rFonts w:ascii="Arial" w:cs="Arial" w:eastAsia="Arial" w:hAnsi="Arial"/>
          <w:sz w:val="18"/>
          <w:szCs w:val="18"/>
          <w:color w:val="auto"/>
        </w:rPr>
      </w:pPr>
    </w:p>
    <w:p>
      <w:pPr>
        <w:ind w:left="760" w:hanging="252"/>
        <w:spacing w:after="0"/>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“Subsidiary” means an entity in which the Company directly or indirectly beneficially owns 50% or more of the outstanding Voting</w:t>
      </w:r>
    </w:p>
    <w:p>
      <w:pPr>
        <w:spacing w:after="0"/>
        <w:rPr>
          <w:rFonts w:ascii="Arial" w:cs="Arial" w:eastAsia="Arial" w:hAnsi="Arial"/>
          <w:sz w:val="18"/>
          <w:szCs w:val="18"/>
          <w:color w:val="auto"/>
        </w:rPr>
      </w:pPr>
      <w:r>
        <w:rPr>
          <w:rFonts w:ascii="Arial" w:cs="Arial" w:eastAsia="Arial" w:hAnsi="Arial"/>
          <w:sz w:val="18"/>
          <w:szCs w:val="18"/>
          <w:color w:val="auto"/>
        </w:rPr>
        <w:t>Stock.</w:t>
      </w:r>
    </w:p>
    <w:p>
      <w:pPr>
        <w:spacing w:after="0" w:line="103" w:lineRule="exact"/>
        <w:rPr>
          <w:rFonts w:ascii="Arial" w:cs="Arial" w:eastAsia="Arial" w:hAnsi="Arial"/>
          <w:sz w:val="18"/>
          <w:szCs w:val="18"/>
          <w:color w:val="auto"/>
        </w:rPr>
      </w:pPr>
    </w:p>
    <w:p>
      <w:pPr>
        <w:ind w:firstLine="508"/>
        <w:spacing w:after="0" w:line="237"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“Term” means the period commencing as of the date hereof and expiring on the close of business on December 31, 2008; provided, however, that (i) commencing on January 1, 2009 and each January 1 thereafter, the term of this Agreement will automatically be extended for an additional year unless, not later than September 30 of the immediately preceding year, the Company or the Executive shall have given notice that it or the Executive, as the case may be, does not wish to have the Term extended; (ii) if a Change in Control occurs during the Term, the Term will expire on the last day of the Severance Period; and (iii) subject to Section 3(c), if, prior to a Change in Control, the Executive ceases for any reason to be a full-time employee of the Company, thereupon without further action the Term shall be deemed to have expired and this Agreement will immediately terminate and be of no further effect.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44" w:name="page145"/>
    <w:bookmarkEnd w:id="144"/>
    <w:p>
      <w:pPr>
        <w:ind w:right="120" w:firstLine="508"/>
        <w:spacing w:after="0" w:line="246" w:lineRule="auto"/>
        <w:tabs>
          <w:tab w:leader="none" w:pos="7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88" w:lineRule="exact"/>
        <w:rPr>
          <w:rFonts w:ascii="Arial" w:cs="Arial" w:eastAsia="Arial" w:hAnsi="Arial"/>
          <w:sz w:val="18"/>
          <w:szCs w:val="18"/>
          <w:color w:val="auto"/>
        </w:rPr>
      </w:pPr>
    </w:p>
    <w:p>
      <w:pPr>
        <w:ind w:left="760" w:hanging="252"/>
        <w:spacing w:after="0"/>
        <w:tabs>
          <w:tab w:leader="none" w:pos="7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pacing w:after="0" w:line="103" w:lineRule="exact"/>
        <w:rPr>
          <w:rFonts w:ascii="Arial" w:cs="Arial" w:eastAsia="Arial" w:hAnsi="Arial"/>
          <w:sz w:val="18"/>
          <w:szCs w:val="18"/>
          <w:color w:val="auto"/>
        </w:rPr>
      </w:pPr>
    </w:p>
    <w:p>
      <w:pPr>
        <w:ind w:firstLine="508"/>
        <w:spacing w:after="0"/>
        <w:tabs>
          <w:tab w:leader="none" w:pos="7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94" w:lineRule="exact"/>
        <w:rPr>
          <w:rFonts w:ascii="Arial" w:cs="Arial" w:eastAsia="Arial" w:hAnsi="Arial"/>
          <w:sz w:val="18"/>
          <w:szCs w:val="18"/>
          <w:color w:val="auto"/>
        </w:rPr>
      </w:pPr>
    </w:p>
    <w:p>
      <w:pPr>
        <w:ind w:right="120" w:firstLine="258"/>
        <w:spacing w:after="0" w:line="239" w:lineRule="auto"/>
        <w:tabs>
          <w:tab w:leader="none" w:pos="4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Operation of Agreement</w:t>
      </w:r>
      <w:r>
        <w:rPr>
          <w:rFonts w:ascii="Arial" w:cs="Arial" w:eastAsia="Arial" w:hAnsi="Arial"/>
          <w:sz w:val="18"/>
          <w:szCs w:val="18"/>
          <w:color w:val="auto"/>
        </w:rPr>
        <w:t>. This Agreement will be effective and binding immediately upon its execution, but, anything in this Agreement to the contrary notwithstanding, except as provided in Section 3(c), this Agreement will not be operative unless and until a Change in Control occurs. Upon the occurrence of a Change in Control at any time during the Term, without further action, this Agreement will become immediately operative.</w:t>
      </w:r>
    </w:p>
    <w:p>
      <w:pPr>
        <w:spacing w:after="0" w:line="93" w:lineRule="exact"/>
        <w:rPr>
          <w:rFonts w:ascii="Arial" w:cs="Arial" w:eastAsia="Arial" w:hAnsi="Arial"/>
          <w:sz w:val="18"/>
          <w:szCs w:val="18"/>
          <w:color w:val="auto"/>
        </w:rPr>
      </w:pPr>
    </w:p>
    <w:p>
      <w:pPr>
        <w:ind w:right="240" w:firstLine="258"/>
        <w:spacing w:after="0"/>
        <w:tabs>
          <w:tab w:leader="none" w:pos="4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(a) In the event of the occurrence of a Change in Control, the Executive’s employment may be terminated by the Company during the Severance Period (or pursuant to Section 3(c)) and the Executive will be entitled to the benefits provided by Section 4 unless such termination is the result of the occurrence of one or more of the following events:</w:t>
      </w:r>
    </w:p>
    <w:p>
      <w:pPr>
        <w:spacing w:after="0" w:line="94" w:lineRule="exact"/>
        <w:rPr>
          <w:rFonts w:ascii="Arial" w:cs="Arial" w:eastAsia="Arial" w:hAnsi="Arial"/>
          <w:sz w:val="18"/>
          <w:szCs w:val="18"/>
          <w:color w:val="auto"/>
        </w:rPr>
      </w:pPr>
    </w:p>
    <w:p>
      <w:pPr>
        <w:ind w:left="1060" w:hanging="210"/>
        <w:spacing w:after="0"/>
        <w:tabs>
          <w:tab w:leader="none" w:pos="10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Executive’s death;</w:t>
      </w:r>
    </w:p>
    <w:p>
      <w:pPr>
        <w:spacing w:after="0" w:line="103" w:lineRule="exact"/>
        <w:rPr>
          <w:rFonts w:ascii="Arial" w:cs="Arial" w:eastAsia="Arial" w:hAnsi="Arial"/>
          <w:sz w:val="18"/>
          <w:szCs w:val="18"/>
          <w:color w:val="auto"/>
        </w:rPr>
      </w:pPr>
    </w:p>
    <w:p>
      <w:pPr>
        <w:ind w:left="360" w:right="160" w:firstLine="490"/>
        <w:spacing w:after="0" w:line="246" w:lineRule="auto"/>
        <w:tabs>
          <w:tab w:leader="none" w:pos="111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88" w:lineRule="exact"/>
        <w:rPr>
          <w:rFonts w:ascii="Arial" w:cs="Arial" w:eastAsia="Arial" w:hAnsi="Arial"/>
          <w:sz w:val="18"/>
          <w:szCs w:val="18"/>
          <w:color w:val="auto"/>
        </w:rPr>
      </w:pPr>
    </w:p>
    <w:p>
      <w:pPr>
        <w:ind w:left="1140" w:hanging="290"/>
        <w:spacing w:after="0"/>
        <w:tabs>
          <w:tab w:leader="none" w:pos="11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Cause.</w:t>
      </w:r>
    </w:p>
    <w:p>
      <w:pPr>
        <w:spacing w:after="0" w:line="10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If, during the Severance Period, the Executive’s employment is terminated by the Company other than pursuant to Section 3(a)(i), 3(a)(ii) or 3(a)(iii), the Executive will be entitled to the benefits provided by Section 4.</w:t>
      </w:r>
    </w:p>
    <w:p>
      <w:pPr>
        <w:spacing w:after="0" w:line="89" w:lineRule="exact"/>
        <w:rPr>
          <w:sz w:val="20"/>
          <w:szCs w:val="20"/>
          <w:color w:val="auto"/>
        </w:rPr>
      </w:pPr>
    </w:p>
    <w:p>
      <w:pPr>
        <w:ind w:right="40" w:firstLine="508"/>
        <w:spacing w:after="0"/>
        <w:tabs>
          <w:tab w:leader="none" w:pos="7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of the occurrence of a Change in Control, the Executive may terminate employment with the Company during the Severance Period for Good Reason with the right to severance compensation as provided in Section 4 regardless of whether any other reason, other than Cause, for such termination exists or has occurred, including without limitation other employment.</w:t>
      </w:r>
    </w:p>
    <w:p>
      <w:pPr>
        <w:spacing w:after="0" w:line="94" w:lineRule="exact"/>
        <w:rPr>
          <w:rFonts w:ascii="Arial" w:cs="Arial" w:eastAsia="Arial" w:hAnsi="Arial"/>
          <w:sz w:val="18"/>
          <w:szCs w:val="18"/>
          <w:color w:val="auto"/>
        </w:rPr>
      </w:pPr>
    </w:p>
    <w:p>
      <w:pPr>
        <w:ind w:right="80" w:firstLine="508"/>
        <w:spacing w:after="0" w:line="246" w:lineRule="auto"/>
        <w:tabs>
          <w:tab w:leader="none" w:pos="7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 Change in Control occurs and not more than 90 days prior to the date on which the Change in Control occurs, the Executive’s employment with the Company is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5" w:name="page146"/>
    <w:bookmarkEnd w:id="145"/>
    <w:p>
      <w:pPr>
        <w:ind w:right="200"/>
        <w:spacing w:after="0" w:line="239" w:lineRule="auto"/>
        <w:rPr>
          <w:sz w:val="20"/>
          <w:szCs w:val="20"/>
          <w:color w:val="auto"/>
        </w:rPr>
      </w:pPr>
      <w:r>
        <w:rPr>
          <w:rFonts w:ascii="Arial" w:cs="Arial" w:eastAsia="Arial" w:hAnsi="Arial"/>
          <w:sz w:val="18"/>
          <w:szCs w:val="18"/>
          <w:color w:val="auto"/>
        </w:rPr>
        <w:t>by the Company other than for Cause or the Executive terminates Executive’s employment for Good Reason and Cause does not exist, such termination of employment will be deemed to be a termination of employment after a Change in Control for purposes of this Agreement if the Executive has reasonably demonstrated that such termination of employment (i) was at the request of a third party who has taken steps reasonably calculated to effect a Change in Control or (ii) otherwise arose in connection with or in anticipation of a Change in Control.</w:t>
      </w:r>
    </w:p>
    <w:p>
      <w:pPr>
        <w:spacing w:after="0" w:line="94" w:lineRule="exact"/>
        <w:rPr>
          <w:sz w:val="20"/>
          <w:szCs w:val="20"/>
          <w:color w:val="auto"/>
        </w:rPr>
      </w:pPr>
    </w:p>
    <w:p>
      <w:pPr>
        <w:ind w:right="240" w:firstLine="508"/>
        <w:spacing w:after="0" w:line="239" w:lineRule="auto"/>
        <w:tabs>
          <w:tab w:leader="none" w:pos="77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93" w:lineRule="exact"/>
        <w:rPr>
          <w:rFonts w:ascii="Arial" w:cs="Arial" w:eastAsia="Arial" w:hAnsi="Arial"/>
          <w:sz w:val="18"/>
          <w:szCs w:val="18"/>
          <w:color w:val="auto"/>
        </w:rPr>
      </w:pPr>
    </w:p>
    <w:p>
      <w:pPr>
        <w:ind w:firstLine="258"/>
        <w:spacing w:after="0" w:line="236" w:lineRule="auto"/>
        <w:tabs>
          <w:tab w:leader="none" w:pos="45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Severance Compensation</w:t>
      </w:r>
      <w:r>
        <w:rPr>
          <w:rFonts w:ascii="Arial" w:cs="Arial" w:eastAsia="Arial" w:hAnsi="Arial"/>
          <w:sz w:val="18"/>
          <w:szCs w:val="18"/>
          <w:color w:val="auto"/>
        </w:rPr>
        <w:t>.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 Company will pay to the Executive the amounts described in Annex A within five business days after the Termination Date and will continue to provide to the Executive the benefits described in Annex A for the periods described therein; provided, however, that if payment would occur at a time that is later than two and one half months after the year in which such payment became no longer subject to a substantial risk of forfeiture, the Executive will receive payment of the amounts described in Annex A upon the earlier of (i) six months following the Executive’s “separation from service” with the Company (as such phrase is defined in Section 409A of the Code) and (ii) the Executive’s death.</w:t>
      </w:r>
    </w:p>
    <w:p>
      <w:pPr>
        <w:spacing w:after="0" w:line="100" w:lineRule="exact"/>
        <w:rPr>
          <w:rFonts w:ascii="Arial" w:cs="Arial" w:eastAsia="Arial" w:hAnsi="Arial"/>
          <w:sz w:val="18"/>
          <w:szCs w:val="18"/>
          <w:color w:val="auto"/>
        </w:rPr>
      </w:pPr>
    </w:p>
    <w:p>
      <w:pPr>
        <w:ind w:right="220" w:firstLine="508"/>
        <w:spacing w:after="0" w:line="238" w:lineRule="auto"/>
        <w:tabs>
          <w:tab w:leader="none" w:pos="77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94" w:lineRule="exact"/>
        <w:rPr>
          <w:rFonts w:ascii="Arial" w:cs="Arial" w:eastAsia="Arial" w:hAnsi="Arial"/>
          <w:sz w:val="18"/>
          <w:szCs w:val="18"/>
          <w:color w:val="auto"/>
        </w:rPr>
      </w:pPr>
    </w:p>
    <w:p>
      <w:pPr>
        <w:ind w:right="20" w:firstLine="508"/>
        <w:spacing w:after="0" w:line="238" w:lineRule="auto"/>
        <w:tabs>
          <w:tab w:leader="none" w:pos="7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6" w:name="page147"/>
    <w:bookmarkEnd w:id="146"/>
    <w:p>
      <w:pPr>
        <w:jc w:val="both"/>
        <w:ind w:right="20"/>
        <w:spacing w:after="0" w:line="248" w:lineRule="auto"/>
        <w:rPr>
          <w:sz w:val="20"/>
          <w:szCs w:val="20"/>
          <w:color w:val="auto"/>
        </w:rPr>
      </w:pPr>
      <w:r>
        <w:rPr>
          <w:rFonts w:ascii="Arial" w:cs="Arial" w:eastAsia="Arial" w:hAnsi="Arial"/>
          <w:sz w:val="17"/>
          <w:szCs w:val="17"/>
          <w:color w:val="auto"/>
        </w:rPr>
        <w:t>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w:t>
      </w:r>
    </w:p>
    <w:p>
      <w:pPr>
        <w:spacing w:after="0" w:line="2" w:lineRule="exact"/>
        <w:rPr>
          <w:sz w:val="20"/>
          <w:szCs w:val="20"/>
          <w:color w:val="auto"/>
        </w:rPr>
      </w:pPr>
    </w:p>
    <w:p>
      <w:pPr>
        <w:ind w:right="840" w:firstLine="8"/>
        <w:spacing w:after="0" w:line="246" w:lineRule="auto"/>
        <w:tabs>
          <w:tab w:leader="none" w:pos="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date prescribed for payment pursuant to the applicable plan, program or agreement and (y) within five business days after the Termination Date, and will be payable and calculated disregarding any otherwise applicable vesting requirements.</w:t>
      </w:r>
    </w:p>
    <w:p>
      <w:pPr>
        <w:spacing w:after="0" w:line="88" w:lineRule="exact"/>
        <w:rPr>
          <w:rFonts w:ascii="Arial" w:cs="Arial" w:eastAsia="Arial" w:hAnsi="Arial"/>
          <w:sz w:val="18"/>
          <w:szCs w:val="18"/>
          <w:color w:val="auto"/>
        </w:rPr>
      </w:pPr>
    </w:p>
    <w:p>
      <w:pPr>
        <w:ind w:firstLine="258"/>
        <w:spacing w:after="0" w:line="235" w:lineRule="auto"/>
        <w:tabs>
          <w:tab w:leader="none" w:pos="45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Limitations on Payments and Benefits</w:t>
      </w:r>
      <w:r>
        <w:rPr>
          <w:rFonts w:ascii="Arial" w:cs="Arial" w:eastAsia="Arial" w:hAnsi="Arial"/>
          <w:sz w:val="18"/>
          <w:szCs w:val="18"/>
          <w:color w:val="auto"/>
        </w:rPr>
        <w:t>. Notwithstanding any provision of this Agreement or any Other Agreement to the contrary, if any amount or benefit to be paid or provided under this Agreement or any Other Agreement would be an Excess Parachute Payment (including after taking into account the value, to the maximum extent permitted by Section 280G of the Code, of the covenants in Section 8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After-Tax Amount less than 90% of the After-Tax Amount of the severance payments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8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 Executive will be entitled to designate the payments and/or benefits to be so reduced in order to give effect to this Section 5. The Company will provide the Executive with all information reasonably requested by the Executive to permit the Executive to make such designation. In the event that the Executive fails to make such designation within 10 business days after receiving notice from the Company of a reduction under this Section 5, the Company may effect such reduction in any manner it deems appropriate.</w:t>
      </w:r>
    </w:p>
    <w:p>
      <w:pPr>
        <w:spacing w:after="0" w:line="106" w:lineRule="exact"/>
        <w:rPr>
          <w:rFonts w:ascii="Arial" w:cs="Arial" w:eastAsia="Arial" w:hAnsi="Arial"/>
          <w:sz w:val="18"/>
          <w:szCs w:val="18"/>
          <w:color w:val="auto"/>
        </w:rPr>
      </w:pPr>
    </w:p>
    <w:p>
      <w:pPr>
        <w:ind w:firstLine="258"/>
        <w:spacing w:after="0" w:line="239" w:lineRule="auto"/>
        <w:tabs>
          <w:tab w:leader="none" w:pos="45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No Mitigation Obligation; Other Agreements</w:t>
      </w:r>
      <w:r>
        <w:rPr>
          <w:rFonts w:ascii="Arial" w:cs="Arial" w:eastAsia="Arial" w:hAnsi="Arial"/>
          <w:sz w:val="18"/>
          <w:szCs w:val="18"/>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47" w:name="page148"/>
    <w:bookmarkEnd w:id="147"/>
    <w:p>
      <w:pPr>
        <w:ind w:right="60"/>
        <w:spacing w:after="0"/>
        <w:rPr>
          <w:sz w:val="20"/>
          <w:szCs w:val="20"/>
          <w:color w:val="auto"/>
        </w:rPr>
      </w:pPr>
      <w:r>
        <w:rPr>
          <w:rFonts w:ascii="Arial" w:cs="Arial" w:eastAsia="Arial" w:hAnsi="Arial"/>
          <w:sz w:val="18"/>
          <w:szCs w:val="18"/>
          <w:color w:val="auto"/>
        </w:rPr>
        <w:t>payment provided for in this Agreement by seeking other employment or otherwise, nor will any profits, income, earnings or other benefits from any source whatsoever create any mitigation, offset, reduction or any other obligation on the part of the Executive hereunder or otherwise, except as expressly provided in Paragraph 2(E) of Annex A.</w:t>
      </w:r>
    </w:p>
    <w:p>
      <w:pPr>
        <w:spacing w:after="0" w:line="95" w:lineRule="exact"/>
        <w:rPr>
          <w:sz w:val="20"/>
          <w:szCs w:val="20"/>
          <w:color w:val="auto"/>
        </w:rPr>
      </w:pPr>
    </w:p>
    <w:p>
      <w:pPr>
        <w:ind w:right="20" w:firstLine="508"/>
        <w:spacing w:after="0" w:line="237" w:lineRule="auto"/>
        <w:tabs>
          <w:tab w:leader="none" w:pos="7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termination of employment pursuant to Section 3(a), 3(b) or 3(c)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w:t>
      </w:r>
    </w:p>
    <w:p>
      <w:pPr>
        <w:spacing w:after="0" w:line="95" w:lineRule="exact"/>
        <w:rPr>
          <w:rFonts w:ascii="Arial" w:cs="Arial" w:eastAsia="Arial" w:hAnsi="Arial"/>
          <w:sz w:val="18"/>
          <w:szCs w:val="18"/>
          <w:color w:val="auto"/>
        </w:rPr>
      </w:pPr>
    </w:p>
    <w:p>
      <w:pPr>
        <w:ind w:firstLine="258"/>
        <w:spacing w:after="0" w:line="236" w:lineRule="auto"/>
        <w:tabs>
          <w:tab w:leader="none" w:pos="45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provided that, in regard to such matters, the Executive has not acted in bad faith or with no colorable claim of success. Such payments will be made within five business days after delivery of the Executive’s written requests for payment, accompanied by such evidence of fees and expenses incurred as the Company may reasonably require.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8" w:name="page149"/>
    <w:bookmarkEnd w:id="148"/>
    <w:p>
      <w:pPr>
        <w:jc w:val="both"/>
        <w:ind w:left="-8" w:right="60" w:firstLine="258"/>
        <w:spacing w:after="0"/>
        <w:tabs>
          <w:tab w:leader="none" w:pos="44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Competitive Activity; Confidentiality; Nonsolicitation</w:t>
      </w:r>
      <w:r>
        <w:rPr>
          <w:rFonts w:ascii="Arial" w:cs="Arial" w:eastAsia="Arial" w:hAnsi="Arial"/>
          <w:sz w:val="18"/>
          <w:szCs w:val="18"/>
          <w:color w:val="auto"/>
        </w:rPr>
        <w:t>. (a) For the period following the Termination Date specified in Paragraph (3) 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94" w:lineRule="exact"/>
        <w:rPr>
          <w:rFonts w:ascii="Arial" w:cs="Arial" w:eastAsia="Arial" w:hAnsi="Arial"/>
          <w:sz w:val="18"/>
          <w:szCs w:val="18"/>
          <w:color w:val="auto"/>
        </w:rPr>
      </w:pPr>
    </w:p>
    <w:p>
      <w:pPr>
        <w:ind w:left="-8" w:firstLine="508"/>
        <w:spacing w:after="0" w:line="234" w:lineRule="auto"/>
        <w:tabs>
          <w:tab w:leader="none" w:pos="76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During the Term, the Company agrees that it will disclose to Executive its confidential or proprietary information (as defined in this Section 8(b)) to the extent necessary for Executive to carry out Executive’s obligations to the Company. The Executive hereby covenants and agrees that Executive will not, without the prior written consent of the Company, during the Term and two years thereafter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8(b))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8(b) will not apply (i) during the Term, in the course of the business of and for the benefit of the Company, (ii) if such confidential or proprietary information has become, through no fault of the Executive, generally known to the public or</w:t>
      </w:r>
    </w:p>
    <w:p>
      <w:pPr>
        <w:spacing w:after="0" w:line="9" w:lineRule="exact"/>
        <w:rPr>
          <w:rFonts w:ascii="Arial" w:cs="Arial" w:eastAsia="Arial" w:hAnsi="Arial"/>
          <w:sz w:val="18"/>
          <w:szCs w:val="18"/>
          <w:color w:val="auto"/>
        </w:rPr>
      </w:pPr>
    </w:p>
    <w:p>
      <w:pPr>
        <w:ind w:left="292" w:hanging="292"/>
        <w:spacing w:after="0"/>
        <w:tabs>
          <w:tab w:leader="none" w:pos="2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Executive is required by law to make disclosure (after giving the Company notice and an opportunity to contest such requirement).</w:t>
      </w:r>
    </w:p>
    <w:p>
      <w:pPr>
        <w:spacing w:after="0" w:line="103" w:lineRule="exact"/>
        <w:rPr>
          <w:rFonts w:ascii="Arial" w:cs="Arial" w:eastAsia="Arial" w:hAnsi="Arial"/>
          <w:sz w:val="18"/>
          <w:szCs w:val="18"/>
          <w:color w:val="auto"/>
        </w:rPr>
      </w:pPr>
    </w:p>
    <w:p>
      <w:pPr>
        <w:ind w:left="-8" w:firstLine="508"/>
        <w:spacing w:after="0" w:line="238" w:lineRule="auto"/>
        <w:tabs>
          <w:tab w:leader="none" w:pos="749"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94" w:lineRule="exact"/>
        <w:rPr>
          <w:rFonts w:ascii="Arial" w:cs="Arial" w:eastAsia="Arial" w:hAnsi="Arial"/>
          <w:sz w:val="18"/>
          <w:szCs w:val="18"/>
          <w:color w:val="auto"/>
        </w:rPr>
      </w:pPr>
    </w:p>
    <w:p>
      <w:pPr>
        <w:ind w:left="-8" w:right="120" w:firstLine="508"/>
        <w:spacing w:after="0" w:line="237" w:lineRule="auto"/>
        <w:tabs>
          <w:tab w:leader="none" w:pos="762" w:val="left"/>
        </w:tabs>
        <w:numPr>
          <w:ilvl w:val="2"/>
          <w:numId w:val="131"/>
        </w:numPr>
        <w:rPr>
          <w:rFonts w:ascii="Arial" w:cs="Arial" w:eastAsia="Arial" w:hAnsi="Arial"/>
          <w:sz w:val="18"/>
          <w:szCs w:val="18"/>
          <w:color w:val="auto"/>
        </w:rPr>
      </w:pPr>
      <w:r>
        <w:rPr>
          <w:rFonts w:ascii="Arial" w:cs="Arial" w:eastAsia="Arial" w:hAnsi="Arial"/>
          <w:sz w:val="18"/>
          <w:szCs w:val="18"/>
          <w:color w:val="auto"/>
        </w:rPr>
        <w:t>Executive and the Company agree that the covenants contained in this Section 8 are reasonable under the circumstances and subject to the provisions of Section 14 of this Agreement. Executive acknowledges and agrees that the remedy at law available to the Company for breach of any of Executive’s obligations under this Section 8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149" w:name="page150"/>
    <w:bookmarkEnd w:id="149"/>
    <w:p>
      <w:pPr>
        <w:spacing w:after="0" w:line="246" w:lineRule="auto"/>
        <w:rPr>
          <w:sz w:val="20"/>
          <w:szCs w:val="20"/>
          <w:color w:val="auto"/>
        </w:rPr>
      </w:pPr>
      <w:r>
        <w:rPr>
          <w:rFonts w:ascii="Arial" w:cs="Arial" w:eastAsia="Arial" w:hAnsi="Arial"/>
          <w:sz w:val="18"/>
          <w:szCs w:val="18"/>
          <w:color w:val="auto"/>
        </w:rPr>
        <w:t>be entitled to immediate injunctive relief and may obtain a temporary order restraining any threatened or further breach, without the necessity of proof of actual damage.</w:t>
      </w:r>
    </w:p>
    <w:p>
      <w:pPr>
        <w:spacing w:after="0" w:line="89" w:lineRule="exact"/>
        <w:rPr>
          <w:sz w:val="20"/>
          <w:szCs w:val="20"/>
          <w:color w:val="auto"/>
        </w:rPr>
      </w:pPr>
    </w:p>
    <w:p>
      <w:pPr>
        <w:ind w:right="520" w:firstLine="258"/>
        <w:spacing w:after="0" w:line="246" w:lineRule="auto"/>
        <w:tabs>
          <w:tab w:leader="none" w:pos="4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Employment Rights</w:t>
      </w:r>
      <w:r>
        <w:rPr>
          <w:rFonts w:ascii="Arial" w:cs="Arial" w:eastAsia="Arial" w:hAnsi="Arial"/>
          <w:sz w:val="18"/>
          <w:szCs w:val="18"/>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88" w:lineRule="exact"/>
        <w:rPr>
          <w:rFonts w:ascii="Arial" w:cs="Arial" w:eastAsia="Arial" w:hAnsi="Arial"/>
          <w:sz w:val="18"/>
          <w:szCs w:val="18"/>
          <w:color w:val="auto"/>
        </w:rPr>
      </w:pPr>
    </w:p>
    <w:p>
      <w:pPr>
        <w:ind w:right="80" w:firstLine="258"/>
        <w:spacing w:after="0" w:line="246" w:lineRule="auto"/>
        <w:tabs>
          <w:tab w:leader="none" w:pos="5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payable under this Agreement all federal, state, city or other taxes as the Company is required to withhold pursuant to any applicable law, regulation or ruling.</w:t>
      </w:r>
    </w:p>
    <w:p>
      <w:pPr>
        <w:spacing w:after="0" w:line="88" w:lineRule="exact"/>
        <w:rPr>
          <w:rFonts w:ascii="Arial" w:cs="Arial" w:eastAsia="Arial" w:hAnsi="Arial"/>
          <w:sz w:val="18"/>
          <w:szCs w:val="18"/>
          <w:color w:val="auto"/>
        </w:rPr>
      </w:pPr>
    </w:p>
    <w:p>
      <w:pPr>
        <w:ind w:right="80" w:firstLine="258"/>
        <w:spacing w:after="0" w:line="236" w:lineRule="auto"/>
        <w:tabs>
          <w:tab w:leader="none" w:pos="5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Successors and Binding Agreement</w:t>
      </w:r>
      <w:r>
        <w:rPr>
          <w:rFonts w:ascii="Arial" w:cs="Arial" w:eastAsia="Arial" w:hAnsi="Arial"/>
          <w:sz w:val="18"/>
          <w:szCs w:val="18"/>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100" w:lineRule="exact"/>
        <w:rPr>
          <w:rFonts w:ascii="Arial" w:cs="Arial" w:eastAsia="Arial" w:hAnsi="Arial"/>
          <w:sz w:val="18"/>
          <w:szCs w:val="18"/>
          <w:color w:val="auto"/>
        </w:rPr>
      </w:pPr>
    </w:p>
    <w:p>
      <w:pPr>
        <w:ind w:right="660" w:firstLine="508"/>
        <w:spacing w:after="0" w:line="246" w:lineRule="auto"/>
        <w:tabs>
          <w:tab w:leader="none" w:pos="76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the Executive’s personal or legal representatives, executors, administrators, successors, heirs, distributees and legatees.</w:t>
      </w:r>
    </w:p>
    <w:p>
      <w:pPr>
        <w:spacing w:after="0" w:line="88" w:lineRule="exact"/>
        <w:rPr>
          <w:rFonts w:ascii="Arial" w:cs="Arial" w:eastAsia="Arial" w:hAnsi="Arial"/>
          <w:sz w:val="18"/>
          <w:szCs w:val="18"/>
          <w:color w:val="auto"/>
        </w:rPr>
      </w:pPr>
    </w:p>
    <w:p>
      <w:pPr>
        <w:ind w:right="220" w:firstLine="508"/>
        <w:spacing w:after="0" w:line="237" w:lineRule="auto"/>
        <w:tabs>
          <w:tab w:leader="none" w:pos="75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Agreement is personal in nature and neither of the parties hereto will, without the consent of the other, assign, transfer or delegate this Agreement or any rights or obligations hereunder except as expressly provided in Sections 11(a) and 11(b).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11(c), the Company will have no liability to pay any amount so attempted to be assigned, transferred or delegated.</w:t>
      </w:r>
    </w:p>
    <w:p>
      <w:pPr>
        <w:spacing w:after="0" w:line="97" w:lineRule="exact"/>
        <w:rPr>
          <w:rFonts w:ascii="Arial" w:cs="Arial" w:eastAsia="Arial" w:hAnsi="Arial"/>
          <w:sz w:val="18"/>
          <w:szCs w:val="18"/>
          <w:color w:val="auto"/>
        </w:rPr>
      </w:pPr>
    </w:p>
    <w:p>
      <w:pPr>
        <w:ind w:right="60" w:firstLine="258"/>
        <w:spacing w:after="0" w:line="238" w:lineRule="auto"/>
        <w:tabs>
          <w:tab w:leader="none" w:pos="5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0" w:name="page151"/>
    <w:bookmarkEnd w:id="150"/>
    <w:p>
      <w:pPr>
        <w:ind w:right="80"/>
        <w:spacing w:after="0"/>
        <w:rPr>
          <w:sz w:val="20"/>
          <w:szCs w:val="20"/>
          <w:color w:val="auto"/>
        </w:rPr>
      </w:pPr>
      <w:r>
        <w:rPr>
          <w:rFonts w:ascii="Arial" w:cs="Arial" w:eastAsia="Arial" w:hAnsi="Arial"/>
          <w:sz w:val="18"/>
          <w:szCs w:val="18"/>
          <w:color w:val="auto"/>
        </w:rPr>
        <w:t>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95" w:lineRule="exact"/>
        <w:rPr>
          <w:sz w:val="20"/>
          <w:szCs w:val="20"/>
          <w:color w:val="auto"/>
        </w:rPr>
      </w:pPr>
    </w:p>
    <w:p>
      <w:pPr>
        <w:ind w:right="120" w:firstLine="258"/>
        <w:spacing w:after="0" w:line="237" w:lineRule="auto"/>
        <w:tabs>
          <w:tab w:leader="none" w:pos="5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8(d) to bring an action to enforce the covenants contained in Section 8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97" w:lineRule="exact"/>
        <w:rPr>
          <w:rFonts w:ascii="Arial" w:cs="Arial" w:eastAsia="Arial" w:hAnsi="Arial"/>
          <w:sz w:val="18"/>
          <w:szCs w:val="18"/>
          <w:color w:val="auto"/>
        </w:rPr>
      </w:pPr>
    </w:p>
    <w:p>
      <w:pPr>
        <w:ind w:firstLine="258"/>
        <w:spacing w:after="0" w:line="237" w:lineRule="auto"/>
        <w:tabs>
          <w:tab w:leader="none" w:pos="5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 is held invalid, unenforceable or otherwise illegal, including without limitation Section 8 hereof,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8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97" w:lineRule="exact"/>
        <w:rPr>
          <w:rFonts w:ascii="Arial" w:cs="Arial" w:eastAsia="Arial" w:hAnsi="Arial"/>
          <w:sz w:val="18"/>
          <w:szCs w:val="18"/>
          <w:color w:val="auto"/>
        </w:rPr>
      </w:pPr>
    </w:p>
    <w:p>
      <w:pPr>
        <w:ind w:firstLine="258"/>
        <w:spacing w:after="0" w:line="236" w:lineRule="auto"/>
        <w:tabs>
          <w:tab w:leader="none" w:pos="5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95" w:lineRule="exact"/>
        <w:rPr>
          <w:rFonts w:ascii="Arial" w:cs="Arial" w:eastAsia="Arial" w:hAnsi="Arial"/>
          <w:sz w:val="18"/>
          <w:szCs w:val="18"/>
          <w:color w:val="auto"/>
        </w:rPr>
      </w:pPr>
    </w:p>
    <w:p>
      <w:pPr>
        <w:ind w:left="560" w:hanging="302"/>
        <w:spacing w:after="0"/>
        <w:tabs>
          <w:tab w:leader="none" w:pos="5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any provision of this Agreement to the contrary, the parties’ respective rights and obligations under</w:t>
      </w:r>
    </w:p>
    <w:p>
      <w:pPr>
        <w:spacing w:after="0"/>
        <w:rPr>
          <w:sz w:val="20"/>
          <w:szCs w:val="20"/>
          <w:color w:val="auto"/>
        </w:rPr>
      </w:pPr>
      <w:r>
        <w:rPr>
          <w:rFonts w:ascii="Arial" w:cs="Arial" w:eastAsia="Arial" w:hAnsi="Arial"/>
          <w:sz w:val="18"/>
          <w:szCs w:val="18"/>
          <w:color w:val="auto"/>
        </w:rPr>
        <w:t>Sections 3(c), 4, 5, 7, 8, 9, 10, 11(b), 16 and 18 will survive any termination or expiration of this Agreement or the termination</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of the Executive’s employment following a Change in Control for any reason whatsoever.</w:t>
      </w:r>
    </w:p>
    <w:p>
      <w:pPr>
        <w:spacing w:after="0" w:line="104" w:lineRule="exact"/>
        <w:rPr>
          <w:sz w:val="20"/>
          <w:szCs w:val="20"/>
          <w:color w:val="auto"/>
        </w:rPr>
      </w:pPr>
    </w:p>
    <w:p>
      <w:pPr>
        <w:jc w:val="both"/>
        <w:ind w:right="300" w:firstLine="258"/>
        <w:spacing w:after="0" w:line="238" w:lineRule="auto"/>
        <w:tabs>
          <w:tab w:leader="none" w:pos="5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12.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94" w:lineRule="exact"/>
        <w:rPr>
          <w:rFonts w:ascii="Arial" w:cs="Arial" w:eastAsia="Arial" w:hAnsi="Arial"/>
          <w:sz w:val="18"/>
          <w:szCs w:val="18"/>
          <w:color w:val="auto"/>
        </w:rPr>
      </w:pPr>
    </w:p>
    <w:p>
      <w:pPr>
        <w:ind w:right="180" w:firstLine="258"/>
        <w:spacing w:after="0" w:line="246" w:lineRule="auto"/>
        <w:tabs>
          <w:tab w:leader="none" w:pos="5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to be an original but all of which together will constitute one and the same agreement.</w:t>
      </w:r>
    </w:p>
    <w:p>
      <w:pPr>
        <w:spacing w:after="0" w:line="88" w:lineRule="exact"/>
        <w:rPr>
          <w:rFonts w:ascii="Arial" w:cs="Arial" w:eastAsia="Arial" w:hAnsi="Arial"/>
          <w:sz w:val="18"/>
          <w:szCs w:val="18"/>
          <w:color w:val="auto"/>
        </w:rPr>
      </w:pPr>
    </w:p>
    <w:p>
      <w:pPr>
        <w:jc w:val="both"/>
        <w:ind w:firstLine="258"/>
        <w:spacing w:after="0" w:line="234" w:lineRule="auto"/>
        <w:tabs>
          <w:tab w:leader="none" w:pos="5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To the extent applicable, it is intended that this Agreement comply with the provisions of Section 409A of the Code. This Agreement will be administered in a manner consistent with this intent, and any provision that would cause the Agreement to fail to satisfy Section 409A of the Code will have no force and effect until amended to comply with Section 409A of the Code (which amendment may be retroactive to the extent permitted by Section 409A of the Code and may be made by the Company without the consent of the Executive).</w:t>
      </w:r>
    </w:p>
    <w:p>
      <w:pPr>
        <w:spacing w:after="0" w:line="3" w:lineRule="exact"/>
        <w:rPr>
          <w:rFonts w:ascii="Arial" w:cs="Arial" w:eastAsia="Arial" w:hAnsi="Arial"/>
          <w:sz w:val="18"/>
          <w:szCs w:val="18"/>
          <w:color w:val="auto"/>
        </w:rPr>
      </w:pPr>
    </w:p>
    <w:p>
      <w:pPr>
        <w:spacing w:after="0" w:line="238" w:lineRule="auto"/>
        <w:rPr>
          <w:rFonts w:ascii="Arial" w:cs="Arial" w:eastAsia="Arial" w:hAnsi="Arial"/>
          <w:sz w:val="18"/>
          <w:szCs w:val="18"/>
          <w:color w:val="auto"/>
        </w:rPr>
      </w:pPr>
      <w:r>
        <w:rPr>
          <w:rFonts w:ascii="Arial" w:cs="Arial" w:eastAsia="Arial" w:hAnsi="Arial"/>
          <w:sz w:val="18"/>
          <w:szCs w:val="18"/>
          <w:color w:val="auto"/>
        </w:rPr>
        <w:t>Prior to any Change in Control, the Company and the Executive will agree to any amendment of this Agreement approved by the Board based on the advice of Jones Day or any other nationally recognized law firm designated by the Board that such amendment, if implemented, is or is reasonably likely to reduce any adverse effect on the Company or the Executive of any rule, regulation or IRS interpretation of Section 409A of the Code and that such firm is recommending similar changes or provisions to its other clients that have change-in-control, severance or employment agreements or plans.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IN WITNESS WHEREOF, the parties have caused this Agreement to be duly executed and delivered as of the date first above written.</w:t>
      </w:r>
    </w:p>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8"/>
          <w:szCs w:val="18"/>
          <w:color w:val="auto"/>
        </w:rPr>
        <w:t>By:</w:t>
        <w:tab/>
        <w:t>/s/ Maryellen C. Herringer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-1905</wp:posOffset>
            </wp:positionV>
            <wp:extent cx="32588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Maryellen C. Herringer</w:t>
      </w:r>
    </w:p>
    <w:p>
      <w:pPr>
        <w:spacing w:after="0" w:line="1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Chair, Compensation Committee</w:t>
      </w:r>
    </w:p>
    <w:p>
      <w:pPr>
        <w:ind w:left="6020"/>
        <w:spacing w:after="0"/>
        <w:rPr>
          <w:sz w:val="20"/>
          <w:szCs w:val="20"/>
          <w:color w:val="auto"/>
        </w:rPr>
      </w:pPr>
      <w:r>
        <w:rPr>
          <w:rFonts w:ascii="Arial" w:cs="Arial" w:eastAsia="Arial" w:hAnsi="Arial"/>
          <w:sz w:val="18"/>
          <w:szCs w:val="18"/>
          <w:color w:val="auto"/>
        </w:rPr>
        <w:t>of the Board of Directors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/s/ H</w:t>
      </w:r>
      <w:r>
        <w:rPr>
          <w:rFonts w:ascii="Arial" w:cs="Arial" w:eastAsia="Arial" w:hAnsi="Arial"/>
          <w:sz w:val="18"/>
          <w:szCs w:val="18"/>
          <w:color w:val="auto"/>
        </w:rPr>
        <w:t>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-1905</wp:posOffset>
            </wp:positionV>
            <wp:extent cx="32588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Henrik C. Slipsager</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132715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500" w:top="949" w:right="7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Annex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COMPENSATION, ETC.</w:t>
      </w:r>
    </w:p>
    <w:p>
      <w:pPr>
        <w:spacing w:after="0" w:line="126" w:lineRule="exact"/>
        <w:rPr>
          <w:sz w:val="20"/>
          <w:szCs w:val="20"/>
          <w:color w:val="auto"/>
        </w:rPr>
      </w:pPr>
    </w:p>
    <w:p>
      <w:pPr>
        <w:ind w:right="20" w:firstLine="258"/>
        <w:spacing w:after="0" w:line="239" w:lineRule="auto"/>
        <w:tabs>
          <w:tab w:leader="none" w:pos="5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lump sum payment in an amount equal to three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93" w:lineRule="exact"/>
        <w:rPr>
          <w:rFonts w:ascii="Arial" w:cs="Arial" w:eastAsia="Arial" w:hAnsi="Arial"/>
          <w:sz w:val="18"/>
          <w:szCs w:val="18"/>
          <w:color w:val="auto"/>
        </w:rPr>
      </w:pPr>
    </w:p>
    <w:p>
      <w:pPr>
        <w:ind w:right="560" w:firstLine="258"/>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For any Welfare Benefits that the Executive was receiving or entitled to receive immediately prior to the Termination Date (or, if greater, immediately prior to the reduction, termination or denial described in Section 1(l)(ii)) that are considered to be “reimbursement arrangements” covered under Section 1.409A-1(b)(9)(iv)(A) of the Code:</w:t>
      </w:r>
    </w:p>
    <w:p>
      <w:pPr>
        <w:spacing w:after="0" w:line="94" w:lineRule="exact"/>
        <w:rPr>
          <w:rFonts w:ascii="Arial" w:cs="Arial" w:eastAsia="Arial" w:hAnsi="Arial"/>
          <w:sz w:val="18"/>
          <w:szCs w:val="18"/>
          <w:color w:val="auto"/>
        </w:rPr>
      </w:pPr>
    </w:p>
    <w:p>
      <w:pPr>
        <w:ind w:left="1120" w:right="20" w:hanging="437"/>
        <w:spacing w:after="0" w:line="236" w:lineRule="auto"/>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a period of 18 months following the Termination Date (the “Continuation Period”), the Company will arrange to provide the Executive with Welfare Benefits substantially similar to those that the Executive was receiving or entitled to receive immediately prior to the Termination Date (or, if greater, immediately prior to the reduction, termination, or denial described in Section 1(l)(ii)) except that the level of any such Welfare Benefits to be provided to the Executive may be reduced in the event of a corresponding reduction generally applicable to all similarly situated recipients of or participants in such Welfare Benefits. If and to the extent that any benefit described in this Paragraph 2 is not or cannot be paid or provided under any policy, plan, program or arrangement of the Company or any Subsidiary, as the case may be, then the Company will itself pay or provide for the payment to the Executive, Executive’s dependents and beneficiaries, of such Welfare Benefits along with, in the case of any benefit described in this Paragraph 2 that is subject to tax because it is not or cannot be paid or provided under any such policy, plan, program or arrangement of the Company or any Subsidiary, an additional amount such that after payment by the Executive, or Executive’s dependents or beneficiaries, as the case may be, of all taxes so imposed, the recipient retains an amount equal to such taxes.</w:t>
      </w:r>
    </w:p>
    <w:p>
      <w:pPr>
        <w:spacing w:after="0" w:line="110" w:lineRule="exact"/>
        <w:rPr>
          <w:rFonts w:ascii="Arial" w:cs="Arial" w:eastAsia="Arial" w:hAnsi="Arial"/>
          <w:sz w:val="18"/>
          <w:szCs w:val="18"/>
          <w:color w:val="auto"/>
        </w:rPr>
      </w:pPr>
    </w:p>
    <w:p>
      <w:pPr>
        <w:ind w:left="1120" w:right="300" w:hanging="437"/>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will pay to the Executive, in a lump sum within the time period described in Section 4(a), an amount equal to the difference between (1) the present value of the continuation of such benefits for 18 months and (2) the present value of the benefits the Executive will receive under Paragraph 2(A)(i).</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54" w:name="page155"/>
    <w:bookmarkEnd w:id="154"/>
    <w:p>
      <w:pPr>
        <w:ind w:left="-8" w:firstLine="508"/>
        <w:spacing w:after="0" w:line="234" w:lineRule="auto"/>
        <w:tabs>
          <w:tab w:leader="none" w:pos="78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Notwithstanding the foregoing, or any other provision of the Agreement, for purposes of determining the period of continuation coverage to which the Executive or any of Executive’s dependents is entitled pursuant to Section 4980B of the Code under the Company’s medical, dental and other group health plans, or successor plans, the Executive’s “qualifying event” will be the termination of the Continuation Period and the Executive will be considered to have remained actively employed on a full-time basis through that date, provided, however, that</w:t>
      </w:r>
    </w:p>
    <w:p>
      <w:pPr>
        <w:spacing w:after="0" w:line="3" w:lineRule="exact"/>
        <w:rPr>
          <w:rFonts w:ascii="Arial" w:cs="Arial" w:eastAsia="Arial" w:hAnsi="Arial"/>
          <w:sz w:val="18"/>
          <w:szCs w:val="18"/>
          <w:color w:val="auto"/>
        </w:rPr>
      </w:pPr>
    </w:p>
    <w:p>
      <w:pPr>
        <w:ind w:left="-8" w:right="40" w:firstLine="8"/>
        <w:spacing w:after="0" w:line="246" w:lineRule="auto"/>
        <w:tabs>
          <w:tab w:leader="none" w:pos="2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health benefits the continuation period will in all events terminate on the 18-month anniversary of the termination date as so determined and (2) the Company will pay, or reimburse the Executive for, all COBRA continuation costs during such period.</w:t>
      </w:r>
    </w:p>
    <w:p>
      <w:pPr>
        <w:spacing w:after="0" w:line="88" w:lineRule="exact"/>
        <w:rPr>
          <w:rFonts w:ascii="Arial" w:cs="Arial" w:eastAsia="Arial" w:hAnsi="Arial"/>
          <w:sz w:val="18"/>
          <w:szCs w:val="18"/>
          <w:color w:val="auto"/>
        </w:rPr>
      </w:pPr>
    </w:p>
    <w:p>
      <w:pPr>
        <w:ind w:left="-8" w:right="340" w:firstLine="508"/>
        <w:spacing w:after="0"/>
        <w:tabs>
          <w:tab w:leader="none" w:pos="79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For purposes of the immediately preceding sentence and for purposes of calculating service or age to determine the Executive’s eligibility for welfare benefits, including benefits under any retiree medical benefits or life insurance plan or policy, the Executive will be considered to have remained actively employed on a full-time basis through the termination of the Continuation Period.</w:t>
      </w:r>
    </w:p>
    <w:p>
      <w:pPr>
        <w:spacing w:after="0" w:line="94" w:lineRule="exact"/>
        <w:rPr>
          <w:rFonts w:ascii="Arial" w:cs="Arial" w:eastAsia="Arial" w:hAnsi="Arial"/>
          <w:sz w:val="18"/>
          <w:szCs w:val="18"/>
          <w:color w:val="auto"/>
        </w:rPr>
      </w:pPr>
    </w:p>
    <w:p>
      <w:pPr>
        <w:ind w:left="-8" w:right="20" w:firstLine="508"/>
        <w:spacing w:after="0" w:line="238" w:lineRule="auto"/>
        <w:tabs>
          <w:tab w:leader="none" w:pos="79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For any Welfare Benefits that the Executive was receiving or entitled to receive immediately prior to the Termination Date (or, if greater, immediately prior to the reduction, termination, or denial described in Section 1(l)(ii)) that are not considered to be “reimbursement arrangements” covered under Section 1.409A-1(b)(9)(iv)(A) of the Code, the Company shall pay to the Executive, within the time period described in Section 4(a), in a lump sum, an amount equal to the present value of the continuation of such benefits for 18 months following the Termination Date.</w:t>
      </w:r>
    </w:p>
    <w:p>
      <w:pPr>
        <w:spacing w:after="0" w:line="94" w:lineRule="exact"/>
        <w:rPr>
          <w:rFonts w:ascii="Arial" w:cs="Arial" w:eastAsia="Arial" w:hAnsi="Arial"/>
          <w:sz w:val="18"/>
          <w:szCs w:val="18"/>
          <w:color w:val="auto"/>
        </w:rPr>
      </w:pPr>
    </w:p>
    <w:p>
      <w:pPr>
        <w:jc w:val="both"/>
        <w:ind w:left="-8" w:right="560" w:firstLine="508"/>
        <w:spacing w:after="0"/>
        <w:tabs>
          <w:tab w:leader="none" w:pos="78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Welfare Benefits otherwise receivable by the Executive pursuant to this Paragraph 2 will be reduced to the extent comparable Welfare Benefits are actually received by the Executive from another employer during the Continuation Period following the Executive’s Termination Date, and any such Welfare Benefits actually received by the Executive will be reported by the Executive to the Company.</w:t>
      </w:r>
    </w:p>
    <w:p>
      <w:pPr>
        <w:spacing w:after="0" w:line="94" w:lineRule="exact"/>
        <w:rPr>
          <w:rFonts w:ascii="Arial" w:cs="Arial" w:eastAsia="Arial" w:hAnsi="Arial"/>
          <w:sz w:val="18"/>
          <w:szCs w:val="18"/>
          <w:color w:val="auto"/>
        </w:rPr>
      </w:pPr>
    </w:p>
    <w:p>
      <w:pPr>
        <w:ind w:left="512" w:hanging="262"/>
        <w:spacing w:after="0"/>
        <w:tabs>
          <w:tab w:leader="none" w:pos="51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Non-Competition Period contemplated by Section 8(a) will be 12 months from the Termination Date.</w:t>
      </w:r>
    </w:p>
    <w:p>
      <w:pPr>
        <w:spacing w:after="0" w:line="18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32"/>
          </w:cols>
          <w:pgMar w:left="248" w:top="1057"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EXHIBIT 10.26</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SEVERANCE AGREEMENT</w:t>
      </w:r>
    </w:p>
    <w:p>
      <w:pPr>
        <w:spacing w:after="0" w:line="126" w:lineRule="exact"/>
        <w:rPr>
          <w:sz w:val="20"/>
          <w:szCs w:val="20"/>
          <w:color w:val="auto"/>
        </w:rPr>
      </w:pPr>
    </w:p>
    <w:p>
      <w:pPr>
        <w:ind w:firstLine="247"/>
        <w:spacing w:after="0" w:line="246" w:lineRule="auto"/>
        <w:rPr>
          <w:sz w:val="20"/>
          <w:szCs w:val="20"/>
          <w:color w:val="auto"/>
        </w:rPr>
      </w:pPr>
      <w:r>
        <w:rPr>
          <w:rFonts w:ascii="Arial" w:cs="Arial" w:eastAsia="Arial" w:hAnsi="Arial"/>
          <w:sz w:val="18"/>
          <w:szCs w:val="18"/>
          <w:color w:val="auto"/>
        </w:rPr>
        <w:t>This Severance Agreement (this “Agreement”), dated as of December 13, 2005, is made between ABM Industries, Incorporated, a Delaware corporation (the “Company”), and the individual executing this Agreement as the Executive on the signature page (the “Executive”).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26" w:lineRule="exact"/>
        <w:rPr>
          <w:sz w:val="20"/>
          <w:szCs w:val="20"/>
          <w:color w:val="auto"/>
        </w:rPr>
      </w:pPr>
    </w:p>
    <w:p>
      <w:pPr>
        <w:ind w:right="80" w:firstLine="240"/>
        <w:spacing w:after="0" w:line="246" w:lineRule="auto"/>
        <w:rPr>
          <w:sz w:val="20"/>
          <w:szCs w:val="20"/>
          <w:color w:val="auto"/>
        </w:rPr>
      </w:pPr>
      <w:r>
        <w:rPr>
          <w:rFonts w:ascii="Arial" w:cs="Arial" w:eastAsia="Arial" w:hAnsi="Arial"/>
          <w:sz w:val="18"/>
          <w:szCs w:val="18"/>
          <w:color w:val="auto"/>
        </w:rPr>
        <w:t>A. The Executive is a senior executive of the Company and has made and is expected to continue to make major contributions to the short-and long-term profitability, growth and financial strength of the Company;</w:t>
      </w:r>
    </w:p>
    <w:p>
      <w:pPr>
        <w:spacing w:after="0" w:line="89" w:lineRule="exact"/>
        <w:rPr>
          <w:sz w:val="20"/>
          <w:szCs w:val="20"/>
          <w:color w:val="auto"/>
        </w:rPr>
      </w:pPr>
    </w:p>
    <w:p>
      <w:pPr>
        <w:ind w:right="380" w:firstLine="250"/>
        <w:spacing w:after="0"/>
        <w:rPr>
          <w:sz w:val="20"/>
          <w:szCs w:val="20"/>
          <w:color w:val="auto"/>
        </w:rPr>
      </w:pPr>
      <w:r>
        <w:rPr>
          <w:rFonts w:ascii="Arial" w:cs="Arial" w:eastAsia="Arial" w:hAnsi="Arial"/>
          <w:sz w:val="18"/>
          <w:szCs w:val="18"/>
          <w:color w:val="auto"/>
        </w:rPr>
        <w:t>B. The Company recognizes that the possibility of a Change in Control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95" w:lineRule="exact"/>
        <w:rPr>
          <w:sz w:val="20"/>
          <w:szCs w:val="20"/>
          <w:color w:val="auto"/>
        </w:rPr>
      </w:pPr>
    </w:p>
    <w:p>
      <w:pPr>
        <w:ind w:right="160" w:firstLine="250"/>
        <w:spacing w:after="0" w:line="246" w:lineRule="auto"/>
        <w:rPr>
          <w:sz w:val="20"/>
          <w:szCs w:val="20"/>
          <w:color w:val="auto"/>
        </w:rPr>
      </w:pPr>
      <w:r>
        <w:rPr>
          <w:rFonts w:ascii="Arial" w:cs="Arial" w:eastAsia="Arial" w:hAnsi="Arial"/>
          <w:sz w:val="18"/>
          <w:szCs w:val="18"/>
          <w:color w:val="auto"/>
        </w:rPr>
        <w:t>C. 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The Company desires to provide additional inducement for the Executive to continue to remain in the employ of the Company.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Accordingly, the Company and the Executive agree as follows:</w:t>
      </w:r>
    </w:p>
    <w:p>
      <w:pPr>
        <w:spacing w:after="0" w:line="104" w:lineRule="exact"/>
        <w:rPr>
          <w:sz w:val="20"/>
          <w:szCs w:val="20"/>
          <w:color w:val="auto"/>
        </w:rPr>
      </w:pPr>
    </w:p>
    <w:p>
      <w:pPr>
        <w:ind w:right="100" w:firstLine="258"/>
        <w:spacing w:after="0" w:line="246" w:lineRule="auto"/>
        <w:tabs>
          <w:tab w:leader="none" w:pos="45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88" w:lineRule="exact"/>
        <w:rPr>
          <w:rFonts w:ascii="Arial" w:cs="Arial" w:eastAsia="Arial" w:hAnsi="Arial"/>
          <w:sz w:val="18"/>
          <w:szCs w:val="18"/>
          <w:color w:val="auto"/>
        </w:rPr>
      </w:pPr>
    </w:p>
    <w:p>
      <w:pPr>
        <w:ind w:right="20" w:firstLine="508"/>
        <w:spacing w:after="0"/>
        <w:tabs>
          <w:tab w:leader="none" w:pos="77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“After-Tax Amount” means the amount to be received by an Executive determined on an after-tax basis taking into account the excise tax imposed pursuant to Section 4999 of the Code, or any successor provision thereto, any tax imposed by any comparable provision of state law and any applicable federal, state and local income and employment taxes.</w:t>
      </w:r>
    </w:p>
    <w:p>
      <w:pPr>
        <w:spacing w:after="0" w:line="94" w:lineRule="exact"/>
        <w:rPr>
          <w:rFonts w:ascii="Arial" w:cs="Arial" w:eastAsia="Arial" w:hAnsi="Arial"/>
          <w:sz w:val="18"/>
          <w:szCs w:val="18"/>
          <w:color w:val="auto"/>
        </w:rPr>
      </w:pPr>
    </w:p>
    <w:p>
      <w:pPr>
        <w:ind w:right="520" w:firstLine="508"/>
        <w:spacing w:after="0" w:line="246" w:lineRule="auto"/>
        <w:tabs>
          <w:tab w:leader="none" w:pos="77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“Base Pay” means the Executive’s annual base salary rate as in effect at the time a determination is required to be made under Section 4;</w:t>
      </w:r>
    </w:p>
    <w:p>
      <w:pPr>
        <w:spacing w:after="0" w:line="88" w:lineRule="exact"/>
        <w:rPr>
          <w:rFonts w:ascii="Arial" w:cs="Arial" w:eastAsia="Arial" w:hAnsi="Arial"/>
          <w:sz w:val="18"/>
          <w:szCs w:val="18"/>
          <w:color w:val="auto"/>
        </w:rPr>
      </w:pPr>
    </w:p>
    <w:p>
      <w:pPr>
        <w:ind w:right="300" w:firstLine="508"/>
        <w:spacing w:after="0"/>
        <w:tabs>
          <w:tab w:leader="none" w:pos="7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56" w:name="page157"/>
    <w:bookmarkEnd w:id="156"/>
    <w:p>
      <w:pPr>
        <w:ind w:right="320"/>
        <w:spacing w:after="0"/>
        <w:rPr>
          <w:sz w:val="20"/>
          <w:szCs w:val="20"/>
          <w:color w:val="auto"/>
        </w:rPr>
      </w:pPr>
      <w:r>
        <w:rPr>
          <w:rFonts w:ascii="Arial" w:cs="Arial" w:eastAsia="Arial" w:hAnsi="Arial"/>
          <w:sz w:val="18"/>
          <w:szCs w:val="18"/>
          <w:color w:val="auto"/>
        </w:rPr>
        <w:t>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pacing w:after="0" w:line="95" w:lineRule="exact"/>
        <w:rPr>
          <w:sz w:val="20"/>
          <w:szCs w:val="20"/>
          <w:color w:val="auto"/>
        </w:rPr>
      </w:pPr>
    </w:p>
    <w:p>
      <w:pPr>
        <w:ind w:left="780" w:hanging="272"/>
        <w:spacing w:after="0"/>
        <w:tabs>
          <w:tab w:leader="none" w:pos="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“Cause” means that, prior to any termination, the Executive shall have:</w:t>
      </w:r>
    </w:p>
    <w:p>
      <w:pPr>
        <w:spacing w:after="0" w:line="103" w:lineRule="exact"/>
        <w:rPr>
          <w:rFonts w:ascii="Arial" w:cs="Arial" w:eastAsia="Arial" w:hAnsi="Arial"/>
          <w:sz w:val="18"/>
          <w:szCs w:val="18"/>
          <w:color w:val="auto"/>
        </w:rPr>
      </w:pPr>
    </w:p>
    <w:p>
      <w:pPr>
        <w:ind w:left="360" w:right="680" w:firstLine="490"/>
        <w:spacing w:after="0" w:line="246" w:lineRule="auto"/>
        <w:tabs>
          <w:tab w:leader="none" w:pos="107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been charged with a crime involving fraud, embezzlement or theft in connection with Executive’s duties or in the course of Executive’s employment with the Company or any Subsidiary or been convicted of a felony;</w:t>
      </w:r>
    </w:p>
    <w:p>
      <w:pPr>
        <w:spacing w:after="0" w:line="88" w:lineRule="exact"/>
        <w:rPr>
          <w:rFonts w:ascii="Arial" w:cs="Arial" w:eastAsia="Arial" w:hAnsi="Arial"/>
          <w:sz w:val="18"/>
          <w:szCs w:val="18"/>
          <w:color w:val="auto"/>
        </w:rPr>
      </w:pPr>
    </w:p>
    <w:p>
      <w:pPr>
        <w:ind w:left="1100" w:hanging="250"/>
        <w:spacing w:after="0"/>
        <w:tabs>
          <w:tab w:leader="none" w:pos="11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intentionally breached his fiduciary obligations to the Company or any securities laws applicable to the Company; or</w:t>
      </w:r>
    </w:p>
    <w:p>
      <w:pPr>
        <w:spacing w:after="0" w:line="103" w:lineRule="exact"/>
        <w:rPr>
          <w:rFonts w:ascii="Arial" w:cs="Arial" w:eastAsia="Arial" w:hAnsi="Arial"/>
          <w:sz w:val="18"/>
          <w:szCs w:val="18"/>
          <w:color w:val="auto"/>
        </w:rPr>
      </w:pPr>
    </w:p>
    <w:p>
      <w:pPr>
        <w:ind w:left="1140" w:hanging="290"/>
        <w:spacing w:after="0"/>
        <w:tabs>
          <w:tab w:leader="none" w:pos="11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committed intentional wrongful engagement in any Competitive Activity;</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Notwithstanding the foregoing, the Executive will not be deemed to have been terminated for “Cause” hereunder unless and until there shall have been delivered to the Executive a copy of a resolution duly adopted by the Board at a meeting of the Board called and held for such purpose, after reasonable notice to the Executive and an opportunity for the Executive, together with the Executive’s counsel (if the Executive chooses to have counsel present at such meeting), to be heard before the Board, finding that, in the good faith opinion of the Board after consultation with outside counsel, there is clear and convincing evidence that the Executive had committed an act constituting “Cause” as herein defined and specifying the particulars thereof in reasonable detail. Nothing herein will limit the right of the Executive or Executive’s beneficiaries to contest the validity or propriety of any such determination.</w:t>
      </w:r>
    </w:p>
    <w:p>
      <w:pPr>
        <w:spacing w:after="0" w:line="98" w:lineRule="exact"/>
        <w:rPr>
          <w:sz w:val="20"/>
          <w:szCs w:val="20"/>
          <w:color w:val="auto"/>
        </w:rPr>
      </w:pPr>
    </w:p>
    <w:p>
      <w:pPr>
        <w:ind w:left="780" w:hanging="272"/>
        <w:spacing w:after="0"/>
        <w:tabs>
          <w:tab w:leader="none" w:pos="7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 in Control” means that during the Term any of the following events occurs:</w:t>
      </w:r>
    </w:p>
    <w:p>
      <w:pPr>
        <w:spacing w:after="0" w:line="103" w:lineRule="exact"/>
        <w:rPr>
          <w:rFonts w:ascii="Arial" w:cs="Arial" w:eastAsia="Arial" w:hAnsi="Arial"/>
          <w:sz w:val="18"/>
          <w:szCs w:val="18"/>
          <w:color w:val="auto"/>
        </w:rPr>
      </w:pPr>
    </w:p>
    <w:p>
      <w:pPr>
        <w:ind w:left="360" w:right="40" w:firstLine="490"/>
        <w:spacing w:after="0" w:line="238" w:lineRule="auto"/>
        <w:tabs>
          <w:tab w:leader="none" w:pos="107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of Directors of the Company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57" w:name="page158"/>
    <w:bookmarkEnd w:id="157"/>
    <w:p>
      <w:pPr>
        <w:ind w:left="300"/>
        <w:spacing w:after="0"/>
        <w:rPr>
          <w:sz w:val="20"/>
          <w:szCs w:val="20"/>
          <w:color w:val="auto"/>
        </w:rPr>
      </w:pPr>
      <w:r>
        <w:rPr>
          <w:rFonts w:ascii="Arial" w:cs="Arial" w:eastAsia="Arial" w:hAnsi="Arial"/>
          <w:sz w:val="18"/>
          <w:szCs w:val="18"/>
          <w:color w:val="auto"/>
        </w:rPr>
        <w:t>immediately prior to either such event cease to constitute a majority of the members of the Board of Directors of the Company; or</w:t>
      </w:r>
    </w:p>
    <w:p>
      <w:pPr>
        <w:spacing w:after="0" w:line="104" w:lineRule="exact"/>
        <w:rPr>
          <w:sz w:val="20"/>
          <w:szCs w:val="20"/>
          <w:color w:val="auto"/>
        </w:rPr>
      </w:pPr>
    </w:p>
    <w:p>
      <w:pPr>
        <w:ind w:left="1040" w:hanging="250"/>
        <w:spacing w:after="0"/>
        <w:tabs>
          <w:tab w:leader="none" w:pos="10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103" w:lineRule="exact"/>
        <w:rPr>
          <w:rFonts w:ascii="Arial" w:cs="Arial" w:eastAsia="Arial" w:hAnsi="Arial"/>
          <w:sz w:val="18"/>
          <w:szCs w:val="18"/>
          <w:color w:val="auto"/>
        </w:rPr>
      </w:pPr>
    </w:p>
    <w:p>
      <w:pPr>
        <w:ind w:left="300" w:firstLine="490"/>
        <w:spacing w:after="0" w:line="248" w:lineRule="auto"/>
        <w:tabs>
          <w:tab w:leader="none" w:pos="109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entity, the Company and</w:t>
      </w:r>
    </w:p>
    <w:p>
      <w:pPr>
        <w:spacing w:after="0" w:line="3" w:lineRule="exact"/>
        <w:rPr>
          <w:rFonts w:ascii="Arial" w:cs="Arial" w:eastAsia="Arial" w:hAnsi="Arial"/>
          <w:sz w:val="17"/>
          <w:szCs w:val="17"/>
          <w:color w:val="auto"/>
        </w:rPr>
      </w:pPr>
    </w:p>
    <w:p>
      <w:pPr>
        <w:ind w:left="300" w:right="520" w:hanging="10"/>
        <w:spacing w:after="0" w:line="246" w:lineRule="auto"/>
        <w:tabs>
          <w:tab w:leader="none" w:pos="59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least one-half of the members of the Board of Directors of the entity resulting from such Business Transaction were Incumbent Directors at the time of the execution of the initial agreement providing for such Business Transaction.</w:t>
      </w:r>
    </w:p>
    <w:p>
      <w:pPr>
        <w:spacing w:after="0" w:line="88" w:lineRule="exact"/>
        <w:rPr>
          <w:rFonts w:ascii="Arial" w:cs="Arial" w:eastAsia="Arial" w:hAnsi="Arial"/>
          <w:sz w:val="18"/>
          <w:szCs w:val="18"/>
          <w:color w:val="auto"/>
        </w:rPr>
      </w:pPr>
    </w:p>
    <w:p>
      <w:pPr>
        <w:ind w:left="660" w:hanging="212"/>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03" w:lineRule="exact"/>
        <w:rPr>
          <w:rFonts w:ascii="Arial" w:cs="Arial" w:eastAsia="Arial" w:hAnsi="Arial"/>
          <w:sz w:val="18"/>
          <w:szCs w:val="18"/>
          <w:color w:val="auto"/>
        </w:rPr>
      </w:pPr>
    </w:p>
    <w:p>
      <w:pPr>
        <w:ind w:left="-60" w:right="20" w:firstLine="508"/>
        <w:spacing w:after="0" w:line="236" w:lineRule="auto"/>
        <w:tabs>
          <w:tab w:leader="none" w:pos="71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00" w:lineRule="exact"/>
        <w:rPr>
          <w:rFonts w:ascii="Arial" w:cs="Arial" w:eastAsia="Arial" w:hAnsi="Arial"/>
          <w:sz w:val="18"/>
          <w:szCs w:val="18"/>
          <w:color w:val="auto"/>
        </w:rPr>
      </w:pPr>
    </w:p>
    <w:p>
      <w:pPr>
        <w:ind w:left="-60" w:right="160" w:firstLine="508"/>
        <w:spacing w:after="0" w:line="237" w:lineRule="auto"/>
        <w:tabs>
          <w:tab w:leader="none" w:pos="71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9" w:right="279" w:bottom="1440" w:gutter="0" w:footer="0" w:header="0"/>
        </w:sectPr>
      </w:pPr>
    </w:p>
    <w:bookmarkStart w:id="158" w:name="page159"/>
    <w:bookmarkEnd w:id="158"/>
    <w:p>
      <w:pPr>
        <w:ind w:right="460"/>
        <w:spacing w:after="0"/>
        <w:rPr>
          <w:sz w:val="20"/>
          <w:szCs w:val="20"/>
          <w:color w:val="auto"/>
        </w:rPr>
      </w:pPr>
      <w:r>
        <w:rPr>
          <w:rFonts w:ascii="Arial" w:cs="Arial" w:eastAsia="Arial" w:hAnsi="Arial"/>
          <w:sz w:val="18"/>
          <w:szCs w:val="18"/>
          <w:color w:val="auto"/>
        </w:rPr>
        <w:t>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95" w:lineRule="exact"/>
        <w:rPr>
          <w:sz w:val="20"/>
          <w:szCs w:val="20"/>
          <w:color w:val="auto"/>
        </w:rPr>
      </w:pPr>
    </w:p>
    <w:p>
      <w:pPr>
        <w:ind w:left="720" w:hanging="212"/>
        <w:spacing w:after="0"/>
        <w:tabs>
          <w:tab w:leader="none" w:pos="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1976, as amended</w:t>
      </w:r>
    </w:p>
    <w:p>
      <w:pPr>
        <w:spacing w:after="0" w:line="103" w:lineRule="exact"/>
        <w:rPr>
          <w:rFonts w:ascii="Arial" w:cs="Arial" w:eastAsia="Arial" w:hAnsi="Arial"/>
          <w:sz w:val="18"/>
          <w:szCs w:val="18"/>
          <w:color w:val="auto"/>
        </w:rPr>
      </w:pPr>
    </w:p>
    <w:p>
      <w:pPr>
        <w:ind w:firstLine="508"/>
        <w:spacing w:after="0" w:line="246" w:lineRule="auto"/>
        <w:tabs>
          <w:tab w:leader="none" w:pos="71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“Excess Parachute Payment” means a payment that creates an obligation for Executive to pay excise taxes under Section 280G of the Code or any successor provision thereto.</w:t>
      </w:r>
    </w:p>
    <w:p>
      <w:pPr>
        <w:spacing w:after="0" w:line="88" w:lineRule="exact"/>
        <w:rPr>
          <w:rFonts w:ascii="Arial" w:cs="Arial" w:eastAsia="Arial" w:hAnsi="Arial"/>
          <w:sz w:val="18"/>
          <w:szCs w:val="18"/>
          <w:color w:val="auto"/>
        </w:rPr>
      </w:pPr>
    </w:p>
    <w:p>
      <w:pPr>
        <w:ind w:left="760" w:hanging="252"/>
        <w:spacing w:after="0"/>
        <w:tabs>
          <w:tab w:leader="none" w:pos="7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03" w:lineRule="exact"/>
        <w:rPr>
          <w:rFonts w:ascii="Arial" w:cs="Arial" w:eastAsia="Arial" w:hAnsi="Arial"/>
          <w:sz w:val="18"/>
          <w:szCs w:val="18"/>
          <w:color w:val="auto"/>
        </w:rPr>
      </w:pPr>
    </w:p>
    <w:p>
      <w:pPr>
        <w:ind w:left="720" w:hanging="212"/>
        <w:spacing w:after="0"/>
        <w:tabs>
          <w:tab w:leader="none" w:pos="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“Good Reason” means the occurrence of one or more of the following events:</w:t>
      </w:r>
    </w:p>
    <w:p>
      <w:pPr>
        <w:spacing w:after="0" w:line="103" w:lineRule="exact"/>
        <w:rPr>
          <w:rFonts w:ascii="Arial" w:cs="Arial" w:eastAsia="Arial" w:hAnsi="Arial"/>
          <w:sz w:val="18"/>
          <w:szCs w:val="18"/>
          <w:color w:val="auto"/>
        </w:rPr>
      </w:pPr>
    </w:p>
    <w:p>
      <w:pPr>
        <w:ind w:left="360" w:right="40" w:firstLine="490"/>
        <w:spacing w:after="0" w:line="238" w:lineRule="auto"/>
        <w:tabs>
          <w:tab w:leader="none" w:pos="107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94" w:lineRule="exact"/>
        <w:rPr>
          <w:rFonts w:ascii="Arial" w:cs="Arial" w:eastAsia="Arial" w:hAnsi="Arial"/>
          <w:sz w:val="18"/>
          <w:szCs w:val="18"/>
          <w:color w:val="auto"/>
        </w:rPr>
      </w:pPr>
    </w:p>
    <w:p>
      <w:pPr>
        <w:ind w:left="360" w:right="40" w:firstLine="490"/>
        <w:spacing w:after="0" w:line="248" w:lineRule="auto"/>
        <w:tabs>
          <w:tab w:leader="none" w:pos="111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Failure of the Company to remedy any of the following within 10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reduction in the Executive’s Base Pay, (C) a reduction in the Executive’s Incentive Pay Opportunity or Incentive Pay Target, or (D) the termination or denial of the Executive’s rights to Employee Benefits or a reduction in the scope or value thereof, unless such termination or reduction referred to in clauses (B),</w:t>
      </w:r>
    </w:p>
    <w:p>
      <w:pPr>
        <w:spacing w:after="0" w:line="2" w:lineRule="exact"/>
        <w:rPr>
          <w:rFonts w:ascii="Arial" w:cs="Arial" w:eastAsia="Arial" w:hAnsi="Arial"/>
          <w:sz w:val="17"/>
          <w:szCs w:val="17"/>
          <w:color w:val="auto"/>
        </w:rPr>
      </w:pPr>
    </w:p>
    <w:p>
      <w:pPr>
        <w:ind w:left="660" w:hanging="310"/>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or (D) applies on a substantially similar basis to all executives of the Company and its parent entities;</w:t>
      </w:r>
    </w:p>
    <w:p>
      <w:pPr>
        <w:spacing w:after="0" w:line="103" w:lineRule="exact"/>
        <w:rPr>
          <w:rFonts w:ascii="Arial" w:cs="Arial" w:eastAsia="Arial" w:hAnsi="Arial"/>
          <w:sz w:val="18"/>
          <w:szCs w:val="18"/>
          <w:color w:val="auto"/>
        </w:rPr>
      </w:pPr>
    </w:p>
    <w:p>
      <w:pPr>
        <w:jc w:val="both"/>
        <w:ind w:left="360" w:right="80" w:firstLine="490"/>
        <w:spacing w:after="0" w:line="239" w:lineRule="auto"/>
        <w:tabs>
          <w:tab w:leader="none" w:pos="115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liquidation, dissolution, merger, consolidation or reorganization of the Company or the transfer of all or substantially all of its business and/or assets, unless the successor or successors (by liquidation, merger, consolidation, reorganization, transfer or otherwise) to which all or substantially all of its business and/or assets have been transferred (by operation of law or otherwise) assumed all duties and obligations of the Company under this Agreement pursuant to Section 11(a);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9" w:name="page160"/>
    <w:bookmarkEnd w:id="159"/>
    <w:p>
      <w:pPr>
        <w:ind w:left="360" w:right="160" w:firstLine="490"/>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Executive’s principal residence at the time in question is within 35 miles of the Company’s headquarters or the headquarters of the Subsidiary that is Executive’s employer, the Company requires the Executive to have Executive’s principal location of work changed to any location that is in excess of 50 miles from such residence without Executive’s prior written consent; or</w:t>
      </w:r>
    </w:p>
    <w:p>
      <w:pPr>
        <w:spacing w:after="0" w:line="94" w:lineRule="exact"/>
        <w:rPr>
          <w:rFonts w:ascii="Arial" w:cs="Arial" w:eastAsia="Arial" w:hAnsi="Arial"/>
          <w:sz w:val="18"/>
          <w:szCs w:val="18"/>
          <w:color w:val="auto"/>
        </w:rPr>
      </w:pPr>
    </w:p>
    <w:p>
      <w:pPr>
        <w:ind w:left="360" w:right="160" w:firstLine="490"/>
        <w:spacing w:after="0"/>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Without limiting the generality or effect of the foregoing, any material breach of this Agreement or any Other Employment Agreement (as defined in Section 6) by the Company or any successor thereto which is not remedied by the Company within 10 calendar days after receipt by the Company of written notice from the Executive of such breach.</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termination of employment by the Executive for one of the reasons set forth in clauses (i) — (v),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10 days of the receipt of such notice. The Company and the Executive may mutually waive in writing any of the foregoing provisions with respect to an event or events that otherwise would constitute Good Reason.</w:t>
      </w:r>
    </w:p>
    <w:p>
      <w:pPr>
        <w:spacing w:after="0" w:line="95" w:lineRule="exact"/>
        <w:rPr>
          <w:sz w:val="20"/>
          <w:szCs w:val="20"/>
          <w:color w:val="auto"/>
        </w:rPr>
      </w:pPr>
    </w:p>
    <w:p>
      <w:pPr>
        <w:ind w:right="20" w:firstLine="508"/>
        <w:spacing w:after="0" w:line="237" w:lineRule="auto"/>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95" w:lineRule="exact"/>
        <w:rPr>
          <w:rFonts w:ascii="Arial" w:cs="Arial" w:eastAsia="Arial" w:hAnsi="Arial"/>
          <w:sz w:val="18"/>
          <w:szCs w:val="18"/>
          <w:color w:val="auto"/>
        </w:rPr>
      </w:pPr>
    </w:p>
    <w:p>
      <w:pPr>
        <w:ind w:right="620" w:firstLine="508"/>
        <w:spacing w:after="0" w:line="246" w:lineRule="auto"/>
        <w:tabs>
          <w:tab w:leader="none" w:pos="7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“Incentive Pay” means compensation in addition to Base Pay determined by reference to one or more performance measures, whether payable in cash, securities or otherwise.</w:t>
      </w:r>
    </w:p>
    <w:p>
      <w:pPr>
        <w:spacing w:after="0" w:line="88" w:lineRule="exact"/>
        <w:rPr>
          <w:rFonts w:ascii="Arial" w:cs="Arial" w:eastAsia="Arial" w:hAnsi="Arial"/>
          <w:sz w:val="18"/>
          <w:szCs w:val="18"/>
          <w:color w:val="auto"/>
        </w:rPr>
      </w:pPr>
    </w:p>
    <w:p>
      <w:pPr>
        <w:ind w:right="60" w:firstLine="508"/>
        <w:spacing w:after="0" w:line="238" w:lineRule="auto"/>
        <w:tabs>
          <w:tab w:leader="none" w:pos="7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0" w:name="page161"/>
    <w:bookmarkEnd w:id="160"/>
    <w:p>
      <w:pPr>
        <w:ind w:right="340" w:firstLine="508"/>
        <w:spacing w:after="0" w:line="246" w:lineRule="auto"/>
        <w:tabs>
          <w:tab w:leader="none" w:pos="77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88" w:lineRule="exact"/>
        <w:rPr>
          <w:rFonts w:ascii="Arial" w:cs="Arial" w:eastAsia="Arial" w:hAnsi="Arial"/>
          <w:sz w:val="18"/>
          <w:szCs w:val="18"/>
          <w:color w:val="auto"/>
        </w:rPr>
      </w:pPr>
    </w:p>
    <w:p>
      <w:pPr>
        <w:jc w:val="both"/>
        <w:ind w:right="40" w:firstLine="508"/>
        <w:spacing w:after="0" w:line="239" w:lineRule="auto"/>
        <w:tabs>
          <w:tab w:leader="none" w:pos="77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93" w:lineRule="exact"/>
        <w:rPr>
          <w:rFonts w:ascii="Arial" w:cs="Arial" w:eastAsia="Arial" w:hAnsi="Arial"/>
          <w:sz w:val="18"/>
          <w:szCs w:val="18"/>
          <w:color w:val="auto"/>
        </w:rPr>
      </w:pPr>
    </w:p>
    <w:p>
      <w:pPr>
        <w:ind w:right="380" w:firstLine="508"/>
        <w:spacing w:after="0" w:line="275" w:lineRule="auto"/>
        <w:tabs>
          <w:tab w:leader="none" w:pos="73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65" w:lineRule="exact"/>
        <w:rPr>
          <w:rFonts w:ascii="Arial" w:cs="Arial" w:eastAsia="Arial" w:hAnsi="Arial"/>
          <w:sz w:val="17"/>
          <w:szCs w:val="17"/>
          <w:color w:val="auto"/>
        </w:rPr>
      </w:pPr>
    </w:p>
    <w:p>
      <w:pPr>
        <w:ind w:right="20" w:firstLine="508"/>
        <w:spacing w:after="0" w:line="246" w:lineRule="auto"/>
        <w:tabs>
          <w:tab w:leader="none" w:pos="7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88" w:lineRule="exact"/>
        <w:rPr>
          <w:rFonts w:ascii="Arial" w:cs="Arial" w:eastAsia="Arial" w:hAnsi="Arial"/>
          <w:sz w:val="18"/>
          <w:szCs w:val="18"/>
          <w:color w:val="auto"/>
        </w:rPr>
      </w:pPr>
    </w:p>
    <w:p>
      <w:pPr>
        <w:ind w:right="220" w:firstLine="508"/>
        <w:spacing w:after="0" w:line="239" w:lineRule="auto"/>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93" w:lineRule="exact"/>
        <w:rPr>
          <w:rFonts w:ascii="Arial" w:cs="Arial" w:eastAsia="Arial" w:hAnsi="Arial"/>
          <w:sz w:val="18"/>
          <w:szCs w:val="18"/>
          <w:color w:val="auto"/>
        </w:rPr>
      </w:pPr>
    </w:p>
    <w:p>
      <w:pPr>
        <w:ind w:right="140" w:firstLine="508"/>
        <w:spacing w:after="0" w:line="246" w:lineRule="auto"/>
        <w:tabs>
          <w:tab w:leader="none" w:pos="77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84" w:lineRule="exact"/>
        <w:rPr>
          <w:rFonts w:ascii="Arial" w:cs="Arial" w:eastAsia="Arial" w:hAnsi="Arial"/>
          <w:sz w:val="18"/>
          <w:szCs w:val="18"/>
          <w:color w:val="auto"/>
        </w:rPr>
      </w:pPr>
    </w:p>
    <w:p>
      <w:pPr>
        <w:ind w:left="760" w:hanging="252"/>
        <w:spacing w:after="0"/>
        <w:tabs>
          <w:tab w:leader="none" w:pos="7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“Subsidiary” means an entity in which the Company directly or indirectly beneficially owns 50% or more of the outstanding Voting</w:t>
      </w:r>
    </w:p>
    <w:p>
      <w:pPr>
        <w:spacing w:after="0"/>
        <w:rPr>
          <w:rFonts w:ascii="Arial" w:cs="Arial" w:eastAsia="Arial" w:hAnsi="Arial"/>
          <w:sz w:val="18"/>
          <w:szCs w:val="18"/>
          <w:color w:val="auto"/>
        </w:rPr>
      </w:pPr>
      <w:r>
        <w:rPr>
          <w:rFonts w:ascii="Arial" w:cs="Arial" w:eastAsia="Arial" w:hAnsi="Arial"/>
          <w:sz w:val="18"/>
          <w:szCs w:val="18"/>
          <w:color w:val="auto"/>
        </w:rPr>
        <w:t>Stock.</w:t>
      </w:r>
    </w:p>
    <w:p>
      <w:pPr>
        <w:spacing w:after="0" w:line="103" w:lineRule="exact"/>
        <w:rPr>
          <w:rFonts w:ascii="Arial" w:cs="Arial" w:eastAsia="Arial" w:hAnsi="Arial"/>
          <w:sz w:val="18"/>
          <w:szCs w:val="18"/>
          <w:color w:val="auto"/>
        </w:rPr>
      </w:pPr>
    </w:p>
    <w:p>
      <w:pPr>
        <w:ind w:firstLine="508"/>
        <w:spacing w:after="0" w:line="237" w:lineRule="auto"/>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“Term” means the period commencing as of the date hereof and expiring on the close of business on December 31, 2008; provided, however, that (i) commencing on January 1, 2009 and each January 1 thereafter, the term of this Agreement will automatically be extended for an additional year unless, not later than September 30 of the immediately preceding year, the Company or the Executive shall have given notice that it or the Executive, as the case may be, does not wish to have the Term extended; (ii) if a Change in Control occurs during the Term, the Term will expire on the last day of the Severance Period; and (iii) subject to Section 3(c), if, prior to a Change in Control, the Executive ceases for any reason to be a full-time employee of the Company, thereupon without further action the Term shall be deemed to have expired and this Agreement will immediately terminate and be of no further effect.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61" w:name="page162"/>
    <w:bookmarkEnd w:id="161"/>
    <w:p>
      <w:pPr>
        <w:ind w:right="120" w:firstLine="508"/>
        <w:spacing w:after="0" w:line="246" w:lineRule="auto"/>
        <w:tabs>
          <w:tab w:leader="none" w:pos="7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88" w:lineRule="exact"/>
        <w:rPr>
          <w:rFonts w:ascii="Arial" w:cs="Arial" w:eastAsia="Arial" w:hAnsi="Arial"/>
          <w:sz w:val="18"/>
          <w:szCs w:val="18"/>
          <w:color w:val="auto"/>
        </w:rPr>
      </w:pPr>
    </w:p>
    <w:p>
      <w:pPr>
        <w:ind w:left="760" w:hanging="252"/>
        <w:spacing w:after="0"/>
        <w:tabs>
          <w:tab w:leader="none" w:pos="7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pacing w:after="0" w:line="103" w:lineRule="exact"/>
        <w:rPr>
          <w:rFonts w:ascii="Arial" w:cs="Arial" w:eastAsia="Arial" w:hAnsi="Arial"/>
          <w:sz w:val="18"/>
          <w:szCs w:val="18"/>
          <w:color w:val="auto"/>
        </w:rPr>
      </w:pPr>
    </w:p>
    <w:p>
      <w:pPr>
        <w:ind w:firstLine="508"/>
        <w:spacing w:after="0"/>
        <w:tabs>
          <w:tab w:leader="none" w:pos="7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94" w:lineRule="exact"/>
        <w:rPr>
          <w:rFonts w:ascii="Arial" w:cs="Arial" w:eastAsia="Arial" w:hAnsi="Arial"/>
          <w:sz w:val="18"/>
          <w:szCs w:val="18"/>
          <w:color w:val="auto"/>
        </w:rPr>
      </w:pPr>
    </w:p>
    <w:p>
      <w:pPr>
        <w:ind w:right="120" w:firstLine="258"/>
        <w:spacing w:after="0" w:line="239" w:lineRule="auto"/>
        <w:tabs>
          <w:tab w:leader="none" w:pos="45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Operation of Agreement</w:t>
      </w:r>
      <w:r>
        <w:rPr>
          <w:rFonts w:ascii="Arial" w:cs="Arial" w:eastAsia="Arial" w:hAnsi="Arial"/>
          <w:sz w:val="18"/>
          <w:szCs w:val="18"/>
          <w:color w:val="auto"/>
        </w:rPr>
        <w:t>. This Agreement will be effective and binding immediately upon its execution, but, anything in this Agreement to the contrary notwithstanding, except as provided in Section 3(c), this Agreement will not be operative unless and until a Change in Control occurs. Upon the occurrence of a Change in Control at any time during the Term, without further action, this Agreement will become immediately operative.</w:t>
      </w:r>
    </w:p>
    <w:p>
      <w:pPr>
        <w:spacing w:after="0" w:line="93" w:lineRule="exact"/>
        <w:rPr>
          <w:rFonts w:ascii="Arial" w:cs="Arial" w:eastAsia="Arial" w:hAnsi="Arial"/>
          <w:sz w:val="18"/>
          <w:szCs w:val="18"/>
          <w:color w:val="auto"/>
        </w:rPr>
      </w:pPr>
    </w:p>
    <w:p>
      <w:pPr>
        <w:ind w:right="240" w:firstLine="258"/>
        <w:spacing w:after="0"/>
        <w:tabs>
          <w:tab w:leader="none" w:pos="45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(a) In the event of the occurrence of a Change in Control, the Executive’s employment may be terminated by the Company during the Severance Period (or pursuant to Section 3(c)) and the Executive will be entitled to the benefits provided by Section 4 unless such termination is the result of the occurrence of one or more of the following events:</w:t>
      </w:r>
    </w:p>
    <w:p>
      <w:pPr>
        <w:spacing w:after="0" w:line="94" w:lineRule="exact"/>
        <w:rPr>
          <w:rFonts w:ascii="Arial" w:cs="Arial" w:eastAsia="Arial" w:hAnsi="Arial"/>
          <w:sz w:val="18"/>
          <w:szCs w:val="18"/>
          <w:color w:val="auto"/>
        </w:rPr>
      </w:pPr>
    </w:p>
    <w:p>
      <w:pPr>
        <w:ind w:left="1060" w:hanging="210"/>
        <w:spacing w:after="0"/>
        <w:tabs>
          <w:tab w:leader="none" w:pos="106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Executive’s death;</w:t>
      </w:r>
    </w:p>
    <w:p>
      <w:pPr>
        <w:spacing w:after="0" w:line="103" w:lineRule="exact"/>
        <w:rPr>
          <w:rFonts w:ascii="Arial" w:cs="Arial" w:eastAsia="Arial" w:hAnsi="Arial"/>
          <w:sz w:val="18"/>
          <w:szCs w:val="18"/>
          <w:color w:val="auto"/>
        </w:rPr>
      </w:pPr>
    </w:p>
    <w:p>
      <w:pPr>
        <w:ind w:left="360" w:right="160" w:firstLine="490"/>
        <w:spacing w:after="0" w:line="246" w:lineRule="auto"/>
        <w:tabs>
          <w:tab w:leader="none" w:pos="111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88" w:lineRule="exact"/>
        <w:rPr>
          <w:rFonts w:ascii="Arial" w:cs="Arial" w:eastAsia="Arial" w:hAnsi="Arial"/>
          <w:sz w:val="18"/>
          <w:szCs w:val="18"/>
          <w:color w:val="auto"/>
        </w:rPr>
      </w:pPr>
    </w:p>
    <w:p>
      <w:pPr>
        <w:ind w:left="1140" w:hanging="290"/>
        <w:spacing w:after="0"/>
        <w:tabs>
          <w:tab w:leader="none" w:pos="114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Cause.</w:t>
      </w:r>
    </w:p>
    <w:p>
      <w:pPr>
        <w:spacing w:after="0" w:line="10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If, during the Severance Period, the Executive’s employment is terminated by the Company other than pursuant to Section 3(a)(i), 3(a)(ii) or 3(a)(iii), the Executive will be entitled to the benefits provided by Section 4.</w:t>
      </w:r>
    </w:p>
    <w:p>
      <w:pPr>
        <w:spacing w:after="0" w:line="89" w:lineRule="exact"/>
        <w:rPr>
          <w:sz w:val="20"/>
          <w:szCs w:val="20"/>
          <w:color w:val="auto"/>
        </w:rPr>
      </w:pPr>
    </w:p>
    <w:p>
      <w:pPr>
        <w:ind w:right="40" w:firstLine="508"/>
        <w:spacing w:after="0"/>
        <w:tabs>
          <w:tab w:leader="none" w:pos="77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event of the occurrence of a Change in Control, the Executive may terminate employment with the Company during the Severance Period for Good Reason with the right to severance compensation as provided in Section 4 regardless of whether any other reason, other than Cause, for such termination exists or has occurred, including without limitation other employment.</w:t>
      </w:r>
    </w:p>
    <w:p>
      <w:pPr>
        <w:spacing w:after="0" w:line="94" w:lineRule="exact"/>
        <w:rPr>
          <w:rFonts w:ascii="Arial" w:cs="Arial" w:eastAsia="Arial" w:hAnsi="Arial"/>
          <w:sz w:val="18"/>
          <w:szCs w:val="18"/>
          <w:color w:val="auto"/>
        </w:rPr>
      </w:pPr>
    </w:p>
    <w:p>
      <w:pPr>
        <w:ind w:right="80" w:firstLine="508"/>
        <w:spacing w:after="0" w:line="246" w:lineRule="auto"/>
        <w:tabs>
          <w:tab w:leader="none" w:pos="7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 Change in Control occurs and not more than 90 days prior to the date on which the Change in Control occurs, the Executive’s employment with the Company is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2" w:name="page163"/>
    <w:bookmarkEnd w:id="162"/>
    <w:p>
      <w:pPr>
        <w:ind w:right="200"/>
        <w:spacing w:after="0" w:line="239" w:lineRule="auto"/>
        <w:rPr>
          <w:sz w:val="20"/>
          <w:szCs w:val="20"/>
          <w:color w:val="auto"/>
        </w:rPr>
      </w:pPr>
      <w:r>
        <w:rPr>
          <w:rFonts w:ascii="Arial" w:cs="Arial" w:eastAsia="Arial" w:hAnsi="Arial"/>
          <w:sz w:val="18"/>
          <w:szCs w:val="18"/>
          <w:color w:val="auto"/>
        </w:rPr>
        <w:t>by the Company other than for Cause or the Executive terminates Executive’s employment for Good Reason and Cause does not exist, such termination of employment will be deemed to be a termination of employment after a Change in Control for purposes of this Agreement if the Executive has reasonably demonstrated that such termination of employment (i) was at the request of a third party who has taken steps reasonably calculated to effect a Change in Control or (ii) otherwise arose in connection with or in anticipation of a Change in Control.</w:t>
      </w:r>
    </w:p>
    <w:p>
      <w:pPr>
        <w:spacing w:after="0" w:line="94" w:lineRule="exact"/>
        <w:rPr>
          <w:sz w:val="20"/>
          <w:szCs w:val="20"/>
          <w:color w:val="auto"/>
        </w:rPr>
      </w:pPr>
    </w:p>
    <w:p>
      <w:pPr>
        <w:ind w:right="240" w:firstLine="508"/>
        <w:spacing w:after="0" w:line="239" w:lineRule="auto"/>
        <w:tabs>
          <w:tab w:leader="none" w:pos="77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93" w:lineRule="exact"/>
        <w:rPr>
          <w:rFonts w:ascii="Arial" w:cs="Arial" w:eastAsia="Arial" w:hAnsi="Arial"/>
          <w:sz w:val="18"/>
          <w:szCs w:val="18"/>
          <w:color w:val="auto"/>
        </w:rPr>
      </w:pPr>
    </w:p>
    <w:p>
      <w:pPr>
        <w:ind w:firstLine="258"/>
        <w:spacing w:after="0" w:line="236" w:lineRule="auto"/>
        <w:tabs>
          <w:tab w:leader="none" w:pos="45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Severance Compensation</w:t>
      </w:r>
      <w:r>
        <w:rPr>
          <w:rFonts w:ascii="Arial" w:cs="Arial" w:eastAsia="Arial" w:hAnsi="Arial"/>
          <w:sz w:val="18"/>
          <w:szCs w:val="18"/>
          <w:color w:val="auto"/>
        </w:rPr>
        <w:t>.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 Company will pay to the Executive the amounts described in Annex A within five business days after the Termination Date and will continue to provide to the Executive the benefits described in Annex A for the periods described therein; provided, however, that if payment would occur at a time that is later than two and one half months after the year in which such payment became no longer subject to a substantial risk of forfeiture, the Executive will receive payment of the amounts described in Annex A upon the earlier of (i) six months following the Executive’s “separation from service” with the Company (as such phrase is defined in Section 409A of the Code) and (ii) the Executive’s death.</w:t>
      </w:r>
    </w:p>
    <w:p>
      <w:pPr>
        <w:spacing w:after="0" w:line="100" w:lineRule="exact"/>
        <w:rPr>
          <w:rFonts w:ascii="Arial" w:cs="Arial" w:eastAsia="Arial" w:hAnsi="Arial"/>
          <w:sz w:val="18"/>
          <w:szCs w:val="18"/>
          <w:color w:val="auto"/>
        </w:rPr>
      </w:pPr>
    </w:p>
    <w:p>
      <w:pPr>
        <w:ind w:right="220" w:firstLine="508"/>
        <w:spacing w:after="0" w:line="238" w:lineRule="auto"/>
        <w:tabs>
          <w:tab w:leader="none" w:pos="77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94" w:lineRule="exact"/>
        <w:rPr>
          <w:rFonts w:ascii="Arial" w:cs="Arial" w:eastAsia="Arial" w:hAnsi="Arial"/>
          <w:sz w:val="18"/>
          <w:szCs w:val="18"/>
          <w:color w:val="auto"/>
        </w:rPr>
      </w:pPr>
    </w:p>
    <w:p>
      <w:pPr>
        <w:ind w:right="20" w:firstLine="508"/>
        <w:spacing w:after="0" w:line="238" w:lineRule="auto"/>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3" w:name="page164"/>
    <w:bookmarkEnd w:id="163"/>
    <w:p>
      <w:pPr>
        <w:jc w:val="both"/>
        <w:ind w:right="20"/>
        <w:spacing w:after="0" w:line="248" w:lineRule="auto"/>
        <w:rPr>
          <w:sz w:val="20"/>
          <w:szCs w:val="20"/>
          <w:color w:val="auto"/>
        </w:rPr>
      </w:pPr>
      <w:r>
        <w:rPr>
          <w:rFonts w:ascii="Arial" w:cs="Arial" w:eastAsia="Arial" w:hAnsi="Arial"/>
          <w:sz w:val="17"/>
          <w:szCs w:val="17"/>
          <w:color w:val="auto"/>
        </w:rPr>
        <w:t>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w:t>
      </w:r>
    </w:p>
    <w:p>
      <w:pPr>
        <w:spacing w:after="0" w:line="2" w:lineRule="exact"/>
        <w:rPr>
          <w:sz w:val="20"/>
          <w:szCs w:val="20"/>
          <w:color w:val="auto"/>
        </w:rPr>
      </w:pPr>
    </w:p>
    <w:p>
      <w:pPr>
        <w:ind w:right="840" w:firstLine="8"/>
        <w:spacing w:after="0" w:line="246" w:lineRule="auto"/>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date prescribed for payment pursuant to the applicable plan, program or agreement and (y) within five business days after the Termination Date, and will be payable and calculated disregarding any otherwise applicable vesting requirements.</w:t>
      </w:r>
    </w:p>
    <w:p>
      <w:pPr>
        <w:spacing w:after="0" w:line="88" w:lineRule="exact"/>
        <w:rPr>
          <w:rFonts w:ascii="Arial" w:cs="Arial" w:eastAsia="Arial" w:hAnsi="Arial"/>
          <w:sz w:val="18"/>
          <w:szCs w:val="18"/>
          <w:color w:val="auto"/>
        </w:rPr>
      </w:pPr>
    </w:p>
    <w:p>
      <w:pPr>
        <w:ind w:firstLine="258"/>
        <w:spacing w:after="0" w:line="235" w:lineRule="auto"/>
        <w:tabs>
          <w:tab w:leader="none" w:pos="45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Limitations on Payments and Benefits</w:t>
      </w:r>
      <w:r>
        <w:rPr>
          <w:rFonts w:ascii="Arial" w:cs="Arial" w:eastAsia="Arial" w:hAnsi="Arial"/>
          <w:sz w:val="18"/>
          <w:szCs w:val="18"/>
          <w:color w:val="auto"/>
        </w:rPr>
        <w:t>. Notwithstanding any provision of this Agreement or any Other Agreement to the contrary, if any amount or benefit to be paid or provided under this Agreement or any Other Agreement would be an Excess Parachute Payment (including after taking into account the value, to the maximum extent permitted by Section 280G of the Code, of the covenants in Section 8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After-Tax Amount less than 90% of the After-Tax Amount of the severance payments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8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 Executive will be entitled to designate the payments and/or benefits to be so reduced in order to give effect to this Section 5. The Company will provide the Executive with all information reasonably requested by the Executive to permit the Executive to make such designation. In the event that the Executive fails to make such designation within 10 business days after receiving notice from the Company of a reduction under this Section 5, the Company may effect such reduction in any manner it deems appropriate.</w:t>
      </w:r>
    </w:p>
    <w:p>
      <w:pPr>
        <w:spacing w:after="0" w:line="106" w:lineRule="exact"/>
        <w:rPr>
          <w:rFonts w:ascii="Arial" w:cs="Arial" w:eastAsia="Arial" w:hAnsi="Arial"/>
          <w:sz w:val="18"/>
          <w:szCs w:val="18"/>
          <w:color w:val="auto"/>
        </w:rPr>
      </w:pPr>
    </w:p>
    <w:p>
      <w:pPr>
        <w:ind w:firstLine="258"/>
        <w:spacing w:after="0" w:line="239" w:lineRule="auto"/>
        <w:tabs>
          <w:tab w:leader="none" w:pos="45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No Mitigation Obligation; Other Agreements</w:t>
      </w:r>
      <w:r>
        <w:rPr>
          <w:rFonts w:ascii="Arial" w:cs="Arial" w:eastAsia="Arial" w:hAnsi="Arial"/>
          <w:sz w:val="18"/>
          <w:szCs w:val="18"/>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64" w:name="page165"/>
    <w:bookmarkEnd w:id="164"/>
    <w:p>
      <w:pPr>
        <w:ind w:right="60"/>
        <w:spacing w:after="0"/>
        <w:rPr>
          <w:sz w:val="20"/>
          <w:szCs w:val="20"/>
          <w:color w:val="auto"/>
        </w:rPr>
      </w:pPr>
      <w:r>
        <w:rPr>
          <w:rFonts w:ascii="Arial" w:cs="Arial" w:eastAsia="Arial" w:hAnsi="Arial"/>
          <w:sz w:val="18"/>
          <w:szCs w:val="18"/>
          <w:color w:val="auto"/>
        </w:rPr>
        <w:t>payment provided for in this Agreement by seeking other employment or otherwise, nor will any profits, income, earnings or other benefits from any source whatsoever create any mitigation, offset, reduction or any other obligation on the part of the Executive hereunder or otherwise, except as expressly provided in Paragraph 2(E) of Annex A.</w:t>
      </w:r>
    </w:p>
    <w:p>
      <w:pPr>
        <w:spacing w:after="0" w:line="95" w:lineRule="exact"/>
        <w:rPr>
          <w:sz w:val="20"/>
          <w:szCs w:val="20"/>
          <w:color w:val="auto"/>
        </w:rPr>
      </w:pPr>
    </w:p>
    <w:p>
      <w:pPr>
        <w:ind w:right="20" w:firstLine="508"/>
        <w:spacing w:after="0" w:line="237" w:lineRule="auto"/>
        <w:tabs>
          <w:tab w:leader="none" w:pos="7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termination of employment pursuant to Section 3(a), 3(b) or 3(c)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w:t>
      </w:r>
    </w:p>
    <w:p>
      <w:pPr>
        <w:spacing w:after="0" w:line="95" w:lineRule="exact"/>
        <w:rPr>
          <w:rFonts w:ascii="Arial" w:cs="Arial" w:eastAsia="Arial" w:hAnsi="Arial"/>
          <w:sz w:val="18"/>
          <w:szCs w:val="18"/>
          <w:color w:val="auto"/>
        </w:rPr>
      </w:pPr>
    </w:p>
    <w:p>
      <w:pPr>
        <w:ind w:firstLine="258"/>
        <w:spacing w:after="0" w:line="236" w:lineRule="auto"/>
        <w:tabs>
          <w:tab w:leader="none" w:pos="45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provided that, in regard to such matters, the Executive has not acted in bad faith or with no colorable claim of success. Such payments will be made within five business days after delivery of the Executive’s written requests for payment, accompanied by such evidence of fees and expenses incurred as the Company may reasonably require.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5" w:name="page166"/>
    <w:bookmarkEnd w:id="165"/>
    <w:p>
      <w:pPr>
        <w:jc w:val="both"/>
        <w:ind w:left="-8" w:right="60" w:firstLine="258"/>
        <w:spacing w:after="0"/>
        <w:tabs>
          <w:tab w:leader="none" w:pos="442"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Competitive Activity; Confidentiality; Nonsolicitation</w:t>
      </w:r>
      <w:r>
        <w:rPr>
          <w:rFonts w:ascii="Arial" w:cs="Arial" w:eastAsia="Arial" w:hAnsi="Arial"/>
          <w:sz w:val="18"/>
          <w:szCs w:val="18"/>
          <w:color w:val="auto"/>
        </w:rPr>
        <w:t>. (a) For the period following the Termination Date specified in Paragraph (3) 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94" w:lineRule="exact"/>
        <w:rPr>
          <w:rFonts w:ascii="Arial" w:cs="Arial" w:eastAsia="Arial" w:hAnsi="Arial"/>
          <w:sz w:val="18"/>
          <w:szCs w:val="18"/>
          <w:color w:val="auto"/>
        </w:rPr>
      </w:pPr>
    </w:p>
    <w:p>
      <w:pPr>
        <w:ind w:left="-8" w:firstLine="508"/>
        <w:spacing w:after="0" w:line="234" w:lineRule="auto"/>
        <w:tabs>
          <w:tab w:leader="none" w:pos="762" w:val="left"/>
        </w:tabs>
        <w:numPr>
          <w:ilvl w:val="2"/>
          <w:numId w:val="156"/>
        </w:numPr>
        <w:rPr>
          <w:rFonts w:ascii="Arial" w:cs="Arial" w:eastAsia="Arial" w:hAnsi="Arial"/>
          <w:sz w:val="18"/>
          <w:szCs w:val="18"/>
          <w:color w:val="auto"/>
        </w:rPr>
      </w:pPr>
      <w:r>
        <w:rPr>
          <w:rFonts w:ascii="Arial" w:cs="Arial" w:eastAsia="Arial" w:hAnsi="Arial"/>
          <w:sz w:val="18"/>
          <w:szCs w:val="18"/>
          <w:color w:val="auto"/>
        </w:rPr>
        <w:t>During the Term, the Company agrees that it will disclose to Executive its confidential or proprietary information (as defined in this Section 8(b)) to the extent necessary for Executive to carry out Executive’s obligations to the Company. The Executive hereby covenants and agrees that Executive will not, without the prior written consent of the Company, during the Term and two years thereafter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8(b))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8(b) will not apply (i) during the Term, in the course of the business of and for the benefit of the Company, (ii) if such confidential or proprietary information has become, through no fault of the Executive, generally known to the public or</w:t>
      </w:r>
    </w:p>
    <w:p>
      <w:pPr>
        <w:spacing w:after="0" w:line="9" w:lineRule="exact"/>
        <w:rPr>
          <w:rFonts w:ascii="Arial" w:cs="Arial" w:eastAsia="Arial" w:hAnsi="Arial"/>
          <w:sz w:val="18"/>
          <w:szCs w:val="18"/>
          <w:color w:val="auto"/>
        </w:rPr>
      </w:pPr>
    </w:p>
    <w:p>
      <w:pPr>
        <w:ind w:left="292" w:hanging="292"/>
        <w:spacing w:after="0"/>
        <w:tabs>
          <w:tab w:leader="none" w:pos="2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the Executive is required by law to make disclosure (after giving the Company notice and an opportunity to contest such requirement).</w:t>
      </w:r>
    </w:p>
    <w:p>
      <w:pPr>
        <w:spacing w:after="0" w:line="103" w:lineRule="exact"/>
        <w:rPr>
          <w:rFonts w:ascii="Arial" w:cs="Arial" w:eastAsia="Arial" w:hAnsi="Arial"/>
          <w:sz w:val="18"/>
          <w:szCs w:val="18"/>
          <w:color w:val="auto"/>
        </w:rPr>
      </w:pPr>
    </w:p>
    <w:p>
      <w:pPr>
        <w:ind w:left="-8" w:firstLine="508"/>
        <w:spacing w:after="0" w:line="238" w:lineRule="auto"/>
        <w:tabs>
          <w:tab w:leader="none" w:pos="749"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94" w:lineRule="exact"/>
        <w:rPr>
          <w:rFonts w:ascii="Arial" w:cs="Arial" w:eastAsia="Arial" w:hAnsi="Arial"/>
          <w:sz w:val="18"/>
          <w:szCs w:val="18"/>
          <w:color w:val="auto"/>
        </w:rPr>
      </w:pPr>
    </w:p>
    <w:p>
      <w:pPr>
        <w:ind w:left="-8" w:right="120" w:firstLine="508"/>
        <w:spacing w:after="0" w:line="237" w:lineRule="auto"/>
        <w:tabs>
          <w:tab w:leader="none" w:pos="76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Executive and the Company agree that the covenants contained in this Section 8 are reasonable under the circumstances and subject to the provisions of Section 14 of this Agreement. Executive acknowledges and agrees that the remedy at law available to the Company for breach of any of Executive’s obligations under this Section 8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166" w:name="page167"/>
    <w:bookmarkEnd w:id="166"/>
    <w:p>
      <w:pPr>
        <w:spacing w:after="0" w:line="246" w:lineRule="auto"/>
        <w:rPr>
          <w:sz w:val="20"/>
          <w:szCs w:val="20"/>
          <w:color w:val="auto"/>
        </w:rPr>
      </w:pPr>
      <w:r>
        <w:rPr>
          <w:rFonts w:ascii="Arial" w:cs="Arial" w:eastAsia="Arial" w:hAnsi="Arial"/>
          <w:sz w:val="18"/>
          <w:szCs w:val="18"/>
          <w:color w:val="auto"/>
        </w:rPr>
        <w:t>be entitled to immediate injunctive relief and may obtain a temporary order restraining any threatened or further breach, without the necessity of proof of actual damage.</w:t>
      </w:r>
    </w:p>
    <w:p>
      <w:pPr>
        <w:spacing w:after="0" w:line="89" w:lineRule="exact"/>
        <w:rPr>
          <w:sz w:val="20"/>
          <w:szCs w:val="20"/>
          <w:color w:val="auto"/>
        </w:rPr>
      </w:pPr>
    </w:p>
    <w:p>
      <w:pPr>
        <w:ind w:right="520" w:firstLine="258"/>
        <w:spacing w:after="0" w:line="246" w:lineRule="auto"/>
        <w:tabs>
          <w:tab w:leader="none" w:pos="4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Employment Rights</w:t>
      </w:r>
      <w:r>
        <w:rPr>
          <w:rFonts w:ascii="Arial" w:cs="Arial" w:eastAsia="Arial" w:hAnsi="Arial"/>
          <w:sz w:val="18"/>
          <w:szCs w:val="18"/>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88" w:lineRule="exact"/>
        <w:rPr>
          <w:rFonts w:ascii="Arial" w:cs="Arial" w:eastAsia="Arial" w:hAnsi="Arial"/>
          <w:sz w:val="18"/>
          <w:szCs w:val="18"/>
          <w:color w:val="auto"/>
        </w:rPr>
      </w:pPr>
    </w:p>
    <w:p>
      <w:pPr>
        <w:ind w:right="80" w:firstLine="258"/>
        <w:spacing w:after="0" w:line="246" w:lineRule="auto"/>
        <w:tabs>
          <w:tab w:leader="none" w:pos="5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payable under this Agreement all federal, state, city or other taxes as the Company is required to withhold pursuant to any applicable law, regulation or ruling.</w:t>
      </w:r>
    </w:p>
    <w:p>
      <w:pPr>
        <w:spacing w:after="0" w:line="88" w:lineRule="exact"/>
        <w:rPr>
          <w:rFonts w:ascii="Arial" w:cs="Arial" w:eastAsia="Arial" w:hAnsi="Arial"/>
          <w:sz w:val="18"/>
          <w:szCs w:val="18"/>
          <w:color w:val="auto"/>
        </w:rPr>
      </w:pPr>
    </w:p>
    <w:p>
      <w:pPr>
        <w:ind w:right="80" w:firstLine="258"/>
        <w:spacing w:after="0" w:line="236" w:lineRule="auto"/>
        <w:tabs>
          <w:tab w:leader="none" w:pos="5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Successors and Binding Agreement</w:t>
      </w:r>
      <w:r>
        <w:rPr>
          <w:rFonts w:ascii="Arial" w:cs="Arial" w:eastAsia="Arial" w:hAnsi="Arial"/>
          <w:sz w:val="18"/>
          <w:szCs w:val="18"/>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100" w:lineRule="exact"/>
        <w:rPr>
          <w:rFonts w:ascii="Arial" w:cs="Arial" w:eastAsia="Arial" w:hAnsi="Arial"/>
          <w:sz w:val="18"/>
          <w:szCs w:val="18"/>
          <w:color w:val="auto"/>
        </w:rPr>
      </w:pPr>
    </w:p>
    <w:p>
      <w:pPr>
        <w:ind w:right="660" w:firstLine="508"/>
        <w:spacing w:after="0" w:line="246" w:lineRule="auto"/>
        <w:tabs>
          <w:tab w:leader="none" w:pos="76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the Executive’s personal or legal representatives, executors, administrators, successors, heirs, distributees and legatees.</w:t>
      </w:r>
    </w:p>
    <w:p>
      <w:pPr>
        <w:spacing w:after="0" w:line="88" w:lineRule="exact"/>
        <w:rPr>
          <w:rFonts w:ascii="Arial" w:cs="Arial" w:eastAsia="Arial" w:hAnsi="Arial"/>
          <w:sz w:val="18"/>
          <w:szCs w:val="18"/>
          <w:color w:val="auto"/>
        </w:rPr>
      </w:pPr>
    </w:p>
    <w:p>
      <w:pPr>
        <w:ind w:right="220" w:firstLine="508"/>
        <w:spacing w:after="0" w:line="237" w:lineRule="auto"/>
        <w:tabs>
          <w:tab w:leader="none" w:pos="75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This Agreement is personal in nature and neither of the parties hereto will, without the consent of the other, assign, transfer or delegate this Agreement or any rights or obligations hereunder except as expressly provided in Sections 11(a) and 11(b).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11(c), the Company will have no liability to pay any amount so attempted to be assigned, transferred or delegated.</w:t>
      </w:r>
    </w:p>
    <w:p>
      <w:pPr>
        <w:spacing w:after="0" w:line="97" w:lineRule="exact"/>
        <w:rPr>
          <w:rFonts w:ascii="Arial" w:cs="Arial" w:eastAsia="Arial" w:hAnsi="Arial"/>
          <w:sz w:val="18"/>
          <w:szCs w:val="18"/>
          <w:color w:val="auto"/>
        </w:rPr>
      </w:pPr>
    </w:p>
    <w:p>
      <w:pPr>
        <w:ind w:right="60" w:firstLine="258"/>
        <w:spacing w:after="0" w:line="238" w:lineRule="auto"/>
        <w:tabs>
          <w:tab w:leader="none" w:pos="5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7" w:name="page168"/>
    <w:bookmarkEnd w:id="167"/>
    <w:p>
      <w:pPr>
        <w:ind w:right="80"/>
        <w:spacing w:after="0"/>
        <w:rPr>
          <w:sz w:val="20"/>
          <w:szCs w:val="20"/>
          <w:color w:val="auto"/>
        </w:rPr>
      </w:pPr>
      <w:r>
        <w:rPr>
          <w:rFonts w:ascii="Arial" w:cs="Arial" w:eastAsia="Arial" w:hAnsi="Arial"/>
          <w:sz w:val="18"/>
          <w:szCs w:val="18"/>
          <w:color w:val="auto"/>
        </w:rPr>
        <w:t>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95" w:lineRule="exact"/>
        <w:rPr>
          <w:sz w:val="20"/>
          <w:szCs w:val="20"/>
          <w:color w:val="auto"/>
        </w:rPr>
      </w:pPr>
    </w:p>
    <w:p>
      <w:pPr>
        <w:ind w:right="120" w:firstLine="258"/>
        <w:spacing w:after="0" w:line="237" w:lineRule="auto"/>
        <w:tabs>
          <w:tab w:leader="none" w:pos="55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8(d) to bring an action to enforce the covenants contained in Section 8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97" w:lineRule="exact"/>
        <w:rPr>
          <w:rFonts w:ascii="Arial" w:cs="Arial" w:eastAsia="Arial" w:hAnsi="Arial"/>
          <w:sz w:val="18"/>
          <w:szCs w:val="18"/>
          <w:color w:val="auto"/>
        </w:rPr>
      </w:pPr>
    </w:p>
    <w:p>
      <w:pPr>
        <w:ind w:firstLine="258"/>
        <w:spacing w:after="0" w:line="237" w:lineRule="auto"/>
        <w:tabs>
          <w:tab w:leader="none" w:pos="55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 is held invalid, unenforceable or otherwise illegal, including without limitation Section 8 hereof,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8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97" w:lineRule="exact"/>
        <w:rPr>
          <w:rFonts w:ascii="Arial" w:cs="Arial" w:eastAsia="Arial" w:hAnsi="Arial"/>
          <w:sz w:val="18"/>
          <w:szCs w:val="18"/>
          <w:color w:val="auto"/>
        </w:rPr>
      </w:pPr>
    </w:p>
    <w:p>
      <w:pPr>
        <w:ind w:firstLine="258"/>
        <w:spacing w:after="0" w:line="236" w:lineRule="auto"/>
        <w:tabs>
          <w:tab w:leader="none" w:pos="55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95" w:lineRule="exact"/>
        <w:rPr>
          <w:rFonts w:ascii="Arial" w:cs="Arial" w:eastAsia="Arial" w:hAnsi="Arial"/>
          <w:sz w:val="18"/>
          <w:szCs w:val="18"/>
          <w:color w:val="auto"/>
        </w:rPr>
      </w:pPr>
    </w:p>
    <w:p>
      <w:pPr>
        <w:ind w:left="560" w:hanging="302"/>
        <w:spacing w:after="0"/>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any provision of this Agreement to the contrary, the parties’ respective rights and obligations under</w:t>
      </w:r>
    </w:p>
    <w:p>
      <w:pPr>
        <w:spacing w:after="0"/>
        <w:rPr>
          <w:sz w:val="20"/>
          <w:szCs w:val="20"/>
          <w:color w:val="auto"/>
        </w:rPr>
      </w:pPr>
      <w:r>
        <w:rPr>
          <w:rFonts w:ascii="Arial" w:cs="Arial" w:eastAsia="Arial" w:hAnsi="Arial"/>
          <w:sz w:val="18"/>
          <w:szCs w:val="18"/>
          <w:color w:val="auto"/>
        </w:rPr>
        <w:t>Sections 3(c), 4, 5, 7, 8, 9, 10, 11(b), 16 and 18 will survive any termination or expiration of this Agreement or the termination</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of the Executive’s employment following a Change in Control for any reason whatsoever.</w:t>
      </w:r>
    </w:p>
    <w:p>
      <w:pPr>
        <w:spacing w:after="0" w:line="104" w:lineRule="exact"/>
        <w:rPr>
          <w:sz w:val="20"/>
          <w:szCs w:val="20"/>
          <w:color w:val="auto"/>
        </w:rPr>
      </w:pPr>
    </w:p>
    <w:p>
      <w:pPr>
        <w:jc w:val="both"/>
        <w:ind w:right="300" w:firstLine="258"/>
        <w:spacing w:after="0" w:line="238" w:lineRule="auto"/>
        <w:tabs>
          <w:tab w:leader="none" w:pos="55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12.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94" w:lineRule="exact"/>
        <w:rPr>
          <w:rFonts w:ascii="Arial" w:cs="Arial" w:eastAsia="Arial" w:hAnsi="Arial"/>
          <w:sz w:val="18"/>
          <w:szCs w:val="18"/>
          <w:color w:val="auto"/>
        </w:rPr>
      </w:pPr>
    </w:p>
    <w:p>
      <w:pPr>
        <w:ind w:right="180" w:firstLine="258"/>
        <w:spacing w:after="0" w:line="246" w:lineRule="auto"/>
        <w:tabs>
          <w:tab w:leader="none" w:pos="55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to be an original but all of which together will constitute one and the same agreement.</w:t>
      </w:r>
    </w:p>
    <w:p>
      <w:pPr>
        <w:spacing w:after="0" w:line="88" w:lineRule="exact"/>
        <w:rPr>
          <w:rFonts w:ascii="Arial" w:cs="Arial" w:eastAsia="Arial" w:hAnsi="Arial"/>
          <w:sz w:val="18"/>
          <w:szCs w:val="18"/>
          <w:color w:val="auto"/>
        </w:rPr>
      </w:pPr>
    </w:p>
    <w:p>
      <w:pPr>
        <w:jc w:val="both"/>
        <w:ind w:firstLine="258"/>
        <w:spacing w:after="0" w:line="234" w:lineRule="auto"/>
        <w:tabs>
          <w:tab w:leader="none" w:pos="55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To the extent applicable, it is intended that this Agreement comply with the provisions of Section 409A of the Code. This Agreement will be administered in a manner consistent with this intent, and any provision that would cause the Agreement to fail to satisfy Section 409A of the Code will have no force and effect until amended to comply with Section 409A of the Code (which amendment may be retroactive to the extent permitted by Section 409A of the Code and may be made by the Company without the consent of the Executive).</w:t>
      </w:r>
    </w:p>
    <w:p>
      <w:pPr>
        <w:spacing w:after="0" w:line="3" w:lineRule="exact"/>
        <w:rPr>
          <w:rFonts w:ascii="Arial" w:cs="Arial" w:eastAsia="Arial" w:hAnsi="Arial"/>
          <w:sz w:val="18"/>
          <w:szCs w:val="18"/>
          <w:color w:val="auto"/>
        </w:rPr>
      </w:pPr>
    </w:p>
    <w:p>
      <w:pPr>
        <w:spacing w:after="0" w:line="238" w:lineRule="auto"/>
        <w:rPr>
          <w:rFonts w:ascii="Arial" w:cs="Arial" w:eastAsia="Arial" w:hAnsi="Arial"/>
          <w:sz w:val="18"/>
          <w:szCs w:val="18"/>
          <w:color w:val="auto"/>
        </w:rPr>
      </w:pPr>
      <w:r>
        <w:rPr>
          <w:rFonts w:ascii="Arial" w:cs="Arial" w:eastAsia="Arial" w:hAnsi="Arial"/>
          <w:sz w:val="18"/>
          <w:szCs w:val="18"/>
          <w:color w:val="auto"/>
        </w:rPr>
        <w:t>Prior to any Change in Control, the Company and the Executive will agree to any amendment of this Agreement approved by the Board based on the advice of Jones Day or any other nationally recognized law firm designated by the Board that such amendment, if implemented, is or is reasonably likely to reduce any adverse effect on the Company or the Executive of any rule, regulation or IRS interpretation of Section 409A of the Code and that such firm is recommending similar changes or provisions to its other clients that have change-in-control, severance or employment agreements or plans.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IN WITNESS WHEREOF, the parties have caused this Agreement to be duly executed and delivered as of the date first above written.</w:t>
      </w:r>
    </w:p>
    <w:p>
      <w:pPr>
        <w:spacing w:after="0" w:line="21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-1905</wp:posOffset>
            </wp:positionV>
            <wp:extent cx="33020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Henrik C. Slipsager</w:t>
      </w:r>
    </w:p>
    <w:p>
      <w:pPr>
        <w:ind w:left="5360"/>
        <w:spacing w:after="0"/>
        <w:tabs>
          <w:tab w:leader="none" w:pos="594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255270</wp:posOffset>
            </wp:positionV>
            <wp:extent cx="36874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132715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500" w:top="949" w:right="7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Annex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COMPENSATION, ETC.</w:t>
      </w:r>
    </w:p>
    <w:p>
      <w:pPr>
        <w:spacing w:after="0" w:line="126" w:lineRule="exact"/>
        <w:rPr>
          <w:sz w:val="20"/>
          <w:szCs w:val="20"/>
          <w:color w:val="auto"/>
        </w:rPr>
      </w:pPr>
    </w:p>
    <w:p>
      <w:pPr>
        <w:ind w:right="80" w:firstLine="258"/>
        <w:spacing w:after="0" w:line="239" w:lineRule="auto"/>
        <w:tabs>
          <w:tab w:leader="none" w:pos="5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lump sum payment in an amount equal to two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93" w:lineRule="exact"/>
        <w:rPr>
          <w:rFonts w:ascii="Arial" w:cs="Arial" w:eastAsia="Arial" w:hAnsi="Arial"/>
          <w:sz w:val="18"/>
          <w:szCs w:val="18"/>
          <w:color w:val="auto"/>
        </w:rPr>
      </w:pPr>
    </w:p>
    <w:p>
      <w:pPr>
        <w:ind w:right="560" w:firstLine="258"/>
        <w:spacing w:after="0"/>
        <w:tabs>
          <w:tab w:leader="none" w:pos="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For any Welfare Benefits that the Executive was receiving or entitled to receive immediately prior to the Termination Date (or, if greater, immediately prior to the reduction, termination or denial described in Section 1(l)(ii)) that are considered to be “reimbursement arrangements” covered under Section 1.409A-1(b)(9)(iv)(A) of the Code:</w:t>
      </w:r>
    </w:p>
    <w:p>
      <w:pPr>
        <w:spacing w:after="0" w:line="94" w:lineRule="exact"/>
        <w:rPr>
          <w:rFonts w:ascii="Arial" w:cs="Arial" w:eastAsia="Arial" w:hAnsi="Arial"/>
          <w:sz w:val="18"/>
          <w:szCs w:val="18"/>
          <w:color w:val="auto"/>
        </w:rPr>
      </w:pPr>
    </w:p>
    <w:p>
      <w:pPr>
        <w:ind w:left="1120" w:right="20" w:hanging="437"/>
        <w:spacing w:after="0" w:line="236" w:lineRule="auto"/>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a period of 18 months following the Termination Date (the “Continuation Period”), the Company will arrange to provide the Executive with Welfare Benefits substantially similar to those that the Executive was receiving or entitled to receive immediately prior to the Termination Date (or, if greater, immediately prior to the reduction, termination, or denial described in Section 1(l)(ii)) except that the level of any such Welfare Benefits to be provided to the Executive may be reduced in the event of a corresponding reduction generally applicable to all similarly situated recipients of or participants in such Welfare Benefits. If and to the extent that any benefit described in this Paragraph 2 is not or cannot be paid or provided under any policy, plan, program or arrangement of the Company or any Subsidiary, as the case may be, then the Company will itself pay or provide for the payment to the Executive, Executive’s dependents and beneficiaries, of such Welfare Benefits along with, in the case of any benefit described in this Paragraph 2 that is subject to tax because it is not or cannot be paid or provided under any such policy, plan, program or arrangement of the Company or any Subsidiary, an additional amount such that after payment by the Executive, or Executive’s dependents or beneficiaries, as the case may be, of all taxes so imposed, the recipient retains an amount equal to such taxes.</w:t>
      </w:r>
    </w:p>
    <w:p>
      <w:pPr>
        <w:spacing w:after="0" w:line="110" w:lineRule="exact"/>
        <w:rPr>
          <w:rFonts w:ascii="Arial" w:cs="Arial" w:eastAsia="Arial" w:hAnsi="Arial"/>
          <w:sz w:val="18"/>
          <w:szCs w:val="18"/>
          <w:color w:val="auto"/>
        </w:rPr>
      </w:pPr>
    </w:p>
    <w:p>
      <w:pPr>
        <w:ind w:left="1120" w:right="300" w:hanging="437"/>
        <w:spacing w:after="0"/>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will pay to the Executive, in a lump sum within the time period described in Section 4(a), an amount equal to the difference between (1) the present value of the continuation of such benefits for 18 months and (2) the present value of the benefits the Executive will receive under Paragraph 2(A)(i).</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1" w:name="page172"/>
    <w:bookmarkEnd w:id="171"/>
    <w:p>
      <w:pPr>
        <w:ind w:left="-8" w:firstLine="508"/>
        <w:spacing w:after="0" w:line="234" w:lineRule="auto"/>
        <w:tabs>
          <w:tab w:leader="none" w:pos="782" w:val="left"/>
        </w:tabs>
        <w:numPr>
          <w:ilvl w:val="2"/>
          <w:numId w:val="162"/>
        </w:numPr>
        <w:rPr>
          <w:rFonts w:ascii="Arial" w:cs="Arial" w:eastAsia="Arial" w:hAnsi="Arial"/>
          <w:sz w:val="18"/>
          <w:szCs w:val="18"/>
          <w:color w:val="auto"/>
        </w:rPr>
      </w:pPr>
      <w:r>
        <w:rPr>
          <w:rFonts w:ascii="Arial" w:cs="Arial" w:eastAsia="Arial" w:hAnsi="Arial"/>
          <w:sz w:val="18"/>
          <w:szCs w:val="18"/>
          <w:color w:val="auto"/>
        </w:rPr>
        <w:t>Notwithstanding the foregoing, or any other provision of the Agreement, for purposes of determining the period of continuation coverage to which the Executive or any of Executive’s dependents is entitled pursuant to Section 4980B of the Code under the Company’s medical, dental and other group health plans, or successor plans, the Executive’s “qualifying event” will be the termination of the Continuation Period and the Executive will be considered to have remained actively employed on a full-time basis through that date, provided, however, that</w:t>
      </w:r>
    </w:p>
    <w:p>
      <w:pPr>
        <w:spacing w:after="0" w:line="3" w:lineRule="exact"/>
        <w:rPr>
          <w:rFonts w:ascii="Arial" w:cs="Arial" w:eastAsia="Arial" w:hAnsi="Arial"/>
          <w:sz w:val="18"/>
          <w:szCs w:val="18"/>
          <w:color w:val="auto"/>
        </w:rPr>
      </w:pPr>
    </w:p>
    <w:p>
      <w:pPr>
        <w:ind w:left="-8" w:right="40" w:firstLine="8"/>
        <w:spacing w:after="0" w:line="246" w:lineRule="auto"/>
        <w:tabs>
          <w:tab w:leader="none" w:pos="26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health benefits the continuation period will in all events terminate on the 18-month anniversary of the termination date as so determined and (2) the Company will pay, or reimburse the Executive for, all COBRA continuation costs during such period.</w:t>
      </w:r>
    </w:p>
    <w:p>
      <w:pPr>
        <w:spacing w:after="0" w:line="88" w:lineRule="exact"/>
        <w:rPr>
          <w:rFonts w:ascii="Arial" w:cs="Arial" w:eastAsia="Arial" w:hAnsi="Arial"/>
          <w:sz w:val="18"/>
          <w:szCs w:val="18"/>
          <w:color w:val="auto"/>
        </w:rPr>
      </w:pPr>
    </w:p>
    <w:p>
      <w:pPr>
        <w:ind w:left="-8" w:right="340" w:firstLine="508"/>
        <w:spacing w:after="0"/>
        <w:tabs>
          <w:tab w:leader="none" w:pos="79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For purposes of the immediately preceding sentence and for purposes of calculating service or age to determine the Executive’s eligibility for welfare benefits, including benefits under any retiree medical benefits or life insurance plan or policy, the Executive will be considered to have remained actively employed on a full-time basis through the termination of the Continuation Period.</w:t>
      </w:r>
    </w:p>
    <w:p>
      <w:pPr>
        <w:spacing w:after="0" w:line="94" w:lineRule="exact"/>
        <w:rPr>
          <w:rFonts w:ascii="Arial" w:cs="Arial" w:eastAsia="Arial" w:hAnsi="Arial"/>
          <w:sz w:val="18"/>
          <w:szCs w:val="18"/>
          <w:color w:val="auto"/>
        </w:rPr>
      </w:pPr>
    </w:p>
    <w:p>
      <w:pPr>
        <w:ind w:left="-8" w:right="20" w:firstLine="508"/>
        <w:spacing w:after="0" w:line="238" w:lineRule="auto"/>
        <w:tabs>
          <w:tab w:leader="none" w:pos="79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For any Welfare Benefits that the Executive was receiving or entitled to receive immediately prior to the Termination Date (or, if greater, immediately prior to the reduction, termination, or denial described in Section 1(l)(ii)) that are not considered to be “reimbursement arrangements” covered under Section 1.409A-1(b)(9)(iv)(A) of the Code, the Company shall pay to the Executive, within the time period described in Section 4(a), in a lump sum, an amount equal to the present value of the continuation of such benefits for 18 months following the Termination Date.</w:t>
      </w:r>
    </w:p>
    <w:p>
      <w:pPr>
        <w:spacing w:after="0" w:line="94" w:lineRule="exact"/>
        <w:rPr>
          <w:rFonts w:ascii="Arial" w:cs="Arial" w:eastAsia="Arial" w:hAnsi="Arial"/>
          <w:sz w:val="18"/>
          <w:szCs w:val="18"/>
          <w:color w:val="auto"/>
        </w:rPr>
      </w:pPr>
    </w:p>
    <w:p>
      <w:pPr>
        <w:jc w:val="both"/>
        <w:ind w:left="-8" w:right="560" w:firstLine="508"/>
        <w:spacing w:after="0"/>
        <w:tabs>
          <w:tab w:leader="none" w:pos="78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Welfare Benefits otherwise receivable by the Executive pursuant to this Paragraph 2 will be reduced to the extent comparable Welfare Benefits are actually received by the Executive from another employer during the Continuation Period following the Executive’s Termination Date, and any such Welfare Benefits actually received by the Executive will be reported by the Executive to the Company.</w:t>
      </w:r>
    </w:p>
    <w:p>
      <w:pPr>
        <w:spacing w:after="0" w:line="94" w:lineRule="exact"/>
        <w:rPr>
          <w:rFonts w:ascii="Arial" w:cs="Arial" w:eastAsia="Arial" w:hAnsi="Arial"/>
          <w:sz w:val="18"/>
          <w:szCs w:val="18"/>
          <w:color w:val="auto"/>
        </w:rPr>
      </w:pPr>
    </w:p>
    <w:p>
      <w:pPr>
        <w:ind w:left="512" w:hanging="262"/>
        <w:spacing w:after="0"/>
        <w:tabs>
          <w:tab w:leader="none" w:pos="51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Non-Competition Period contemplated by Section 8(a) will be 12 months from the Termination Date.</w:t>
      </w:r>
    </w:p>
    <w:p>
      <w:pPr>
        <w:spacing w:after="0" w:line="18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32"/>
          </w:cols>
          <w:pgMar w:left="248" w:top="1057" w:right="31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EXHIBIT 10.27</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BASE SALARY AND PERFORMANCE INCENTIVE PROGRAM</w:t>
      </w:r>
    </w:p>
    <w:p>
      <w:pPr>
        <w:spacing w:after="0" w:line="126" w:lineRule="exact"/>
        <w:rPr>
          <w:sz w:val="20"/>
          <w:szCs w:val="20"/>
          <w:color w:val="auto"/>
        </w:rPr>
      </w:pPr>
    </w:p>
    <w:p>
      <w:pPr>
        <w:ind w:right="620" w:firstLine="247"/>
        <w:spacing w:after="0" w:line="246" w:lineRule="auto"/>
        <w:rPr>
          <w:sz w:val="20"/>
          <w:szCs w:val="20"/>
          <w:color w:val="auto"/>
        </w:rPr>
      </w:pPr>
      <w:r>
        <w:rPr>
          <w:rFonts w:ascii="Arial" w:cs="Arial" w:eastAsia="Arial" w:hAnsi="Arial"/>
          <w:sz w:val="18"/>
          <w:szCs w:val="18"/>
          <w:color w:val="auto"/>
        </w:rPr>
        <w:t>The fiscal year 2006 base salaries that will be in effect under certain of the Executive Employment Agreements attached as separate exhibits to this Form 10-K will be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James P. McClure, Executive Vice President</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$439,300</w:t>
            </w: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George B. Sundby, Executive Vice President&amp; Chief Financial Officer</w:t>
            </w:r>
          </w:p>
        </w:tc>
        <w:tc>
          <w:tcPr>
            <w:tcW w:w="3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$350,000</w:t>
            </w: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Steven M. Zaccagnini, Executive Vice President</w:t>
            </w:r>
          </w:p>
        </w:tc>
        <w:tc>
          <w:tcPr>
            <w:tcW w:w="34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$400,000</w:t>
            </w:r>
          </w:p>
        </w:tc>
      </w:t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Linda S. Auwers, Senior Vice President, General Counsel &amp; Secretary</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$310,745</w:t>
            </w:r>
          </w:p>
        </w:tc>
      </w:tr>
    </w:tbl>
    <w:p>
      <w:pPr>
        <w:spacing w:after="0" w:line="93" w:lineRule="exact"/>
        <w:rPr>
          <w:sz w:val="20"/>
          <w:szCs w:val="20"/>
          <w:color w:val="auto"/>
        </w:rPr>
      </w:pPr>
    </w:p>
    <w:p>
      <w:pPr>
        <w:ind w:right="380" w:firstLine="247"/>
        <w:spacing w:after="0" w:line="239" w:lineRule="auto"/>
        <w:rPr>
          <w:sz w:val="20"/>
          <w:szCs w:val="20"/>
          <w:color w:val="auto"/>
        </w:rPr>
      </w:pPr>
      <w:r>
        <w:rPr>
          <w:rFonts w:ascii="Arial" w:cs="Arial" w:eastAsia="Arial" w:hAnsi="Arial"/>
          <w:sz w:val="18"/>
          <w:szCs w:val="18"/>
          <w:color w:val="auto"/>
        </w:rPr>
        <w:t>The Board of Directors has also approved the 2006 annual performance incentive program for executives and key employees, including Messrs. McClure, Sundby, Zaccagnini and Ms. Auwers (collectively, the “VPs”). The annual performance incentive program sets forth the criteria for determining if bonus payments to the VPs as well as other executives and key employees will be more or less than target bonus amounts. The bonus target for each of the VPs ranges between 40 percent and 60 percent of base pay.</w:t>
      </w:r>
    </w:p>
    <w:p>
      <w:pPr>
        <w:spacing w:after="0" w:line="94"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Under this program, Mr. Sundby’s target bonus for fiscal year 2006 will be 50 percent of base salary, with a 30 percent target based on Company performance (“Company Results”) and a 20 percent target based on his individual performance in providing strategic leadership, employee leadership, and compliance and administration (“Individual Performance”). The Company Results component of the bonus may range from zero to 200 percent of the target amount. The Company Results component is based on certain targets for income from continuing operations (“Company Income”) subject to discretionary strategic results modifiers (“Strategic Results Modifiers”). The Company Results bonus is subject to the achievement of a threshold Company Income amount. The performance metrics for the Strategic Results Modifiers have not yet been determined but may include revenue growth, operating profit margins, cash flow, cost reduction and other strategic performance targets. The Individual Performance component of the bonus may range from 0 to 150 percent of the targeted amount, which is 20 percent of Mr. Sundby’s base pay. Ms. Auwers’ 2006 bonus will be based on the same criteria as Mr. Sundby; however, her target bonus is 40 percent of base salary with a 24 percent target for Company Results and 16 percent target for Individual Performance.</w:t>
      </w:r>
    </w:p>
    <w:p>
      <w:pPr>
        <w:spacing w:after="0" w:line="98" w:lineRule="exact"/>
        <w:rPr>
          <w:sz w:val="20"/>
          <w:szCs w:val="20"/>
          <w:color w:val="auto"/>
        </w:rPr>
      </w:pPr>
    </w:p>
    <w:p>
      <w:pPr>
        <w:ind w:right="160" w:firstLine="250"/>
        <w:spacing w:after="0" w:line="237" w:lineRule="auto"/>
        <w:rPr>
          <w:sz w:val="20"/>
          <w:szCs w:val="20"/>
          <w:color w:val="auto"/>
        </w:rPr>
      </w:pPr>
      <w:r>
        <w:rPr>
          <w:rFonts w:ascii="Arial" w:cs="Arial" w:eastAsia="Arial" w:hAnsi="Arial"/>
          <w:sz w:val="18"/>
          <w:szCs w:val="18"/>
          <w:color w:val="auto"/>
        </w:rPr>
        <w:t>Mr. McClure’s 2006 bonus target is 60 percent of his base salary, with a 12 percent of base salary target based on Company Results, a 24 percent target based on the operational performance of the Company’s janitorial subsidiaries (“Janitorial Results”), and a 24 percent target based on Individual Performance. With respect to the Company Results and Individual Performance components, the goals and range correspond to Mr. Sundby’s. The Janitorial Results component of the bonus may range from zero to 200 percent of the target amount. The Janitorial Results component is based on the Company’s janitorial subsidiaries achieving certain pre-tax net income targets (“Janitorial Income”) subject to a strategic results modifier based upon achievement of certain days sales outstanding targets. The Janitorial Results component is subject to achievement of a threshold amount of Janitorial Income.</w:t>
      </w:r>
    </w:p>
    <w:p>
      <w:pPr>
        <w:spacing w:after="0" w:line="95" w:lineRule="exact"/>
        <w:rPr>
          <w:sz w:val="20"/>
          <w:szCs w:val="20"/>
          <w:color w:val="auto"/>
        </w:rPr>
      </w:pPr>
    </w:p>
    <w:p>
      <w:pPr>
        <w:jc w:val="both"/>
        <w:ind w:right="180" w:firstLine="250"/>
        <w:spacing w:after="0"/>
        <w:rPr>
          <w:sz w:val="20"/>
          <w:szCs w:val="20"/>
          <w:color w:val="auto"/>
        </w:rPr>
      </w:pPr>
      <w:r>
        <w:rPr>
          <w:rFonts w:ascii="Arial" w:cs="Arial" w:eastAsia="Arial" w:hAnsi="Arial"/>
          <w:sz w:val="18"/>
          <w:szCs w:val="18"/>
          <w:color w:val="auto"/>
        </w:rPr>
        <w:t>Mr. Zaccagnini’s 2006 target bonus is 50 percent of his base salary, with 10 percent of base pay based on Company Results, a 20 percent target based on Individual Performance, and a 20 percent target based on certain pre-tax net income targets for the Company’s Engineering subsidiaries and Lighting subsidiaries and subject to the achievement of threshold amounts for these businesses.</w:t>
      </w:r>
    </w:p>
    <w:p>
      <w:pPr>
        <w:spacing w:after="0" w:line="95"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Mr. Slipsager’s base pay for 2006 has not been established. He is not included in the 2006 annual performance incentive plan, although the Board of Directors anticipates that his 2006 performance objectives will reflect a number of similar objectives. The Compensation Committee reserves the right to pay bonuses outside the annual performance incentive program.</w:t>
      </w:r>
    </w:p>
    <w:p>
      <w:pPr>
        <w:sectPr>
          <w:pgSz w:w="11900" w:h="16838" w:orient="portrait"/>
          <w:cols w:equalWidth="0" w:num="1">
            <w:col w:w="11420"/>
          </w:cols>
          <w:pgMar w:left="240" w:top="949"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EXHIBIT 21.1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Percentage of Voting</w:t>
            </w:r>
          </w:p>
        </w:tc>
      </w:tr>
      <w:tr>
        <w:trPr>
          <w:trHeight w:val="162"/>
        </w:trPr>
        <w:tc>
          <w:tcPr>
            <w:tcW w:w="7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State of</w:t>
            </w:r>
          </w:p>
        </w:tc>
        <w:tc>
          <w:tcPr>
            <w:tcW w:w="5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Securities Owned by</w:t>
            </w:r>
          </w:p>
        </w:tc>
      </w:tr>
      <w:tr>
        <w:trPr>
          <w:trHeight w:val="157"/>
        </w:trPr>
        <w:tc>
          <w:tcPr>
            <w:tcW w:w="79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520" w:type="dxa"/>
            <w:vAlign w:val="bottom"/>
          </w:tcPr>
          <w:p>
            <w:pPr>
              <w:spacing w:after="0"/>
              <w:rPr>
                <w:sz w:val="13"/>
                <w:szCs w:val="13"/>
                <w:color w:val="auto"/>
              </w:rPr>
            </w:pPr>
          </w:p>
        </w:tc>
        <w:tc>
          <w:tcPr>
            <w:tcW w:w="11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Incorporation</w:t>
            </w:r>
          </w:p>
        </w:tc>
        <w:tc>
          <w:tcPr>
            <w:tcW w:w="520" w:type="dxa"/>
            <w:vAlign w:val="bottom"/>
          </w:tcPr>
          <w:p>
            <w:pPr>
              <w:spacing w:after="0"/>
              <w:rPr>
                <w:sz w:val="13"/>
                <w:szCs w:val="13"/>
                <w:color w:val="auto"/>
              </w:rPr>
            </w:pPr>
          </w:p>
        </w:tc>
        <w:tc>
          <w:tcPr>
            <w:tcW w:w="1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Immediate Parent</w:t>
            </w:r>
          </w:p>
        </w:tc>
      </w:tr>
      <w:tr>
        <w:trPr>
          <w:trHeight w:val="171"/>
        </w:trPr>
        <w:tc>
          <w:tcPr>
            <w:tcW w:w="7920" w:type="dxa"/>
            <w:vAlign w:val="bottom"/>
          </w:tcPr>
          <w:p>
            <w:pPr>
              <w:spacing w:after="0"/>
              <w:rPr>
                <w:sz w:val="20"/>
                <w:szCs w:val="20"/>
                <w:color w:val="auto"/>
              </w:rPr>
            </w:pPr>
            <w:r>
              <w:rPr>
                <w:rFonts w:ascii="Arial" w:cs="Arial" w:eastAsia="Arial" w:hAnsi="Arial"/>
                <w:sz w:val="14"/>
                <w:szCs w:val="14"/>
                <w:color w:val="auto"/>
              </w:rPr>
              <w:t>ABM Industries Incorporated</w:t>
            </w:r>
          </w:p>
        </w:tc>
        <w:tc>
          <w:tcPr>
            <w:tcW w:w="5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Delaware</w:t>
            </w:r>
          </w:p>
        </w:tc>
        <w:tc>
          <w:tcPr>
            <w:tcW w:w="5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Registrant</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ABM Facility Services Company</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620"/>
              <w:spacing w:after="0" w:line="202" w:lineRule="exact"/>
              <w:rPr>
                <w:sz w:val="20"/>
                <w:szCs w:val="20"/>
                <w:color w:val="auto"/>
              </w:rPr>
            </w:pPr>
            <w:r>
              <w:rPr>
                <w:rFonts w:ascii="Arial" w:cs="Arial" w:eastAsia="Arial" w:hAnsi="Arial"/>
                <w:sz w:val="18"/>
                <w:szCs w:val="18"/>
                <w:color w:val="auto"/>
              </w:rPr>
              <w:t>ABM Engineering Services Company</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620"/>
              <w:spacing w:after="0" w:line="202" w:lineRule="exact"/>
              <w:rPr>
                <w:sz w:val="20"/>
                <w:szCs w:val="20"/>
                <w:color w:val="auto"/>
              </w:rPr>
            </w:pPr>
            <w:r>
              <w:rPr>
                <w:rFonts w:ascii="Arial" w:cs="Arial" w:eastAsia="Arial" w:hAnsi="Arial"/>
                <w:sz w:val="18"/>
                <w:szCs w:val="18"/>
                <w:color w:val="auto"/>
              </w:rPr>
              <w:t>ABM CMS, Inc. ***</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ABM Janitorial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Delaware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ABM Co. of Boston</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ABM Janitorial Northeast,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ABM Janitorial — Northern California</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ABM Mid-Atlantic,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 West</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of Georgia</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of Hawaii</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620"/>
              <w:spacing w:after="0" w:line="202" w:lineRule="exact"/>
              <w:rPr>
                <w:sz w:val="20"/>
                <w:szCs w:val="20"/>
                <w:color w:val="auto"/>
              </w:rPr>
            </w:pPr>
            <w:r>
              <w:rPr>
                <w:rFonts w:ascii="Arial" w:cs="Arial" w:eastAsia="Arial" w:hAnsi="Arial"/>
                <w:sz w:val="18"/>
                <w:szCs w:val="18"/>
                <w:color w:val="auto"/>
              </w:rPr>
              <w:t>Allied Maintenance Services, Inc.</w:t>
            </w:r>
          </w:p>
        </w:tc>
        <w:tc>
          <w:tcPr>
            <w:tcW w:w="31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99"/>
              </w:rPr>
              <w:t>Hawaii</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of Kentucky</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of New York</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Building Maintenance Co. of New York — Manhattan</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Bonded Maintenance Company</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7"/>
              </w:rPr>
              <w:t>Texas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Bradford Building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Servall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7"/>
              </w:rPr>
              <w:t>Texas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ABM Janitorial Services Co., Ltd.</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Brit. Columbia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ABM Payroll Service,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ABM Security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Delaware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ABMI Security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Commercial Security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Commercial Security Services of New York,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American Security &amp; Investigative Services,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SSA Security,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620"/>
              <w:spacing w:after="0" w:line="202" w:lineRule="exact"/>
              <w:rPr>
                <w:sz w:val="20"/>
                <w:szCs w:val="20"/>
                <w:color w:val="auto"/>
              </w:rPr>
            </w:pPr>
            <w:r>
              <w:rPr>
                <w:rFonts w:ascii="Arial" w:cs="Arial" w:eastAsia="Arial" w:hAnsi="Arial"/>
                <w:sz w:val="18"/>
                <w:szCs w:val="18"/>
                <w:color w:val="auto"/>
              </w:rPr>
              <w:t>Elite Security, Inc.</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American Public Services</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Ampco System Parking</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Amtech Energy Services**</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Amtech Lighting &amp; Electrical Services</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Amtech Lighting Services</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Amtech Lighting Services of the Midwest</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Beehive Parking, Inc.**</w:t>
            </w:r>
          </w:p>
        </w:tc>
        <w:tc>
          <w:tcPr>
            <w:tcW w:w="31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99"/>
              </w:rPr>
              <w:t>Utah</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Canadian Building Maintenance Company, Ltd.</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Brit. Columbia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20" w:type="dxa"/>
            <w:vAlign w:val="bottom"/>
          </w:tcPr>
          <w:p>
            <w:pPr>
              <w:ind w:left="420"/>
              <w:spacing w:after="0" w:line="202" w:lineRule="exact"/>
              <w:rPr>
                <w:sz w:val="20"/>
                <w:szCs w:val="20"/>
                <w:color w:val="auto"/>
              </w:rPr>
            </w:pPr>
            <w:r>
              <w:rPr>
                <w:rFonts w:ascii="Arial" w:cs="Arial" w:eastAsia="Arial" w:hAnsi="Arial"/>
                <w:sz w:val="18"/>
                <w:szCs w:val="18"/>
                <w:color w:val="auto"/>
              </w:rPr>
              <w:t>Supreme Building Maintenance, Ltd.</w:t>
            </w:r>
          </w:p>
        </w:tc>
        <w:tc>
          <w:tcPr>
            <w:tcW w:w="31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99"/>
              </w:rPr>
              <w:t>Brit. Columbia</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7"/>
        </w:trPr>
        <w:tc>
          <w:tcPr>
            <w:tcW w:w="6920" w:type="dxa"/>
            <w:vAlign w:val="bottom"/>
          </w:tcPr>
          <w:p>
            <w:pPr>
              <w:ind w:left="220"/>
              <w:spacing w:after="0"/>
              <w:rPr>
                <w:sz w:val="20"/>
                <w:szCs w:val="20"/>
                <w:color w:val="auto"/>
              </w:rPr>
            </w:pPr>
            <w:r>
              <w:rPr>
                <w:rFonts w:ascii="Arial" w:cs="Arial" w:eastAsia="Arial" w:hAnsi="Arial"/>
                <w:sz w:val="18"/>
                <w:szCs w:val="18"/>
                <w:color w:val="auto"/>
              </w:rPr>
              <w:t>System Parking, Inc.</w:t>
            </w:r>
          </w:p>
        </w:tc>
        <w:tc>
          <w:tcPr>
            <w:tcW w:w="3120" w:type="dxa"/>
            <w:vAlign w:val="bottom"/>
          </w:tcPr>
          <w:p>
            <w:pPr>
              <w:jc w:val="center"/>
              <w:ind w:left="950"/>
              <w:spacing w:after="0"/>
              <w:rPr>
                <w:sz w:val="20"/>
                <w:szCs w:val="20"/>
                <w:color w:val="auto"/>
              </w:rPr>
            </w:pPr>
            <w:r>
              <w:rPr>
                <w:rFonts w:ascii="Arial" w:cs="Arial" w:eastAsia="Arial" w:hAnsi="Arial"/>
                <w:sz w:val="18"/>
                <w:szCs w:val="18"/>
                <w:color w:val="auto"/>
                <w:w w:val="99"/>
              </w:rPr>
              <w:t>California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036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3460" w:firstLine="8"/>
        <w:spacing w:after="0" w:line="313" w:lineRule="auto"/>
        <w:tabs>
          <w:tab w:leader="none" w:pos="4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Subsidiary relationship to registrant or to subsidiary parents shown by progressive indentation. ** Inactive companies.</w:t>
      </w:r>
    </w:p>
    <w:p>
      <w:pPr>
        <w:spacing w:after="0"/>
        <w:rPr>
          <w:rFonts w:ascii="Arial" w:cs="Arial" w:eastAsia="Arial" w:hAnsi="Arial"/>
          <w:sz w:val="18"/>
          <w:szCs w:val="18"/>
          <w:color w:val="auto"/>
        </w:rPr>
      </w:pPr>
      <w:r>
        <w:rPr>
          <w:rFonts w:ascii="Arial" w:cs="Arial" w:eastAsia="Arial" w:hAnsi="Arial"/>
          <w:sz w:val="18"/>
          <w:szCs w:val="18"/>
          <w:color w:val="auto"/>
        </w:rPr>
        <w:t>***   A Limited Partnership.</w:t>
      </w:r>
    </w:p>
    <w:p>
      <w:pPr>
        <w:sectPr>
          <w:pgSz w:w="11900" w:h="16838" w:orient="portrait"/>
          <w:cols w:equalWidth="0" w:num="1">
            <w:col w:w="11420"/>
          </w:cols>
          <w:pgMar w:left="240" w:top="949"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EXHIBIT 23.1</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rPr>
          <w:sz w:val="20"/>
          <w:szCs w:val="20"/>
          <w:color w:val="auto"/>
        </w:rPr>
      </w:pPr>
      <w:r>
        <w:rPr>
          <w:rFonts w:ascii="Arial" w:cs="Arial" w:eastAsia="Arial" w:hAnsi="Arial"/>
          <w:sz w:val="18"/>
          <w:szCs w:val="18"/>
          <w:color w:val="auto"/>
        </w:rPr>
        <w:t>ABM Industries Incorporated:</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consent to incorporation by reference in the following Registration Statements on Form S-8 of ABM Industries Incorporated of our reports dated, March 28, 2006, with respect to the consolidated balance sheets of ABM Industries Incorporated and subsidiaries as of October 31, 2005 and 2004, and the related consolidated statements of income, stockholders’ equity and comprehensive income, and cash flows for each of the years in the three-year period ended October 31, 2005, and related financial statement Schedule II, management’s assessment of the effectiveness of internal control over financial reporting as of October 31, 2005, and the effectiveness of internal control over financial reporting as of October 31, 2005, which reports appear in this annual report on Form 10-K of ABM Industries Incorporated.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auto"/>
              </w:rPr>
              <w:t>Registration No.</w:t>
            </w: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Form</w:t>
            </w:r>
          </w:p>
        </w:tc>
        <w:tc>
          <w:tcPr>
            <w:tcW w:w="860" w:type="dxa"/>
            <w:vAlign w:val="bottom"/>
            <w:gridSpan w:val="2"/>
          </w:tcPr>
          <w:p>
            <w:pPr>
              <w:ind w:left="440"/>
              <w:spacing w:after="0"/>
              <w:rPr>
                <w:sz w:val="20"/>
                <w:szCs w:val="20"/>
                <w:color w:val="auto"/>
              </w:rPr>
            </w:pPr>
            <w:r>
              <w:rPr>
                <w:rFonts w:ascii="Arial" w:cs="Arial" w:eastAsia="Arial" w:hAnsi="Arial"/>
                <w:sz w:val="14"/>
                <w:szCs w:val="14"/>
                <w:color w:val="auto"/>
              </w:rPr>
              <w:t>Plan</w:t>
            </w:r>
          </w:p>
        </w:tc>
        <w:tc>
          <w:tcPr>
            <w:tcW w:w="5060" w:type="dxa"/>
            <w:vAlign w:val="bottom"/>
          </w:tcPr>
          <w:p>
            <w:pPr>
              <w:spacing w:after="0"/>
              <w:rPr>
                <w:sz w:val="14"/>
                <w:szCs w:val="14"/>
                <w:color w:val="auto"/>
              </w:rPr>
            </w:pPr>
          </w:p>
        </w:tc>
      </w:tr>
      <w:tr>
        <w:trPr>
          <w:trHeight w:val="195"/>
        </w:trPr>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333-78423</w:t>
            </w:r>
          </w:p>
        </w:tc>
        <w:tc>
          <w:tcPr>
            <w:tcW w:w="46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S-8</w:t>
            </w:r>
          </w:p>
        </w:tc>
        <w:tc>
          <w:tcPr>
            <w:tcW w:w="440" w:type="dxa"/>
            <w:vAlign w:val="bottom"/>
          </w:tcPr>
          <w:p>
            <w:pPr>
              <w:spacing w:after="0"/>
              <w:rPr>
                <w:sz w:val="16"/>
                <w:szCs w:val="16"/>
                <w:color w:val="auto"/>
              </w:rPr>
            </w:pPr>
          </w:p>
        </w:tc>
        <w:tc>
          <w:tcPr>
            <w:tcW w:w="5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“Age-Vested” Career Stock Option Plan</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333-78421</w:t>
            </w:r>
          </w:p>
        </w:tc>
        <w:tc>
          <w:tcPr>
            <w:tcW w:w="18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S-8</w:t>
            </w:r>
          </w:p>
        </w:tc>
        <w:tc>
          <w:tcPr>
            <w:tcW w:w="59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“Time-Vested” Incentive Stock Option Plan</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333-48857</w:t>
            </w:r>
          </w:p>
        </w:tc>
        <w:tc>
          <w:tcPr>
            <w:tcW w:w="18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S-8</w:t>
            </w:r>
          </w:p>
        </w:tc>
        <w:tc>
          <w:tcPr>
            <w:tcW w:w="59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Long-Term Senior Executive Stock Option Plan</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333-85390</w:t>
            </w:r>
          </w:p>
        </w:tc>
        <w:tc>
          <w:tcPr>
            <w:tcW w:w="18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S-8</w:t>
            </w:r>
          </w:p>
        </w:tc>
        <w:tc>
          <w:tcPr>
            <w:tcW w:w="8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2002</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Price-Vested Performance Stock Option Plan</w:t>
            </w: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333-116487</w:t>
            </w:r>
          </w:p>
        </w:tc>
        <w:tc>
          <w:tcPr>
            <w:tcW w:w="1820" w:type="dxa"/>
            <w:vAlign w:val="bottom"/>
            <w:gridSpan w:val="2"/>
          </w:tcPr>
          <w:p>
            <w:pPr>
              <w:ind w:left="440"/>
              <w:spacing w:after="0"/>
              <w:rPr>
                <w:sz w:val="20"/>
                <w:szCs w:val="20"/>
                <w:color w:val="auto"/>
              </w:rPr>
            </w:pPr>
            <w:r>
              <w:rPr>
                <w:rFonts w:ascii="Arial" w:cs="Arial" w:eastAsia="Arial" w:hAnsi="Arial"/>
                <w:sz w:val="18"/>
                <w:szCs w:val="18"/>
                <w:color w:val="auto"/>
              </w:rPr>
              <w:t>S-8</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9"/>
              </w:rPr>
              <w:t>2004</w:t>
            </w:r>
          </w:p>
        </w:tc>
        <w:tc>
          <w:tcPr>
            <w:tcW w:w="50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report dated March 28, 2006, on management’s assessment of the effectiveness of internal control over financial reporting and the effectiveness of internal control over financial reporting as of October 31, 2005, expresses our opinion that ABM Industries Incorporated and subsidiaries did not maintain effective internal control over financial reporting as of October 31, 2005, because of the effect of the material weaknesses on the achievement of the objectives of the control criteria and includes an explanatory paragraph that states that at October 31, 2005:</w:t>
      </w:r>
    </w:p>
    <w:p>
      <w:pPr>
        <w:spacing w:after="0" w:line="189" w:lineRule="exact"/>
        <w:rPr>
          <w:sz w:val="20"/>
          <w:szCs w:val="20"/>
          <w:color w:val="auto"/>
        </w:rPr>
      </w:pPr>
    </w:p>
    <w:p>
      <w:pPr>
        <w:ind w:left="360" w:right="320"/>
        <w:spacing w:after="0" w:line="246" w:lineRule="auto"/>
        <w:rPr>
          <w:sz w:val="20"/>
          <w:szCs w:val="20"/>
          <w:color w:val="auto"/>
        </w:rPr>
      </w:pPr>
      <w:r>
        <w:rPr>
          <w:rFonts w:ascii="Arial" w:cs="Arial" w:eastAsia="Arial" w:hAnsi="Arial"/>
          <w:sz w:val="18"/>
          <w:szCs w:val="18"/>
          <w:color w:val="auto"/>
        </w:rPr>
        <w:t>The material weaknesses are related to the Company’s controls over and at the operations the Company acquired in March 2004 from Security Services of America, LLC (SSA LLC), included as a subsidiary within the Company’s Security segment (SSA).</w:t>
      </w:r>
    </w:p>
    <w:p>
      <w:pPr>
        <w:spacing w:after="0" w:line="183" w:lineRule="exact"/>
        <w:rPr>
          <w:sz w:val="20"/>
          <w:szCs w:val="20"/>
          <w:color w:val="auto"/>
        </w:rPr>
      </w:pPr>
    </w:p>
    <w:p>
      <w:pPr>
        <w:ind w:left="680" w:right="400" w:hanging="321"/>
        <w:spacing w:after="0" w:line="246" w:lineRule="auto"/>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Procedures regarding the preparation and documentation of journal entries were not operating in accordance with the Company’s policies and the review and approval of such journal entries were ineffective.</w:t>
      </w:r>
    </w:p>
    <w:p>
      <w:pPr>
        <w:spacing w:after="0" w:line="183" w:lineRule="exact"/>
        <w:rPr>
          <w:rFonts w:ascii="Arial" w:cs="Arial" w:eastAsia="Arial" w:hAnsi="Arial"/>
          <w:sz w:val="18"/>
          <w:szCs w:val="18"/>
          <w:color w:val="auto"/>
        </w:rPr>
      </w:pPr>
    </w:p>
    <w:p>
      <w:pPr>
        <w:ind w:left="680" w:right="180" w:hanging="321"/>
        <w:spacing w:after="0" w:line="246" w:lineRule="auto"/>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Periodic reconciliation and account analyses of cash and cash equivalents and accrued liabilities were not prepared and reviewed in accordance with the Company’s policies.</w:t>
      </w:r>
    </w:p>
    <w:p>
      <w:pPr>
        <w:spacing w:after="0" w:line="183" w:lineRule="exact"/>
        <w:rPr>
          <w:rFonts w:ascii="Arial" w:cs="Arial" w:eastAsia="Arial" w:hAnsi="Arial"/>
          <w:sz w:val="18"/>
          <w:szCs w:val="18"/>
          <w:color w:val="auto"/>
        </w:rPr>
      </w:pPr>
    </w:p>
    <w:p>
      <w:pPr>
        <w:ind w:left="680" w:right="880" w:hanging="321"/>
        <w:spacing w:after="0" w:line="246" w:lineRule="auto"/>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Duties related to preparation of journal entries and account reconciliation and analysis were not appropriately segregated in accordance with the Company’s Policies.</w:t>
      </w:r>
    </w:p>
    <w:p>
      <w:pPr>
        <w:spacing w:after="0" w:line="183" w:lineRule="exact"/>
        <w:rPr>
          <w:rFonts w:ascii="Arial" w:cs="Arial" w:eastAsia="Arial" w:hAnsi="Arial"/>
          <w:sz w:val="18"/>
          <w:szCs w:val="18"/>
          <w:color w:val="auto"/>
        </w:rPr>
      </w:pPr>
    </w:p>
    <w:p>
      <w:pPr>
        <w:ind w:left="680" w:right="120" w:hanging="321"/>
        <w:spacing w:after="0" w:line="246" w:lineRule="auto"/>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Appropriate procedures to document, review and approve the subcontracting transactions between the Company and SSA LLC were not established.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Appropriate procedures to segregate SSA LLCs cash collections and disbursements from those of the Company were not established.</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addition, the Company did not have adequate controls over the initial assessment, integration and subsequent monitoring of the employees of SSA, nor did it adequately establish or implement post-acquisition policies and procedures at SSA. This material weakness resulted in the aforementioned material weaknesses not being identified and remediated timely.</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material weaknesses resulted in a material understatement of cost of goods sold, selling, general and administrative expenses and accrued compensation and a material overstatement of cash and cash equivalents, that required the Company to restate its previously issued financial statements for the quarters ended January 31, 2005, April 30, 2005 and July 31, 2005. Material errors were also identified in the quarter ended October 31, 2005.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0394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28, 2006</w:t>
      </w:r>
    </w:p>
    <w:p>
      <w:pPr>
        <w:sectPr>
          <w:pgSz w:w="11900" w:h="16838" w:orient="portrait"/>
          <w:cols w:equalWidth="0" w:num="1">
            <w:col w:w="11360"/>
          </w:cols>
          <w:pgMar w:left="240" w:top="949" w:right="2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EXHIBIT 31.1</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04" w:lineRule="exact"/>
        <w:rPr>
          <w:sz w:val="20"/>
          <w:szCs w:val="20"/>
          <w:color w:val="auto"/>
        </w:rPr>
      </w:pPr>
    </w:p>
    <w:p>
      <w:pPr>
        <w:ind w:left="2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360" w:hanging="272"/>
        <w:spacing w:after="0" w:line="234" w:lineRule="auto"/>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ind w:left="660" w:right="220" w:hanging="436"/>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300" w:hanging="436"/>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240" w:hanging="436"/>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120" w:hanging="436"/>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3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660" w:right="420" w:hanging="436"/>
        <w:spacing w:after="0" w:line="246" w:lineRule="auto"/>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436"/>
        <w:spacing w:after="0" w:line="246" w:lineRule="auto"/>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March 28, 2006</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49"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EXHIBIT 31.2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104"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360" w:hanging="272"/>
        <w:spacing w:after="0" w:line="234" w:lineRule="auto"/>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ind w:left="660" w:right="220" w:hanging="436"/>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300" w:hanging="436"/>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240" w:hanging="436"/>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120" w:hanging="436"/>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3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660" w:right="420" w:hanging="436"/>
        <w:spacing w:after="0" w:line="246" w:lineRule="auto"/>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436"/>
        <w:spacing w:after="0" w:line="246" w:lineRule="auto"/>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March 28, 2006</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George B. Sundby</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49"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EXHIBIT 32.1</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13a-14(b) OR 15d-14(b) AND</w:t>
      </w:r>
    </w:p>
    <w:p>
      <w:pPr>
        <w:jc w:val="center"/>
        <w:ind w:right="-39"/>
        <w:spacing w:after="0" w:line="234" w:lineRule="auto"/>
        <w:rPr>
          <w:sz w:val="20"/>
          <w:szCs w:val="20"/>
          <w:color w:val="auto"/>
        </w:rPr>
      </w:pPr>
      <w:r>
        <w:rPr>
          <w:rFonts w:ascii="Arial" w:cs="Arial" w:eastAsia="Arial" w:hAnsi="Arial"/>
          <w:sz w:val="18"/>
          <w:szCs w:val="18"/>
          <w:b w:val="1"/>
          <w:bCs w:val="1"/>
          <w:color w:val="auto"/>
        </w:rPr>
        <w:t>18 U.S.C. SECTON 1350,</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In connection with the annual report of ABM Industries Incorporated (the “Company”) on Form 10-K for the year ended October 31, 2005, as filed with the Securities and Exchange Commission on the date hereof (the “Report”), Henrik C. Slipsager, Chief Executive Officer of the Company, and George B. Sundby, Chief Financial Officer of the Company, each certifies for the purpose of complying with Rule 13a-14(b) or Rule 15d-14(b) of the Securities Exchange Act of 1934 (the “Exchange Act”) and Section 1350 of Chapter 63 of Title 18 of the United States Code, that:</w:t>
      </w:r>
    </w:p>
    <w:p>
      <w:pPr>
        <w:spacing w:after="0" w:line="95" w:lineRule="exact"/>
        <w:rPr>
          <w:sz w:val="20"/>
          <w:szCs w:val="20"/>
          <w:color w:val="auto"/>
        </w:rPr>
      </w:pPr>
    </w:p>
    <w:p>
      <w:pPr>
        <w:ind w:left="660" w:hanging="436"/>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220" w:hanging="436"/>
        <w:spacing w:after="0" w:line="246"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March 28, 2006</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March 28, 2006</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George B. Sundby</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00"/>
      </w:cols>
      <w:pgMar w:left="240" w:top="94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X"/>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1)"/>
      <w:numFmt w:val="decimal"/>
      <w:start w:val="4"/>
    </w:lvl>
  </w:abstractNum>
  <w:abstractNum w:abstractNumId="7">
    <w:nsid w:val="1716703B"/>
    <w:multiLevelType w:val="hybridMultilevel"/>
    <w:lvl w:ilvl="0">
      <w:lvlJc w:val="left"/>
      <w:lvlText w:val="(%1)"/>
      <w:numFmt w:val="lowerRoman"/>
      <w:start w:val="1"/>
    </w:lvl>
  </w:abstractNum>
  <w:abstractNum w:abstractNumId="8">
    <w:nsid w:val="14E17E33"/>
    <w:multiLevelType w:val="hybridMultilevel"/>
    <w:lvl w:ilvl="0">
      <w:lvlJc w:val="left"/>
      <w:lvlText w:val="(%1)"/>
      <w:numFmt w:val="decimal"/>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1)"/>
      <w:numFmt w:val="lowerRoman"/>
      <w:start w:val="1"/>
    </w:lvl>
  </w:abstractNum>
  <w:abstractNum w:abstractNumId="12">
    <w:nsid w:val="2DF6D648"/>
    <w:multiLevelType w:val="hybridMultilevel"/>
    <w:lvl w:ilvl="0">
      <w:lvlJc w:val="left"/>
      <w:lvlText w:val="%1."/>
      <w:numFmt w:val="decimal"/>
      <w:start w:val="8"/>
    </w:lvl>
  </w:abstractNum>
  <w:abstractNum w:abstractNumId="13">
    <w:nsid w:val="46B7D447"/>
    <w:multiLevelType w:val="hybridMultilevel"/>
    <w:lvl w:ilvl="0">
      <w:lvlJc w:val="left"/>
      <w:lvlText w:val="%1."/>
      <w:numFmt w:val="decimal"/>
      <w:start w:val="10"/>
    </w:lvl>
  </w:abstractNum>
  <w:abstractNum w:abstractNumId="14">
    <w:nsid w:val="4A2AC315"/>
    <w:multiLevelType w:val="hybridMultilevel"/>
    <w:lvl w:ilvl="0">
      <w:lvlJc w:val="left"/>
      <w:lvlText w:val="%1."/>
      <w:numFmt w:val="decimal"/>
      <w:start w:val="13"/>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1)"/>
      <w:numFmt w:val="decimal"/>
      <w:start w:val="1"/>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upperLetter"/>
      <w:start w:val="13"/>
    </w:lvl>
  </w:abstractNum>
  <w:abstractNum w:abstractNumId="22">
    <w:nsid w:val="49DA307D"/>
    <w:multiLevelType w:val="hybridMultilevel"/>
    <w:lvl w:ilvl="0">
      <w:lvlJc w:val="left"/>
      <w:lvlText w:val="(%1)"/>
      <w:numFmt w:val="decimal"/>
    </w:lvl>
    <w:lvl w:ilvl="1">
      <w:lvlJc w:val="left"/>
      <w:lvlText w:val="*"/>
      <w:numFmt w:val="bullet"/>
      <w:start w:val="1"/>
    </w:lvl>
  </w:abstractNum>
  <w:abstractNum w:abstractNumId="23">
    <w:nsid w:val="7055A5F5"/>
    <w:multiLevelType w:val="hybridMultilevel"/>
    <w:lvl w:ilvl="0">
      <w:lvlJc w:val="left"/>
      <w:lvlText w:val="(%1)"/>
      <w:numFmt w:val="decimal"/>
      <w:start w:val="10"/>
    </w:lvl>
  </w:abstractNum>
  <w:abstractNum w:abstractNumId="24">
    <w:nsid w:val="5FB8370B"/>
    <w:multiLevelType w:val="hybridMultilevel"/>
    <w:lvl w:ilvl="0">
      <w:lvlJc w:val="left"/>
      <w:lvlText w:val="(%1)"/>
      <w:numFmt w:val="decimal"/>
      <w:start w:val="1"/>
    </w:lvl>
  </w:abstractNum>
  <w:abstractNum w:abstractNumId="25">
    <w:nsid w:val="50801EE1"/>
    <w:multiLevelType w:val="hybridMultilevel"/>
    <w:lvl w:ilvl="0">
      <w:lvlJc w:val="left"/>
      <w:lvlText w:val="(%1)"/>
      <w:numFmt w:val="decimal"/>
      <w:start w:val="1"/>
    </w:lvl>
  </w:abstractNum>
  <w:abstractNum w:abstractNumId="26">
    <w:nsid w:val="488AC1A"/>
    <w:multiLevelType w:val="hybridMultilevel"/>
    <w:lvl w:ilvl="0">
      <w:lvlJc w:val="left"/>
      <w:lvlText w:val="%1."/>
      <w:numFmt w:val="decimal"/>
      <w:start w:val="1"/>
    </w:lvl>
  </w:abstractNum>
  <w:abstractNum w:abstractNumId="27">
    <w:nsid w:val="5FB8011C"/>
    <w:multiLevelType w:val="hybridMultilevel"/>
    <w:lvl w:ilvl="0">
      <w:lvlJc w:val="left"/>
      <w:lvlText w:val="(%1)"/>
      <w:numFmt w:val="lowerLetter"/>
      <w:start w:val="1"/>
    </w:lvl>
    <w:lvl w:ilvl="1">
      <w:lvlJc w:val="left"/>
      <w:lvlText w:val="%2."/>
      <w:numFmt w:val="decimal"/>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1."/>
      <w:numFmt w:val="decimal"/>
      <w:start w:val="1"/>
    </w:lvl>
  </w:abstractNum>
  <w:abstractNum w:abstractNumId="30">
    <w:nsid w:val="6FC75AF8"/>
    <w:multiLevelType w:val="hybridMultilevel"/>
    <w:lvl w:ilvl="0">
      <w:lvlJc w:val="left"/>
      <w:lvlText w:val="(%1)"/>
      <w:numFmt w:val="decimal"/>
      <w:start w:val="12"/>
    </w:lvl>
  </w:abstractNum>
  <w:abstractNum w:abstractNumId="31">
    <w:nsid w:val="6A5F7029"/>
    <w:multiLevelType w:val="hybridMultilevel"/>
    <w:lvl w:ilvl="0">
      <w:lvlJc w:val="left"/>
      <w:lvlText w:val="%1."/>
      <w:numFmt w:val="decimal"/>
      <w:start w:val="4"/>
    </w:lvl>
  </w:abstractNum>
  <w:abstractNum w:abstractNumId="32">
    <w:nsid w:val="7D5E18F8"/>
    <w:multiLevelType w:val="hybridMultilevel"/>
    <w:lvl w:ilvl="0">
      <w:lvlJc w:val="left"/>
      <w:lvlText w:val="%1."/>
      <w:numFmt w:val="decimal"/>
      <w:start w:val="5"/>
    </w:lvl>
  </w:abstractNum>
  <w:abstractNum w:abstractNumId="33">
    <w:nsid w:val="5F3534A4"/>
    <w:multiLevelType w:val="hybridMultilevel"/>
    <w:lvl w:ilvl="0">
      <w:lvlJc w:val="left"/>
      <w:lvlText w:val="(%1)"/>
      <w:numFmt w:val="lowerLetter"/>
      <w:start w:val="3"/>
    </w:lvl>
    <w:lvl w:ilvl="1">
      <w:lvlJc w:val="left"/>
      <w:lvlText w:val="%2."/>
      <w:numFmt w:val="decimal"/>
      <w:start w:val="10"/>
    </w:lvl>
  </w:abstractNum>
  <w:abstractNum w:abstractNumId="34">
    <w:nsid w:val="73A1821B"/>
    <w:multiLevelType w:val="hybridMultilevel"/>
    <w:lvl w:ilvl="0">
      <w:lvlJc w:val="left"/>
      <w:lvlText w:val="%1."/>
      <w:numFmt w:val="decimal"/>
      <w:start w:val="19"/>
    </w:lvl>
  </w:abstractNum>
  <w:abstractNum w:abstractNumId="35">
    <w:nsid w:val="7DE6771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6">
    <w:nsid w:val="555C55B5"/>
    <w:multiLevelType w:val="hybridMultilevel"/>
    <w:lvl w:ilvl="0">
      <w:lvlJc w:val="left"/>
      <w:lvlText w:val="%1."/>
      <w:numFmt w:val="decimal"/>
      <w:start w:val="3"/>
    </w:lvl>
    <w:lvl w:ilvl="1">
      <w:lvlJc w:val="left"/>
      <w:lvlText w:val="%2."/>
      <w:numFmt w:val="lowerLetter"/>
      <w:start w:val="1"/>
    </w:lvl>
  </w:abstractNum>
  <w:abstractNum w:abstractNumId="37">
    <w:nsid w:val="3FA62ACA"/>
    <w:multiLevelType w:val="hybridMultilevel"/>
    <w:lvl w:ilvl="0">
      <w:lvlJc w:val="left"/>
      <w:lvlText w:val="%1."/>
      <w:numFmt w:val="decimal"/>
      <w:start w:val="7"/>
    </w:lvl>
    <w:lvl w:ilvl="1">
      <w:lvlJc w:val="left"/>
      <w:lvlText w:val="%2."/>
      <w:numFmt w:val="lowerLetter"/>
      <w:start w:val="1"/>
    </w:lvl>
  </w:abstractNum>
  <w:abstractNum w:abstractNumId="38">
    <w:nsid w:val="14FCE74E"/>
    <w:multiLevelType w:val="hybridMultilevel"/>
    <w:lvl w:ilvl="0">
      <w:lvlJc w:val="left"/>
      <w:lvlText w:val="%1."/>
      <w:numFmt w:val="decimal"/>
      <w:start w:val="12"/>
    </w:lvl>
    <w:lvl w:ilvl="1">
      <w:lvlJc w:val="left"/>
      <w:lvlText w:val="%2."/>
      <w:numFmt w:val="lowerLetter"/>
      <w:start w:val="1"/>
    </w:lvl>
  </w:abstractNum>
  <w:abstractNum w:abstractNumId="39">
    <w:nsid w:val="6A3DD3E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0">
    <w:nsid w:val="71C91298"/>
    <w:multiLevelType w:val="hybridMultilevel"/>
    <w:lvl w:ilvl="0">
      <w:lvlJc w:val="left"/>
      <w:lvlText w:val="%1"/>
      <w:numFmt w:val="decimal"/>
      <w:start w:val="1"/>
    </w:lvl>
    <w:lvl w:ilvl="1">
      <w:lvlJc w:val="left"/>
      <w:lvlText w:val="(%2)"/>
      <w:numFmt w:val="decimal"/>
      <w:start w:val="1"/>
    </w:lvl>
  </w:abstractNum>
  <w:abstractNum w:abstractNumId="41">
    <w:nsid w:val="9DAF632"/>
    <w:multiLevelType w:val="hybridMultilevel"/>
    <w:lvl w:ilvl="0">
      <w:lvlJc w:val="left"/>
      <w:lvlText w:val="%1."/>
      <w:numFmt w:val="decimal"/>
      <w:start w:val="4"/>
    </w:lvl>
    <w:lvl w:ilvl="1">
      <w:lvlJc w:val="left"/>
      <w:lvlText w:val="%2"/>
      <w:numFmt w:val="decimal"/>
      <w:start w:val="1"/>
    </w:lvl>
  </w:abstractNum>
  <w:abstractNum w:abstractNumId="42">
    <w:nsid w:val="53299938"/>
    <w:multiLevelType w:val="hybridMultilevel"/>
    <w:lvl w:ilvl="0">
      <w:lvlJc w:val="left"/>
      <w:lvlText w:val="%1."/>
      <w:numFmt w:val="decimal"/>
      <w:start w:val="7"/>
    </w:lvl>
    <w:lvl w:ilvl="1">
      <w:lvlJc w:val="left"/>
      <w:lvlText w:val="%2."/>
      <w:numFmt w:val="lowerLetter"/>
      <w:start w:val="1"/>
    </w:lvl>
  </w:abstractNum>
  <w:abstractNum w:abstractNumId="43">
    <w:nsid w:val="1FBFE8E0"/>
    <w:multiLevelType w:val="hybridMultilevel"/>
    <w:lvl w:ilvl="0">
      <w:lvlJc w:val="left"/>
      <w:lvlText w:val="%1."/>
      <w:numFmt w:val="decimal"/>
      <w:start w:val="1"/>
    </w:lvl>
    <w:lvl w:ilvl="1">
      <w:lvlJc w:val="left"/>
      <w:lvlText w:val="%2."/>
      <w:numFmt w:val="upperLetter"/>
      <w:start w:val="1"/>
    </w:lvl>
  </w:abstractNum>
  <w:abstractNum w:abstractNumId="44">
    <w:nsid w:val="5092CA79"/>
    <w:multiLevelType w:val="hybridMultilevel"/>
    <w:lvl w:ilvl="0">
      <w:lvlJc w:val="left"/>
      <w:lvlText w:val="%1."/>
      <w:numFmt w:val="upperLetter"/>
      <w:start w:val="5"/>
    </w:lvl>
  </w:abstractNum>
  <w:abstractNum w:abstractNumId="45">
    <w:nsid w:val="1D545C4D"/>
    <w:multiLevelType w:val="hybridMultilevel"/>
    <w:lvl w:ilvl="0">
      <w:lvlJc w:val="left"/>
      <w:lvlText w:val="%1"/>
      <w:numFmt w:val="decimal"/>
      <w:start w:val="1"/>
    </w:lvl>
    <w:lvl w:ilvl="1">
      <w:lvlJc w:val="left"/>
      <w:lvlText w:val="%2."/>
      <w:numFmt w:val="upperLetter"/>
      <w:start w:val="17"/>
    </w:lvl>
  </w:abstractNum>
  <w:abstractNum w:abstractNumId="46">
    <w:nsid w:val="59ADEA3D"/>
    <w:multiLevelType w:val="hybridMultilevel"/>
    <w:lvl w:ilvl="0">
      <w:lvlJc w:val="left"/>
      <w:lvlText w:val="%1."/>
      <w:numFmt w:val="decimal"/>
      <w:start w:val="4"/>
    </w:lvl>
    <w:lvl w:ilvl="1">
      <w:lvlJc w:val="left"/>
      <w:lvlText w:val="%2"/>
      <w:numFmt w:val="upperLetter"/>
      <w:start w:val="1"/>
    </w:lvl>
  </w:abstractNum>
  <w:abstractNum w:abstractNumId="47">
    <w:nsid w:val="288F1A34"/>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48">
    <w:nsid w:val="2A155DBC"/>
    <w:multiLevelType w:val="hybridMultilevel"/>
    <w:lvl w:ilvl="0">
      <w:lvlJc w:val="left"/>
      <w:lvlText w:val="%1"/>
      <w:numFmt w:val="upperLetter"/>
      <w:start w:val="1"/>
    </w:lvl>
    <w:lvl w:ilvl="1">
      <w:lvlJc w:val="left"/>
      <w:lvlText w:val="%2."/>
      <w:numFmt w:val="lowerRoman"/>
      <w:start w:val="3"/>
    </w:lvl>
  </w:abstractNum>
  <w:abstractNum w:abstractNumId="49">
    <w:nsid w:val="1D9F6E5F"/>
    <w:multiLevelType w:val="hybridMultilevel"/>
    <w:lvl w:ilvl="0">
      <w:lvlJc w:val="left"/>
      <w:lvlText w:val="%1."/>
      <w:numFmt w:val="upperLetter"/>
      <w:start w:val="3"/>
    </w:lvl>
    <w:lvl w:ilvl="1">
      <w:lvlJc w:val="left"/>
      <w:lvlText w:val="%2"/>
      <w:numFmt w:val="lowerRoman"/>
      <w:start w:val="1"/>
    </w:lvl>
  </w:abstractNum>
  <w:abstractNum w:abstractNumId="50">
    <w:nsid w:val="97E1B4E"/>
    <w:multiLevelType w:val="hybridMultilevel"/>
    <w:lvl w:ilvl="0">
      <w:lvlJc w:val="left"/>
      <w:lvlText w:val="%1"/>
      <w:numFmt w:val="decimal"/>
      <w:start w:val="1"/>
    </w:lvl>
    <w:lvl w:ilvl="1">
      <w:lvlJc w:val="left"/>
      <w:lvlText w:val="%2."/>
      <w:numFmt w:val="upperLetter"/>
      <w:start w:val="4"/>
    </w:lvl>
  </w:abstractNum>
  <w:abstractNum w:abstractNumId="51">
    <w:nsid w:val="51088277"/>
    <w:multiLevelType w:val="hybridMultilevel"/>
    <w:lvl w:ilvl="0">
      <w:lvlJc w:val="left"/>
      <w:lvlText w:val="%1."/>
      <w:numFmt w:val="decimal"/>
      <w:start w:val="8"/>
    </w:lvl>
    <w:lvl w:ilvl="1">
      <w:lvlJc w:val="left"/>
      <w:lvlText w:val="%2."/>
      <w:numFmt w:val="upperLetter"/>
      <w:start w:val="1"/>
    </w:lvl>
  </w:abstractNum>
  <w:abstractNum w:abstractNumId="52">
    <w:nsid w:val="1CA0C5FA"/>
    <w:multiLevelType w:val="hybridMultilevel"/>
    <w:lvl w:ilvl="0">
      <w:lvlJc w:val="left"/>
      <w:lvlText w:val="%1."/>
      <w:numFmt w:val="decimal"/>
      <w:start w:val="10"/>
    </w:lvl>
    <w:lvl w:ilvl="1">
      <w:lvlJc w:val="left"/>
      <w:lvlText w:val="%2."/>
      <w:numFmt w:val="upperLetter"/>
      <w:start w:val="1"/>
    </w:lvl>
  </w:abstractNum>
  <w:abstractNum w:abstractNumId="53">
    <w:nsid w:val="53584BCB"/>
    <w:multiLevelType w:val="hybridMultilevel"/>
    <w:lvl w:ilvl="0">
      <w:lvlJc w:val="left"/>
      <w:lvlText w:val="%1."/>
      <w:numFmt w:val="upperLetter"/>
      <w:start w:val="2"/>
    </w:lvl>
  </w:abstractNum>
  <w:abstractNum w:abstractNumId="54">
    <w:nsid w:val="415E286C"/>
    <w:multiLevelType w:val="hybridMultilevel"/>
    <w:lvl w:ilvl="0">
      <w:lvlJc w:val="left"/>
      <w:lvlText w:val="%1"/>
      <w:numFmt w:val="decimal"/>
      <w:start w:val="1"/>
    </w:lvl>
    <w:lvl w:ilvl="1">
      <w:lvlJc w:val="left"/>
      <w:lvlText w:val="%2."/>
      <w:numFmt w:val="upperLetter"/>
      <w:start w:val="6"/>
    </w:lvl>
  </w:abstractNum>
  <w:abstractNum w:abstractNumId="55">
    <w:nsid w:val="7C58FD05"/>
    <w:multiLevelType w:val="hybridMultilevel"/>
    <w:lvl w:ilvl="0">
      <w:lvlJc w:val="left"/>
      <w:lvlText w:val="%1."/>
      <w:numFmt w:val="decimal"/>
      <w:start w:val="14"/>
    </w:lvl>
    <w:lvl w:ilvl="1">
      <w:lvlJc w:val="left"/>
      <w:lvlText w:val="%2."/>
      <w:numFmt w:val="upperLetter"/>
      <w:start w:val="1"/>
    </w:lvl>
  </w:abstractNum>
  <w:abstractNum w:abstractNumId="56">
    <w:nsid w:val="23D86AAC"/>
    <w:multiLevelType w:val="hybridMultilevel"/>
    <w:lvl w:ilvl="0">
      <w:lvlJc w:val="left"/>
      <w:lvlText w:val="%1"/>
      <w:numFmt w:val="decimal"/>
      <w:start w:val="1"/>
    </w:lvl>
    <w:lvl w:ilvl="1">
      <w:lvlJc w:val="left"/>
      <w:lvlText w:val="%2."/>
      <w:numFmt w:val="upperLetter"/>
      <w:start w:val="3"/>
    </w:lvl>
  </w:abstractNum>
  <w:abstractNum w:abstractNumId="57">
    <w:nsid w:val="45E6D486"/>
    <w:multiLevelType w:val="hybridMultilevel"/>
    <w:lvl w:ilvl="0">
      <w:lvlJc w:val="left"/>
      <w:lvlText w:val="%1."/>
      <w:numFmt w:val="decimal"/>
      <w:start w:val="15"/>
    </w:lvl>
    <w:lvl w:ilvl="1">
      <w:lvlJc w:val="left"/>
      <w:lvlText w:val="%2."/>
      <w:numFmt w:val="upperLetter"/>
      <w:start w:val="1"/>
    </w:lvl>
  </w:abstractNum>
  <w:abstractNum w:abstractNumId="58">
    <w:nsid w:val="5C10FE21"/>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59">
    <w:nsid w:val="E7FFA2B"/>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60">
    <w:nsid w:val="3C5991A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61">
    <w:nsid w:val="4BD8591A"/>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62">
    <w:nsid w:val="78DF6A55"/>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63">
    <w:nsid w:val="39B7AAA2"/>
    <w:multiLevelType w:val="hybridMultilevel"/>
    <w:lvl w:ilvl="0">
      <w:lvlJc w:val="left"/>
      <w:lvlText w:val="%1."/>
      <w:numFmt w:val="decimal"/>
      <w:start w:val="20"/>
    </w:lvl>
    <w:lvl w:ilvl="1">
      <w:lvlJc w:val="left"/>
      <w:lvlText w:val="%2."/>
      <w:numFmt w:val="upperLetter"/>
      <w:start w:val="1"/>
    </w:lvl>
  </w:abstractNum>
  <w:abstractNum w:abstractNumId="64">
    <w:nsid w:val="2B0D8DBE"/>
    <w:multiLevelType w:val="hybridMultilevel"/>
    <w:lvl w:ilvl="0">
      <w:lvlJc w:val="left"/>
      <w:lvlText w:val="%1"/>
      <w:numFmt w:val="decimal"/>
      <w:start w:val="1"/>
    </w:lvl>
    <w:lvl w:ilvl="1">
      <w:lvlJc w:val="left"/>
      <w:lvlText w:val="%2."/>
      <w:numFmt w:val="upperLetter"/>
      <w:start w:val="2"/>
    </w:lvl>
  </w:abstractNum>
  <w:abstractNum w:abstractNumId="65">
    <w:nsid w:val="6C80EC70"/>
    <w:multiLevelType w:val="hybridMultilevel"/>
    <w:lvl w:ilvl="0">
      <w:lvlJc w:val="left"/>
      <w:lvlText w:val="%1."/>
      <w:numFmt w:val="decimal"/>
      <w:start w:val="23"/>
    </w:lvl>
    <w:lvl w:ilvl="1">
      <w:lvlJc w:val="left"/>
      <w:lvlText w:val="%2."/>
      <w:numFmt w:val="upperLetter"/>
      <w:start w:val="1"/>
    </w:lvl>
  </w:abstractNum>
  <w:abstractNum w:abstractNumId="66">
    <w:nsid w:val="379E21B5"/>
    <w:multiLevelType w:val="hybridMultilevel"/>
    <w:lvl w:ilvl="0">
      <w:lvlJc w:val="left"/>
      <w:lvlText w:val="%1."/>
      <w:numFmt w:val="upperLetter"/>
      <w:start w:val="9"/>
    </w:lvl>
  </w:abstractNum>
  <w:abstractNum w:abstractNumId="67">
    <w:nsid w:val="69E373"/>
    <w:multiLevelType w:val="hybridMultilevel"/>
    <w:lvl w:ilvl="0">
      <w:lvlJc w:val="left"/>
      <w:lvlText w:val="%1."/>
      <w:numFmt w:val="upperLetter"/>
      <w:start w:val="35"/>
    </w:lvl>
  </w:abstractNum>
  <w:abstractNum w:abstractNumId="68">
    <w:nsid w:val="2C27173B"/>
    <w:multiLevelType w:val="hybridMultilevel"/>
    <w:lvl w:ilvl="0">
      <w:lvlJc w:val="left"/>
      <w:lvlText w:val="%1."/>
      <w:numFmt w:val="decimal"/>
      <w:start w:val="1"/>
    </w:lvl>
  </w:abstractNum>
  <w:abstractNum w:abstractNumId="69">
    <w:nsid w:val="4C9B0904"/>
    <w:multiLevelType w:val="hybridMultilevel"/>
    <w:lvl w:ilvl="0">
      <w:lvlJc w:val="left"/>
      <w:lvlText w:val="%1."/>
      <w:numFmt w:val="decimal"/>
      <w:start w:val="1"/>
    </w:lvl>
    <w:lvl w:ilvl="1">
      <w:lvlJc w:val="left"/>
      <w:lvlText w:val="%2."/>
      <w:numFmt w:val="upperLetter"/>
      <w:start w:val="1"/>
    </w:lvl>
  </w:abstractNum>
  <w:abstractNum w:abstractNumId="70">
    <w:nsid w:val="6AA7B75C"/>
    <w:multiLevelType w:val="hybridMultilevel"/>
    <w:lvl w:ilvl="0">
      <w:lvlJc w:val="left"/>
      <w:lvlText w:val="%1."/>
      <w:numFmt w:val="upperLetter"/>
      <w:start w:val="6"/>
    </w:lvl>
  </w:abstractNum>
  <w:abstractNum w:abstractNumId="71">
    <w:nsid w:val="1DF029D3"/>
    <w:multiLevelType w:val="hybridMultilevel"/>
    <w:lvl w:ilvl="0">
      <w:lvlJc w:val="left"/>
      <w:lvlText w:val="%1"/>
      <w:numFmt w:val="decimal"/>
      <w:start w:val="1"/>
    </w:lvl>
    <w:lvl w:ilvl="1">
      <w:lvlJc w:val="left"/>
      <w:lvlText w:val="%2."/>
      <w:numFmt w:val="upperLetter"/>
      <w:start w:val="18"/>
    </w:lvl>
  </w:abstractNum>
  <w:abstractNum w:abstractNumId="72">
    <w:nsid w:val="5675FF36"/>
    <w:multiLevelType w:val="hybridMultilevel"/>
    <w:lvl w:ilvl="0">
      <w:lvlJc w:val="left"/>
      <w:lvlText w:val="%1."/>
      <w:numFmt w:val="decimal"/>
      <w:start w:val="4"/>
    </w:lvl>
    <w:lvl w:ilvl="1">
      <w:lvlJc w:val="left"/>
      <w:lvlText w:val="%2."/>
      <w:numFmt w:val="upperLetter"/>
      <w:start w:val="1"/>
    </w:lvl>
  </w:abstractNum>
  <w:abstractNum w:abstractNumId="73">
    <w:nsid w:val="3DD15094"/>
    <w:multiLevelType w:val="hybridMultilevel"/>
    <w:lvl w:ilvl="0">
      <w:lvlJc w:val="left"/>
      <w:lvlText w:val="%1."/>
      <w:numFmt w:val="upperLetter"/>
      <w:start w:val="2"/>
    </w:lvl>
    <w:lvl w:ilvl="1">
      <w:lvlJc w:val="left"/>
      <w:lvlText w:val="%2."/>
      <w:numFmt w:val="lowerRoman"/>
      <w:start w:val="1"/>
    </w:lvl>
  </w:abstractNum>
  <w:abstractNum w:abstractNumId="74">
    <w:nsid w:val="3DB012B3"/>
    <w:multiLevelType w:val="hybridMultilevel"/>
    <w:lvl w:ilvl="0">
      <w:lvlJc w:val="left"/>
      <w:lvlText w:val="%1"/>
      <w:numFmt w:val="decimal"/>
      <w:start w:val="1"/>
    </w:lvl>
    <w:lvl w:ilvl="1">
      <w:lvlJc w:val="left"/>
      <w:lvlText w:val="%2."/>
      <w:numFmt w:val="upperLetter"/>
      <w:start w:val="3"/>
    </w:lvl>
  </w:abstractNum>
  <w:abstractNum w:abstractNumId="75">
    <w:nsid w:val="2708C9AF"/>
    <w:multiLevelType w:val="hybridMultilevel"/>
    <w:lvl w:ilvl="0">
      <w:lvlJc w:val="left"/>
      <w:lvlText w:val="%1."/>
      <w:numFmt w:val="decimal"/>
      <w:start w:val="8"/>
    </w:lvl>
    <w:lvl w:ilvl="1">
      <w:lvlJc w:val="left"/>
      <w:lvlText w:val="%2."/>
      <w:numFmt w:val="upperLetter"/>
      <w:start w:val="1"/>
    </w:lvl>
  </w:abstractNum>
  <w:abstractNum w:abstractNumId="76">
    <w:nsid w:val="5B25ACE2"/>
    <w:multiLevelType w:val="hybridMultilevel"/>
    <w:lvl w:ilvl="0">
      <w:lvlJc w:val="left"/>
      <w:lvlText w:val="%1."/>
      <w:numFmt w:val="decimal"/>
      <w:start w:val="10"/>
    </w:lvl>
    <w:lvl w:ilvl="1">
      <w:lvlJc w:val="left"/>
      <w:lvlText w:val="%2."/>
      <w:numFmt w:val="upperLetter"/>
      <w:start w:val="1"/>
    </w:lvl>
  </w:abstractNum>
  <w:abstractNum w:abstractNumId="77">
    <w:nsid w:val="175DFCF0"/>
    <w:multiLevelType w:val="hybridMultilevel"/>
    <w:lvl w:ilvl="0">
      <w:lvlJc w:val="left"/>
      <w:lvlText w:val="%1."/>
      <w:numFmt w:val="upperLetter"/>
      <w:start w:val="2"/>
    </w:lvl>
  </w:abstractNum>
  <w:abstractNum w:abstractNumId="78">
    <w:nsid w:val="4F97E3E4"/>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1"/>
    </w:lvl>
  </w:abstractNum>
  <w:abstractNum w:abstractNumId="79">
    <w:nsid w:val="53B0A9E"/>
    <w:multiLevelType w:val="hybridMultilevel"/>
    <w:lvl w:ilvl="0">
      <w:lvlJc w:val="left"/>
      <w:lvlText w:val="%1."/>
      <w:numFmt w:val="decimal"/>
      <w:start w:val="14"/>
    </w:lvl>
    <w:lvl w:ilvl="1">
      <w:lvlJc w:val="left"/>
      <w:lvlText w:val="%2."/>
      <w:numFmt w:val="upperLetter"/>
      <w:start w:val="1"/>
    </w:lvl>
    <w:lvl w:ilvl="2">
      <w:lvlJc w:val="left"/>
      <w:lvlText w:val="(%3)"/>
      <w:numFmt w:val="lowerRoman"/>
      <w:start w:val="5"/>
    </w:lvl>
  </w:abstractNum>
  <w:abstractNum w:abstractNumId="80">
    <w:nsid w:val="34FD6B4F"/>
    <w:multiLevelType w:val="hybridMultilevel"/>
    <w:lvl w:ilvl="0">
      <w:lvlJc w:val="left"/>
      <w:lvlText w:val="%1."/>
      <w:numFmt w:val="decimal"/>
      <w:start w:val="15"/>
    </w:lvl>
    <w:lvl w:ilvl="1">
      <w:lvlJc w:val="left"/>
      <w:lvlText w:val="%2."/>
      <w:numFmt w:val="upperLetter"/>
      <w:start w:val="1"/>
    </w:lvl>
  </w:abstractNum>
  <w:abstractNum w:abstractNumId="81">
    <w:nsid w:val="5915FF32"/>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82">
    <w:nsid w:val="56438D15"/>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83">
    <w:nsid w:val="519E314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84">
    <w:nsid w:val="2C6E4AFD"/>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85">
    <w:nsid w:val="17A1B582"/>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86">
    <w:nsid w:val="4DF72E4E"/>
    <w:multiLevelType w:val="hybridMultilevel"/>
    <w:lvl w:ilvl="0">
      <w:lvlJc w:val="left"/>
      <w:lvlText w:val="%1."/>
      <w:numFmt w:val="decimal"/>
      <w:start w:val="21"/>
    </w:lvl>
    <w:lvl w:ilvl="1">
      <w:lvlJc w:val="left"/>
      <w:lvlText w:val="%2."/>
      <w:numFmt w:val="upperLetter"/>
      <w:start w:val="1"/>
    </w:lvl>
  </w:abstractNum>
  <w:abstractNum w:abstractNumId="87">
    <w:nsid w:val="5046B5A9"/>
    <w:multiLevelType w:val="hybridMultilevel"/>
    <w:lvl w:ilvl="0">
      <w:lvlJc w:val="left"/>
      <w:lvlText w:val="%1"/>
      <w:numFmt w:val="decimal"/>
      <w:start w:val="1"/>
    </w:lvl>
    <w:lvl w:ilvl="1">
      <w:lvlJc w:val="left"/>
      <w:lvlText w:val="%2."/>
      <w:numFmt w:val="upperLetter"/>
      <w:start w:val="2"/>
    </w:lvl>
  </w:abstractNum>
  <w:abstractNum w:abstractNumId="88">
    <w:nsid w:val="5D888A08"/>
    <w:multiLevelType w:val="hybridMultilevel"/>
    <w:lvl w:ilvl="0">
      <w:lvlJc w:val="left"/>
      <w:lvlText w:val="%1."/>
      <w:numFmt w:val="decimal"/>
      <w:start w:val="25"/>
    </w:lvl>
    <w:lvl w:ilvl="1">
      <w:lvlJc w:val="left"/>
      <w:lvlText w:val="%2"/>
      <w:numFmt w:val="upperLetter"/>
      <w:start w:val="1"/>
    </w:lvl>
  </w:abstractNum>
  <w:abstractNum w:abstractNumId="89">
    <w:nsid w:val="2A082C70"/>
    <w:multiLevelType w:val="hybridMultilevel"/>
    <w:lvl w:ilvl="0">
      <w:lvlJc w:val="left"/>
      <w:lvlText w:val="%1."/>
      <w:numFmt w:val="upperLetter"/>
      <w:start w:val="1"/>
    </w:lvl>
  </w:abstractNum>
  <w:abstractNum w:abstractNumId="90">
    <w:nsid w:val="5EC6AFD4"/>
    <w:multiLevelType w:val="hybridMultilevel"/>
    <w:lvl w:ilvl="0">
      <w:lvlJc w:val="left"/>
      <w:lvlText w:val="%1."/>
      <w:numFmt w:val="decimal"/>
      <w:start w:val="1"/>
    </w:lvl>
    <w:lvl w:ilvl="1">
      <w:lvlJc w:val="left"/>
      <w:lvlText w:val="%2."/>
      <w:numFmt w:val="upperLetter"/>
      <w:start w:val="1"/>
    </w:lvl>
  </w:abstractNum>
  <w:abstractNum w:abstractNumId="91">
    <w:nsid w:val="19E21BB2"/>
    <w:multiLevelType w:val="hybridMultilevel"/>
    <w:lvl w:ilvl="0">
      <w:lvlJc w:val="left"/>
      <w:lvlText w:val="%1."/>
      <w:numFmt w:val="upperLetter"/>
      <w:start w:val="6"/>
    </w:lvl>
  </w:abstractNum>
  <w:abstractNum w:abstractNumId="92">
    <w:nsid w:val="75E0858A"/>
    <w:multiLevelType w:val="hybridMultilevel"/>
    <w:lvl w:ilvl="0">
      <w:lvlJc w:val="left"/>
      <w:lvlText w:val="%1"/>
      <w:numFmt w:val="decimal"/>
      <w:start w:val="1"/>
    </w:lvl>
    <w:lvl w:ilvl="1">
      <w:lvlJc w:val="left"/>
      <w:lvlText w:val="%2."/>
      <w:numFmt w:val="upperLetter"/>
      <w:start w:val="18"/>
    </w:lvl>
  </w:abstractNum>
  <w:abstractNum w:abstractNumId="93">
    <w:nsid w:val="57A61A29"/>
    <w:multiLevelType w:val="hybridMultilevel"/>
    <w:lvl w:ilvl="0">
      <w:lvlJc w:val="left"/>
      <w:lvlText w:val="%1."/>
      <w:numFmt w:val="decimal"/>
      <w:start w:val="4"/>
    </w:lvl>
    <w:lvl w:ilvl="1">
      <w:lvlJc w:val="left"/>
      <w:lvlText w:val="%2."/>
      <w:numFmt w:val="upperLetter"/>
      <w:start w:val="1"/>
    </w:lvl>
  </w:abstractNum>
  <w:abstractNum w:abstractNumId="94">
    <w:nsid w:val="5399C654"/>
    <w:multiLevelType w:val="hybridMultilevel"/>
    <w:lvl w:ilvl="0">
      <w:lvlJc w:val="left"/>
      <w:lvlText w:val="%1."/>
      <w:numFmt w:val="upperLetter"/>
      <w:start w:val="2"/>
    </w:lvl>
    <w:lvl w:ilvl="1">
      <w:lvlJc w:val="left"/>
      <w:lvlText w:val="%2."/>
      <w:numFmt w:val="lowerRoman"/>
      <w:start w:val="1"/>
    </w:lvl>
  </w:abstractNum>
  <w:abstractNum w:abstractNumId="95">
    <w:nsid w:val="20EE1348"/>
    <w:multiLevelType w:val="hybridMultilevel"/>
    <w:lvl w:ilvl="0">
      <w:lvlJc w:val="left"/>
      <w:lvlText w:val="%1"/>
      <w:numFmt w:val="decimal"/>
      <w:start w:val="1"/>
    </w:lvl>
    <w:lvl w:ilvl="1">
      <w:lvlJc w:val="left"/>
      <w:lvlText w:val="%2."/>
      <w:numFmt w:val="upperLetter"/>
      <w:start w:val="3"/>
    </w:lvl>
  </w:abstractNum>
  <w:abstractNum w:abstractNumId="96">
    <w:nsid w:val="4427069A"/>
    <w:multiLevelType w:val="hybridMultilevel"/>
    <w:lvl w:ilvl="0">
      <w:lvlJc w:val="left"/>
      <w:lvlText w:val="%1."/>
      <w:numFmt w:val="decimal"/>
      <w:start w:val="8"/>
    </w:lvl>
    <w:lvl w:ilvl="1">
      <w:lvlJc w:val="left"/>
      <w:lvlText w:val="%2."/>
      <w:numFmt w:val="upperLetter"/>
      <w:start w:val="1"/>
    </w:lvl>
  </w:abstractNum>
  <w:abstractNum w:abstractNumId="97">
    <w:nsid w:val="B37E80A"/>
    <w:multiLevelType w:val="hybridMultilevel"/>
    <w:lvl w:ilvl="0">
      <w:lvlJc w:val="left"/>
      <w:lvlText w:val="%1."/>
      <w:numFmt w:val="decimal"/>
      <w:start w:val="10"/>
    </w:lvl>
    <w:lvl w:ilvl="1">
      <w:lvlJc w:val="left"/>
      <w:lvlText w:val="%2."/>
      <w:numFmt w:val="upperLetter"/>
      <w:start w:val="1"/>
    </w:lvl>
  </w:abstractNum>
  <w:abstractNum w:abstractNumId="98">
    <w:nsid w:val="2157F6BC"/>
    <w:multiLevelType w:val="hybridMultilevel"/>
    <w:lvl w:ilvl="0">
      <w:lvlJc w:val="left"/>
      <w:lvlText w:val="%1."/>
      <w:numFmt w:val="upperLetter"/>
      <w:start w:val="2"/>
    </w:lvl>
  </w:abstractNum>
  <w:abstractNum w:abstractNumId="99">
    <w:nsid w:val="704E1DD5"/>
    <w:multiLevelType w:val="hybridMultilevel"/>
    <w:lvl w:ilvl="0">
      <w:lvlJc w:val="left"/>
      <w:lvlText w:val="%1"/>
      <w:numFmt w:val="decimal"/>
      <w:start w:val="1"/>
    </w:lvl>
    <w:lvl w:ilvl="1">
      <w:lvlJc w:val="left"/>
      <w:lvlText w:val="%2."/>
      <w:numFmt w:val="upperLetter"/>
      <w:start w:val="6"/>
    </w:lvl>
  </w:abstractNum>
  <w:abstractNum w:abstractNumId="100">
    <w:nsid w:val="57D2F10E"/>
    <w:multiLevelType w:val="hybridMultilevel"/>
    <w:lvl w:ilvl="0">
      <w:lvlJc w:val="left"/>
      <w:lvlText w:val="%1."/>
      <w:numFmt w:val="decimal"/>
      <w:start w:val="14"/>
    </w:lvl>
    <w:lvl w:ilvl="1">
      <w:lvlJc w:val="left"/>
      <w:lvlText w:val="%2."/>
      <w:numFmt w:val="upperLetter"/>
      <w:start w:val="1"/>
    </w:lvl>
  </w:abstractNum>
  <w:abstractNum w:abstractNumId="101">
    <w:nsid w:val="BFFAE18"/>
    <w:multiLevelType w:val="hybridMultilevel"/>
    <w:lvl w:ilvl="0">
      <w:lvlJc w:val="left"/>
      <w:lvlText w:val="%1."/>
      <w:numFmt w:val="decimal"/>
      <w:start w:val="15"/>
    </w:lvl>
    <w:lvl w:ilvl="1">
      <w:lvlJc w:val="left"/>
      <w:lvlText w:val="%2."/>
      <w:numFmt w:val="upperLetter"/>
      <w:start w:val="1"/>
    </w:lvl>
  </w:abstractNum>
  <w:abstractNum w:abstractNumId="102">
    <w:nsid w:val="E3E47A8"/>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103">
    <w:nsid w:val="2E48F044"/>
    <w:multiLevelType w:val="hybridMultilevel"/>
    <w:lvl w:ilvl="0">
      <w:lvlJc w:val="left"/>
      <w:lvlText w:val="%1."/>
      <w:numFmt w:val="decimal"/>
      <w:start w:val="17"/>
    </w:lvl>
    <w:lvl w:ilvl="1">
      <w:lvlJc w:val="left"/>
      <w:lvlText w:val="%2."/>
      <w:numFmt w:val="upperLetter"/>
      <w:start w:val="1"/>
    </w:lvl>
    <w:lvl w:ilvl="2">
      <w:lvlJc w:val="left"/>
      <w:lvlText w:val="%3."/>
      <w:numFmt w:val="lowerRoman"/>
      <w:start w:val="1"/>
    </w:lvl>
  </w:abstractNum>
  <w:abstractNum w:abstractNumId="104">
    <w:nsid w:val="49D0FEA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105">
    <w:nsid w:val="4BEE5A5B"/>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06">
    <w:nsid w:val="5551B9F3"/>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107">
    <w:nsid w:val="24F6AB8E"/>
    <w:multiLevelType w:val="hybridMultilevel"/>
    <w:lvl w:ilvl="0">
      <w:lvlJc w:val="left"/>
      <w:lvlText w:val="%1."/>
      <w:numFmt w:val="decimal"/>
      <w:start w:val="21"/>
    </w:lvl>
    <w:lvl w:ilvl="1">
      <w:lvlJc w:val="left"/>
      <w:lvlText w:val="%2."/>
      <w:numFmt w:val="upperLetter"/>
      <w:start w:val="1"/>
    </w:lvl>
  </w:abstractNum>
  <w:abstractNum w:abstractNumId="108">
    <w:nsid w:val="634C574C"/>
    <w:multiLevelType w:val="hybridMultilevel"/>
    <w:lvl w:ilvl="0">
      <w:lvlJc w:val="left"/>
      <w:lvlText w:val="%1"/>
      <w:numFmt w:val="decimal"/>
      <w:start w:val="1"/>
    </w:lvl>
    <w:lvl w:ilvl="1">
      <w:lvlJc w:val="left"/>
      <w:lvlText w:val="%2."/>
      <w:numFmt w:val="upperLetter"/>
      <w:start w:val="2"/>
    </w:lvl>
  </w:abstractNum>
  <w:abstractNum w:abstractNumId="109">
    <w:nsid w:val="24E99DD7"/>
    <w:multiLevelType w:val="hybridMultilevel"/>
    <w:lvl w:ilvl="0">
      <w:lvlJc w:val="left"/>
      <w:lvlText w:val="%1."/>
      <w:numFmt w:val="decimal"/>
      <w:start w:val="25"/>
    </w:lvl>
    <w:lvl w:ilvl="1">
      <w:lvlJc w:val="left"/>
      <w:lvlText w:val="%2"/>
      <w:numFmt w:val="upperLetter"/>
      <w:start w:val="1"/>
    </w:lvl>
  </w:abstractNum>
  <w:abstractNum w:abstractNumId="110">
    <w:nsid w:val="2A31B62D"/>
    <w:multiLevelType w:val="hybridMultilevel"/>
    <w:lvl w:ilvl="0">
      <w:lvlJc w:val="left"/>
      <w:lvlText w:val="%1."/>
      <w:numFmt w:val="upperLetter"/>
      <w:start w:val="1"/>
    </w:lvl>
  </w:abstractNum>
  <w:abstractNum w:abstractNumId="111">
    <w:nsid w:val="1849C29B"/>
    <w:multiLevelType w:val="hybridMultilevel"/>
    <w:lvl w:ilvl="0">
      <w:lvlJc w:val="left"/>
      <w:lvlText w:val="%1."/>
      <w:numFmt w:val="decimal"/>
      <w:start w:val="1"/>
    </w:lvl>
    <w:lvl w:ilvl="1">
      <w:lvlJc w:val="left"/>
      <w:lvlText w:val="(%2)"/>
      <w:numFmt w:val="lowerLetter"/>
      <w:start w:val="1"/>
    </w:lvl>
  </w:abstractNum>
  <w:abstractNum w:abstractNumId="112">
    <w:nsid w:val="7DFF9D09"/>
    <w:multiLevelType w:val="hybridMultilevel"/>
    <w:lvl w:ilvl="0">
      <w:lvlJc w:val="left"/>
      <w:lvlText w:val="(%1)"/>
      <w:numFmt w:val="lowerLetter"/>
      <w:start w:val="4"/>
    </w:lvl>
    <w:lvl w:ilvl="1">
      <w:lvlJc w:val="left"/>
      <w:lvlText w:val="(%2)"/>
      <w:numFmt w:val="lowerRoman"/>
      <w:start w:val="1"/>
    </w:lvl>
  </w:abstractNum>
  <w:abstractNum w:abstractNumId="113">
    <w:nsid w:val="754342"/>
    <w:multiLevelType w:val="hybridMultilevel"/>
    <w:lvl w:ilvl="0">
      <w:lvlJc w:val="left"/>
      <w:lvlText w:val="(%1)"/>
      <w:numFmt w:val="lowerLetter"/>
      <w:start w:val="5"/>
    </w:lvl>
    <w:lvl w:ilvl="1">
      <w:lvlJc w:val="left"/>
      <w:lvlText w:val="(%2)"/>
      <w:numFmt w:val="lowerLetter"/>
      <w:start w:val="9"/>
    </w:lvl>
  </w:abstractNum>
  <w:abstractNum w:abstractNumId="114">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15">
    <w:nsid w:val="2A6DE806"/>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116">
    <w:nsid w:val="1816F8C4"/>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117">
    <w:nsid w:val="37DF223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118">
    <w:nsid w:val="7AB49DAF"/>
    <w:multiLevelType w:val="hybridMultilevel"/>
    <w:lvl w:ilvl="0">
      <w:lvlJc w:val="left"/>
      <w:lvlText w:val="(%1)"/>
      <w:numFmt w:val="lowerRoman"/>
      <w:start w:val="4"/>
    </w:lvl>
  </w:abstractNum>
  <w:abstractNum w:abstractNumId="119">
    <w:nsid w:val="759F82CD"/>
    <w:multiLevelType w:val="hybridMultilevel"/>
    <w:lvl w:ilvl="0">
      <w:lvlJc w:val="left"/>
      <w:lvlText w:val="(%1)"/>
      <w:numFmt w:val="lowerLetter"/>
      <w:start w:val="13"/>
    </w:lvl>
  </w:abstractNum>
  <w:abstractNum w:abstractNumId="120">
    <w:nsid w:val="61E74EA3"/>
    <w:multiLevelType w:val="hybridMultilevel"/>
    <w:lvl w:ilvl="0">
      <w:lvlJc w:val="left"/>
      <w:lvlText w:val="(%1)"/>
      <w:numFmt w:val="lowerLetter"/>
      <w:start w:val="16"/>
    </w:lvl>
  </w:abstractNum>
  <w:abstractNum w:abstractNumId="121">
    <w:nsid w:val="597B4D84"/>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122">
    <w:nsid w:val="F819E7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3">
    <w:nsid w:val="57C7D42D"/>
    <w:multiLevelType w:val="hybridMultilevel"/>
    <w:lvl w:ilvl="0">
      <w:lvlJc w:val="left"/>
      <w:lvlText w:val="(%1)"/>
      <w:numFmt w:val="lowerLetter"/>
      <w:start w:val="2"/>
    </w:lvl>
  </w:abstractNum>
  <w:abstractNum w:abstractNumId="124">
    <w:nsid w:val="312167AD"/>
    <w:multiLevelType w:val="hybridMultilevel"/>
    <w:lvl w:ilvl="0">
      <w:lvlJc w:val="left"/>
      <w:lvlText w:val="%1"/>
      <w:numFmt w:val="decimal"/>
      <w:start w:val="1"/>
    </w:lvl>
    <w:lvl w:ilvl="1">
      <w:lvlJc w:val="left"/>
      <w:lvlText w:val="(%2)"/>
      <w:numFmt w:val="lowerLetter"/>
      <w:start w:val="4"/>
    </w:lvl>
  </w:abstractNum>
  <w:abstractNum w:abstractNumId="125">
    <w:nsid w:val="631B64D4"/>
    <w:multiLevelType w:val="hybridMultilevel"/>
    <w:lvl w:ilvl="0">
      <w:lvlJc w:val="left"/>
      <w:lvlText w:val="%1."/>
      <w:numFmt w:val="decimal"/>
      <w:start w:val="4"/>
    </w:lvl>
    <w:lvl w:ilvl="1">
      <w:lvlJc w:val="left"/>
      <w:lvlText w:val="(%2)"/>
      <w:numFmt w:val="lowerLetter"/>
      <w:start w:val="2"/>
    </w:lvl>
  </w:abstractNum>
  <w:abstractNum w:abstractNumId="126">
    <w:nsid w:val="78B5E776"/>
    <w:multiLevelType w:val="hybridMultilevel"/>
    <w:lvl w:ilvl="0">
      <w:lvlJc w:val="left"/>
      <w:lvlText w:val="(%1)"/>
      <w:numFmt w:val="lowerRoman"/>
      <w:start w:val="10"/>
    </w:lvl>
    <w:lvl w:ilvl="1">
      <w:lvlJc w:val="left"/>
      <w:lvlText w:val="%2."/>
      <w:numFmt w:val="decimal"/>
      <w:start w:val="5"/>
    </w:lvl>
  </w:abstractNum>
  <w:abstractNum w:abstractNumId="127">
    <w:nsid w:val="75486E47"/>
    <w:multiLevelType w:val="hybridMultilevel"/>
    <w:lvl w:ilvl="0">
      <w:lvlJc w:val="left"/>
      <w:lvlText w:val="%1"/>
      <w:numFmt w:val="decimal"/>
      <w:start w:val="1"/>
    </w:lvl>
    <w:lvl w:ilvl="1">
      <w:lvlJc w:val="left"/>
      <w:lvlText w:val="(%2)"/>
      <w:numFmt w:val="lowerLetter"/>
      <w:start w:val="2"/>
    </w:lvl>
  </w:abstractNum>
  <w:abstractNum w:abstractNumId="128">
    <w:nsid w:val="6E534CDE"/>
    <w:multiLevelType w:val="hybridMultilevel"/>
    <w:lvl w:ilvl="0">
      <w:lvlJc w:val="left"/>
      <w:lvlText w:val="%1."/>
      <w:numFmt w:val="decimal"/>
      <w:start w:val="7"/>
    </w:lvl>
    <w:lvl w:ilvl="1">
      <w:lvlJc w:val="left"/>
      <w:lvlText w:val="%2"/>
      <w:numFmt w:val="lowerLetter"/>
      <w:start w:val="1"/>
    </w:lvl>
  </w:abstractNum>
  <w:abstractNum w:abstractNumId="129">
    <w:nsid w:val="1A0DDE32"/>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2"/>
    </w:lvl>
  </w:abstractNum>
  <w:abstractNum w:abstractNumId="130">
    <w:nsid w:val="65968C1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31">
    <w:nsid w:val="46263DEC"/>
    <w:multiLevelType w:val="hybridMultilevel"/>
    <w:lvl w:ilvl="0">
      <w:lvlJc w:val="left"/>
      <w:lvlText w:val="%1."/>
      <w:numFmt w:val="decimal"/>
      <w:start w:val="9"/>
    </w:lvl>
    <w:lvl w:ilvl="1">
      <w:lvlJc w:val="left"/>
      <w:lvlText w:val="(%2)"/>
      <w:numFmt w:val="lowerLetter"/>
      <w:start w:val="2"/>
    </w:lvl>
  </w:abstractNum>
  <w:abstractNum w:abstractNumId="132">
    <w:nsid w:val="260D8C4A"/>
    <w:multiLevelType w:val="hybridMultilevel"/>
    <w:lvl w:ilvl="0">
      <w:lvlJc w:val="left"/>
      <w:lvlText w:val="%1."/>
      <w:numFmt w:val="decimal"/>
      <w:start w:val="13"/>
    </w:lvl>
  </w:abstractNum>
  <w:abstractNum w:abstractNumId="133">
    <w:nsid w:val="73D4D3C4"/>
    <w:multiLevelType w:val="hybridMultilevel"/>
    <w:lvl w:ilvl="0">
      <w:lvlJc w:val="left"/>
      <w:lvlText w:val="%1."/>
      <w:numFmt w:val="decimal"/>
      <w:start w:val="17"/>
    </w:lvl>
  </w:abstractNum>
  <w:abstractNum w:abstractNumId="134">
    <w:nsid w:val="746F2E30"/>
    <w:multiLevelType w:val="hybridMultilevel"/>
    <w:lvl w:ilvl="0">
      <w:lvlJc w:val="left"/>
      <w:lvlText w:val="(%1)"/>
      <w:numFmt w:val="decimal"/>
      <w:start w:val="1"/>
    </w:lvl>
    <w:lvl w:ilvl="1">
      <w:lvlJc w:val="left"/>
      <w:lvlText w:val="(%2)"/>
      <w:numFmt w:val="lowerRoman"/>
      <w:start w:val="1"/>
    </w:lvl>
  </w:abstractNum>
  <w:abstractNum w:abstractNumId="135">
    <w:nsid w:val="6FDE8AF6"/>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136">
    <w:nsid w:val="3FC32E20"/>
    <w:multiLevelType w:val="hybridMultilevel"/>
    <w:lvl w:ilvl="0">
      <w:lvlJc w:val="left"/>
      <w:lvlText w:val="(%1)"/>
      <w:numFmt w:val="decimal"/>
      <w:start w:val="1"/>
    </w:lvl>
    <w:lvl w:ilvl="1">
      <w:lvlJc w:val="left"/>
      <w:lvlText w:val="(%2)"/>
      <w:numFmt w:val="decimal"/>
      <w:start w:val="2"/>
    </w:lvl>
    <w:lvl w:ilvl="2">
      <w:lvlJc w:val="left"/>
      <w:lvlText w:val="(%3)"/>
      <w:numFmt w:val="upperLetter"/>
      <w:start w:val="3"/>
    </w:lvl>
  </w:abstractNum>
  <w:abstractNum w:abstractNumId="137">
    <w:nsid w:val="49C0E823"/>
    <w:multiLevelType w:val="hybridMultilevel"/>
    <w:lvl w:ilvl="0">
      <w:lvlJc w:val="left"/>
      <w:lvlText w:val="%1."/>
      <w:numFmt w:val="decimal"/>
      <w:start w:val="1"/>
    </w:lvl>
    <w:lvl w:ilvl="1">
      <w:lvlJc w:val="left"/>
      <w:lvlText w:val="(%2)"/>
      <w:numFmt w:val="lowerLetter"/>
      <w:start w:val="1"/>
    </w:lvl>
  </w:abstractNum>
  <w:abstractNum w:abstractNumId="138">
    <w:nsid w:val="14D53685"/>
    <w:multiLevelType w:val="hybridMultilevel"/>
    <w:lvl w:ilvl="0">
      <w:lvlJc w:val="left"/>
      <w:lvlText w:val="(%1)"/>
      <w:numFmt w:val="lowerLetter"/>
      <w:start w:val="4"/>
    </w:lvl>
    <w:lvl w:ilvl="1">
      <w:lvlJc w:val="left"/>
      <w:lvlText w:val="(%2)"/>
      <w:numFmt w:val="lowerRoman"/>
      <w:start w:val="1"/>
    </w:lvl>
  </w:abstractNum>
  <w:abstractNum w:abstractNumId="139">
    <w:nsid w:val="230F856C"/>
    <w:multiLevelType w:val="hybridMultilevel"/>
    <w:lvl w:ilvl="0">
      <w:lvlJc w:val="left"/>
      <w:lvlText w:val="(%1)"/>
      <w:numFmt w:val="lowerLetter"/>
      <w:start w:val="5"/>
    </w:lvl>
    <w:lvl w:ilvl="1">
      <w:lvlJc w:val="left"/>
      <w:lvlText w:val="(%2)"/>
      <w:numFmt w:val="lowerLetter"/>
      <w:start w:val="9"/>
    </w:lvl>
  </w:abstractNum>
  <w:abstractNum w:abstractNumId="140">
    <w:nsid w:val="6EAA85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41">
    <w:nsid w:val="3F06ECB2"/>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142">
    <w:nsid w:val="3B594807"/>
    <w:multiLevelType w:val="hybridMultilevel"/>
    <w:lvl w:ilvl="0">
      <w:lvlJc w:val="left"/>
      <w:lvlText w:val="%1"/>
      <w:numFmt w:val="upperLetter"/>
      <w:start w:val="1"/>
    </w:lvl>
    <w:lvl w:ilvl="1">
      <w:lvlJc w:val="left"/>
      <w:lvlText w:val="(%2)"/>
      <w:numFmt w:val="lowerLetter"/>
      <w:start w:val="9"/>
    </w:lvl>
    <w:lvl w:ilvl="2">
      <w:lvlJc w:val="left"/>
      <w:lvlText w:val="(%3)"/>
      <w:numFmt w:val="lowerRoman"/>
      <w:start w:val="1"/>
    </w:lvl>
  </w:abstractNum>
  <w:abstractNum w:abstractNumId="143">
    <w:nsid w:val="6CAA230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144">
    <w:nsid w:val="3F7C2FF4"/>
    <w:multiLevelType w:val="hybridMultilevel"/>
    <w:lvl w:ilvl="0">
      <w:lvlJc w:val="left"/>
      <w:lvlText w:val="(%1)"/>
      <w:numFmt w:val="lowerRoman"/>
      <w:start w:val="4"/>
    </w:lvl>
  </w:abstractNum>
  <w:abstractNum w:abstractNumId="145">
    <w:nsid w:val="25413BEC"/>
    <w:multiLevelType w:val="hybridMultilevel"/>
    <w:lvl w:ilvl="0">
      <w:lvlJc w:val="left"/>
      <w:lvlText w:val="(%1)"/>
      <w:numFmt w:val="lowerLetter"/>
      <w:start w:val="13"/>
    </w:lvl>
  </w:abstractNum>
  <w:abstractNum w:abstractNumId="146">
    <w:nsid w:val="17180B0B"/>
    <w:multiLevelType w:val="hybridMultilevel"/>
    <w:lvl w:ilvl="0">
      <w:lvlJc w:val="left"/>
      <w:lvlText w:val="(%1)"/>
      <w:numFmt w:val="lowerLetter"/>
      <w:start w:val="16"/>
    </w:lvl>
  </w:abstractNum>
  <w:abstractNum w:abstractNumId="147">
    <w:nsid w:val="579328B9"/>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148">
    <w:nsid w:val="5D205E2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9">
    <w:nsid w:val="11CCA8BA"/>
    <w:multiLevelType w:val="hybridMultilevel"/>
    <w:lvl w:ilvl="0">
      <w:lvlJc w:val="left"/>
      <w:lvlText w:val="(%1)"/>
      <w:numFmt w:val="lowerLetter"/>
      <w:start w:val="2"/>
    </w:lvl>
  </w:abstractNum>
  <w:abstractNum w:abstractNumId="150">
    <w:nsid w:val="4D32AB86"/>
    <w:multiLevelType w:val="hybridMultilevel"/>
    <w:lvl w:ilvl="0">
      <w:lvlJc w:val="left"/>
      <w:lvlText w:val="%1"/>
      <w:numFmt w:val="decimal"/>
      <w:start w:val="1"/>
    </w:lvl>
    <w:lvl w:ilvl="1">
      <w:lvlJc w:val="left"/>
      <w:lvlText w:val="(%2)"/>
      <w:numFmt w:val="lowerLetter"/>
      <w:start w:val="4"/>
    </w:lvl>
  </w:abstractNum>
  <w:abstractNum w:abstractNumId="151">
    <w:nsid w:val="3F07ACC3"/>
    <w:multiLevelType w:val="hybridMultilevel"/>
    <w:lvl w:ilvl="0">
      <w:lvlJc w:val="left"/>
      <w:lvlText w:val="%1."/>
      <w:numFmt w:val="decimal"/>
      <w:start w:val="4"/>
    </w:lvl>
    <w:lvl w:ilvl="1">
      <w:lvlJc w:val="left"/>
      <w:lvlText w:val="(%2)"/>
      <w:numFmt w:val="lowerLetter"/>
      <w:start w:val="2"/>
    </w:lvl>
  </w:abstractNum>
  <w:abstractNum w:abstractNumId="152">
    <w:nsid w:val="6B47F63E"/>
    <w:multiLevelType w:val="hybridMultilevel"/>
    <w:lvl w:ilvl="0">
      <w:lvlJc w:val="left"/>
      <w:lvlText w:val="(%1)"/>
      <w:numFmt w:val="lowerRoman"/>
      <w:start w:val="10"/>
    </w:lvl>
    <w:lvl w:ilvl="1">
      <w:lvlJc w:val="left"/>
      <w:lvlText w:val="%2."/>
      <w:numFmt w:val="decimal"/>
      <w:start w:val="5"/>
    </w:lvl>
  </w:abstractNum>
  <w:abstractNum w:abstractNumId="153">
    <w:nsid w:val="5CB44A05"/>
    <w:multiLevelType w:val="hybridMultilevel"/>
    <w:lvl w:ilvl="0">
      <w:lvlJc w:val="left"/>
      <w:lvlText w:val="%1"/>
      <w:numFmt w:val="decimal"/>
      <w:start w:val="1"/>
    </w:lvl>
    <w:lvl w:ilvl="1">
      <w:lvlJc w:val="left"/>
      <w:lvlText w:val="(%2)"/>
      <w:numFmt w:val="lowerLetter"/>
      <w:start w:val="2"/>
    </w:lvl>
  </w:abstractNum>
  <w:abstractNum w:abstractNumId="154">
    <w:nsid w:val="16CF80F1"/>
    <w:multiLevelType w:val="hybridMultilevel"/>
    <w:lvl w:ilvl="0">
      <w:lvlJc w:val="left"/>
      <w:lvlText w:val="%1."/>
      <w:numFmt w:val="decimal"/>
      <w:start w:val="7"/>
    </w:lvl>
    <w:lvl w:ilvl="1">
      <w:lvlJc w:val="left"/>
      <w:lvlText w:val="%2"/>
      <w:numFmt w:val="lowerLetter"/>
      <w:start w:val="1"/>
    </w:lvl>
  </w:abstractNum>
  <w:abstractNum w:abstractNumId="155">
    <w:nsid w:val="1C695DE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2"/>
    </w:lvl>
  </w:abstractNum>
  <w:abstractNum w:abstractNumId="156">
    <w:nsid w:val="3FCFAED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57">
    <w:nsid w:val="F856867"/>
    <w:multiLevelType w:val="hybridMultilevel"/>
    <w:lvl w:ilvl="0">
      <w:lvlJc w:val="left"/>
      <w:lvlText w:val="%1."/>
      <w:numFmt w:val="decimal"/>
      <w:start w:val="9"/>
    </w:lvl>
    <w:lvl w:ilvl="1">
      <w:lvlJc w:val="left"/>
      <w:lvlText w:val="(%2)"/>
      <w:numFmt w:val="lowerLetter"/>
      <w:start w:val="2"/>
    </w:lvl>
  </w:abstractNum>
  <w:abstractNum w:abstractNumId="158">
    <w:nsid w:val="11B1CC33"/>
    <w:multiLevelType w:val="hybridMultilevel"/>
    <w:lvl w:ilvl="0">
      <w:lvlJc w:val="left"/>
      <w:lvlText w:val="%1."/>
      <w:numFmt w:val="decimal"/>
      <w:start w:val="13"/>
    </w:lvl>
  </w:abstractNum>
  <w:abstractNum w:abstractNumId="159">
    <w:nsid w:val="2E22FBB7"/>
    <w:multiLevelType w:val="hybridMultilevel"/>
    <w:lvl w:ilvl="0">
      <w:lvlJc w:val="left"/>
      <w:lvlText w:val="%1."/>
      <w:numFmt w:val="decimal"/>
      <w:start w:val="17"/>
    </w:lvl>
  </w:abstractNum>
  <w:abstractNum w:abstractNumId="160">
    <w:nsid w:val="29934699"/>
    <w:multiLevelType w:val="hybridMultilevel"/>
    <w:lvl w:ilvl="0">
      <w:lvlJc w:val="left"/>
      <w:lvlText w:val="(%1)"/>
      <w:numFmt w:val="decimal"/>
      <w:start w:val="1"/>
    </w:lvl>
    <w:lvl w:ilvl="1">
      <w:lvlJc w:val="left"/>
      <w:lvlText w:val="(%2)"/>
      <w:numFmt w:val="lowerRoman"/>
      <w:start w:val="1"/>
    </w:lvl>
  </w:abstractNum>
  <w:abstractNum w:abstractNumId="161">
    <w:nsid w:val="77485850"/>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162">
    <w:nsid w:val="744939A3"/>
    <w:multiLevelType w:val="hybridMultilevel"/>
    <w:lvl w:ilvl="0">
      <w:lvlJc w:val="left"/>
      <w:lvlText w:val="(%1)"/>
      <w:numFmt w:val="decimal"/>
      <w:start w:val="1"/>
    </w:lvl>
    <w:lvl w:ilvl="1">
      <w:lvlJc w:val="left"/>
      <w:lvlText w:val="(%2)"/>
      <w:numFmt w:val="decimal"/>
      <w:start w:val="2"/>
    </w:lvl>
    <w:lvl w:ilvl="2">
      <w:lvlJc w:val="left"/>
      <w:lvlText w:val="(%3)"/>
      <w:numFmt w:val="upperLetter"/>
      <w:start w:val="3"/>
    </w:lvl>
  </w:abstractNum>
  <w:abstractNum w:abstractNumId="163">
    <w:nsid w:val="4FA0D2E3"/>
    <w:multiLevelType w:val="hybridMultilevel"/>
    <w:lvl w:ilvl="0">
      <w:lvlJc w:val="left"/>
      <w:lvlText w:val="(*)"/>
      <w:numFmt w:val="bullet"/>
      <w:start w:val="1"/>
    </w:lvl>
  </w:abstractNum>
  <w:abstractNum w:abstractNumId="164">
    <w:nsid w:val="6B1D2C14"/>
    <w:multiLevelType w:val="hybridMultilevel"/>
    <w:lvl w:ilvl="0">
      <w:lvlJc w:val="left"/>
      <w:lvlText w:val="•"/>
      <w:numFmt w:val="bullet"/>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2019-12-13T15:10:04Z</dcterms:created>
  <dcterms:modified xsi:type="dcterms:W3CDTF">2019-12-13T15:10:04Z</dcterms:modified>
</cp:coreProperties>
</file>