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December 12, 2006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ABM Industries Incorporated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ind w:left="1360"/>
              <w:spacing w:after="0"/>
              <w:rPr>
                <w:sz w:val="20"/>
                <w:szCs w:val="20"/>
                <w:color w:val="auto"/>
              </w:rPr>
            </w:pPr>
            <w:r>
              <w:rPr>
                <w:rFonts w:ascii="Arial" w:cs="Arial" w:eastAsia="Arial" w:hAnsi="Arial"/>
                <w:sz w:val="18"/>
                <w:szCs w:val="18"/>
                <w:b w:val="1"/>
                <w:bCs w:val="1"/>
                <w:color w:val="auto"/>
              </w:rPr>
              <w:t>Delaware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1-8929</w:t>
            </w:r>
          </w:p>
        </w:tc>
        <w:tc>
          <w:tcPr>
            <w:tcW w:w="144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94-1369354</w:t>
            </w:r>
          </w:p>
        </w:tc>
      </w:tr>
      <w:tr>
        <w:trPr>
          <w:trHeight w:val="209"/>
        </w:trPr>
        <w:tc>
          <w:tcPr>
            <w:tcW w:w="34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(State or other jurisdiction</w:t>
            </w:r>
          </w:p>
        </w:tc>
        <w:tc>
          <w:tcPr>
            <w:tcW w:w="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3"/>
          </w:tcPr>
          <w:p>
            <w:pPr>
              <w:jc w:val="center"/>
              <w:ind w:right="960"/>
              <w:spacing w:after="0"/>
              <w:rPr>
                <w:sz w:val="20"/>
                <w:szCs w:val="20"/>
                <w:color w:val="auto"/>
              </w:rPr>
            </w:pPr>
            <w:r>
              <w:rPr>
                <w:rFonts w:ascii="Arial" w:cs="Arial" w:eastAsia="Arial" w:hAnsi="Arial"/>
                <w:sz w:val="18"/>
                <w:szCs w:val="18"/>
                <w:color w:val="auto"/>
                <w:w w:val="93"/>
              </w:rPr>
              <w:t>(Commission File</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gridSpan w:val="3"/>
          </w:tcPr>
          <w:p>
            <w:pPr>
              <w:ind w:left="760"/>
              <w:spacing w:after="0"/>
              <w:rPr>
                <w:sz w:val="20"/>
                <w:szCs w:val="20"/>
                <w:color w:val="auto"/>
              </w:rPr>
            </w:pPr>
            <w:r>
              <w:rPr>
                <w:rFonts w:ascii="Arial" w:cs="Arial" w:eastAsia="Arial" w:hAnsi="Arial"/>
                <w:sz w:val="18"/>
                <w:szCs w:val="18"/>
                <w:color w:val="auto"/>
              </w:rPr>
              <w:t>of incorporation) Number)</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98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160 Pacific Avenue, Suite 222, San Francisco, California</w:t>
            </w:r>
          </w:p>
        </w:tc>
        <w:tc>
          <w:tcPr>
            <w:tcW w:w="4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94111</w:t>
            </w:r>
          </w:p>
        </w:tc>
      </w:tr>
      <w:tr>
        <w:trPr>
          <w:trHeight w:val="224"/>
        </w:trPr>
        <w:tc>
          <w:tcPr>
            <w:tcW w:w="4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(415) 733-4000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line="273" w:lineRule="auto"/>
        <w:rPr>
          <w:sz w:val="20"/>
          <w:szCs w:val="20"/>
          <w:color w:val="auto"/>
        </w:rPr>
      </w:pPr>
      <w:r>
        <w:rPr>
          <w:rFonts w:ascii="Arial" w:cs="Arial" w:eastAsia="Arial" w:hAnsi="Arial"/>
          <w:sz w:val="17"/>
          <w:szCs w:val="17"/>
          <w:i w:val="1"/>
          <w:iCs w:val="1"/>
          <w:color w:val="auto"/>
        </w:rPr>
        <w:t>ABM Industries Incorporated (“ABM” or the “Company”) filed a Current Report on Form 8-K on December 13, 2006 (the “Original Form 8-K”), to report the issuance of three press releases, announcing (1) the Company’s financial results for its fiscal year 2006 and the fourth quarter of fiscal year 2006 (Exhibit 99.1), (2) the declaration of a quarterly dividend (Exhibit 99.2), and (3) authorization by the Company’s Board of Directors of the purchase by the Company of up to 2,000,000 shares of its common stock, which purchases may be made at any time through October 31, 2007 (Exhibit 99.3). The Company is filing this Form 8-K/A to file a corrected Exhibit 99.3, which through administrative error had incorrectly indicated that the share buyback period would end October 31, 2006. Items 2.02, 8.01 and 9.01 are unchanged from the Original Form 8-K, as are Exhibits 99.1 and 99.2.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2.02 </w:t>
      </w:r>
      <w:r>
        <w:rPr>
          <w:rFonts w:ascii="Arial" w:cs="Arial" w:eastAsia="Arial" w:hAnsi="Arial"/>
          <w:sz w:val="18"/>
          <w:szCs w:val="18"/>
          <w:u w:val="single" w:color="auto"/>
          <w:color w:val="auto"/>
        </w:rPr>
        <w:t>Results of Operations and Financial Condition.</w:t>
      </w:r>
    </w:p>
    <w:p>
      <w:pPr>
        <w:spacing w:after="0" w:line="117"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On December 12, 2006, ABM Industries Incorporated (the “Company”) issued a press release announcing financial results related to fiscal year 2006 and the fourth quarter of fiscal year 2006. A copy of the press release is attached as Exhibit 99.1, which is incorporated into this item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8.01 </w:t>
      </w:r>
      <w:r>
        <w:rPr>
          <w:rFonts w:ascii="Arial" w:cs="Arial" w:eastAsia="Arial" w:hAnsi="Arial"/>
          <w:sz w:val="18"/>
          <w:szCs w:val="18"/>
          <w:u w:val="single" w:color="auto"/>
          <w:color w:val="auto"/>
        </w:rPr>
        <w:t>Other Events.</w:t>
      </w:r>
    </w:p>
    <w:p>
      <w:pPr>
        <w:spacing w:after="0" w:line="117"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On December 12, 2006, the Board of Directors of the Company declared a quarterly dividend of $0.12 per share, payable on February 5, 2007 to stockholders of record on January 12, 2007. A copy of the press release announcing the declaration of the dividend is attached as Exhibit 99.2, which is incorporated into this item by reference.</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addition, on December 12, 2006, the Board of Directors of the Company authorized the purchase of up to 2,000,000 shares of the Company’s common stock, which purchases may be made at any time through October 31, 2007. A copy of the press release announcing the authorization of the common stock repurchase is attached as Exhibit 99.3, which is incorporated into this item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9.01 </w:t>
      </w:r>
      <w:r>
        <w:rPr>
          <w:rFonts w:ascii="Arial" w:cs="Arial" w:eastAsia="Arial" w:hAnsi="Arial"/>
          <w:sz w:val="18"/>
          <w:szCs w:val="18"/>
          <w:u w:val="single" w:color="auto"/>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440" w:right="40" w:hanging="431"/>
        <w:spacing w:after="0" w:line="277" w:lineRule="auto"/>
        <w:rPr>
          <w:sz w:val="20"/>
          <w:szCs w:val="20"/>
          <w:color w:val="auto"/>
        </w:rPr>
      </w:pPr>
      <w:r>
        <w:rPr>
          <w:rFonts w:ascii="Arial" w:cs="Arial" w:eastAsia="Arial" w:hAnsi="Arial"/>
          <w:sz w:val="18"/>
          <w:szCs w:val="18"/>
          <w:color w:val="auto"/>
        </w:rPr>
        <w:t>99.1 Press Release of ABM Industries Incorporated dated December 12, 2006, announcing financial results related to fiscal year 2006 and the fourth quarter of fiscal year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99.2 Press Release of ABM Industries Incorporated dated December 12, 2006, announcing the declaration of a dividend.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99.3 Press Release of ABM Industries Incorporated dated December 12, 2006, announcing the authorization of the common stock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ABM INDUSTRIES INCORPORATED</w:t>
            </w:r>
          </w:p>
        </w:tc>
        <w:tc>
          <w:tcPr>
            <w:tcW w:w="168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December 14, 2006</w:t>
            </w: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 /s/ George B. Sundby</w:t>
            </w:r>
          </w:p>
        </w:tc>
        <w:tc>
          <w:tcPr>
            <w:tcW w:w="168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George B. Sundby</w:t>
            </w:r>
          </w:p>
        </w:tc>
        <w:tc>
          <w:tcPr>
            <w:tcW w:w="168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6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632"/>
        </w:trPr>
        <w:tc>
          <w:tcPr>
            <w:tcW w:w="36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99.1 Press Release of ABM Industries Incorporated dated December 12, 2006, announcing financial results related to fiscal year 2006 and the fourth quarter of fiscal year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99.2 Press Release of ABM Industries Incorporated dated December 12, 2006, announcing the declaration of a dividend.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99.3 Press Release of ABM Industries Incorporated dated December 12, 2006, announcing the authorization of the common stock repurchase.</w:t>
      </w:r>
    </w:p>
    <w:p>
      <w:pPr>
        <w:sectPr>
          <w:pgSz w:w="11900" w:h="16838" w:orient="portrait"/>
          <w:cols w:equalWidth="0" w:num="1">
            <w:col w:w="11340"/>
          </w:cols>
          <w:pgMar w:left="240" w:top="1440"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ABM INDUSTRIES ANNOUNCES FOURTH QUARTER AND FISCAL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 2006 FINANCIAL RESULTS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Achieves Record Fourth Quarter Sales and Other Income of $696.7 million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Non-GAAP Operating Earnings of $0.37 for the Fourth Quarter</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SAN FRANCISCO, CA — December 12, 2006 — ABM Industries Incorporated (NYSE:ABM), </w:t>
      </w:r>
      <w:r>
        <w:rPr>
          <w:rFonts w:ascii="Arial" w:cs="Arial" w:eastAsia="Arial" w:hAnsi="Arial"/>
          <w:sz w:val="16"/>
          <w:szCs w:val="16"/>
          <w:color w:val="auto"/>
        </w:rPr>
        <w:t>a leading facility services contractor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today reported income from continuing operations for the fourth quarter of fiscal 2006 of $61.6 million ($1.24 per diluted share), compared to $8.5 million ($0.17 per diluted share) for the prior year fourth quarter. As anticipated, results for the fourth quarter and fiscal year include $45.1 million ($0.91 per diluted share) from the settlement of the World Trade Center insurance claims. Sales and other income for the fourth quarter of fiscal 2006 were</w:t>
      </w:r>
    </w:p>
    <w:p>
      <w:pPr>
        <w:spacing w:after="0" w:line="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$696.7 million, up 5.8% from $658.7 million in the fourth quarter of fiscal 2005. When the Company’s income from settlement of the World Trade Center insurance claims and unusual IT expenses are excluded, the Company’s “Operating Earnings,” a non-GAAP financial measure, for the fourth quarter of 2006 were $18.4 million ($0.37 per diluted share) as compared to $8.5 million ($0.17 per diluted share) in the same quarter of 2005.</w:t>
      </w:r>
    </w:p>
    <w:p>
      <w:pPr>
        <w:spacing w:after="0" w:line="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closed a strong year with solid revenue growth in the fourth quarter, improved margins in our Janitorial, Parking, Security and Engineering segments, and cash flow from operations of nearly $100 million due in large part to the successful resolution of our World Trade Center insurance claims,” commented Henrik C. Slipsager, ABM’s president and chief executive officer. “Our focus and execution on key strategic initiatives continues to enhance our competitive position within the facility services industry. As our customers’ requirements change we must respond by expanding our capabilities and enhancing our service platforms. ABM Engineering, which posted another quarter and year of double digit growth top and bottom line, exemplifies our effort to respond to market demands.”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reported income from continuing operations during the year ended October 31, 2006 of $93.2 million ($1.88 per diluted share) on sales and other income of $2.71 billion, compared to $43.6 million ($0.86 per diluted share) on sales and other income of $2.59 billion for last year. The increase in income from continuing operations was primarily due to the $45.1 million for the settlement of World Trade Center insurance claims and $3.6 million higher benefit from the reduction of the Company’s self insurance reserves related to prior years’ insurance claims. These improvements were partially offset by $2.6 million of share-based compensation costs as a result of the adoption of Statement of Financial Accounting Standards (“SFAS”) No. 123R effective November 1, 2005, and $2.0 million charge related to the outsourcing of the Company’s information technology infrastructure and services in October 2006. When the Company’s income from the settlement of World Trade Center insurance claims and unusual IT expenses are excluded, operating earnings for fiscal year 2006 were $50.2 million ($1.01 per diluted share) compared with $42.8 million ($0.85 per diluted share) in fiscal year 2005.</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reconciliation of non-GAAP operating earnings for the fourth quarter and fiscal year ended October 31, 2006 and applicable prior periods is included in the tables below titled: “Reconciliation of ABM’s Operating Earnings with Income from Continuing Operations (GAAP)”</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Earnings Guidance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Slipsager concluded, “In addition to our business success, our financial position remains very strong. We ended the year with $134.0 million in cash and cash equivalents, $312.5 million in working capital and no long term debt. For the first time in ABM’s history, total assets exceeded $1 billion. Given the strength of our balance sheet and our cash flow from continuing operations, we remain well positioned to continue to expand our business through a combination of acquisitions and organic growth. We expect GAAP basis income from continuing operations for fiscal 2007 will be in the range of $1.00 to $1.05 per diluted share. On a non-GAAP basis, we expect operating earnings for 2007 will be in the range of $1.10 to $1.15 per diluted share the difference being our IT outsourcing initiative.”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On Wednesday, December 13, 2006 at 6:00 a.m. (PST), ABM will host a live webcast of remarks by President and Chief Executive Officer Henrik C. Slipsager, and Executive Vice President and Chief Financial Officer George B. Sundby. The webcast will be accessible at www.irconnect.com/primecast/06/q4/abm4q2006.html. Listeners are asked to be online at least fifteen minutes early to register, as well as to download and install any complimentary audio software that might be required. Following the call, the webcast will be available at this URL for a period of three months.</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webcast, a limited number of toll-free telephone lines will also be available for listeners who are among the first to call 877-440-9648 within fifteen minutes before the event. Telephonic replays will be accessible during the period from two hours to seven days after the call by dialing 800-642-1687, and then entering ID # 3555439.</w:t>
      </w:r>
    </w:p>
    <w:p>
      <w:pPr>
        <w:spacing w:after="0" w:line="6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u w:val="single" w:color="auto"/>
          <w:color w:val="auto"/>
        </w:rPr>
        <w:t>About ABM Industries</w:t>
      </w:r>
      <w:r>
        <w:rPr>
          <w:rFonts w:ascii="Arial" w:cs="Arial" w:eastAsia="Arial" w:hAnsi="Arial"/>
          <w:sz w:val="16"/>
          <w:szCs w:val="16"/>
          <w:b w:val="1"/>
          <w:bCs w:val="1"/>
          <w:color w:val="auto"/>
        </w:rPr>
        <w:t xml:space="preserve"> </w:t>
      </w:r>
      <w:r>
        <w:rPr>
          <w:rFonts w:ascii="Arial" w:cs="Arial" w:eastAsia="Arial" w:hAnsi="Arial"/>
          <w:sz w:val="16"/>
          <w:szCs w:val="16"/>
          <w:color w:val="auto"/>
        </w:rPr>
        <w:t>ABM Industries Incorporated (NYSE:ABM) is among the largest facility services contractors listed on the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With fiscal 2006 revenues in excess of $2.7 billion and more than 75,000 employees, ABM provides janitorial, parking, security, engineering and lighting services for thousands of commercial, industrial, institutional and retail facilities in hundreds of cities across the United States and British Columbia, Canada. The ABM Family of Services includes ABM Janitorial; Ampco System Parking; ABM Security Services, which includes American Commercial Security Services (ACSS) and Security Services of America (SSA); ABM Facility Services; ABM Engineering; and Amtech Lighting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Statement Under the Private Securities Litigation Reform Act of 1995.</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Cautionary Statement Under the Private Securities Litigation Reform Act of 1995. This press release contains forward-looking statements that set forth management’s anticipated results based on management’s plans and assumptions. Any number of factors could cause the Company’s actual results to differ materially from those anticipated. These risks and uncertainties include, but are not limited to: ; (1) a change in the frequency or severity of claims against the Company, a deterioration in claims management, the cancellation or non-renewal of the Company’s primary insurance policies or a change in our customers’ insurance needs; (2) a change in actuarial analysis that causes an unanticipated change in insurance reserves; (3) inadequate technology systems that cannot support the growth of the business; (4) acquisition activity slows or is unsuccessful; (5) labor disputes that lead to a loss of sales or expense variations; ; (6) a decline in commercial office building occupancy and rental rates lowers sales and profitability; ; (7) financial difficulties or bankruptcy of a major customer; (8) the loss of long-term</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auto"/>
        </w:rPr>
        <w:t>customers; (9) intense competition that lowers revenue or reduces margins; (10) an increase in costs that the Company cannot pass on to customers;</w:t>
      </w:r>
    </w:p>
    <w:p>
      <w:pPr>
        <w:spacing w:after="0" w:line="35" w:lineRule="exact"/>
        <w:rPr>
          <w:sz w:val="20"/>
          <w:szCs w:val="20"/>
          <w:color w:val="auto"/>
        </w:rPr>
      </w:pPr>
    </w:p>
    <w:p>
      <w:pPr>
        <w:ind w:firstLine="8"/>
        <w:spacing w:after="0" w:line="286" w:lineRule="auto"/>
        <w:tabs>
          <w:tab w:leader="none" w:pos="332"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natural disasters or acts of terrorism that disrupt the Company in providing services; (12) significant accounting and other control costs that reduce the Company’s profitability; and (13) other issues and uncertainties that may include: new accounting pronouncements or changes in accounting policies, labor shortages that adversely affect the Company’s ability to employ entry level personnel ,low levels of capital investments by customers, which tend to be cyclical in nature, that adversely impact the results of the Company’s Lighting segment, legislation or other governmental action that detrimentally impacts the Company’s expenses or reduces sales by adversely affecting the Company’s customers, unanticipated adverse jury determinations, judicial rulings or other developments in litigation to which the Company is subject, a reduction or revocation of the Company’s line of credit that increases interest expense and the cost of capital, and the resignation, termination, death or disability of one or more of the Company’s key executives that adversely affects customer retention or day-to-day management of the Company. Additional information regarding these and other risks and uncertainties the Company faces is contained in the Company’s Annual Report on Form 10-K and in other reports it files from time to time with the Securities and Exchange Commission. The Company undertakes no obligation to publicly update forward-looking statements, whether as a result of new information, future events or otherwise.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To supplement ABM’s consolidated condensed financial statements presented on a GAAP basis, ABM uses operating earnings, a non-GAAP measure of income from continuing operations that excludes certain costs, expenses, gains or losses. These adjustments to ABM’s GAAP income from continuing operations are made with the intent of providing both management and investors a better understanding of the underlying operational results and trends and ABM’s marketplace performance. In addition, this non-GAAP measure is among the primary indicators management uses as a basis for planning and forecasting future periods. The presentation of this additional measure, in the aggregate and on a per-share basis, is not meant to be considered in isolation or as a substitute for measures of net income prepared in accordance with generally accepted accounting principles in the United States.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BALANCE SHEET SUMMARY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7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October 31,</w:t>
            </w:r>
          </w:p>
        </w:tc>
        <w:tc>
          <w:tcPr>
            <w:tcW w:w="1140" w:type="dxa"/>
            <w:vAlign w:val="bottom"/>
            <w:gridSpan w:val="4"/>
          </w:tcPr>
          <w:p>
            <w:pPr>
              <w:ind w:left="280"/>
              <w:spacing w:after="0"/>
              <w:rPr>
                <w:sz w:val="20"/>
                <w:szCs w:val="20"/>
                <w:color w:val="auto"/>
              </w:rPr>
            </w:pPr>
            <w:r>
              <w:rPr>
                <w:rFonts w:ascii="Arial" w:cs="Arial" w:eastAsia="Arial" w:hAnsi="Arial"/>
                <w:sz w:val="14"/>
                <w:szCs w:val="14"/>
                <w:b w:val="1"/>
                <w:bCs w:val="1"/>
                <w:color w:val="auto"/>
              </w:rPr>
              <w:t>October 31,</w:t>
            </w:r>
          </w:p>
        </w:tc>
      </w:tr>
      <w:tr>
        <w:trPr>
          <w:trHeight w:val="178"/>
        </w:trPr>
        <w:tc>
          <w:tcPr>
            <w:tcW w:w="20" w:type="dxa"/>
            <w:vAlign w:val="bottom"/>
          </w:tcPr>
          <w:p>
            <w:pPr>
              <w:spacing w:after="0"/>
              <w:rPr>
                <w:sz w:val="15"/>
                <w:szCs w:val="15"/>
                <w:color w:val="auto"/>
              </w:rPr>
            </w:pPr>
          </w:p>
        </w:tc>
        <w:tc>
          <w:tcPr>
            <w:tcW w:w="65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2006</w:t>
            </w: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13"/>
              <w:spacing w:after="0"/>
              <w:rPr>
                <w:sz w:val="20"/>
                <w:szCs w:val="20"/>
                <w:color w:val="auto"/>
              </w:rPr>
            </w:pPr>
            <w:r>
              <w:rPr>
                <w:rFonts w:ascii="Arial" w:cs="Arial" w:eastAsia="Arial" w:hAnsi="Arial"/>
                <w:sz w:val="18"/>
                <w:szCs w:val="18"/>
                <w:color w:val="auto"/>
                <w:w w:val="95"/>
              </w:rPr>
              <w:t>134,001</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56,793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net</w:t>
            </w:r>
          </w:p>
        </w:tc>
        <w:tc>
          <w:tcPr>
            <w:tcW w:w="26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13"/>
              <w:spacing w:after="0"/>
              <w:rPr>
                <w:sz w:val="20"/>
                <w:szCs w:val="20"/>
                <w:color w:val="auto"/>
              </w:rPr>
            </w:pPr>
            <w:r>
              <w:rPr>
                <w:rFonts w:ascii="Arial" w:cs="Arial" w:eastAsia="Arial" w:hAnsi="Arial"/>
                <w:sz w:val="18"/>
                <w:szCs w:val="18"/>
                <w:color w:val="auto"/>
                <w:w w:val="95"/>
              </w:rPr>
              <w:t>383,977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345,104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8"/>
                <w:szCs w:val="18"/>
                <w:color w:val="auto"/>
                <w:w w:val="95"/>
              </w:rPr>
              <w:t>113,763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119,556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13"/>
              <w:spacing w:after="0"/>
              <w:rPr>
                <w:sz w:val="20"/>
                <w:szCs w:val="20"/>
                <w:color w:val="auto"/>
              </w:rPr>
            </w:pPr>
            <w:r>
              <w:rPr>
                <w:rFonts w:ascii="Arial" w:cs="Arial" w:eastAsia="Arial" w:hAnsi="Arial"/>
                <w:sz w:val="18"/>
                <w:szCs w:val="18"/>
                <w:color w:val="auto"/>
                <w:w w:val="95"/>
              </w:rPr>
              <w:t>631,741</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521,453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2680" w:type="dxa"/>
            <w:vAlign w:val="bottom"/>
          </w:tcPr>
          <w:p>
            <w:pPr>
              <w:spacing w:after="0"/>
              <w:rPr>
                <w:sz w:val="18"/>
                <w:szCs w:val="18"/>
                <w:color w:val="auto"/>
              </w:rPr>
            </w:pPr>
          </w:p>
        </w:tc>
        <w:tc>
          <w:tcPr>
            <w:tcW w:w="1040" w:type="dxa"/>
            <w:vAlign w:val="bottom"/>
            <w:gridSpan w:val="3"/>
          </w:tcPr>
          <w:p>
            <w:pPr>
              <w:jc w:val="right"/>
              <w:ind w:right="313"/>
              <w:spacing w:after="0"/>
              <w:rPr>
                <w:sz w:val="20"/>
                <w:szCs w:val="20"/>
                <w:color w:val="auto"/>
              </w:rPr>
            </w:pPr>
            <w:r>
              <w:rPr>
                <w:rFonts w:ascii="Arial" w:cs="Arial" w:eastAsia="Arial" w:hAnsi="Arial"/>
                <w:sz w:val="18"/>
                <w:szCs w:val="18"/>
                <w:color w:val="auto"/>
                <w:w w:val="95"/>
              </w:rPr>
              <w:t>247,888</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243,559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0"/>
              </w:rPr>
              <w:t>23,881</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assets</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8"/>
                <w:szCs w:val="18"/>
                <w:color w:val="auto"/>
                <w:w w:val="95"/>
              </w:rPr>
              <w:t>112,764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114,235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720" w:type="dxa"/>
            <w:vAlign w:val="bottom"/>
            <w:tcBorders>
              <w:bottom w:val="single" w:sz="8" w:color="auto"/>
            </w:tcBorders>
            <w:gridSpan w:val="4"/>
            <w:shd w:val="clear" w:color="auto" w:fill="CCEEFF"/>
          </w:tcPr>
          <w:p>
            <w:pPr>
              <w:jc w:val="right"/>
              <w:ind w:right="313"/>
              <w:spacing w:after="0"/>
              <w:rPr>
                <w:sz w:val="20"/>
                <w:szCs w:val="20"/>
                <w:color w:val="auto"/>
              </w:rPr>
            </w:pPr>
            <w:r>
              <w:rPr>
                <w:rFonts w:ascii="Arial" w:cs="Arial" w:eastAsia="Arial" w:hAnsi="Arial"/>
                <w:sz w:val="18"/>
                <w:szCs w:val="18"/>
                <w:color w:val="auto"/>
              </w:rPr>
              <w:t>$ 1,016,274</w:t>
            </w: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903,710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13"/>
              <w:spacing w:after="0"/>
              <w:rPr>
                <w:sz w:val="20"/>
                <w:szCs w:val="20"/>
                <w:color w:val="auto"/>
              </w:rPr>
            </w:pPr>
            <w:r>
              <w:rPr>
                <w:rFonts w:ascii="Arial" w:cs="Arial" w:eastAsia="Arial" w:hAnsi="Arial"/>
                <w:sz w:val="18"/>
                <w:szCs w:val="18"/>
                <w:color w:val="auto"/>
                <w:w w:val="95"/>
              </w:rPr>
              <w:t>319,285</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275,074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liabilities</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8"/>
                <w:szCs w:val="18"/>
                <w:color w:val="auto"/>
                <w:w w:val="95"/>
              </w:rPr>
              <w:t>155,742</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152,710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6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13"/>
              <w:spacing w:after="0"/>
              <w:rPr>
                <w:sz w:val="20"/>
                <w:szCs w:val="20"/>
                <w:color w:val="auto"/>
              </w:rPr>
            </w:pPr>
            <w:r>
              <w:rPr>
                <w:rFonts w:ascii="Arial" w:cs="Arial" w:eastAsia="Arial" w:hAnsi="Arial"/>
                <w:sz w:val="18"/>
                <w:szCs w:val="18"/>
                <w:color w:val="auto"/>
                <w:w w:val="95"/>
              </w:rPr>
              <w:t>475,027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427,784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Stockholders’ Equity</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8"/>
                <w:szCs w:val="18"/>
                <w:color w:val="auto"/>
                <w:w w:val="95"/>
              </w:rPr>
              <w:t>541,247</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475,926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720" w:type="dxa"/>
            <w:vAlign w:val="bottom"/>
            <w:tcBorders>
              <w:bottom w:val="single" w:sz="8" w:color="auto"/>
            </w:tcBorders>
            <w:gridSpan w:val="4"/>
            <w:shd w:val="clear" w:color="auto" w:fill="CCEEFF"/>
          </w:tcPr>
          <w:p>
            <w:pPr>
              <w:jc w:val="right"/>
              <w:ind w:right="313"/>
              <w:spacing w:after="0"/>
              <w:rPr>
                <w:sz w:val="20"/>
                <w:szCs w:val="20"/>
                <w:color w:val="auto"/>
              </w:rPr>
            </w:pPr>
            <w:r>
              <w:rPr>
                <w:rFonts w:ascii="Arial" w:cs="Arial" w:eastAsia="Arial" w:hAnsi="Arial"/>
                <w:sz w:val="18"/>
                <w:szCs w:val="18"/>
                <w:color w:val="auto"/>
              </w:rPr>
              <w:t>$ 1,016,274</w:t>
            </w: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903,710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580" w:type="dxa"/>
            <w:vAlign w:val="bottom"/>
            <w:gridSpan w:val="2"/>
          </w:tcPr>
          <w:p>
            <w:pPr>
              <w:spacing w:after="0"/>
              <w:rPr>
                <w:sz w:val="20"/>
                <w:szCs w:val="20"/>
                <w:color w:val="auto"/>
              </w:rPr>
            </w:pPr>
            <w:r>
              <w:rPr>
                <w:rFonts w:ascii="Arial" w:cs="Arial" w:eastAsia="Arial" w:hAnsi="Arial"/>
                <w:sz w:val="18"/>
                <w:szCs w:val="18"/>
                <w:color w:val="auto"/>
              </w:rPr>
              <w:t>SELECTED CASH FLOW INFORMATION</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8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Three Months Ended October 31,</w:t>
            </w:r>
          </w:p>
        </w:tc>
      </w:tr>
      <w:tr>
        <w:trPr>
          <w:trHeight w:val="142"/>
        </w:trPr>
        <w:tc>
          <w:tcPr>
            <w:tcW w:w="20" w:type="dxa"/>
            <w:vAlign w:val="bottom"/>
          </w:tcPr>
          <w:p>
            <w:pPr>
              <w:spacing w:after="0"/>
              <w:rPr>
                <w:sz w:val="12"/>
                <w:szCs w:val="12"/>
                <w:color w:val="auto"/>
              </w:rPr>
            </w:pPr>
          </w:p>
        </w:tc>
        <w:tc>
          <w:tcPr>
            <w:tcW w:w="65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continuing operating activities</w:t>
            </w:r>
          </w:p>
        </w:tc>
        <w:tc>
          <w:tcPr>
            <w:tcW w:w="2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97,811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37,309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operational cash flows from discontinued operations</w:t>
            </w:r>
          </w:p>
        </w:tc>
        <w:tc>
          <w:tcPr>
            <w:tcW w:w="2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(7,720)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97,811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29,589</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(2,744)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(7,601)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2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4,781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Stock buyback</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w w:val="92"/>
              </w:rPr>
              <w:t>(12,019)</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6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(5,368)</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8"/>
                <w:szCs w:val="18"/>
                <w:color w:val="auto"/>
                <w:w w:val="90"/>
              </w:rPr>
              <w:t>$ (12,606)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October 31,</w:t>
            </w:r>
          </w:p>
        </w:tc>
      </w:tr>
      <w:tr>
        <w:trPr>
          <w:trHeight w:val="149"/>
        </w:trPr>
        <w:tc>
          <w:tcPr>
            <w:tcW w:w="20" w:type="dxa"/>
            <w:vAlign w:val="bottom"/>
          </w:tcPr>
          <w:p>
            <w:pPr>
              <w:spacing w:after="0"/>
              <w:rPr>
                <w:sz w:val="12"/>
                <w:szCs w:val="12"/>
                <w:color w:val="auto"/>
              </w:rPr>
            </w:pPr>
          </w:p>
        </w:tc>
        <w:tc>
          <w:tcPr>
            <w:tcW w:w="65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continuing operating activities</w:t>
            </w:r>
          </w:p>
        </w:tc>
        <w:tc>
          <w:tcPr>
            <w:tcW w:w="26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53"/>
              <w:spacing w:after="0"/>
              <w:rPr>
                <w:sz w:val="20"/>
                <w:szCs w:val="20"/>
                <w:color w:val="auto"/>
              </w:rPr>
            </w:pPr>
            <w:r>
              <w:rPr>
                <w:rFonts w:ascii="Arial" w:cs="Arial" w:eastAsia="Arial" w:hAnsi="Arial"/>
                <w:sz w:val="18"/>
                <w:szCs w:val="18"/>
                <w:color w:val="auto"/>
                <w:w w:val="84"/>
              </w:rPr>
              <w:t>$ 130,367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operational cash flows from discontinued operations</w:t>
            </w:r>
          </w:p>
        </w:tc>
        <w:tc>
          <w:tcPr>
            <w:tcW w:w="2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(7,348)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253"/>
              <w:spacing w:after="0"/>
              <w:rPr>
                <w:sz w:val="20"/>
                <w:szCs w:val="20"/>
                <w:color w:val="auto"/>
              </w:rPr>
            </w:pPr>
            <w:r>
              <w:rPr>
                <w:rFonts w:ascii="Arial" w:cs="Arial" w:eastAsia="Arial" w:hAnsi="Arial"/>
                <w:sz w:val="18"/>
                <w:szCs w:val="18"/>
                <w:color w:val="auto"/>
                <w:w w:val="84"/>
              </w:rPr>
              <w:t>$ 130,367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8"/>
                <w:szCs w:val="18"/>
                <w:color w:val="auto"/>
                <w:w w:val="90"/>
              </w:rPr>
              <w:t>$ (21,814)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(13,102)</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2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16,193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Stock buyback</w:t>
            </w: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w w:val="92"/>
              </w:rPr>
              <w:t>(25,961)</w:t>
            </w:r>
          </w:p>
        </w:tc>
        <w:tc>
          <w:tcPr>
            <w:tcW w:w="4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6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2"/>
              </w:rPr>
              <w:t>(21,577)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(20,744)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8"/>
                <w:szCs w:val="18"/>
                <w:color w:val="auto"/>
                <w:w w:val="90"/>
              </w:rPr>
              <w:t>$ (31,345)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(30,925)</w:t>
            </w:r>
          </w:p>
        </w:tc>
        <w:tc>
          <w:tcPr>
            <w:tcW w:w="20" w:type="dxa"/>
            <w:vAlign w:val="bottom"/>
          </w:tcPr>
          <w:p>
            <w:pPr>
              <w:spacing w:after="0"/>
              <w:rPr>
                <w:sz w:val="19"/>
                <w:szCs w:val="19"/>
                <w:color w:val="auto"/>
              </w:rPr>
            </w:pPr>
          </w:p>
        </w:tc>
      </w:tr>
      <w:tr>
        <w:trPr>
          <w:trHeight w:val="412"/>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r>
      <w:tr>
        <w:trPr>
          <w:trHeight w:val="226"/>
        </w:trPr>
        <w:tc>
          <w:tcPr>
            <w:tcW w:w="20" w:type="dxa"/>
            <w:vAlign w:val="bottom"/>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INCOME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 October 31,</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(Decrease)</w:t>
            </w: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jc w:val="right"/>
              <w:ind w:right="800"/>
              <w:spacing w:after="0"/>
              <w:rPr>
                <w:sz w:val="20"/>
                <w:szCs w:val="20"/>
                <w:color w:val="auto"/>
              </w:rPr>
            </w:pPr>
            <w:r>
              <w:rPr>
                <w:rFonts w:ascii="Arial" w:cs="Arial" w:eastAsia="Arial" w:hAnsi="Arial"/>
                <w:sz w:val="18"/>
                <w:szCs w:val="18"/>
                <w:color w:val="auto"/>
              </w:rPr>
              <w:t>(UNAUDITED)</w:t>
            </w: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and other income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696,684</w:t>
            </w: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$ 658,706</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80,000</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revenues</w:t>
            </w: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9"/>
              </w:rPr>
              <w:t>776,684</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w w:val="92"/>
              </w:rPr>
              <w:t>658,706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 and cost of goods sold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w w:val="89"/>
              </w:rPr>
              <w:t>610,620</w:t>
            </w:r>
          </w:p>
        </w:tc>
        <w:tc>
          <w:tcPr>
            <w:tcW w:w="5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581,645</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56,265</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61,276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1,336</w:t>
            </w:r>
          </w:p>
        </w:tc>
        <w:tc>
          <w:tcPr>
            <w:tcW w:w="5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1,409</w:t>
            </w: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129</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left w:val="single" w:sz="8" w:color="CCEEFF"/>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expenses</w:t>
            </w: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89"/>
              </w:rPr>
              <w:t>668,350</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w w:val="92"/>
              </w:rPr>
              <w:t>644,501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9"/>
              </w:rPr>
              <w:t>108,334</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14,205</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46,763</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5,711</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61,571</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8,494</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(67)</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sale of discontinued operation, net of income taxes</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61,571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8,427</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1.26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0.17</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1.26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0"/>
        </w:trPr>
        <w:tc>
          <w:tcPr>
            <w:tcW w:w="6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0.17</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color w:val="auto"/>
              </w:rPr>
              <w:t>48,959</w:t>
            </w:r>
          </w:p>
        </w:tc>
        <w:tc>
          <w:tcPr>
            <w:tcW w:w="5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48,922</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49,507</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49,901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left w:val="single" w:sz="8" w:color="CCEEFF"/>
            </w:tcBorders>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4"/>
              </w:rPr>
              <w:t>Year Ended October 31,</w:t>
            </w: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Increase</w:t>
            </w: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2005</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(Decrease)</w:t>
            </w:r>
          </w:p>
        </w:tc>
      </w:tr>
      <w:tr>
        <w:trPr>
          <w:trHeight w:val="216"/>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Sales and other income</w:t>
            </w:r>
          </w:p>
        </w:tc>
        <w:tc>
          <w:tcPr>
            <w:tcW w:w="2660" w:type="dxa"/>
            <w:vAlign w:val="bottom"/>
            <w:gridSpan w:val="5"/>
          </w:tcPr>
          <w:p>
            <w:pPr>
              <w:jc w:val="right"/>
              <w:ind w:right="311"/>
              <w:spacing w:after="0"/>
              <w:rPr>
                <w:sz w:val="20"/>
                <w:szCs w:val="20"/>
                <w:color w:val="auto"/>
              </w:rPr>
            </w:pPr>
            <w:r>
              <w:rPr>
                <w:rFonts w:ascii="Arial" w:cs="Arial" w:eastAsia="Arial" w:hAnsi="Arial"/>
                <w:sz w:val="18"/>
                <w:szCs w:val="18"/>
                <w:color w:val="auto"/>
              </w:rPr>
              <w:t>$ 2,712,668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$ 2,586,566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80,000</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revenues</w:t>
            </w: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8"/>
                <w:szCs w:val="18"/>
                <w:color w:val="auto"/>
                <w:w w:val="89"/>
              </w:rPr>
              <w:t>2,792,668</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2,587,761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 and cost of goods sold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11"/>
              <w:spacing w:after="0"/>
              <w:rPr>
                <w:sz w:val="20"/>
                <w:szCs w:val="20"/>
                <w:color w:val="auto"/>
              </w:rPr>
            </w:pPr>
            <w:r>
              <w:rPr>
                <w:rFonts w:ascii="Arial" w:cs="Arial" w:eastAsia="Arial" w:hAnsi="Arial"/>
                <w:sz w:val="18"/>
                <w:szCs w:val="18"/>
                <w:color w:val="auto"/>
                <w:w w:val="89"/>
              </w:rPr>
              <w:t>2,421,552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2,312,687</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207,116</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204,131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color w:val="auto"/>
                <w:w w:val="97"/>
              </w:rPr>
              <w:t>5,764</w:t>
            </w:r>
          </w:p>
        </w:tc>
        <w:tc>
          <w:tcPr>
            <w:tcW w:w="5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5,673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495</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expenses</w:t>
            </w: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8"/>
                <w:szCs w:val="18"/>
                <w:color w:val="auto"/>
                <w:w w:val="89"/>
              </w:rPr>
              <w:t>2,634,927</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2,523,375</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157,741</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64,386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8"/>
                <w:szCs w:val="18"/>
                <w:color w:val="auto"/>
              </w:rPr>
              <w:t>64,536</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20,832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93,205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43,554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sale of discontinued operation, net of income taxes</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14,221</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8"/>
                <w:szCs w:val="18"/>
                <w:color w:val="auto"/>
              </w:rPr>
              <w:t>93,205</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57,941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Basic</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1.90</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0.88</w:t>
            </w:r>
          </w:p>
        </w:tc>
        <w:tc>
          <w:tcPr>
            <w:tcW w:w="34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0.29</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1.90</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6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1.88</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Gain on sale of discontinued operation</w:t>
            </w:r>
          </w:p>
        </w:tc>
        <w:tc>
          <w:tcPr>
            <w:tcW w:w="1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0.29</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1.88</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11"/>
              <w:spacing w:after="0"/>
              <w:rPr>
                <w:sz w:val="20"/>
                <w:szCs w:val="20"/>
                <w:color w:val="auto"/>
              </w:rPr>
            </w:pPr>
            <w:r>
              <w:rPr>
                <w:rFonts w:ascii="Arial" w:cs="Arial" w:eastAsia="Arial" w:hAnsi="Arial"/>
                <w:sz w:val="18"/>
                <w:szCs w:val="18"/>
                <w:color w:val="auto"/>
              </w:rPr>
              <w:t>49,054</w:t>
            </w:r>
          </w:p>
        </w:tc>
        <w:tc>
          <w:tcPr>
            <w:tcW w:w="5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49,332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49,678</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50,367</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5</w:t>
            </w:r>
          </w:p>
        </w:tc>
      </w:tr>
      <w:tr>
        <w:trPr>
          <w:trHeight w:val="226"/>
        </w:trPr>
        <w:tc>
          <w:tcPr>
            <w:tcW w:w="20" w:type="dxa"/>
            <w:vAlign w:val="bottom"/>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SALES AND OPERATING PROFIT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October 31,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223"/>
        </w:trPr>
        <w:tc>
          <w:tcPr>
            <w:tcW w:w="20" w:type="dxa"/>
            <w:vAlign w:val="bottom"/>
          </w:tcPr>
          <w:p>
            <w:pPr>
              <w:spacing w:after="0"/>
              <w:rPr>
                <w:sz w:val="19"/>
                <w:szCs w:val="19"/>
                <w:color w:val="auto"/>
              </w:rPr>
            </w:pPr>
          </w:p>
        </w:tc>
        <w:tc>
          <w:tcPr>
            <w:tcW w:w="57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4"/>
          </w:tcPr>
          <w:p>
            <w:pPr>
              <w:jc w:val="right"/>
              <w:ind w:right="840"/>
              <w:spacing w:after="0"/>
              <w:rPr>
                <w:sz w:val="20"/>
                <w:szCs w:val="20"/>
                <w:color w:val="auto"/>
              </w:rPr>
            </w:pPr>
            <w:r>
              <w:rPr>
                <w:rFonts w:ascii="Arial" w:cs="Arial" w:eastAsia="Arial" w:hAnsi="Arial"/>
                <w:sz w:val="18"/>
                <w:szCs w:val="18"/>
                <w:color w:val="auto"/>
              </w:rPr>
              <w:t>(UNAUDITED)</w:t>
            </w: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Janitorial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w w:val="92"/>
              </w:rPr>
              <w:t>398,926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$ 383,604</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2"/>
              </w:rPr>
              <w:t>112,530</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106,813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Security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76,873</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73,834</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78,536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62,737</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Lighting</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28,773</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31,138</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1,046</w:t>
            </w:r>
          </w:p>
        </w:tc>
        <w:tc>
          <w:tcPr>
            <w:tcW w:w="4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2"/>
              </w:rPr>
              <w:t>696,684</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$ 658,706</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Janitorial</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22,792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19,959</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4,456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Security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1,887</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1,233</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5,336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Lighting</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(6,683)</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(13,685)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28,463</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14,376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80,000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(171)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2"/>
              </w:rPr>
              <w:t>108,334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8"/>
              </w:rPr>
              <w:t>Year Ended October 31,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91"/>
              <w:spacing w:after="0" w:line="142" w:lineRule="exact"/>
              <w:rPr>
                <w:sz w:val="20"/>
                <w:szCs w:val="20"/>
                <w:color w:val="auto"/>
              </w:rPr>
            </w:pPr>
            <w:r>
              <w:rPr>
                <w:rFonts w:ascii="Arial" w:cs="Arial" w:eastAsia="Arial" w:hAnsi="Arial"/>
                <w:sz w:val="14"/>
                <w:szCs w:val="14"/>
                <w:b w:val="1"/>
                <w:bCs w:val="1"/>
                <w:color w:val="auto"/>
                <w:w w:val="96"/>
              </w:rPr>
              <w:t>2006</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2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216"/>
        </w:trPr>
        <w:tc>
          <w:tcPr>
            <w:tcW w:w="20" w:type="dxa"/>
            <w:vAlign w:val="bottom"/>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and Other Income</w:t>
            </w:r>
          </w:p>
        </w:tc>
        <w:tc>
          <w:tcPr>
            <w:tcW w:w="1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Janitorial</w:t>
            </w:r>
          </w:p>
        </w:tc>
        <w:tc>
          <w:tcPr>
            <w:tcW w:w="3000" w:type="dxa"/>
            <w:vAlign w:val="bottom"/>
            <w:gridSpan w:val="4"/>
          </w:tcPr>
          <w:p>
            <w:pPr>
              <w:jc w:val="right"/>
              <w:ind w:right="331"/>
              <w:spacing w:after="0"/>
              <w:rPr>
                <w:sz w:val="20"/>
                <w:szCs w:val="20"/>
                <w:color w:val="auto"/>
              </w:rPr>
            </w:pPr>
            <w:r>
              <w:rPr>
                <w:rFonts w:ascii="Arial" w:cs="Arial" w:eastAsia="Arial" w:hAnsi="Arial"/>
                <w:sz w:val="18"/>
                <w:szCs w:val="18"/>
                <w:color w:val="auto"/>
              </w:rPr>
              <w:t>$ 1,563,756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$ 1,525,565</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w w:val="86"/>
              </w:rPr>
              <w:t>440,033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409,886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Security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31"/>
              <w:spacing w:after="0"/>
              <w:rPr>
                <w:sz w:val="20"/>
                <w:szCs w:val="20"/>
                <w:color w:val="auto"/>
              </w:rPr>
            </w:pPr>
            <w:r>
              <w:rPr>
                <w:rFonts w:ascii="Arial" w:cs="Arial" w:eastAsia="Arial" w:hAnsi="Arial"/>
                <w:sz w:val="18"/>
                <w:szCs w:val="18"/>
                <w:color w:val="auto"/>
                <w:w w:val="86"/>
              </w:rPr>
              <w:t>307,851</w:t>
            </w: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294,299</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1"/>
              <w:spacing w:after="0"/>
              <w:rPr>
                <w:sz w:val="20"/>
                <w:szCs w:val="20"/>
                <w:color w:val="auto"/>
              </w:rPr>
            </w:pPr>
            <w:r>
              <w:rPr>
                <w:rFonts w:ascii="Arial" w:cs="Arial" w:eastAsia="Arial" w:hAnsi="Arial"/>
                <w:sz w:val="18"/>
                <w:szCs w:val="18"/>
                <w:color w:val="auto"/>
                <w:w w:val="86"/>
              </w:rPr>
              <w:t>285,241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238,794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Lighting</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31"/>
              <w:spacing w:after="0"/>
              <w:rPr>
                <w:sz w:val="20"/>
                <w:szCs w:val="20"/>
                <w:color w:val="auto"/>
              </w:rPr>
            </w:pPr>
            <w:r>
              <w:rPr>
                <w:rFonts w:ascii="Arial" w:cs="Arial" w:eastAsia="Arial" w:hAnsi="Arial"/>
                <w:sz w:val="18"/>
                <w:szCs w:val="18"/>
                <w:color w:val="auto"/>
                <w:w w:val="86"/>
              </w:rPr>
              <w:t>113,014</w:t>
            </w: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116,218</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w:t>
            </w:r>
          </w:p>
        </w:tc>
        <w:tc>
          <w:tcPr>
            <w:tcW w:w="1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2,773</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color w:val="auto"/>
              </w:rPr>
              <w:t>$ 2,712,668</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$ 2,586,566</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Janitorial</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w w:val="87"/>
              </w:rPr>
              <w:t>81,578</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67,754</w:t>
            </w: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Parking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7"/>
              </w:rPr>
              <w:t>13,658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10,527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Security</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4,329</w:t>
            </w: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3,089</w:t>
            </w: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Engineering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7"/>
              </w:rPr>
              <w:t>16,736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Lighting</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rPr>
              <w:t>1,375</w:t>
            </w:r>
          </w:p>
        </w:tc>
        <w:tc>
          <w:tcPr>
            <w:tcW w:w="4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3,805</w:t>
            </w: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71"/>
              <w:spacing w:after="0"/>
              <w:rPr>
                <w:sz w:val="20"/>
                <w:szCs w:val="20"/>
                <w:color w:val="auto"/>
              </w:rPr>
            </w:pPr>
            <w:r>
              <w:rPr>
                <w:rFonts w:ascii="Arial" w:cs="Arial" w:eastAsia="Arial" w:hAnsi="Arial"/>
                <w:sz w:val="18"/>
                <w:szCs w:val="18"/>
                <w:color w:val="auto"/>
                <w:w w:val="92"/>
              </w:rPr>
              <w:t>(39,440)</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(35,300)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Operating profit from continuing operations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Arial" w:cs="Arial" w:eastAsia="Arial" w:hAnsi="Arial"/>
                <w:sz w:val="18"/>
                <w:szCs w:val="18"/>
                <w:color w:val="auto"/>
                <w:w w:val="87"/>
              </w:rPr>
              <w:t>78,236</w:t>
            </w:r>
          </w:p>
        </w:tc>
        <w:tc>
          <w:tcPr>
            <w:tcW w:w="4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64,075</w:t>
            </w: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Gain on insurance claim</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7"/>
              </w:rPr>
              <w:t>80,000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1,195</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(495)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(884)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331"/>
              <w:spacing w:after="0"/>
              <w:rPr>
                <w:sz w:val="20"/>
                <w:szCs w:val="20"/>
                <w:color w:val="auto"/>
              </w:rPr>
            </w:pPr>
            <w:r>
              <w:rPr>
                <w:rFonts w:ascii="Arial" w:cs="Arial" w:eastAsia="Arial" w:hAnsi="Arial"/>
                <w:sz w:val="18"/>
                <w:szCs w:val="18"/>
                <w:color w:val="auto"/>
                <w:w w:val="86"/>
              </w:rPr>
              <w:t>157,741</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64,386</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6"/>
        </w:trPr>
        <w:tc>
          <w:tcPr>
            <w:tcW w:w="20" w:type="dxa"/>
            <w:vAlign w:val="bottom"/>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Reconciliation of ABM’s Operating Earnings with Income from Continuing Operations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GAAP to Consolidated Non-GAAP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Quarters ended October 31, 2006 &amp; 2005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color w:val="auto"/>
                <w:w w:val="92"/>
              </w:rPr>
              <w:t>4th Quarter 2006</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2"/>
              </w:rPr>
              <w:t>4th Quarter 2005</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After-tax</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8"/>
              </w:rPr>
              <w:t>After-tax</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108,334</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61,571</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8,494</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WTC Settlement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(80,000)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(45,058)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 Outsourcing Initiatives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3,128</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1,907</w:t>
            </w: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31,462</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18,420</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8,494</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40" w:type="dxa"/>
            <w:vAlign w:val="bottom"/>
            <w:gridSpan w:val="9"/>
          </w:tcPr>
          <w:p>
            <w:pPr>
              <w:spacing w:after="0"/>
              <w:rPr>
                <w:sz w:val="20"/>
                <w:szCs w:val="20"/>
                <w:color w:val="auto"/>
              </w:rPr>
            </w:pPr>
            <w:r>
              <w:rPr>
                <w:rFonts w:ascii="Arial" w:cs="Arial" w:eastAsia="Arial" w:hAnsi="Arial"/>
                <w:sz w:val="18"/>
                <w:szCs w:val="18"/>
                <w:b w:val="1"/>
                <w:bCs w:val="1"/>
                <w:color w:val="auto"/>
                <w:w w:val="94"/>
              </w:rPr>
              <w:t>Reconciliation of Consolidated GAAP to Consolidated Non-GAAP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Years ended October 31, 2006 &amp; 2005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color w:val="auto"/>
                <w:w w:val="91"/>
              </w:rPr>
              <w:t>Fiscal Year 2006</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1"/>
              </w:rPr>
              <w:t>Fiscal Year 2005</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After-tax</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Pretax</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8"/>
              </w:rPr>
              <w:t>After-tax</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157,741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93,205</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64,386</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$ 43,554</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Adjustments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WTC Settlement</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(80,000)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(45,058)</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 Outsourcing Initiatives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3,338</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2,035</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81,079</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50,182</w:t>
            </w:r>
          </w:p>
        </w:tc>
        <w:tc>
          <w:tcPr>
            <w:tcW w:w="5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63,191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42,824</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40" w:type="dxa"/>
            <w:vAlign w:val="bottom"/>
            <w:gridSpan w:val="9"/>
          </w:tcPr>
          <w:p>
            <w:pPr>
              <w:spacing w:after="0"/>
              <w:rPr>
                <w:sz w:val="20"/>
                <w:szCs w:val="20"/>
                <w:color w:val="auto"/>
              </w:rPr>
            </w:pPr>
            <w:r>
              <w:rPr>
                <w:rFonts w:ascii="Arial" w:cs="Arial" w:eastAsia="Arial" w:hAnsi="Arial"/>
                <w:sz w:val="18"/>
                <w:szCs w:val="18"/>
                <w:b w:val="1"/>
                <w:bCs w:val="1"/>
                <w:color w:val="auto"/>
                <w:w w:val="94"/>
              </w:rPr>
              <w:t>Reconciliation of Consolidated GAAP to Consolidated Non-GAAP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Earnings Guidance for 2007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color w:val="auto"/>
                <w:w w:val="93"/>
              </w:rPr>
              <w:t>Fiscal Year 2007</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3"/>
              </w:rPr>
              <w:t>Fiscal Year 2006</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Pretax</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420"/>
              <w:spacing w:after="0" w:line="142" w:lineRule="exact"/>
              <w:rPr>
                <w:sz w:val="20"/>
                <w:szCs w:val="20"/>
                <w:color w:val="auto"/>
              </w:rPr>
            </w:pPr>
            <w:r>
              <w:rPr>
                <w:rFonts w:ascii="Arial" w:cs="Arial" w:eastAsia="Arial" w:hAnsi="Arial"/>
                <w:sz w:val="14"/>
                <w:szCs w:val="14"/>
                <w:color w:val="auto"/>
                <w:w w:val="98"/>
              </w:rPr>
              <w:t>After-tax</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1"/>
              </w:rPr>
              <w:t>Per Share</w:t>
            </w:r>
          </w:p>
        </w:tc>
        <w:tc>
          <w:tcPr>
            <w:tcW w:w="120" w:type="dxa"/>
            <w:vAlign w:val="bottom"/>
            <w:gridSpan w:val="2"/>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Pretax</w:t>
            </w:r>
          </w:p>
        </w:tc>
        <w:tc>
          <w:tcPr>
            <w:tcW w:w="380" w:type="dxa"/>
            <w:vAlign w:val="bottom"/>
          </w:tcPr>
          <w:p>
            <w:pPr>
              <w:spacing w:after="0"/>
              <w:rPr>
                <w:sz w:val="12"/>
                <w:szCs w:val="12"/>
                <w:color w:val="auto"/>
              </w:rPr>
            </w:pPr>
          </w:p>
        </w:tc>
        <w:tc>
          <w:tcPr>
            <w:tcW w:w="1100" w:type="dxa"/>
            <w:vAlign w:val="bottom"/>
            <w:gridSpan w:val="3"/>
          </w:tcPr>
          <w:p>
            <w:pPr>
              <w:jc w:val="center"/>
              <w:ind w:right="420"/>
              <w:spacing w:after="0" w:line="142" w:lineRule="exact"/>
              <w:rPr>
                <w:sz w:val="20"/>
                <w:szCs w:val="20"/>
                <w:color w:val="auto"/>
              </w:rPr>
            </w:pPr>
            <w:r>
              <w:rPr>
                <w:rFonts w:ascii="Arial" w:cs="Arial" w:eastAsia="Arial" w:hAnsi="Arial"/>
                <w:sz w:val="14"/>
                <w:szCs w:val="14"/>
                <w:color w:val="auto"/>
                <w:w w:val="98"/>
              </w:rPr>
              <w:t>After-tax</w:t>
            </w:r>
          </w:p>
        </w:tc>
        <w:tc>
          <w:tcPr>
            <w:tcW w:w="2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2006 Actual</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157,741</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$ 93,205</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 High Estimate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84,000</w:t>
            </w:r>
          </w:p>
        </w:tc>
        <w:tc>
          <w:tcPr>
            <w:tcW w:w="2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51,500</w:t>
            </w:r>
          </w:p>
        </w:tc>
        <w:tc>
          <w:tcPr>
            <w:tcW w:w="3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2007 Low Estimate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49,000</w:t>
            </w:r>
          </w:p>
        </w:tc>
        <w:tc>
          <w:tcPr>
            <w:tcW w:w="380" w:type="dxa"/>
            <w:vAlign w:val="bottom"/>
          </w:tcPr>
          <w:p>
            <w:pPr>
              <w:spacing w:after="0"/>
              <w:rPr>
                <w:sz w:val="20"/>
                <w:szCs w:val="20"/>
                <w:color w:val="auto"/>
              </w:rPr>
            </w:pPr>
          </w:p>
        </w:tc>
        <w:tc>
          <w:tcPr>
            <w:tcW w:w="5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WTC Settlement</w:t>
            </w: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(80,000)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(45,058)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IT Outsourcing Initiatives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3,338</w:t>
            </w: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2,035</w:t>
            </w: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Total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8,000</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(76,662)</w:t>
            </w:r>
          </w:p>
        </w:tc>
        <w:tc>
          <w:tcPr>
            <w:tcW w:w="14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 (43,023)</w:t>
            </w:r>
          </w:p>
        </w:tc>
        <w:tc>
          <w:tcPr>
            <w:tcW w:w="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Operating Earnings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81,079</w:t>
            </w:r>
          </w:p>
        </w:tc>
        <w:tc>
          <w:tcPr>
            <w:tcW w:w="1480" w:type="dxa"/>
            <w:vAlign w:val="bottom"/>
            <w:tcBorders>
              <w:bottom w:val="single" w:sz="8" w:color="auto"/>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$ 50,182</w:t>
            </w:r>
          </w:p>
        </w:tc>
        <w:tc>
          <w:tcPr>
            <w:tcW w:w="4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Operating Earnings - 2007 High Estimate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92,000</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56,500</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Earnings - 2007 Low Estimate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88,000</w:t>
            </w: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54,000</w:t>
            </w:r>
          </w:p>
        </w:tc>
        <w:tc>
          <w:tcPr>
            <w:tcW w:w="3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B. Sundby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(415) 733-4000</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3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99.2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B. Sundby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733-4000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RAISES QUARTERLY DIVIDEND 9.1%</w:t>
      </w:r>
    </w:p>
    <w:p>
      <w:pPr>
        <w:spacing w:after="0" w:line="12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SAN FRANCISCO — December 12, 2006 — The Board of Directors of ABM Industries Incorporated (NYSE: ABM) has declared an all-time-high first quarter cash dividend of $0.12 per common share payable on February 5, 2007 to stockholders of record on January 12, 2007. This will be ABM’s 163</w:t>
      </w:r>
      <w:r>
        <w:rPr>
          <w:rFonts w:ascii="Arial" w:cs="Arial" w:eastAsia="Arial" w:hAnsi="Arial"/>
          <w:sz w:val="13"/>
          <w:szCs w:val="13"/>
          <w:color w:val="auto"/>
        </w:rPr>
        <w:t>rd</w:t>
      </w:r>
      <w:r>
        <w:rPr>
          <w:rFonts w:ascii="Arial" w:cs="Arial" w:eastAsia="Arial" w:hAnsi="Arial"/>
          <w:sz w:val="16"/>
          <w:szCs w:val="16"/>
          <w:color w:val="auto"/>
        </w:rPr>
        <w:t xml:space="preserve"> consecutive quarterly cash dividend, and is $0.01 (9.1%) above the $0.11 per share quarterly dividend rate declared and paid for the first quarter of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About ABM Industries</w:t>
      </w:r>
    </w:p>
    <w:p>
      <w:pPr>
        <w:spacing w:after="0" w:line="117"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ABM Industries Incorporated (NYSE:ABM) is among the largest facility services contractors listed on the New York Stock Exchange. With fiscal 2006 revenues in excess of $2.7 billion and more than 75,000 employees, ABM provides janitorial, parking, security, engineering and lighting services for thousands of commercial, industrial, institutional and retail facilities in hundreds of cities across the United States and British Columbia, Canada. The ABM Family of Services includes ABM Janitorial; Ampco System Parking; ABM Security Services, which includes American Commercial Security Services (ACSS) and Security Services of America (SSA); ABM Facility Services; ABM Engineering; and Amtech Lighting Services.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93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99.3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AUTHORIZES BUYBACK OF UP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MILLION SHARES OF COMPANY STOCK</w:t>
      </w:r>
    </w:p>
    <w:p>
      <w:pPr>
        <w:spacing w:after="0" w:line="10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SAN FRANCISCO — December 12, 2006 — The Board of Directors of ABM Industries Incorporated (NYSE:ABM) authorized the repurchase of up to two million shares of ABM’s outstanding common stock at any time through October 31, 2007. The authorized purchases would at most approximate four percent of the 48.7 million shares of ABM common stock outstanding on November 30, 2006. The Company’s stock closed today at $20.95.</w:t>
      </w:r>
    </w:p>
    <w:p>
      <w:pPr>
        <w:spacing w:after="0" w:line="57" w:lineRule="exact"/>
        <w:rPr>
          <w:sz w:val="20"/>
          <w:szCs w:val="20"/>
          <w:color w:val="auto"/>
        </w:rPr>
      </w:pPr>
    </w:p>
    <w:p>
      <w:pPr>
        <w:ind w:right="320" w:firstLine="225"/>
        <w:spacing w:after="0" w:line="342" w:lineRule="auto"/>
        <w:rPr>
          <w:sz w:val="20"/>
          <w:szCs w:val="20"/>
          <w:color w:val="auto"/>
        </w:rPr>
      </w:pPr>
      <w:r>
        <w:rPr>
          <w:rFonts w:ascii="Arial" w:cs="Arial" w:eastAsia="Arial" w:hAnsi="Arial"/>
          <w:sz w:val="16"/>
          <w:szCs w:val="16"/>
          <w:color w:val="auto"/>
        </w:rPr>
        <w:t>Purchases would be made from time-to-time through brokers and dealers on the New York Stock Exchange or in privately negotiated transactions with nonaffiliated stockholders. The Company stated that the Board of Directors considers such purchases to be a prudent investment by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About ABM Industries</w:t>
      </w:r>
    </w:p>
    <w:p>
      <w:pPr>
        <w:spacing w:after="0" w:line="117" w:lineRule="exact"/>
        <w:rPr>
          <w:sz w:val="20"/>
          <w:szCs w:val="20"/>
          <w:color w:val="auto"/>
        </w:rPr>
      </w:pPr>
    </w:p>
    <w:p>
      <w:pPr>
        <w:ind w:right="160" w:firstLine="215"/>
        <w:spacing w:after="0" w:line="276" w:lineRule="auto"/>
        <w:rPr>
          <w:sz w:val="20"/>
          <w:szCs w:val="20"/>
          <w:color w:val="auto"/>
        </w:rPr>
      </w:pPr>
      <w:r>
        <w:rPr>
          <w:rFonts w:ascii="Arial" w:cs="Arial" w:eastAsia="Arial" w:hAnsi="Arial"/>
          <w:sz w:val="17"/>
          <w:szCs w:val="17"/>
          <w:color w:val="auto"/>
        </w:rPr>
        <w:t>ABM Industries Incorporated (NYSE:ABM) is among the largest facility services contractors listed on the New York Stock Exchange. With fiscal 2006 revenues in excess of $2.7 billion and more than 75,000 employees, ABM provides janitorial, parking, security, engineering and lighting services for thousands of commercial, industrial, institutional and retail facilities in hundreds of cities across the United States and British Columbia, Canada. The ABM Family of Services includes ABM Janitorial; Ampco System Parking; ABM Security Services, which includes American Commercial Security Services (ACSS) and Security Services of America (SSA); ABM Facility Services; ABM Engineering; and Amtech Lighting Services.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B. Sundby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733-4000</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2019-12-13T15:25:11Z</dcterms:created>
  <dcterms:modified xsi:type="dcterms:W3CDTF">2019-12-13T15:25:11Z</dcterms:modified>
</cp:coreProperties>
</file>