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CHIN DEAN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SVP - Chief Accounting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01/09/2019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1,897</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21,876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01/10/2019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814</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35.19</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21,062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10,472 unvested RSUs and DERs relating to the unvested RSUs, adjusted to reflect the cumulative effect of fractional shares.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By: David R. Goldman,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01/11/2019</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9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undersigned hereby constitutes and appoints Andrea R. Newborn or in her absence, David R. Goldman, his or her true and lawful attorney-in-fact to:</w:t>
      </w:r>
    </w:p>
    <w:p>
      <w:pPr>
        <w:spacing w:after="0" w:line="197" w:lineRule="exact"/>
        <w:rPr>
          <w:sz w:val="20"/>
          <w:szCs w:val="20"/>
          <w:color w:val="auto"/>
        </w:rPr>
      </w:pPr>
    </w:p>
    <w:p>
      <w:pPr>
        <w:jc w:val="both"/>
        <w:ind w:left="1300" w:hanging="1292"/>
        <w:spacing w:after="0" w:line="286"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and file for and on behalf of the undersigned, in the undersigned's capacity as an officer, director, and/or person who holds more than 10% of the stock of ABM Industries Incorporated (the "</w:t>
      </w:r>
      <w:r>
        <w:rPr>
          <w:rFonts w:ascii="Arial" w:cs="Arial" w:eastAsia="Arial" w:hAnsi="Arial"/>
          <w:sz w:val="17"/>
          <w:szCs w:val="17"/>
          <w:u w:val="single" w:color="auto"/>
          <w:color w:val="auto"/>
        </w:rPr>
        <w:t>Company</w:t>
      </w:r>
      <w:r>
        <w:rPr>
          <w:rFonts w:ascii="Arial" w:cs="Arial" w:eastAsia="Arial" w:hAnsi="Arial"/>
          <w:sz w:val="17"/>
          <w:szCs w:val="17"/>
          <w:color w:val="auto"/>
        </w:rPr>
        <w:t>") Forms 3, Forms 4, and Forms 5 in accordance with Section 16(a)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thereunder;</w:t>
      </w:r>
    </w:p>
    <w:p>
      <w:pPr>
        <w:spacing w:after="0" w:line="192" w:lineRule="exact"/>
        <w:rPr>
          <w:rFonts w:ascii="Arial" w:cs="Arial" w:eastAsia="Arial" w:hAnsi="Arial"/>
          <w:sz w:val="17"/>
          <w:szCs w:val="17"/>
          <w:color w:val="auto"/>
        </w:rPr>
      </w:pPr>
    </w:p>
    <w:p>
      <w:pPr>
        <w:jc w:val="both"/>
        <w:ind w:left="1300" w:hanging="1292"/>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3, Forms 4, or Forms 5 and timely file such forms with the United States Securities and Exchange Commission and any other authority; and</w:t>
      </w:r>
    </w:p>
    <w:p>
      <w:pPr>
        <w:spacing w:after="0" w:line="208" w:lineRule="exact"/>
        <w:rPr>
          <w:rFonts w:ascii="Arial" w:cs="Arial" w:eastAsia="Arial" w:hAnsi="Arial"/>
          <w:sz w:val="18"/>
          <w:szCs w:val="18"/>
          <w:color w:val="auto"/>
        </w:rPr>
      </w:pPr>
    </w:p>
    <w:p>
      <w:pPr>
        <w:jc w:val="both"/>
        <w:ind w:left="1300" w:hanging="1292"/>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1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pursuant to this power of attorney.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20"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auto"/>
        </w:rPr>
        <w:t>This Power of Attorney revokes any previously granted Power of Attorney relating to the subject matter hereof and shall remain in full force and effect until the undersigned is no longer required to file Forms 3, Forms 4, and Forms 5 with respect to the undersigned's holdings of and transactions in securities issued by the Company, unless earlier revoked by the undersigned in a signed writing delivered to the attorney-in-fact.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has caused the Power of Attorney to be executed as of this 4th day of December,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Dean A. Chin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Dean A. Chin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Printed Name</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7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2019-12-24T08:04:23Z</dcterms:created>
  <dcterms:modified xsi:type="dcterms:W3CDTF">2019-12-24T08:04:23Z</dcterms:modified>
</cp:coreProperties>
</file>