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FERNANDES ANTHONY G</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ONE LIBERTY PLAZA</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05/01/2017</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2"/>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80" w:type="dxa"/>
            <w:vAlign w:val="bottom"/>
          </w:tcPr>
          <w:p>
            <w:pPr>
              <w:spacing w:after="0"/>
              <w:rPr>
                <w:sz w:val="15"/>
                <w:szCs w:val="15"/>
                <w:color w:val="auto"/>
              </w:rPr>
            </w:pPr>
          </w:p>
        </w:tc>
        <w:tc>
          <w:tcPr>
            <w:tcW w:w="176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jc w:val="right"/>
              <w:ind w:right="115"/>
              <w:spacing w:after="0"/>
              <w:rPr>
                <w:sz w:val="20"/>
                <w:szCs w:val="20"/>
                <w:color w:val="auto"/>
              </w:rPr>
            </w:pPr>
            <w:r>
              <w:rPr>
                <w:rFonts w:ascii="Arial" w:cs="Arial" w:eastAsia="Arial" w:hAnsi="Arial"/>
                <w:sz w:val="18"/>
                <w:szCs w:val="18"/>
                <w:color w:val="0000FF"/>
              </w:rPr>
              <w:t>05/01/2017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w w:val="83"/>
              </w:rPr>
              <w:t>149</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43.39</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43,773</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gridSpan w:val="15"/>
          </w:tcPr>
          <w:p>
            <w:pPr>
              <w:jc w:val="center"/>
              <w:ind w:left="45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6,872 unvested RSUs and 31,431 vested RSUs, the receipt of which has been deferred, and DERs relating to the unvested and vested RSUs, adjusted to reflect the cumulative effect of fractional shares.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05/02/2017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358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2019-12-23T21:48:58Z</dcterms:created>
  <dcterms:modified xsi:type="dcterms:W3CDTF">2019-12-23T21:48:58Z</dcterms:modified>
</cp:coreProperties>
</file>