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04 )*</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69215</wp:posOffset>
            </wp:positionV>
            <wp:extent cx="684784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69215</wp:posOffset>
            </wp:positionV>
            <wp:extent cx="68478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69215</wp:posOffset>
            </wp:positionV>
            <wp:extent cx="68478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69215</wp:posOffset>
            </wp:positionV>
            <wp:extent cx="68478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20" w:hanging="102"/>
        <w:spacing w:after="0"/>
        <w:tabs>
          <w:tab w:leader="none" w:pos="920" w:val="left"/>
        </w:tabs>
        <w:numPr>
          <w:ilvl w:val="1"/>
          <w:numId w:val="1"/>
        </w:numPr>
        <w:rPr>
          <w:rFonts w:ascii="Arial" w:cs="Arial" w:eastAsia="Arial" w:hAnsi="Arial"/>
          <w:sz w:val="18"/>
          <w:szCs w:val="18"/>
          <w:color w:val="auto"/>
        </w:rPr>
      </w:pPr>
      <w:r>
        <w:rPr>
          <w:rFonts w:ascii="Arial" w:cs="Arial" w:eastAsia="Arial" w:hAnsi="Arial"/>
          <w:sz w:val="18"/>
          <w:szCs w:val="18"/>
          <w:color w:val="auto"/>
        </w:rPr>
        <w:t>X ] Rule 13d-1(b)</w:t>
      </w:r>
    </w:p>
    <w:p>
      <w:pPr>
        <w:spacing w:after="0" w:line="15" w:lineRule="exact"/>
        <w:rPr>
          <w:rFonts w:ascii="Arial" w:cs="Arial" w:eastAsia="Arial" w:hAnsi="Arial"/>
          <w:sz w:val="18"/>
          <w:szCs w:val="18"/>
          <w:color w:val="auto"/>
        </w:rPr>
      </w:pPr>
    </w:p>
    <w:p>
      <w:pPr>
        <w:ind w:left="1100" w:hanging="282"/>
        <w:spacing w:after="0"/>
        <w:tabs>
          <w:tab w:leader="none" w:pos="11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9" w:lineRule="exact"/>
        <w:rPr>
          <w:rFonts w:ascii="Arial" w:cs="Arial" w:eastAsia="Arial" w:hAnsi="Arial"/>
          <w:sz w:val="18"/>
          <w:szCs w:val="18"/>
          <w:color w:val="auto"/>
        </w:rPr>
      </w:pPr>
    </w:p>
    <w:p>
      <w:pPr>
        <w:ind w:left="1100" w:hanging="282"/>
        <w:spacing w:after="0"/>
        <w:tabs>
          <w:tab w:leader="none" w:pos="11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45" w:lineRule="exact"/>
        <w:rPr>
          <w:rFonts w:ascii="Arial" w:cs="Arial" w:eastAsia="Arial" w:hAnsi="Arial"/>
          <w:sz w:val="18"/>
          <w:szCs w:val="18"/>
          <w:color w:val="auto"/>
        </w:rPr>
      </w:pPr>
    </w:p>
    <w:p>
      <w:pPr>
        <w:spacing w:after="0" w:line="268"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366395</wp:posOffset>
            </wp:positionV>
            <wp:extent cx="68821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21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No. 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111760</wp:posOffset>
            </wp:positionV>
            <wp:extent cx="684784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40" w:lineRule="exact"/>
        <w:rPr>
          <w:sz w:val="24"/>
          <w:szCs w:val="24"/>
          <w:color w:val="auto"/>
        </w:rPr>
      </w:pPr>
    </w:p>
    <w:p>
      <w:pPr>
        <w:ind w:left="1600" w:hanging="683"/>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jc w:val="both"/>
        <w:ind w:left="1600" w:right="5160"/>
        <w:spacing w:after="0" w:line="281" w:lineRule="auto"/>
        <w:rPr>
          <w:rFonts w:ascii="Arial" w:cs="Arial" w:eastAsia="Arial" w:hAnsi="Arial"/>
          <w:sz w:val="18"/>
          <w:szCs w:val="18"/>
          <w:color w:val="auto"/>
        </w:rPr>
      </w:pPr>
      <w:r>
        <w:rPr>
          <w:rFonts w:ascii="Arial" w:cs="Arial" w:eastAsia="Arial" w:hAnsi="Arial"/>
          <w:sz w:val="16"/>
          <w:szCs w:val="16"/>
          <w:color w:val="auto"/>
        </w:rPr>
        <w:t>Kayne Anderson Rudnick Investment Management, LLC I.R.S. Identification Nos. of above persons (entities only).</w:t>
      </w:r>
    </w:p>
    <w:p>
      <w:pPr>
        <w:spacing w:after="0" w:line="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95-4575414</w:t>
      </w:r>
    </w:p>
    <w:p>
      <w:pPr>
        <w:spacing w:after="0" w:line="353" w:lineRule="exact"/>
        <w:rPr>
          <w:rFonts w:ascii="Arial" w:cs="Arial" w:eastAsia="Arial" w:hAnsi="Arial"/>
          <w:sz w:val="18"/>
          <w:szCs w:val="18"/>
          <w:color w:val="auto"/>
        </w:rPr>
      </w:pPr>
    </w:p>
    <w:p>
      <w:pPr>
        <w:ind w:left="1600" w:hanging="683"/>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-247650</wp:posOffset>
            </wp:positionV>
            <wp:extent cx="684784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(a) [</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8480" w:type="dxa"/>
            <w:vAlign w:val="bottom"/>
          </w:tcPr>
          <w:p>
            <w:pPr>
              <w:ind w:left="16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9200" w:type="dxa"/>
            <w:vAlign w:val="bottom"/>
            <w:tcBorders>
              <w:bottom w:val="single" w:sz="8" w:color="808080"/>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1340" w:type="dxa"/>
            <w:vAlign w:val="bottom"/>
            <w:gridSpan w:val="2"/>
          </w:tcPr>
          <w:p>
            <w:pPr>
              <w:ind w:left="900"/>
              <w:spacing w:after="0"/>
              <w:rPr>
                <w:sz w:val="20"/>
                <w:szCs w:val="20"/>
                <w:color w:val="auto"/>
              </w:rPr>
            </w:pPr>
            <w:r>
              <w:rPr>
                <w:rFonts w:ascii="Arial" w:cs="Arial" w:eastAsia="Arial" w:hAnsi="Arial"/>
                <w:sz w:val="18"/>
                <w:szCs w:val="18"/>
                <w:color w:val="auto"/>
              </w:rPr>
              <w:t>3.</w:t>
            </w:r>
          </w:p>
        </w:tc>
        <w:tc>
          <w:tcPr>
            <w:tcW w:w="9440" w:type="dxa"/>
            <w:vAlign w:val="bottom"/>
            <w:gridSpan w:val="4"/>
          </w:tcPr>
          <w:p>
            <w:pPr>
              <w:ind w:left="2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9200" w:type="dxa"/>
            <w:vAlign w:val="bottom"/>
            <w:tcBorders>
              <w:bottom w:val="single" w:sz="8" w:color="808080"/>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1340" w:type="dxa"/>
            <w:vAlign w:val="bottom"/>
            <w:gridSpan w:val="2"/>
          </w:tcPr>
          <w:p>
            <w:pPr>
              <w:ind w:left="900"/>
              <w:spacing w:after="0"/>
              <w:rPr>
                <w:sz w:val="20"/>
                <w:szCs w:val="20"/>
                <w:color w:val="auto"/>
              </w:rPr>
            </w:pPr>
            <w:r>
              <w:rPr>
                <w:rFonts w:ascii="Arial" w:cs="Arial" w:eastAsia="Arial" w:hAnsi="Arial"/>
                <w:sz w:val="18"/>
                <w:szCs w:val="18"/>
                <w:color w:val="auto"/>
              </w:rPr>
              <w:t>4.</w:t>
            </w:r>
          </w:p>
        </w:tc>
        <w:tc>
          <w:tcPr>
            <w:tcW w:w="9440" w:type="dxa"/>
            <w:vAlign w:val="bottom"/>
            <w:gridSpan w:val="4"/>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80" w:type="dxa"/>
            <w:vAlign w:val="bottom"/>
          </w:tcPr>
          <w:p>
            <w:pPr>
              <w:ind w:left="2380"/>
              <w:spacing w:after="0"/>
              <w:rPr>
                <w:sz w:val="20"/>
                <w:szCs w:val="20"/>
                <w:color w:val="auto"/>
              </w:rPr>
            </w:pPr>
            <w:r>
              <w:rPr>
                <w:rFonts w:ascii="Arial" w:cs="Arial" w:eastAsia="Arial" w:hAnsi="Arial"/>
                <w:sz w:val="18"/>
                <w:szCs w:val="18"/>
                <w:color w:val="auto"/>
              </w:rPr>
              <w:t>Is a California Limited Liability 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8780" w:type="dxa"/>
            <w:vAlign w:val="bottom"/>
            <w:tcBorders>
              <w:bottom w:val="single" w:sz="8" w:color="808080"/>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1340" w:type="dxa"/>
            <w:vAlign w:val="bottom"/>
            <w:gridSpan w:val="2"/>
          </w:tcPr>
          <w:p>
            <w:pPr>
              <w:spacing w:after="0"/>
              <w:rPr>
                <w:sz w:val="20"/>
                <w:szCs w:val="20"/>
                <w:color w:val="auto"/>
              </w:rPr>
            </w:pPr>
            <w:r>
              <w:rPr>
                <w:rFonts w:ascii="Arial" w:cs="Arial" w:eastAsia="Arial" w:hAnsi="Arial"/>
                <w:sz w:val="18"/>
                <w:szCs w:val="18"/>
                <w:color w:val="auto"/>
              </w:rPr>
              <w:t>Number of</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5.</w:t>
            </w:r>
          </w:p>
        </w:tc>
        <w:tc>
          <w:tcPr>
            <w:tcW w:w="8780" w:type="dxa"/>
            <w:vAlign w:val="bottom"/>
            <w:gridSpan w:val="2"/>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80" w:type="dxa"/>
            <w:vAlign w:val="bottom"/>
            <w:gridSpan w:val="2"/>
          </w:tcPr>
          <w:p>
            <w:pPr>
              <w:ind w:left="120"/>
              <w:spacing w:after="0"/>
              <w:rPr>
                <w:sz w:val="20"/>
                <w:szCs w:val="20"/>
                <w:color w:val="auto"/>
              </w:rPr>
            </w:pPr>
            <w:r>
              <w:rPr>
                <w:rFonts w:ascii="Arial" w:cs="Arial" w:eastAsia="Arial" w:hAnsi="Arial"/>
                <w:sz w:val="18"/>
                <w:szCs w:val="18"/>
                <w:color w:val="auto"/>
              </w:rPr>
              <w:t>2,673,680</w:t>
            </w:r>
          </w:p>
        </w:tc>
        <w:tc>
          <w:tcPr>
            <w:tcW w:w="0" w:type="dxa"/>
            <w:vAlign w:val="bottom"/>
          </w:tcPr>
          <w:p>
            <w:pPr>
              <w:spacing w:after="0"/>
              <w:rPr>
                <w:sz w:val="1"/>
                <w:szCs w:val="1"/>
                <w:color w:val="auto"/>
              </w:rPr>
            </w:pPr>
          </w:p>
        </w:tc>
      </w:tr>
      <w:tr>
        <w:trPr>
          <w:trHeight w:val="181"/>
        </w:trPr>
        <w:tc>
          <w:tcPr>
            <w:tcW w:w="1340" w:type="dxa"/>
            <w:vAlign w:val="bottom"/>
            <w:gridSpan w:val="2"/>
          </w:tcPr>
          <w:p>
            <w:pPr>
              <w:spacing w:after="0" w:line="181" w:lineRule="exact"/>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84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340" w:type="dxa"/>
            <w:vAlign w:val="bottom"/>
            <w:gridSpan w:val="2"/>
          </w:tcPr>
          <w:p>
            <w:pPr>
              <w:spacing w:after="0"/>
              <w:rPr>
                <w:sz w:val="20"/>
                <w:szCs w:val="20"/>
                <w:color w:val="auto"/>
              </w:rPr>
            </w:pPr>
            <w:r>
              <w:rPr>
                <w:rFonts w:ascii="Arial" w:cs="Arial" w:eastAsia="Arial" w:hAnsi="Arial"/>
                <w:sz w:val="18"/>
                <w:szCs w:val="18"/>
                <w:color w:val="auto"/>
              </w:rPr>
              <w:t>Owned by</w:t>
            </w:r>
          </w:p>
        </w:tc>
        <w:tc>
          <w:tcPr>
            <w:tcW w:w="660" w:type="dxa"/>
            <w:vAlign w:val="bottom"/>
            <w:gridSpan w:val="2"/>
            <w:vMerge w:val="restart"/>
          </w:tcPr>
          <w:p>
            <w:pPr>
              <w:ind w:left="240"/>
              <w:spacing w:after="0"/>
              <w:rPr>
                <w:sz w:val="20"/>
                <w:szCs w:val="20"/>
                <w:color w:val="auto"/>
              </w:rPr>
            </w:pPr>
            <w:r>
              <w:rPr>
                <w:rFonts w:ascii="Arial" w:cs="Arial" w:eastAsia="Arial" w:hAnsi="Arial"/>
                <w:sz w:val="18"/>
                <w:szCs w:val="18"/>
                <w:color w:val="auto"/>
              </w:rPr>
              <w:t>6.</w:t>
            </w:r>
          </w:p>
        </w:tc>
        <w:tc>
          <w:tcPr>
            <w:tcW w:w="8780" w:type="dxa"/>
            <w:vAlign w:val="bottom"/>
            <w:gridSpan w:val="2"/>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1"/>
        </w:trPr>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Each Reporting</w:t>
            </w:r>
          </w:p>
        </w:tc>
        <w:tc>
          <w:tcPr>
            <w:tcW w:w="660" w:type="dxa"/>
            <w:vAlign w:val="bottom"/>
            <w:gridSpan w:val="2"/>
            <w:vMerge w:val="continue"/>
          </w:tcPr>
          <w:p>
            <w:pPr>
              <w:spacing w:after="0"/>
              <w:rPr>
                <w:sz w:val="12"/>
                <w:szCs w:val="12"/>
                <w:color w:val="auto"/>
              </w:rPr>
            </w:pPr>
          </w:p>
        </w:tc>
        <w:tc>
          <w:tcPr>
            <w:tcW w:w="8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3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Person With:</w:t>
            </w: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40" w:type="dxa"/>
            <w:vAlign w:val="bottom"/>
            <w:gridSpan w:val="2"/>
            <w:vMerge w:val="continue"/>
          </w:tcPr>
          <w:p>
            <w:pPr>
              <w:spacing w:after="0"/>
              <w:rPr>
                <w:sz w:val="8"/>
                <w:szCs w:val="8"/>
                <w:color w:val="auto"/>
              </w:rPr>
            </w:pPr>
          </w:p>
        </w:tc>
        <w:tc>
          <w:tcPr>
            <w:tcW w:w="660" w:type="dxa"/>
            <w:vAlign w:val="bottom"/>
            <w:gridSpan w:val="2"/>
            <w:vMerge w:val="restart"/>
          </w:tcPr>
          <w:p>
            <w:pPr>
              <w:ind w:left="240"/>
              <w:spacing w:after="0"/>
              <w:rPr>
                <w:sz w:val="20"/>
                <w:szCs w:val="20"/>
                <w:color w:val="auto"/>
              </w:rPr>
            </w:pPr>
            <w:r>
              <w:rPr>
                <w:rFonts w:ascii="Arial" w:cs="Arial" w:eastAsia="Arial" w:hAnsi="Arial"/>
                <w:sz w:val="18"/>
                <w:szCs w:val="18"/>
                <w:color w:val="auto"/>
              </w:rPr>
              <w:t>7.</w:t>
            </w:r>
          </w:p>
        </w:tc>
        <w:tc>
          <w:tcPr>
            <w:tcW w:w="8780" w:type="dxa"/>
            <w:vAlign w:val="bottom"/>
            <w:gridSpan w:val="2"/>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87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780" w:type="dxa"/>
            <w:vAlign w:val="bottom"/>
            <w:gridSpan w:val="2"/>
          </w:tcPr>
          <w:p>
            <w:pPr>
              <w:ind w:left="120"/>
              <w:spacing w:after="0"/>
              <w:rPr>
                <w:sz w:val="20"/>
                <w:szCs w:val="20"/>
                <w:color w:val="auto"/>
              </w:rPr>
            </w:pPr>
            <w:r>
              <w:rPr>
                <w:rFonts w:ascii="Arial" w:cs="Arial" w:eastAsia="Arial" w:hAnsi="Arial"/>
                <w:sz w:val="18"/>
                <w:szCs w:val="18"/>
                <w:color w:val="auto"/>
              </w:rPr>
              <w:t>2,673,680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6853555</wp:posOffset>
            </wp:positionH>
            <wp:positionV relativeFrom="paragraph">
              <wp:posOffset>-2120900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-1743075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-1743075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-1245870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-1245870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-748665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-748665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-387985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-387985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102235</wp:posOffset>
            </wp:positionV>
            <wp:extent cx="585279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2795" cy="21590"/>
                    </a:xfrm>
                    <a:prstGeom prst="rect">
                      <a:avLst/>
                    </a:prstGeom>
                    <a:noFill/>
                  </pic:spPr>
                </pic:pic>
              </a:graphicData>
            </a:graphic>
          </wp:anchor>
        </w:drawing>
      </w:r>
    </w:p>
    <w:p>
      <w:pPr>
        <w:sectPr>
          <w:pgSz w:w="11900" w:h="16838" w:orient="portrait"/>
          <w:cols w:equalWidth="0" w:num="1">
            <w:col w:w="10820"/>
          </w:cols>
          <w:pgMar w:left="540" w:top="307" w:right="539" w:bottom="0" w:gutter="0" w:footer="0" w:header="0"/>
        </w:sectPr>
      </w:pPr>
    </w:p>
    <w:bookmarkStart w:id="1" w:name="page2"/>
    <w:bookmarkEnd w:id="1"/>
    <w:p>
      <w:pPr>
        <w:ind w:left="1580"/>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Shared Dispositive Power</w:t>
      </w:r>
    </w:p>
    <w:p>
      <w:pPr>
        <w:spacing w:after="0" w:line="360" w:lineRule="exact"/>
        <w:rPr>
          <w:sz w:val="20"/>
          <w:szCs w:val="20"/>
          <w:color w:val="auto"/>
        </w:rPr>
      </w:pPr>
    </w:p>
    <w:p>
      <w:pPr>
        <w:ind w:left="1580" w:right="4520" w:hanging="683"/>
        <w:spacing w:after="0" w:line="268" w:lineRule="auto"/>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2,673,680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-409575</wp:posOffset>
            </wp:positionV>
            <wp:extent cx="684784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7840" cy="215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86995</wp:posOffset>
            </wp:positionV>
            <wp:extent cx="684784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01" w:lineRule="exact"/>
        <w:rPr>
          <w:sz w:val="20"/>
          <w:szCs w:val="20"/>
          <w:color w:val="auto"/>
        </w:rPr>
      </w:pPr>
    </w:p>
    <w:p>
      <w:pPr>
        <w:ind w:left="900"/>
        <w:spacing w:after="0"/>
        <w:tabs>
          <w:tab w:leader="none" w:pos="1560" w:val="left"/>
          <w:tab w:leader="none" w:pos="798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 (See Instructions)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684784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67" w:lineRule="exact"/>
        <w:rPr>
          <w:sz w:val="20"/>
          <w:szCs w:val="20"/>
          <w:color w:val="auto"/>
        </w:rPr>
      </w:pPr>
    </w:p>
    <w:p>
      <w:pPr>
        <w:ind w:left="1580" w:hanging="683"/>
        <w:spacing w:after="0"/>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107950</wp:posOffset>
            </wp:positionV>
            <wp:extent cx="684784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34" w:lineRule="exact"/>
        <w:rPr>
          <w:sz w:val="20"/>
          <w:szCs w:val="20"/>
          <w:color w:val="auto"/>
        </w:rPr>
      </w:pPr>
    </w:p>
    <w:p>
      <w:pPr>
        <w:ind w:left="1580" w:hanging="683"/>
        <w:spacing w:after="0"/>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684784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784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60" w:type="dxa"/>
            <w:vAlign w:val="bottom"/>
          </w:tcPr>
          <w:p>
            <w:pPr>
              <w:spacing w:after="0"/>
              <w:rPr>
                <w:sz w:val="19"/>
                <w:szCs w:val="19"/>
                <w:color w:val="auto"/>
              </w:rPr>
            </w:pPr>
          </w:p>
        </w:tc>
        <w:tc>
          <w:tcPr>
            <w:tcW w:w="8120" w:type="dxa"/>
            <w:vAlign w:val="bottom"/>
          </w:tcPr>
          <w:p>
            <w:pPr>
              <w:spacing w:after="0"/>
              <w:rPr>
                <w:sz w:val="19"/>
                <w:szCs w:val="19"/>
                <w:color w:val="auto"/>
              </w:rPr>
            </w:pP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(a)</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Name of Issuer</w:t>
            </w:r>
          </w:p>
        </w:tc>
      </w:tr>
      <w:tr>
        <w:trPr>
          <w:trHeight w:val="43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20" w:type="dxa"/>
            <w:vAlign w:val="bottom"/>
          </w:tcPr>
          <w:p>
            <w:pPr>
              <w:ind w:left="240"/>
              <w:spacing w:after="0"/>
              <w:rPr>
                <w:sz w:val="20"/>
                <w:szCs w:val="20"/>
                <w:color w:val="auto"/>
              </w:rPr>
            </w:pPr>
            <w:r>
              <w:rPr>
                <w:rFonts w:ascii="Arial" w:cs="Arial" w:eastAsia="Arial" w:hAnsi="Arial"/>
                <w:sz w:val="18"/>
                <w:szCs w:val="18"/>
                <w:color w:val="auto"/>
              </w:rPr>
              <w:t>ABM Industries Incorporated</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Address of Issuer's Principal Executive Offices</w:t>
            </w:r>
          </w:p>
        </w:tc>
      </w:tr>
      <w:tr>
        <w:trPr>
          <w:trHeight w:val="426"/>
        </w:trPr>
        <w:tc>
          <w:tcPr>
            <w:tcW w:w="760" w:type="dxa"/>
            <w:vAlign w:val="bottom"/>
          </w:tcPr>
          <w:p>
            <w:pPr>
              <w:spacing w:after="0"/>
              <w:rPr>
                <w:sz w:val="24"/>
                <w:szCs w:val="24"/>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160 Pacific Avenue, Suite 222</w:t>
            </w:r>
          </w:p>
        </w:tc>
      </w:tr>
      <w:tr>
        <w:trPr>
          <w:trHeight w:val="222"/>
        </w:trPr>
        <w:tc>
          <w:tcPr>
            <w:tcW w:w="760" w:type="dxa"/>
            <w:vAlign w:val="bottom"/>
          </w:tcPr>
          <w:p>
            <w:pPr>
              <w:spacing w:after="0"/>
              <w:rPr>
                <w:sz w:val="19"/>
                <w:szCs w:val="19"/>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San Francisco, CA 94111</w:t>
            </w:r>
          </w:p>
        </w:tc>
      </w:tr>
      <w:tr>
        <w:trPr>
          <w:trHeight w:val="567"/>
        </w:trPr>
        <w:tc>
          <w:tcPr>
            <w:tcW w:w="7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60" w:type="dxa"/>
            <w:vAlign w:val="bottom"/>
          </w:tcPr>
          <w:p>
            <w:pPr>
              <w:spacing w:after="0"/>
              <w:rPr>
                <w:sz w:val="24"/>
                <w:szCs w:val="24"/>
                <w:color w:val="auto"/>
              </w:rPr>
            </w:pPr>
          </w:p>
        </w:tc>
        <w:tc>
          <w:tcPr>
            <w:tcW w:w="8120" w:type="dxa"/>
            <w:vAlign w:val="bottom"/>
          </w:tcPr>
          <w:p>
            <w:pPr>
              <w:spacing w:after="0"/>
              <w:rPr>
                <w:sz w:val="24"/>
                <w:szCs w:val="24"/>
                <w:color w:val="auto"/>
              </w:rPr>
            </w:pP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(a)</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Name of Person Filing</w:t>
            </w:r>
          </w:p>
        </w:tc>
      </w:tr>
      <w:tr>
        <w:trPr>
          <w:trHeight w:val="432"/>
        </w:trPr>
        <w:tc>
          <w:tcPr>
            <w:tcW w:w="760" w:type="dxa"/>
            <w:vAlign w:val="bottom"/>
          </w:tcPr>
          <w:p>
            <w:pPr>
              <w:spacing w:after="0"/>
              <w:rPr>
                <w:sz w:val="24"/>
                <w:szCs w:val="24"/>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Kayne Anderson Rudnick Investment Management, LLC</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(b)</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26"/>
        </w:trPr>
        <w:tc>
          <w:tcPr>
            <w:tcW w:w="760" w:type="dxa"/>
            <w:vAlign w:val="bottom"/>
          </w:tcPr>
          <w:p>
            <w:pPr>
              <w:spacing w:after="0"/>
              <w:rPr>
                <w:sz w:val="24"/>
                <w:szCs w:val="24"/>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1800 Avenue of the Stars, Second Floor</w:t>
            </w:r>
          </w:p>
        </w:tc>
      </w:tr>
      <w:tr>
        <w:trPr>
          <w:trHeight w:val="222"/>
        </w:trPr>
        <w:tc>
          <w:tcPr>
            <w:tcW w:w="760" w:type="dxa"/>
            <w:vAlign w:val="bottom"/>
          </w:tcPr>
          <w:p>
            <w:pPr>
              <w:spacing w:after="0"/>
              <w:rPr>
                <w:sz w:val="19"/>
                <w:szCs w:val="19"/>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Los Angeles, CA 90067</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(c)</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Citizenship</w:t>
            </w:r>
          </w:p>
        </w:tc>
      </w:tr>
      <w:tr>
        <w:trPr>
          <w:trHeight w:val="432"/>
        </w:trPr>
        <w:tc>
          <w:tcPr>
            <w:tcW w:w="760" w:type="dxa"/>
            <w:vAlign w:val="bottom"/>
          </w:tcPr>
          <w:p>
            <w:pPr>
              <w:spacing w:after="0"/>
              <w:rPr>
                <w:sz w:val="24"/>
                <w:szCs w:val="24"/>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Kayne Anderson Rudnick Investment Management, LLC is a California limited liability company</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(d)</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760" w:type="dxa"/>
            <w:vAlign w:val="bottom"/>
          </w:tcPr>
          <w:p>
            <w:pPr>
              <w:spacing w:after="0"/>
              <w:rPr>
                <w:sz w:val="24"/>
                <w:szCs w:val="24"/>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Common Stock</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(e)</w:t>
            </w: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CUSIP Number</w:t>
            </w:r>
          </w:p>
        </w:tc>
      </w:tr>
      <w:tr>
        <w:trPr>
          <w:trHeight w:val="432"/>
        </w:trPr>
        <w:tc>
          <w:tcPr>
            <w:tcW w:w="760" w:type="dxa"/>
            <w:vAlign w:val="bottom"/>
          </w:tcPr>
          <w:p>
            <w:pPr>
              <w:spacing w:after="0"/>
              <w:rPr>
                <w:sz w:val="24"/>
                <w:szCs w:val="24"/>
                <w:color w:val="auto"/>
              </w:rPr>
            </w:pPr>
          </w:p>
        </w:tc>
        <w:tc>
          <w:tcPr>
            <w:tcW w:w="8380" w:type="dxa"/>
            <w:vAlign w:val="bottom"/>
            <w:gridSpan w:val="2"/>
          </w:tcPr>
          <w:p>
            <w:pPr>
              <w:ind w:left="120"/>
              <w:spacing w:after="0"/>
              <w:rPr>
                <w:sz w:val="20"/>
                <w:szCs w:val="20"/>
                <w:color w:val="auto"/>
              </w:rPr>
            </w:pPr>
            <w:r>
              <w:rPr>
                <w:rFonts w:ascii="Arial" w:cs="Arial" w:eastAsia="Arial" w:hAnsi="Arial"/>
                <w:sz w:val="18"/>
                <w:szCs w:val="18"/>
                <w:color w:val="auto"/>
              </w:rPr>
              <w:t>00957100</w:t>
            </w:r>
          </w:p>
        </w:tc>
      </w:tr>
      <w:tr>
        <w:trPr>
          <w:trHeight w:val="567"/>
        </w:trPr>
        <w:tc>
          <w:tcPr>
            <w:tcW w:w="7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380" w:type="dxa"/>
            <w:vAlign w:val="bottom"/>
            <w:gridSpan w:val="2"/>
          </w:tcPr>
          <w:p>
            <w:pPr>
              <w:ind w:left="120"/>
              <w:spacing w:after="0"/>
              <w:rPr>
                <w:sz w:val="20"/>
                <w:szCs w:val="20"/>
                <w:color w:val="auto"/>
              </w:rPr>
            </w:pPr>
            <w:r>
              <w:rPr>
                <w:rFonts w:ascii="Arial" w:cs="Arial" w:eastAsia="Arial" w:hAnsi="Arial"/>
                <w:sz w:val="18"/>
                <w:szCs w:val="18"/>
                <w:b w:val="1"/>
                <w:bCs w:val="1"/>
                <w:color w:val="auto"/>
                <w:w w:val="87"/>
              </w:rPr>
              <w:t>If this statement is filed pursuant to §§240.13d-1(b) or 240.13d-2(b) or (c), check whether the person filing is a:</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(a)</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120" w:type="dxa"/>
            <w:vAlign w:val="bottom"/>
          </w:tcPr>
          <w:p>
            <w:pPr>
              <w:ind w:left="10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(b)</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120" w:type="dxa"/>
            <w:vAlign w:val="bottom"/>
          </w:tcPr>
          <w:p>
            <w:pPr>
              <w:ind w:left="10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(c)</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120" w:type="dxa"/>
            <w:vAlign w:val="bottom"/>
          </w:tcPr>
          <w:p>
            <w:pPr>
              <w:ind w:left="100"/>
              <w:spacing w:after="0"/>
              <w:rPr>
                <w:sz w:val="20"/>
                <w:szCs w:val="20"/>
                <w:color w:val="auto"/>
              </w:rPr>
            </w:pPr>
            <w:r>
              <w:rPr>
                <w:rFonts w:ascii="Arial" w:cs="Arial" w:eastAsia="Arial" w:hAnsi="Arial"/>
                <w:sz w:val="18"/>
                <w:szCs w:val="18"/>
                <w:color w:val="auto"/>
              </w:rPr>
              <w:t>]  Insurance company as defined in section 3(a)(19) of the Act (15 U.S.C. 78c).</w:t>
            </w:r>
          </w:p>
        </w:tc>
      </w:tr>
      <w:tr>
        <w:trPr>
          <w:trHeight w:val="270"/>
        </w:trPr>
        <w:tc>
          <w:tcPr>
            <w:tcW w:w="760" w:type="dxa"/>
            <w:vAlign w:val="bottom"/>
          </w:tcPr>
          <w:p>
            <w:pPr>
              <w:ind w:left="460"/>
              <w:spacing w:after="0"/>
              <w:rPr>
                <w:sz w:val="20"/>
                <w:szCs w:val="20"/>
                <w:color w:val="auto"/>
              </w:rPr>
            </w:pPr>
            <w:r>
              <w:rPr>
                <w:rFonts w:ascii="Arial" w:cs="Arial" w:eastAsia="Arial" w:hAnsi="Arial"/>
                <w:sz w:val="18"/>
                <w:szCs w:val="18"/>
                <w:color w:val="auto"/>
              </w:rPr>
              <w:t>(d)</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120" w:type="dxa"/>
            <w:vAlign w:val="bottom"/>
          </w:tcPr>
          <w:p>
            <w:pPr>
              <w:ind w:left="100"/>
              <w:spacing w:after="0"/>
              <w:rPr>
                <w:sz w:val="20"/>
                <w:szCs w:val="20"/>
                <w:color w:val="auto"/>
              </w:rPr>
            </w:pPr>
            <w:r>
              <w:rPr>
                <w:rFonts w:ascii="Arial" w:cs="Arial" w:eastAsia="Arial" w:hAnsi="Arial"/>
                <w:sz w:val="18"/>
                <w:szCs w:val="18"/>
                <w:color w:val="auto"/>
                <w:w w:val="92"/>
              </w:rPr>
              <w:t>]  Investment company registered under section 8 of the Investment Company Act of 1940 (15 U.S.C 80a-8).</w:t>
            </w:r>
          </w:p>
        </w:tc>
      </w:tr>
    </w:tbl>
    <w:p>
      <w:pPr>
        <w:spacing w:after="0" w:line="48" w:lineRule="exact"/>
        <w:rPr>
          <w:sz w:val="20"/>
          <w:szCs w:val="20"/>
          <w:color w:val="auto"/>
        </w:rPr>
      </w:pPr>
    </w:p>
    <w:p>
      <w:pPr>
        <w:ind w:left="880" w:hanging="429"/>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 ] An investment adviser in accordance with §240.13d-1(b)(1)(ii)(E);</w:t>
      </w:r>
    </w:p>
    <w:p>
      <w:pPr>
        <w:spacing w:after="0" w:line="6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(f)</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An employee benefit plan or endowment fund in accordance with §240.13d-1(b)(1)(ii)(F);</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(g)</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A parent holding company or control person in accordance with § 240.13d-1(b)(1)(ii)(G);</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(h)</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A savings associations as defined in Section 3(b) of the Federal Deposit Insurance Act (12 U.S.C. 1813);</w:t>
            </w:r>
          </w:p>
        </w:tc>
      </w:tr>
      <w:tr>
        <w:trPr>
          <w:trHeight w:val="264"/>
        </w:trPr>
        <w:tc>
          <w:tcPr>
            <w:tcW w:w="300" w:type="dxa"/>
            <w:vAlign w:val="bottom"/>
          </w:tcPr>
          <w:p>
            <w:pPr>
              <w:spacing w:after="0"/>
              <w:rPr>
                <w:sz w:val="20"/>
                <w:szCs w:val="20"/>
                <w:color w:val="auto"/>
              </w:rPr>
            </w:pPr>
            <w:r>
              <w:rPr>
                <w:rFonts w:ascii="Arial" w:cs="Arial" w:eastAsia="Arial" w:hAnsi="Arial"/>
                <w:sz w:val="18"/>
                <w:szCs w:val="18"/>
                <w:color w:val="auto"/>
              </w:rPr>
              <w:t>(i)</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w w:val="91"/>
              </w:rPr>
              <w:t>]  A church plan that is excluded from the definition of an investment company under section 3(c)(14) of the Investment Company Act</w:t>
            </w:r>
          </w:p>
        </w:tc>
      </w:tr>
      <w:tr>
        <w:trPr>
          <w:trHeight w:val="222"/>
        </w:trPr>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760" w:type="dxa"/>
            <w:vAlign w:val="bottom"/>
          </w:tcPr>
          <w:p>
            <w:pPr>
              <w:ind w:left="300"/>
              <w:spacing w:after="0"/>
              <w:rPr>
                <w:sz w:val="20"/>
                <w:szCs w:val="20"/>
                <w:color w:val="auto"/>
              </w:rPr>
            </w:pPr>
            <w:r>
              <w:rPr>
                <w:rFonts w:ascii="Arial" w:cs="Arial" w:eastAsia="Arial" w:hAnsi="Arial"/>
                <w:sz w:val="18"/>
                <w:szCs w:val="18"/>
                <w:color w:val="auto"/>
              </w:rPr>
              <w:t>of 1940 (15 U.S.C. 80a-3);</w:t>
            </w: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(j)</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760" w:type="dxa"/>
            <w:vAlign w:val="bottom"/>
          </w:tcPr>
          <w:p>
            <w:pPr>
              <w:ind w:left="100"/>
              <w:spacing w:after="0"/>
              <w:rPr>
                <w:sz w:val="20"/>
                <w:szCs w:val="20"/>
                <w:color w:val="auto"/>
              </w:rPr>
            </w:pPr>
            <w:r>
              <w:rPr>
                <w:rFonts w:ascii="Arial" w:cs="Arial" w:eastAsia="Arial" w:hAnsi="Arial"/>
                <w:sz w:val="18"/>
                <w:szCs w:val="18"/>
                <w:color w:val="auto"/>
              </w:rPr>
              <w:t>]  Group, in accordance with §240.13d-1(b)(1)(ii)(J).</w:t>
            </w:r>
          </w:p>
        </w:tc>
      </w:tr>
    </w:tbl>
    <w:p>
      <w:pPr>
        <w:spacing w:after="0" w:line="3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69" w:lineRule="exact"/>
        <w:rPr>
          <w:sz w:val="20"/>
          <w:szCs w:val="20"/>
          <w:color w:val="auto"/>
        </w:rPr>
      </w:pPr>
    </w:p>
    <w:p>
      <w:pPr>
        <w:ind w:left="880" w:hanging="42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ectPr>
          <w:pgSz w:w="11900" w:h="16838" w:orient="portrait"/>
          <w:cols w:equalWidth="0" w:num="1">
            <w:col w:w="10780"/>
          </w:cols>
          <w:pgMar w:left="560" w:top="266" w:right="559" w:bottom="0" w:gutter="0" w:footer="0" w:header="0"/>
        </w:sectPr>
      </w:pPr>
    </w:p>
    <w:bookmarkStart w:id="2" w:name="page3"/>
    <w:bookmarkEnd w:id="2"/>
    <w:p>
      <w:pPr>
        <w:ind w:left="1280"/>
        <w:spacing w:after="0"/>
        <w:rPr>
          <w:sz w:val="20"/>
          <w:szCs w:val="20"/>
          <w:color w:val="auto"/>
        </w:rPr>
      </w:pPr>
      <w:r>
        <w:rPr>
          <w:rFonts w:ascii="Arial" w:cs="Arial" w:eastAsia="Arial" w:hAnsi="Arial"/>
          <w:sz w:val="18"/>
          <w:szCs w:val="18"/>
          <w:color w:val="auto"/>
        </w:rPr>
        <w:t>2,673,680</w:t>
      </w:r>
    </w:p>
    <w:p>
      <w:pPr>
        <w:spacing w:after="0" w:line="63" w:lineRule="exact"/>
        <w:rPr>
          <w:sz w:val="20"/>
          <w:szCs w:val="20"/>
          <w:color w:val="auto"/>
        </w:rPr>
      </w:pPr>
    </w:p>
    <w:p>
      <w:pPr>
        <w:ind w:left="880" w:hanging="42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5.51%</w:t>
      </w:r>
    </w:p>
    <w:p>
      <w:pPr>
        <w:spacing w:after="0" w:line="63" w:lineRule="exact"/>
        <w:rPr>
          <w:sz w:val="20"/>
          <w:szCs w:val="20"/>
          <w:color w:val="auto"/>
        </w:rPr>
      </w:pPr>
    </w:p>
    <w:p>
      <w:pPr>
        <w:ind w:left="880" w:hanging="429"/>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63" w:lineRule="exact"/>
        <w:rPr>
          <w:rFonts w:ascii="Arial" w:cs="Arial" w:eastAsia="Arial" w:hAnsi="Arial"/>
          <w:sz w:val="18"/>
          <w:szCs w:val="18"/>
          <w:color w:val="auto"/>
        </w:rPr>
      </w:pPr>
    </w:p>
    <w:p>
      <w:pPr>
        <w:ind w:left="1320" w:hanging="437"/>
        <w:spacing w:after="0"/>
        <w:tabs>
          <w:tab w:leader="none" w:pos="1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2,673,680</w:t>
      </w:r>
    </w:p>
    <w:p>
      <w:pPr>
        <w:spacing w:after="0" w:line="63" w:lineRule="exact"/>
        <w:rPr>
          <w:sz w:val="20"/>
          <w:szCs w:val="20"/>
          <w:color w:val="auto"/>
        </w:rPr>
      </w:pPr>
    </w:p>
    <w:p>
      <w:pPr>
        <w:ind w:left="1320" w:hanging="437"/>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437"/>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2,673,680</w:t>
      </w:r>
    </w:p>
    <w:p>
      <w:pPr>
        <w:spacing w:after="0" w:line="63" w:lineRule="exact"/>
        <w:rPr>
          <w:sz w:val="20"/>
          <w:szCs w:val="20"/>
          <w:color w:val="auto"/>
        </w:rPr>
      </w:pPr>
    </w:p>
    <w:p>
      <w:pPr>
        <w:ind w:left="1320" w:hanging="437"/>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69" w:lineRule="exact"/>
        <w:rPr>
          <w:sz w:val="20"/>
          <w:szCs w:val="20"/>
          <w:color w:val="auto"/>
        </w:rPr>
      </w:pPr>
    </w:p>
    <w:p>
      <w:pPr>
        <w:jc w:val="both"/>
        <w:ind w:firstLine="493"/>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5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5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5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69" w:lineRule="exact"/>
        <w:rPr>
          <w:sz w:val="20"/>
          <w:szCs w:val="20"/>
          <w:color w:val="auto"/>
        </w:rPr>
      </w:pPr>
    </w:p>
    <w:p>
      <w:pPr>
        <w:jc w:val="both"/>
        <w:ind w:firstLine="983"/>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85"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2005</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Ralph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58420</wp:posOffset>
            </wp:positionV>
            <wp:extent cx="304863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48635" cy="34290"/>
                    </a:xfrm>
                    <a:prstGeom prst="rect">
                      <a:avLst/>
                    </a:prstGeom>
                    <a:noFill/>
                  </pic:spPr>
                </pic:pic>
              </a:graphicData>
            </a:graphic>
          </wp:anchor>
        </w:drawing>
      </w:r>
    </w:p>
    <w:p>
      <w:pPr>
        <w:spacing w:after="0" w:line="17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Ralph Walter</w:t>
      </w:r>
    </w:p>
    <w:p>
      <w:pPr>
        <w:spacing w:after="0" w:line="36"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Management Committee Member, COO</w:t>
      </w:r>
    </w:p>
    <w:p>
      <w:pPr>
        <w:sectPr>
          <w:pgSz w:w="11900" w:h="16838" w:orient="portrait"/>
          <w:cols w:equalWidth="0" w:num="1">
            <w:col w:w="10780"/>
          </w:cols>
          <w:pgMar w:left="56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175260</wp:posOffset>
            </wp:positionV>
            <wp:extent cx="684784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47840" cy="29845"/>
                    </a:xfrm>
                    <a:prstGeom prst="rect">
                      <a:avLst/>
                    </a:prstGeom>
                    <a:noFill/>
                  </pic:spPr>
                </pic:pic>
              </a:graphicData>
            </a:graphic>
          </wp:anchor>
        </w:drawing>
      </w:r>
    </w:p>
    <w:sectPr>
      <w:pgSz w:w="11900" w:h="16838" w:orient="portrait"/>
      <w:cols w:equalWidth="0" w:num="1">
        <w:col w:w="10780"/>
      </w:cols>
      <w:pgMar w:left="56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lowerLetter"/>
      <w:start w:val="5"/>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3"/>
    </w:lvl>
    <w:lvl w:ilvl="1">
      <w:lvlJc w:val="left"/>
      <w:lvlText w:val="(%2)"/>
      <w:numFmt w:val="lowerLetter"/>
      <w:start w:val="9"/>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2019-12-13T15:08:53Z</dcterms:created>
  <dcterms:modified xsi:type="dcterms:W3CDTF">2019-12-13T15:08:53Z</dcterms:modified>
</cp:coreProperties>
</file>