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Kesavan Sudhakar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01/10/2017</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01/10/2017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0000FF"/>
              </w:rPr>
              <w:t>2,779</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7"/>
              </w:rPr>
              <w:t>19,846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01/10/2017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8"/>
                <w:szCs w:val="18"/>
                <w:color w:val="0000FF"/>
              </w:rPr>
              <w:t>344</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40.21</w:t>
            </w:r>
          </w:p>
        </w:tc>
        <w:tc>
          <w:tcPr>
            <w:tcW w:w="124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19,502</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60" w:type="dxa"/>
            <w:vAlign w:val="bottom"/>
            <w:gridSpan w:val="15"/>
          </w:tcPr>
          <w:p>
            <w:pPr>
              <w:jc w:val="center"/>
              <w:ind w:left="4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restricted stock units (RSUs) to non-employee directors granted under the 2006 Equity Incentive Plan, representing a contingent right to receive shares of common stock. RSUs vest ratably over three years on each of the first, second and third anniversaries of the grant date. Dividend equivalent rights will accrue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9,323 RSUs and DERs relating to the RSUs,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642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2019-12-23T21:46:07Z</dcterms:created>
  <dcterms:modified xsi:type="dcterms:W3CDTF">2019-12-23T21:46:07Z</dcterms:modified>
</cp:coreProperties>
</file>