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September 09,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461"/>
              <w:spacing w:after="0"/>
              <w:rPr>
                <w:sz w:val="20"/>
                <w:szCs w:val="20"/>
                <w:color w:val="auto"/>
              </w:rPr>
            </w:pPr>
            <w:r>
              <w:rPr>
                <w:rFonts w:ascii="Arial" w:cs="Arial" w:eastAsia="Arial" w:hAnsi="Arial"/>
                <w:sz w:val="18"/>
                <w:szCs w:val="18"/>
                <w:b w:val="1"/>
                <w:bCs w:val="1"/>
                <w:color w:val="auto"/>
              </w:rPr>
              <w:t>1-8929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28"/>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2"/>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3"/>
              </w:rPr>
              <w:t>7th Floor</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93"/>
              </w:rPr>
              <w:t>New York, New York</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75"/>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ABM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9, 2022, ABM Industries Incorporated filed a Current Report on Form 8-K (the “Initial Form 8-K”) to announce the election of James D. DeVries to its Board of Directors on September 7, 2022. At the time of the Initial Form 8-K, the Board of Directors had not yet determined the committees on which Mr. DeVries would serve.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amendment on Form 8-K is being filed to report that on March 23, 2023, the Board of Directors appointed Mr. DeVries to serve as a member of its Compensation Committee, effective April 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 R.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2023-03-28T16:34:32Z</dcterms:created>
  <dcterms:modified xsi:type="dcterms:W3CDTF">2023-03-28T16:34:32Z</dcterms:modified>
</cp:coreProperties>
</file>