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810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GIACOBBE SCOTT J</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00" w:type="dxa"/>
            <w:vAlign w:val="bottom"/>
            <w:tcBorders>
              <w:top w:val="single" w:sz="8" w:color="0000EE"/>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03/08/2016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820" w:type="dxa"/>
            <w:vAlign w:val="bottom"/>
          </w:tcPr>
          <w:p>
            <w:pPr>
              <w:ind w:left="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551 FIFTH AVENUE SUITE 300</w:t>
            </w:r>
          </w:p>
        </w:tc>
      </w:tr>
      <w:tr>
        <w:trPr>
          <w:trHeight w:val="212"/>
        </w:trPr>
        <w:tc>
          <w:tcPr>
            <w:tcW w:w="2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820" w:type="dxa"/>
            <w:vAlign w:val="bottom"/>
          </w:tcPr>
          <w:p>
            <w:pPr>
              <w:ind w:left="80"/>
              <w:spacing w:after="0"/>
              <w:rPr>
                <w:sz w:val="20"/>
                <w:szCs w:val="20"/>
                <w:color w:val="auto"/>
              </w:rPr>
            </w:pPr>
            <w:r>
              <w:rPr>
                <w:rFonts w:ascii="Arial" w:cs="Arial" w:eastAsia="Arial" w:hAnsi="Arial"/>
                <w:sz w:val="18"/>
                <w:szCs w:val="18"/>
                <w:color w:val="0000FF"/>
              </w:rPr>
              <w:t>NY</w:t>
            </w:r>
          </w:p>
        </w:tc>
        <w:tc>
          <w:tcPr>
            <w:tcW w:w="1380" w:type="dxa"/>
            <w:vAlign w:val="bottom"/>
          </w:tcPr>
          <w:p>
            <w:pPr>
              <w:ind w:left="340"/>
              <w:spacing w:after="0"/>
              <w:rPr>
                <w:sz w:val="20"/>
                <w:szCs w:val="20"/>
                <w:color w:val="auto"/>
              </w:rPr>
            </w:pPr>
            <w:r>
              <w:rPr>
                <w:rFonts w:ascii="Arial" w:cs="Arial" w:eastAsia="Arial" w:hAnsi="Arial"/>
                <w:sz w:val="18"/>
                <w:szCs w:val="18"/>
                <w:color w:val="0000FF"/>
              </w:rPr>
              <w:t>10176</w:t>
            </w: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(City)</w:t>
            </w:r>
          </w:p>
        </w:tc>
        <w:tc>
          <w:tcPr>
            <w:tcW w:w="820" w:type="dxa"/>
            <w:vAlign w:val="bottom"/>
          </w:tcPr>
          <w:p>
            <w:pPr>
              <w:ind w:left="8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6"/>
        <w:spacing w:after="0"/>
        <w:rPr>
          <w:sz w:val="20"/>
          <w:szCs w:val="20"/>
          <w:color w:val="auto"/>
        </w:rPr>
      </w:pPr>
      <w:r>
        <w:rPr>
          <w:rFonts w:ascii="Arial" w:cs="Arial" w:eastAsia="Arial" w:hAnsi="Arial"/>
          <w:sz w:val="18"/>
          <w:szCs w:val="18"/>
          <w:color w:val="0000FF"/>
        </w:rPr>
        <w:t>Pres - Building &amp; Energy</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ind w:left="560"/>
              <w:spacing w:after="0"/>
              <w:rPr>
                <w:sz w:val="20"/>
                <w:szCs w:val="20"/>
                <w:color w:val="auto"/>
              </w:rPr>
            </w:pPr>
            <w:r>
              <w:rPr>
                <w:rFonts w:ascii="Arial" w:cs="Arial" w:eastAsia="Arial" w:hAnsi="Arial"/>
                <w:sz w:val="18"/>
                <w:szCs w:val="18"/>
                <w:color w:val="0000FF"/>
              </w:rPr>
              <w:t>32,720</w:t>
            </w:r>
            <w:r>
              <w:rPr>
                <w:rFonts w:ascii="Arial" w:cs="Arial" w:eastAsia="Arial" w:hAnsi="Arial"/>
                <w:sz w:val="22"/>
                <w:szCs w:val="22"/>
                <w:color w:val="008000"/>
                <w:vertAlign w:val="superscript"/>
              </w:rPr>
              <w:t>(1)</w:t>
            </w:r>
          </w:p>
        </w:tc>
        <w:tc>
          <w:tcPr>
            <w:tcW w:w="900" w:type="dxa"/>
            <w:vAlign w:val="bottom"/>
            <w:tcBorders>
              <w:bottom w:val="single" w:sz="8" w:color="2C2C2C"/>
            </w:tcBorders>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01/10/2018</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2"/>
              <w:spacing w:after="0"/>
              <w:rPr>
                <w:sz w:val="20"/>
                <w:szCs w:val="20"/>
                <w:color w:val="auto"/>
              </w:rPr>
            </w:pPr>
            <w:r>
              <w:rPr>
                <w:rFonts w:ascii="Arial" w:cs="Arial" w:eastAsia="Arial" w:hAnsi="Arial"/>
                <w:sz w:val="18"/>
                <w:szCs w:val="18"/>
                <w:color w:val="0000FF"/>
                <w:w w:val="87"/>
              </w:rPr>
              <w:t>31,094</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25.84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09/13/2018</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2"/>
              <w:spacing w:after="0"/>
              <w:rPr>
                <w:sz w:val="20"/>
                <w:szCs w:val="20"/>
                <w:color w:val="auto"/>
              </w:rPr>
            </w:pPr>
            <w:r>
              <w:rPr>
                <w:rFonts w:ascii="Arial" w:cs="Arial" w:eastAsia="Arial" w:hAnsi="Arial"/>
                <w:sz w:val="18"/>
                <w:szCs w:val="18"/>
                <w:color w:val="0000FF"/>
                <w:w w:val="88"/>
              </w:rPr>
              <w:t>3,342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19.09</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5"/>
              </w:rPr>
              <w:t>10/11/2019</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2"/>
              <w:spacing w:after="0"/>
              <w:rPr>
                <w:sz w:val="20"/>
                <w:szCs w:val="20"/>
                <w:color w:val="auto"/>
              </w:rPr>
            </w:pPr>
            <w:r>
              <w:rPr>
                <w:rFonts w:ascii="Arial" w:cs="Arial" w:eastAsia="Arial" w:hAnsi="Arial"/>
                <w:sz w:val="18"/>
                <w:szCs w:val="18"/>
                <w:color w:val="0000FF"/>
                <w:w w:val="88"/>
              </w:rPr>
              <w:t>7,143</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18.31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(6)</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09/06/2020</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2"/>
              <w:spacing w:after="0"/>
              <w:rPr>
                <w:sz w:val="20"/>
                <w:szCs w:val="20"/>
                <w:color w:val="auto"/>
              </w:rPr>
            </w:pPr>
            <w:r>
              <w:rPr>
                <w:rFonts w:ascii="Arial" w:cs="Arial" w:eastAsia="Arial" w:hAnsi="Arial"/>
                <w:sz w:val="18"/>
                <w:szCs w:val="18"/>
                <w:color w:val="0000FF"/>
                <w:w w:val="88"/>
              </w:rPr>
              <w:t>5,984</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25.3</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2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Includes 14,237 RSUs and DERS relating to the RSUs, adjusted to reflect the cumulative effect of fractional shares, 2,335 performance shares earned but not vested with respect to performance shares granted on 1/14/2014, 617 performance shares earned but not vested with respect to performance shares granted on 1/15/2015, and DERs related thereto, and 1,026 shares purchased under the Employee Stock Purchase Plan.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Employee stock option grant under the 2006 Equity Incentive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100% exercisable on 1/10/2016.</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25% exercisable on 9/13/2012 and 25% on the anniversary date of each of the following 3 years.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25% exercisable on 10/11/2013 and 25% on the anniversary date of each of the following 3 years.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25% exercisable on 9/6/2014 and 25% on the anniversary date of each of the following 3 years.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03/17/2016</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69102" TargetMode="External"/><Relationship Id="rId12"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2019-12-23T21:37:25Z</dcterms:created>
  <dcterms:modified xsi:type="dcterms:W3CDTF">2019-12-23T21:37:25Z</dcterms:modified>
</cp:coreProperties>
</file>