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856615</wp:posOffset>
            </wp:positionV>
            <wp:extent cx="71158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81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822960</wp:posOffset>
            </wp:positionV>
            <wp:extent cx="71158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810" cy="825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14" w:lineRule="exact"/>
        <w:rPr>
          <w:sz w:val="24"/>
          <w:szCs w:val="24"/>
          <w:color w:val="auto"/>
        </w:rPr>
      </w:pPr>
    </w:p>
    <w:p>
      <w:pPr>
        <w:ind w:left="4060"/>
        <w:spacing w:after="0"/>
        <w:rPr>
          <w:sz w:val="20"/>
          <w:szCs w:val="20"/>
          <w:color w:val="auto"/>
        </w:rPr>
      </w:pPr>
      <w:r>
        <w:rPr>
          <w:rFonts w:ascii="Arial" w:cs="Arial" w:eastAsia="Arial" w:hAnsi="Arial"/>
          <w:sz w:val="21"/>
          <w:szCs w:val="21"/>
          <w:color w:val="auto"/>
        </w:rPr>
        <w:t>__________________________</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2" w:lineRule="exact"/>
        <w:rPr>
          <w:sz w:val="24"/>
          <w:szCs w:val="24"/>
          <w:color w:val="auto"/>
        </w:rPr>
      </w:pPr>
    </w:p>
    <w:p>
      <w:pPr>
        <w:ind w:left="680" w:right="60" w:hanging="655"/>
        <w:spacing w:after="0" w:line="268" w:lineRule="auto"/>
        <w:tabs>
          <w:tab w:leader="none" w:pos="6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0" w:lineRule="exact"/>
        <w:rPr>
          <w:sz w:val="24"/>
          <w:szCs w:val="24"/>
          <w:color w:val="auto"/>
        </w:rPr>
      </w:pPr>
    </w:p>
    <w:p>
      <w:pPr>
        <w:ind w:left="3620"/>
        <w:spacing w:after="0"/>
        <w:rPr>
          <w:sz w:val="20"/>
          <w:szCs w:val="20"/>
          <w:color w:val="auto"/>
        </w:rPr>
      </w:pPr>
      <w:r>
        <w:rPr>
          <w:rFonts w:ascii="Arial" w:cs="Arial" w:eastAsia="Arial" w:hAnsi="Arial"/>
          <w:sz w:val="21"/>
          <w:szCs w:val="21"/>
          <w:b w:val="1"/>
          <w:bCs w:val="1"/>
          <w:color w:val="auto"/>
        </w:rPr>
        <w:t xml:space="preserve">For the quarterly period ended </w:t>
      </w:r>
      <w:r>
        <w:rPr>
          <w:rFonts w:ascii="Arial" w:cs="Arial" w:eastAsia="Arial" w:hAnsi="Arial"/>
          <w:sz w:val="21"/>
          <w:szCs w:val="21"/>
          <w:b w:val="1"/>
          <w:bCs w:val="1"/>
          <w:u w:val="single" w:color="auto"/>
          <w:color w:val="auto"/>
        </w:rPr>
        <w:t>April 30, 2025</w:t>
      </w:r>
    </w:p>
    <w:p>
      <w:pPr>
        <w:spacing w:after="0" w:line="36" w:lineRule="exact"/>
        <w:rPr>
          <w:sz w:val="24"/>
          <w:szCs w:val="24"/>
          <w:color w:val="auto"/>
        </w:rPr>
      </w:pPr>
    </w:p>
    <w:p>
      <w:pPr>
        <w:ind w:left="5520"/>
        <w:spacing w:after="0"/>
        <w:rPr>
          <w:sz w:val="20"/>
          <w:szCs w:val="20"/>
          <w:color w:val="auto"/>
        </w:rPr>
      </w:pPr>
      <w:r>
        <w:rPr>
          <w:rFonts w:ascii="Arial" w:cs="Arial" w:eastAsia="Arial" w:hAnsi="Arial"/>
          <w:sz w:val="21"/>
          <w:szCs w:val="21"/>
          <w:color w:val="auto"/>
        </w:rPr>
        <w:t>or</w:t>
      </w:r>
    </w:p>
    <w:p>
      <w:pPr>
        <w:spacing w:after="0" w:line="180" w:lineRule="exact"/>
        <w:rPr>
          <w:sz w:val="24"/>
          <w:szCs w:val="24"/>
          <w:color w:val="auto"/>
        </w:rPr>
      </w:pPr>
    </w:p>
    <w:p>
      <w:pPr>
        <w:ind w:left="680" w:right="80" w:hanging="655"/>
        <w:spacing w:after="0" w:line="268" w:lineRule="auto"/>
        <w:tabs>
          <w:tab w:leader="none" w:pos="6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48" w:lineRule="exact"/>
        <w:rPr>
          <w:sz w:val="24"/>
          <w:szCs w:val="24"/>
          <w:color w:val="auto"/>
        </w:rPr>
      </w:pPr>
    </w:p>
    <w:p>
      <w:pPr>
        <w:ind w:left="36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3921760</wp:posOffset>
            </wp:positionH>
            <wp:positionV relativeFrom="paragraph">
              <wp:posOffset>-7620</wp:posOffset>
            </wp:positionV>
            <wp:extent cx="928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28370" cy="8255"/>
                    </a:xfrm>
                    <a:prstGeom prst="rect">
                      <a:avLst/>
                    </a:prstGeom>
                    <a:noFill/>
                  </pic:spPr>
                </pic:pic>
              </a:graphicData>
            </a:graphic>
          </wp:anchor>
        </w:drawing>
      </w:r>
    </w:p>
    <w:p>
      <w:pPr>
        <w:spacing w:after="0" w:line="9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ABM INDUSTRIES INCORPORATED</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2717800</wp:posOffset>
            </wp:positionH>
            <wp:positionV relativeFrom="paragraph">
              <wp:posOffset>244475</wp:posOffset>
            </wp:positionV>
            <wp:extent cx="1672590" cy="64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648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200" w:type="dxa"/>
            <w:vAlign w:val="bottom"/>
          </w:tcPr>
          <w:p>
            <w:pPr>
              <w:jc w:val="center"/>
              <w:ind w:right="38"/>
              <w:spacing w:after="0"/>
              <w:rPr>
                <w:sz w:val="20"/>
                <w:szCs w:val="20"/>
                <w:color w:val="auto"/>
              </w:rPr>
            </w:pPr>
            <w:r>
              <w:rPr>
                <w:rFonts w:ascii="Arial" w:cs="Arial" w:eastAsia="Arial" w:hAnsi="Arial"/>
                <w:sz w:val="16"/>
                <w:szCs w:val="16"/>
                <w:b w:val="1"/>
                <w:bCs w:val="1"/>
                <w:color w:val="auto"/>
              </w:rPr>
              <w:t>Delaware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00" w:type="dxa"/>
            <w:vAlign w:val="bottom"/>
          </w:tcPr>
          <w:p>
            <w:pPr>
              <w:jc w:val="center"/>
              <w:ind w:left="919"/>
              <w:spacing w:after="0"/>
              <w:rPr>
                <w:sz w:val="20"/>
                <w:szCs w:val="20"/>
                <w:color w:val="auto"/>
              </w:rPr>
            </w:pPr>
            <w:r>
              <w:rPr>
                <w:rFonts w:ascii="Arial" w:cs="Arial" w:eastAsia="Arial" w:hAnsi="Arial"/>
                <w:sz w:val="16"/>
                <w:szCs w:val="16"/>
                <w:b w:val="1"/>
                <w:bCs w:val="1"/>
                <w:color w:val="auto"/>
              </w:rPr>
              <w:t>94-1369354</w:t>
            </w:r>
          </w:p>
        </w:tc>
      </w:tr>
      <w:tr>
        <w:trPr>
          <w:trHeight w:val="162"/>
        </w:trPr>
        <w:tc>
          <w:tcPr>
            <w:tcW w:w="3200" w:type="dxa"/>
            <w:vAlign w:val="bottom"/>
          </w:tcPr>
          <w:p>
            <w:pPr>
              <w:jc w:val="center"/>
              <w:ind w:right="38"/>
              <w:spacing w:after="0" w:line="162" w:lineRule="exact"/>
              <w:rPr>
                <w:sz w:val="20"/>
                <w:szCs w:val="20"/>
                <w:color w:val="auto"/>
              </w:rPr>
            </w:pPr>
            <w:r>
              <w:rPr>
                <w:rFonts w:ascii="Arial" w:cs="Arial" w:eastAsia="Arial" w:hAnsi="Arial"/>
                <w:sz w:val="16"/>
                <w:szCs w:val="16"/>
                <w:color w:val="auto"/>
                <w:w w:val="99"/>
              </w:rPr>
              <w:t>(State or other jurisdiction of</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900" w:type="dxa"/>
            <w:vAlign w:val="bottom"/>
          </w:tcPr>
          <w:p>
            <w:pPr>
              <w:jc w:val="center"/>
              <w:ind w:left="919"/>
              <w:spacing w:after="0" w:line="162" w:lineRule="exact"/>
              <w:rPr>
                <w:sz w:val="20"/>
                <w:szCs w:val="20"/>
                <w:color w:val="auto"/>
              </w:rPr>
            </w:pPr>
            <w:r>
              <w:rPr>
                <w:rFonts w:ascii="Arial" w:cs="Arial" w:eastAsia="Arial" w:hAnsi="Arial"/>
                <w:sz w:val="16"/>
                <w:szCs w:val="16"/>
                <w:color w:val="auto"/>
              </w:rPr>
              <w:t>(I.R.S. Employer</w:t>
            </w:r>
          </w:p>
        </w:tc>
      </w:tr>
      <w:tr>
        <w:trPr>
          <w:trHeight w:val="214"/>
        </w:trPr>
        <w:tc>
          <w:tcPr>
            <w:tcW w:w="3200" w:type="dxa"/>
            <w:vAlign w:val="bottom"/>
          </w:tcPr>
          <w:p>
            <w:pPr>
              <w:jc w:val="center"/>
              <w:ind w:right="38"/>
              <w:spacing w:after="0"/>
              <w:rPr>
                <w:sz w:val="20"/>
                <w:szCs w:val="20"/>
                <w:color w:val="auto"/>
              </w:rPr>
            </w:pPr>
            <w:r>
              <w:rPr>
                <w:rFonts w:ascii="Arial" w:cs="Arial" w:eastAsia="Arial" w:hAnsi="Arial"/>
                <w:sz w:val="16"/>
                <w:szCs w:val="16"/>
                <w:color w:val="auto"/>
                <w:w w:val="99"/>
              </w:rPr>
              <w:t>incorporation or organization)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00" w:type="dxa"/>
            <w:vAlign w:val="bottom"/>
          </w:tcPr>
          <w:p>
            <w:pPr>
              <w:jc w:val="center"/>
              <w:ind w:left="919"/>
              <w:spacing w:after="0"/>
              <w:rPr>
                <w:sz w:val="20"/>
                <w:szCs w:val="20"/>
                <w:color w:val="auto"/>
              </w:rPr>
            </w:pPr>
            <w:r>
              <w:rPr>
                <w:rFonts w:ascii="Arial" w:cs="Arial" w:eastAsia="Arial" w:hAnsi="Arial"/>
                <w:sz w:val="16"/>
                <w:szCs w:val="16"/>
                <w:color w:val="auto"/>
              </w:rPr>
              <w:t>Identification No.)</w:t>
            </w:r>
          </w:p>
        </w:tc>
      </w:tr>
      <w:tr>
        <w:trPr>
          <w:trHeight w:val="341"/>
        </w:trPr>
        <w:tc>
          <w:tcPr>
            <w:tcW w:w="3200" w:type="dxa"/>
            <w:vAlign w:val="bottom"/>
          </w:tcPr>
          <w:p>
            <w:pPr>
              <w:spacing w:after="0"/>
              <w:rPr>
                <w:sz w:val="24"/>
                <w:szCs w:val="24"/>
                <w:color w:val="auto"/>
              </w:rPr>
            </w:pPr>
          </w:p>
        </w:tc>
        <w:tc>
          <w:tcPr>
            <w:tcW w:w="4000" w:type="dxa"/>
            <w:vAlign w:val="bottom"/>
            <w:gridSpan w:val="7"/>
          </w:tcPr>
          <w:p>
            <w:pPr>
              <w:jc w:val="center"/>
              <w:ind w:left="750"/>
              <w:spacing w:after="0"/>
              <w:rPr>
                <w:sz w:val="20"/>
                <w:szCs w:val="20"/>
                <w:color w:val="auto"/>
              </w:rPr>
            </w:pPr>
            <w:r>
              <w:rPr>
                <w:rFonts w:ascii="Arial" w:cs="Arial" w:eastAsia="Arial" w:hAnsi="Arial"/>
                <w:sz w:val="18"/>
                <w:szCs w:val="18"/>
                <w:color w:val="auto"/>
                <w:w w:val="99"/>
              </w:rPr>
              <w:t>__________________________</w:t>
            </w:r>
          </w:p>
        </w:tc>
        <w:tc>
          <w:tcPr>
            <w:tcW w:w="3900" w:type="dxa"/>
            <w:vAlign w:val="bottom"/>
          </w:tcPr>
          <w:p>
            <w:pPr>
              <w:spacing w:after="0"/>
              <w:rPr>
                <w:sz w:val="24"/>
                <w:szCs w:val="24"/>
                <w:color w:val="auto"/>
              </w:rPr>
            </w:pPr>
          </w:p>
        </w:tc>
      </w:tr>
      <w:tr>
        <w:trPr>
          <w:trHeight w:val="299"/>
        </w:trPr>
        <w:tc>
          <w:tcPr>
            <w:tcW w:w="3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gridSpan w:val="5"/>
          </w:tcPr>
          <w:p>
            <w:pPr>
              <w:jc w:val="center"/>
              <w:ind w:left="234"/>
              <w:spacing w:after="0"/>
              <w:rPr>
                <w:sz w:val="20"/>
                <w:szCs w:val="20"/>
                <w:color w:val="auto"/>
              </w:rPr>
            </w:pPr>
            <w:r>
              <w:rPr>
                <w:rFonts w:ascii="Arial" w:cs="Arial" w:eastAsia="Arial" w:hAnsi="Arial"/>
                <w:sz w:val="18"/>
                <w:szCs w:val="18"/>
                <w:b w:val="1"/>
                <w:bCs w:val="1"/>
                <w:color w:val="auto"/>
                <w:w w:val="98"/>
              </w:rPr>
              <w:t>One Liberty Plaza, 7</w:t>
            </w:r>
            <w:r>
              <w:rPr>
                <w:rFonts w:ascii="Arial" w:cs="Arial" w:eastAsia="Arial" w:hAnsi="Arial"/>
                <w:sz w:val="23"/>
                <w:szCs w:val="23"/>
                <w:b w:val="1"/>
                <w:bCs w:val="1"/>
                <w:color w:val="auto"/>
                <w:w w:val="98"/>
                <w:vertAlign w:val="superscript"/>
              </w:rPr>
              <w:t>th</w:t>
            </w:r>
            <w:r>
              <w:rPr>
                <w:rFonts w:ascii="Arial" w:cs="Arial" w:eastAsia="Arial" w:hAnsi="Arial"/>
                <w:sz w:val="18"/>
                <w:szCs w:val="18"/>
                <w:b w:val="1"/>
                <w:bCs w:val="1"/>
                <w:color w:val="auto"/>
                <w:w w:val="98"/>
              </w:rPr>
              <w:t xml:space="preserve"> Floor</w:t>
            </w:r>
          </w:p>
        </w:tc>
        <w:tc>
          <w:tcPr>
            <w:tcW w:w="3900" w:type="dxa"/>
            <w:vAlign w:val="bottom"/>
          </w:tcPr>
          <w:p>
            <w:pPr>
              <w:spacing w:after="0"/>
              <w:rPr>
                <w:sz w:val="24"/>
                <w:szCs w:val="24"/>
                <w:color w:val="auto"/>
              </w:rPr>
            </w:pPr>
          </w:p>
        </w:tc>
      </w:tr>
      <w:tr>
        <w:trPr>
          <w:trHeight w:val="246"/>
        </w:trPr>
        <w:tc>
          <w:tcPr>
            <w:tcW w:w="3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80" w:type="dxa"/>
            <w:vAlign w:val="bottom"/>
            <w:gridSpan w:val="5"/>
          </w:tcPr>
          <w:p>
            <w:pPr>
              <w:jc w:val="center"/>
              <w:ind w:left="234"/>
              <w:spacing w:after="0"/>
              <w:rPr>
                <w:sz w:val="20"/>
                <w:szCs w:val="20"/>
                <w:color w:val="auto"/>
              </w:rPr>
            </w:pPr>
            <w:r>
              <w:rPr>
                <w:rFonts w:ascii="Arial" w:cs="Arial" w:eastAsia="Arial" w:hAnsi="Arial"/>
                <w:sz w:val="18"/>
                <w:szCs w:val="18"/>
                <w:b w:val="1"/>
                <w:bCs w:val="1"/>
                <w:color w:val="auto"/>
                <w:w w:val="97"/>
              </w:rPr>
              <w:t>New York, New York 10006</w:t>
            </w:r>
          </w:p>
        </w:tc>
        <w:tc>
          <w:tcPr>
            <w:tcW w:w="3900" w:type="dxa"/>
            <w:vAlign w:val="bottom"/>
          </w:tcPr>
          <w:p>
            <w:pPr>
              <w:spacing w:after="0"/>
              <w:rPr>
                <w:sz w:val="21"/>
                <w:szCs w:val="21"/>
                <w:color w:val="auto"/>
              </w:rPr>
            </w:pPr>
          </w:p>
        </w:tc>
      </w:tr>
      <w:tr>
        <w:trPr>
          <w:trHeight w:val="314"/>
        </w:trPr>
        <w:tc>
          <w:tcPr>
            <w:tcW w:w="3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gridSpan w:val="5"/>
          </w:tcPr>
          <w:p>
            <w:pPr>
              <w:jc w:val="center"/>
              <w:ind w:left="254"/>
              <w:spacing w:after="0"/>
              <w:rPr>
                <w:sz w:val="20"/>
                <w:szCs w:val="20"/>
                <w:color w:val="auto"/>
              </w:rPr>
            </w:pPr>
            <w:r>
              <w:rPr>
                <w:rFonts w:ascii="Arial" w:cs="Arial" w:eastAsia="Arial" w:hAnsi="Arial"/>
                <w:sz w:val="18"/>
                <w:szCs w:val="18"/>
                <w:color w:val="auto"/>
                <w:w w:val="99"/>
              </w:rPr>
              <w:t>(Address of principal executive offices)</w:t>
            </w:r>
          </w:p>
        </w:tc>
        <w:tc>
          <w:tcPr>
            <w:tcW w:w="3900" w:type="dxa"/>
            <w:vAlign w:val="bottom"/>
          </w:tcPr>
          <w:p>
            <w:pPr>
              <w:spacing w:after="0"/>
              <w:rPr>
                <w:sz w:val="24"/>
                <w:szCs w:val="24"/>
                <w:color w:val="auto"/>
              </w:rPr>
            </w:pPr>
          </w:p>
        </w:tc>
      </w:tr>
      <w:tr>
        <w:trPr>
          <w:trHeight w:val="412"/>
        </w:trPr>
        <w:tc>
          <w:tcPr>
            <w:tcW w:w="3200" w:type="dxa"/>
            <w:vAlign w:val="bottom"/>
          </w:tcPr>
          <w:p>
            <w:pPr>
              <w:spacing w:after="0"/>
              <w:rPr>
                <w:sz w:val="24"/>
                <w:szCs w:val="24"/>
                <w:color w:val="auto"/>
              </w:rPr>
            </w:pPr>
          </w:p>
        </w:tc>
        <w:tc>
          <w:tcPr>
            <w:tcW w:w="3040" w:type="dxa"/>
            <w:vAlign w:val="bottom"/>
            <w:gridSpan w:val="4"/>
          </w:tcPr>
          <w:p>
            <w:pPr>
              <w:jc w:val="center"/>
              <w:ind w:left="1730"/>
              <w:spacing w:after="0"/>
              <w:rPr>
                <w:sz w:val="20"/>
                <w:szCs w:val="20"/>
                <w:color w:val="auto"/>
              </w:rPr>
            </w:pPr>
            <w:r>
              <w:rPr>
                <w:rFonts w:ascii="Arial" w:cs="Arial" w:eastAsia="Arial" w:hAnsi="Arial"/>
                <w:sz w:val="18"/>
                <w:szCs w:val="18"/>
                <w:b w:val="1"/>
                <w:bCs w:val="1"/>
                <w:color w:val="auto"/>
                <w:w w:val="99"/>
              </w:rPr>
              <w:t>(212) 297-0200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0"/>
        </w:trPr>
        <w:tc>
          <w:tcPr>
            <w:tcW w:w="3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r>
      <w:tr>
        <w:trPr>
          <w:trHeight w:val="347"/>
        </w:trPr>
        <w:tc>
          <w:tcPr>
            <w:tcW w:w="3200" w:type="dxa"/>
            <w:vAlign w:val="bottom"/>
          </w:tcPr>
          <w:p>
            <w:pPr>
              <w:spacing w:after="0"/>
              <w:rPr>
                <w:sz w:val="24"/>
                <w:szCs w:val="24"/>
                <w:color w:val="auto"/>
              </w:rPr>
            </w:pPr>
          </w:p>
        </w:tc>
        <w:tc>
          <w:tcPr>
            <w:tcW w:w="7900" w:type="dxa"/>
            <w:vAlign w:val="bottom"/>
            <w:gridSpan w:val="8"/>
          </w:tcPr>
          <w:p>
            <w:pPr>
              <w:jc w:val="center"/>
              <w:ind w:right="2979"/>
              <w:spacing w:after="0"/>
              <w:rPr>
                <w:sz w:val="20"/>
                <w:szCs w:val="20"/>
                <w:color w:val="auto"/>
              </w:rPr>
            </w:pPr>
            <w:r>
              <w:rPr>
                <w:rFonts w:ascii="Arial" w:cs="Arial" w:eastAsia="Arial" w:hAnsi="Arial"/>
                <w:sz w:val="18"/>
                <w:szCs w:val="18"/>
                <w:color w:val="auto"/>
                <w:w w:val="99"/>
              </w:rPr>
              <w:t>(Registrant’s telephone number, including area code)</w:t>
            </w:r>
          </w:p>
        </w:tc>
      </w:tr>
      <w:tr>
        <w:trPr>
          <w:trHeight w:val="299"/>
        </w:trPr>
        <w:tc>
          <w:tcPr>
            <w:tcW w:w="3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80" w:type="dxa"/>
            <w:vAlign w:val="bottom"/>
            <w:gridSpan w:val="4"/>
          </w:tcPr>
          <w:p>
            <w:pPr>
              <w:jc w:val="center"/>
              <w:ind w:right="980"/>
              <w:spacing w:after="0"/>
              <w:rPr>
                <w:sz w:val="20"/>
                <w:szCs w:val="20"/>
                <w:color w:val="auto"/>
              </w:rPr>
            </w:pPr>
            <w:r>
              <w:rPr>
                <w:rFonts w:ascii="Arial" w:cs="Arial" w:eastAsia="Arial" w:hAnsi="Arial"/>
                <w:sz w:val="18"/>
                <w:szCs w:val="18"/>
                <w:b w:val="1"/>
                <w:bCs w:val="1"/>
                <w:color w:val="auto"/>
                <w:w w:val="97"/>
              </w:rPr>
              <w:t>None</w:t>
            </w:r>
          </w:p>
        </w:tc>
        <w:tc>
          <w:tcPr>
            <w:tcW w:w="3900" w:type="dxa"/>
            <w:vAlign w:val="bottom"/>
          </w:tcPr>
          <w:p>
            <w:pPr>
              <w:spacing w:after="0"/>
              <w:rPr>
                <w:sz w:val="24"/>
                <w:szCs w:val="24"/>
                <w:color w:val="auto"/>
              </w:rPr>
            </w:pPr>
          </w:p>
        </w:tc>
      </w:tr>
      <w:tr>
        <w:trPr>
          <w:trHeight w:val="215"/>
        </w:trPr>
        <w:tc>
          <w:tcPr>
            <w:tcW w:w="11100" w:type="dxa"/>
            <w:vAlign w:val="bottom"/>
            <w:gridSpan w:val="9"/>
          </w:tcPr>
          <w:p>
            <w:pPr>
              <w:jc w:val="center"/>
              <w:ind w:left="78"/>
              <w:spacing w:after="0"/>
              <w:rPr>
                <w:sz w:val="20"/>
                <w:szCs w:val="20"/>
                <w:color w:val="auto"/>
              </w:rPr>
            </w:pPr>
            <w:r>
              <w:rPr>
                <w:rFonts w:ascii="Arial" w:cs="Arial" w:eastAsia="Arial" w:hAnsi="Arial"/>
                <w:sz w:val="18"/>
                <w:szCs w:val="18"/>
                <w:color w:val="auto"/>
                <w:w w:val="99"/>
              </w:rPr>
              <w:t>(Former name, former address and former fiscal year, if changed since last report)</w:t>
            </w:r>
          </w:p>
        </w:tc>
      </w:tr>
      <w:tr>
        <w:trPr>
          <w:trHeight w:val="238"/>
        </w:trPr>
        <w:tc>
          <w:tcPr>
            <w:tcW w:w="3200" w:type="dxa"/>
            <w:vAlign w:val="bottom"/>
          </w:tcPr>
          <w:p>
            <w:pPr>
              <w:spacing w:after="0"/>
              <w:rPr>
                <w:sz w:val="20"/>
                <w:szCs w:val="20"/>
                <w:color w:val="auto"/>
              </w:rPr>
            </w:pPr>
          </w:p>
        </w:tc>
        <w:tc>
          <w:tcPr>
            <w:tcW w:w="4000" w:type="dxa"/>
            <w:vAlign w:val="bottom"/>
            <w:gridSpan w:val="7"/>
          </w:tcPr>
          <w:p>
            <w:pPr>
              <w:jc w:val="center"/>
              <w:ind w:left="750"/>
              <w:spacing w:after="0"/>
              <w:rPr>
                <w:sz w:val="20"/>
                <w:szCs w:val="20"/>
                <w:color w:val="auto"/>
              </w:rPr>
            </w:pPr>
            <w:r>
              <w:rPr>
                <w:rFonts w:ascii="Arial" w:cs="Arial" w:eastAsia="Arial" w:hAnsi="Arial"/>
                <w:sz w:val="18"/>
                <w:szCs w:val="18"/>
                <w:color w:val="auto"/>
                <w:w w:val="99"/>
              </w:rPr>
              <w:t>__________________________</w:t>
            </w:r>
          </w:p>
        </w:tc>
        <w:tc>
          <w:tcPr>
            <w:tcW w:w="3900" w:type="dxa"/>
            <w:vAlign w:val="bottom"/>
          </w:tcPr>
          <w:p>
            <w:pPr>
              <w:spacing w:after="0"/>
              <w:rPr>
                <w:sz w:val="20"/>
                <w:szCs w:val="20"/>
                <w:color w:val="auto"/>
              </w:rPr>
            </w:pPr>
          </w:p>
        </w:tc>
      </w:tr>
      <w:tr>
        <w:trPr>
          <w:trHeight w:val="322"/>
        </w:trPr>
        <w:tc>
          <w:tcPr>
            <w:tcW w:w="3200" w:type="dxa"/>
            <w:vAlign w:val="bottom"/>
          </w:tcPr>
          <w:p>
            <w:pPr>
              <w:spacing w:after="0"/>
              <w:rPr>
                <w:sz w:val="24"/>
                <w:szCs w:val="24"/>
                <w:color w:val="auto"/>
              </w:rPr>
            </w:pPr>
          </w:p>
        </w:tc>
        <w:tc>
          <w:tcPr>
            <w:tcW w:w="7900" w:type="dxa"/>
            <w:vAlign w:val="bottom"/>
            <w:gridSpan w:val="8"/>
          </w:tcPr>
          <w:p>
            <w:pPr>
              <w:jc w:val="center"/>
              <w:ind w:right="2979"/>
              <w:spacing w:after="0"/>
              <w:rPr>
                <w:sz w:val="20"/>
                <w:szCs w:val="20"/>
                <w:color w:val="auto"/>
              </w:rPr>
            </w:pPr>
            <w:r>
              <w:rPr>
                <w:rFonts w:ascii="Arial" w:cs="Arial" w:eastAsia="Arial" w:hAnsi="Arial"/>
                <w:sz w:val="18"/>
                <w:szCs w:val="18"/>
                <w:color w:val="auto"/>
                <w:w w:val="99"/>
              </w:rPr>
              <w:t>Securities registered pursuant to Section 12(b) of the Act:</w:t>
            </w:r>
          </w:p>
        </w:tc>
      </w:tr>
      <w:tr>
        <w:trPr>
          <w:trHeight w:val="398"/>
        </w:trPr>
        <w:tc>
          <w:tcPr>
            <w:tcW w:w="3200" w:type="dxa"/>
            <w:vAlign w:val="bottom"/>
          </w:tcPr>
          <w:p>
            <w:pPr>
              <w:jc w:val="center"/>
              <w:ind w:left="358"/>
              <w:spacing w:after="0"/>
              <w:rPr>
                <w:sz w:val="20"/>
                <w:szCs w:val="20"/>
                <w:color w:val="auto"/>
              </w:rPr>
            </w:pPr>
            <w:r>
              <w:rPr>
                <w:rFonts w:ascii="Arial" w:cs="Arial" w:eastAsia="Arial" w:hAnsi="Arial"/>
                <w:sz w:val="16"/>
                <w:szCs w:val="16"/>
                <w:color w:val="auto"/>
                <w:w w:val="99"/>
              </w:rPr>
              <w:t>Title of each class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gridSpan w:val="5"/>
          </w:tcPr>
          <w:p>
            <w:pPr>
              <w:jc w:val="center"/>
              <w:ind w:right="680"/>
              <w:spacing w:after="0"/>
              <w:rPr>
                <w:sz w:val="20"/>
                <w:szCs w:val="20"/>
                <w:color w:val="auto"/>
              </w:rPr>
            </w:pPr>
            <w:r>
              <w:rPr>
                <w:rFonts w:ascii="Arial" w:cs="Arial" w:eastAsia="Arial" w:hAnsi="Arial"/>
                <w:sz w:val="16"/>
                <w:szCs w:val="16"/>
                <w:color w:val="auto"/>
                <w:w w:val="99"/>
              </w:rPr>
              <w:t>Trading Symbol</w:t>
            </w:r>
          </w:p>
        </w:tc>
        <w:tc>
          <w:tcPr>
            <w:tcW w:w="3900" w:type="dxa"/>
            <w:vAlign w:val="bottom"/>
          </w:tcPr>
          <w:p>
            <w:pPr>
              <w:jc w:val="center"/>
              <w:ind w:right="519"/>
              <w:spacing w:after="0"/>
              <w:rPr>
                <w:sz w:val="20"/>
                <w:szCs w:val="20"/>
                <w:color w:val="auto"/>
              </w:rPr>
            </w:pPr>
            <w:r>
              <w:rPr>
                <w:rFonts w:ascii="Arial" w:cs="Arial" w:eastAsia="Arial" w:hAnsi="Arial"/>
                <w:sz w:val="16"/>
                <w:szCs w:val="16"/>
                <w:color w:val="auto"/>
              </w:rPr>
              <w:t>Name of each exchange on which registered</w:t>
            </w:r>
          </w:p>
        </w:tc>
      </w:tr>
      <w:tr>
        <w:trPr>
          <w:trHeight w:val="216"/>
        </w:trPr>
        <w:tc>
          <w:tcPr>
            <w:tcW w:w="3200" w:type="dxa"/>
            <w:vAlign w:val="bottom"/>
            <w:tcBorders>
              <w:top w:val="single" w:sz="8" w:color="auto"/>
            </w:tcBorders>
          </w:tcPr>
          <w:p>
            <w:pPr>
              <w:jc w:val="center"/>
              <w:ind w:left="358"/>
              <w:spacing w:after="0"/>
              <w:rPr>
                <w:sz w:val="20"/>
                <w:szCs w:val="20"/>
                <w:color w:val="auto"/>
              </w:rPr>
            </w:pPr>
            <w:r>
              <w:rPr>
                <w:rFonts w:ascii="Arial" w:cs="Arial" w:eastAsia="Arial" w:hAnsi="Arial"/>
                <w:sz w:val="16"/>
                <w:szCs w:val="16"/>
                <w:b w:val="1"/>
                <w:bCs w:val="1"/>
                <w:color w:val="auto"/>
              </w:rPr>
              <w:t>Common Stock, $0.01 par value</w:t>
            </w: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ABM</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900" w:type="dxa"/>
            <w:vAlign w:val="bottom"/>
            <w:tcBorders>
              <w:top w:val="single" w:sz="8" w:color="auto"/>
            </w:tcBorders>
          </w:tcPr>
          <w:p>
            <w:pPr>
              <w:jc w:val="center"/>
              <w:ind w:right="519"/>
              <w:spacing w:after="0"/>
              <w:rPr>
                <w:sz w:val="20"/>
                <w:szCs w:val="20"/>
                <w:color w:val="auto"/>
              </w:rPr>
            </w:pPr>
            <w:r>
              <w:rPr>
                <w:rFonts w:ascii="Arial" w:cs="Arial" w:eastAsia="Arial" w:hAnsi="Arial"/>
                <w:sz w:val="16"/>
                <w:szCs w:val="16"/>
                <w:b w:val="1"/>
                <w:bCs w:val="1"/>
                <w:color w:val="auto"/>
              </w:rPr>
              <w:t>New York Stock Exchange</w:t>
            </w:r>
          </w:p>
        </w:tc>
      </w:tr>
    </w:tbl>
    <w:p>
      <w:pPr>
        <w:spacing w:after="0" w:line="200" w:lineRule="exact"/>
        <w:rPr>
          <w:sz w:val="24"/>
          <w:szCs w:val="24"/>
          <w:color w:val="auto"/>
        </w:rPr>
      </w:pPr>
    </w:p>
    <w:p>
      <w:pPr>
        <w:sectPr>
          <w:pgSz w:w="11900" w:h="16838" w:orient="portrait"/>
          <w:cols w:equalWidth="0" w:num="1">
            <w:col w:w="11240"/>
          </w:cols>
          <w:pgMar w:left="320" w:top="1428" w:right="339" w:bottom="1440" w:gutter="0" w:footer="0" w:header="0"/>
        </w:sectPr>
      </w:pPr>
    </w:p>
    <w:p>
      <w:pPr>
        <w:spacing w:after="0" w:line="30" w:lineRule="exact"/>
        <w:rPr>
          <w:sz w:val="24"/>
          <w:szCs w:val="24"/>
          <w:color w:val="auto"/>
        </w:rPr>
      </w:pPr>
    </w:p>
    <w:p>
      <w:pPr>
        <w:jc w:val="both"/>
        <w:spacing w:after="0" w:line="23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550545</wp:posOffset>
            </wp:positionV>
            <wp:extent cx="71583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type w:val="continuous"/>
        </w:sectPr>
      </w:pPr>
    </w:p>
    <w:bookmarkStart w:id="1" w:name="page2"/>
    <w:bookmarkEnd w:id="1"/>
    <w:p>
      <w:pPr>
        <w:jc w:val="both"/>
        <w:spacing w:after="0" w:line="23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1" w:lineRule="exact"/>
        <w:rPr>
          <w:sz w:val="20"/>
          <w:szCs w:val="20"/>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Accelerated filer</w:t>
      </w:r>
      <w:r>
        <w:rPr>
          <w:rFonts w:ascii="MS PGothic" w:cs="MS PGothic" w:eastAsia="MS PGothic" w:hAnsi="MS PGothic"/>
          <w:sz w:val="18"/>
          <w:szCs w:val="18"/>
          <w:color w:val="auto"/>
        </w:rPr>
        <w:t xml:space="preserve">  ☐ </w:t>
      </w:r>
      <w:r>
        <w:rPr>
          <w:rFonts w:ascii="Arial" w:cs="Arial" w:eastAsia="Arial" w:hAnsi="Arial"/>
          <w:sz w:val="18"/>
          <w:szCs w:val="18"/>
          <w:color w:val="auto"/>
        </w:rPr>
        <w:t>Non-accelerated filer</w:t>
      </w:r>
      <w:r>
        <w:rPr>
          <w:rFonts w:ascii="MS PGothic" w:cs="MS PGothic" w:eastAsia="MS PGothic" w:hAnsi="MS PGothic"/>
          <w:sz w:val="18"/>
          <w:szCs w:val="18"/>
          <w:color w:val="auto"/>
        </w:rPr>
        <w:t xml:space="preserve">  ☐ </w:t>
      </w:r>
      <w:r>
        <w:rPr>
          <w:rFonts w:ascii="Arial" w:cs="Arial" w:eastAsia="Arial" w:hAnsi="Arial"/>
          <w:sz w:val="18"/>
          <w:szCs w:val="18"/>
          <w:color w:val="auto"/>
        </w:rPr>
        <w:t>Smaller reporting company</w:t>
      </w:r>
      <w:r>
        <w:rPr>
          <w:rFonts w:ascii="MS PGothic" w:cs="MS PGothic" w:eastAsia="MS PGothic" w:hAnsi="MS PGothic"/>
          <w:sz w:val="18"/>
          <w:szCs w:val="18"/>
          <w:color w:val="auto"/>
        </w:rPr>
        <w:t xml:space="preserve">  ☐ </w:t>
      </w:r>
      <w:r>
        <w:rPr>
          <w:rFonts w:ascii="Arial" w:cs="Arial" w:eastAsia="Arial" w:hAnsi="Arial"/>
          <w:sz w:val="18"/>
          <w:szCs w:val="18"/>
          <w:color w:val="auto"/>
        </w:rPr>
        <w:t>Emerging growth company</w:t>
      </w:r>
      <w:r>
        <w:rPr>
          <w:rFonts w:ascii="MS PGothic" w:cs="MS PGothic" w:eastAsia="MS PGothic" w:hAnsi="MS PGothic"/>
          <w:sz w:val="18"/>
          <w:szCs w:val="18"/>
          <w:color w:val="auto"/>
        </w:rPr>
        <w:t xml:space="preserve">  ☐</w:t>
      </w:r>
    </w:p>
    <w:p>
      <w:pPr>
        <w:spacing w:after="0" w:line="298"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5" w:lineRule="exact"/>
        <w:rPr>
          <w:sz w:val="20"/>
          <w:szCs w:val="20"/>
          <w:color w:val="auto"/>
        </w:rPr>
      </w:pPr>
    </w:p>
    <w:p>
      <w:pPr>
        <w:spacing w:after="0" w:line="207" w:lineRule="exact"/>
        <w:tabs>
          <w:tab w:leader="none" w:pos="9080" w:val="left"/>
          <w:tab w:leader="none" w:pos="95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r>
        <w:rPr>
          <w:rFonts w:ascii="MS PGothic" w:cs="MS PGothic" w:eastAsia="MS PGothic" w:hAnsi="MS PGothic"/>
          <w:sz w:val="18"/>
          <w:szCs w:val="18"/>
          <w:color w:val="auto"/>
        </w:rPr>
        <w:t xml:space="preserve">  ☑</w:t>
      </w:r>
    </w:p>
    <w:p>
      <w:pPr>
        <w:spacing w:after="0" w:line="20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Number of shares of the registrant’s common stock outstanding as of June 5, 2025: 62,258,022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814705</wp:posOffset>
            </wp:positionV>
            <wp:extent cx="71583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170815</wp:posOffset>
            </wp:positionV>
            <wp:extent cx="71158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81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136525</wp:posOffset>
            </wp:positionV>
            <wp:extent cx="7115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810" cy="825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40" w:type="dxa"/>
            <w:vAlign w:val="bottom"/>
            <w:gridSpan w:val="2"/>
          </w:tcPr>
          <w:p>
            <w:pPr>
              <w:ind w:left="20"/>
              <w:spacing w:after="0"/>
              <w:rPr>
                <w:sz w:val="20"/>
                <w:szCs w:val="20"/>
                <w:color w:val="auto"/>
              </w:rPr>
            </w:pPr>
            <w:r>
              <w:rPr>
                <w:rFonts w:ascii="Arial" w:cs="Arial" w:eastAsia="Arial" w:hAnsi="Arial"/>
                <w:sz w:val="14"/>
                <w:szCs w:val="14"/>
                <w:b w:val="1"/>
                <w:bCs w:val="1"/>
                <w:color w:val="auto"/>
              </w:rPr>
              <w:t>FORWARD-LOOKING STATEMENTS</w:t>
            </w:r>
          </w:p>
        </w:tc>
        <w:tc>
          <w:tcPr>
            <w:tcW w:w="180" w:type="dxa"/>
            <w:vAlign w:val="bottom"/>
            <w:gridSpan w:val="2"/>
          </w:tcPr>
          <w:p>
            <w:pPr>
              <w:jc w:val="right"/>
              <w:spacing w:after="0"/>
              <w:rPr>
                <w:sz w:val="20"/>
                <w:szCs w:val="20"/>
                <w:color w:val="auto"/>
              </w:rPr>
            </w:pPr>
            <w:r>
              <w:rPr>
                <w:rFonts w:ascii="Arial" w:cs="Arial" w:eastAsia="Arial" w:hAnsi="Arial"/>
                <w:sz w:val="15"/>
                <w:szCs w:val="15"/>
                <w:color w:val="0000FF"/>
              </w:rPr>
              <w:t>1</w:t>
            </w:r>
          </w:p>
        </w:tc>
        <w:tc>
          <w:tcPr>
            <w:tcW w:w="120" w:type="dxa"/>
            <w:vAlign w:val="bottom"/>
          </w:tcPr>
          <w:p>
            <w:pPr>
              <w:spacing w:after="0"/>
              <w:rPr>
                <w:sz w:val="14"/>
                <w:szCs w:val="14"/>
                <w:color w:val="auto"/>
              </w:rPr>
            </w:pPr>
          </w:p>
        </w:tc>
      </w:tr>
      <w:tr>
        <w:trPr>
          <w:trHeight w:val="20"/>
        </w:trPr>
        <w:tc>
          <w:tcPr>
            <w:tcW w:w="10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1094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 I. FINANCIAL INFORMATION</w:t>
            </w:r>
          </w:p>
        </w:tc>
        <w:tc>
          <w:tcPr>
            <w:tcW w:w="180" w:type="dxa"/>
            <w:vAlign w:val="bottom"/>
            <w:gridSpan w:val="2"/>
          </w:tcPr>
          <w:p>
            <w:pPr>
              <w:jc w:val="right"/>
              <w:spacing w:after="0"/>
              <w:rPr>
                <w:sz w:val="20"/>
                <w:szCs w:val="20"/>
                <w:color w:val="auto"/>
              </w:rPr>
            </w:pPr>
            <w:r>
              <w:rPr>
                <w:rFonts w:ascii="Arial" w:cs="Arial" w:eastAsia="Arial" w:hAnsi="Arial"/>
                <w:sz w:val="15"/>
                <w:szCs w:val="15"/>
                <w:color w:val="0000FF"/>
              </w:rPr>
              <w:t>3</w:t>
            </w:r>
          </w:p>
        </w:tc>
        <w:tc>
          <w:tcPr>
            <w:tcW w:w="120" w:type="dxa"/>
            <w:vAlign w:val="bottom"/>
          </w:tcPr>
          <w:p>
            <w:pPr>
              <w:spacing w:after="0"/>
              <w:rPr>
                <w:sz w:val="15"/>
                <w:szCs w:val="15"/>
                <w:color w:val="auto"/>
              </w:rPr>
            </w:pPr>
          </w:p>
        </w:tc>
      </w:tr>
      <w:tr>
        <w:trPr>
          <w:trHeight w:val="20"/>
        </w:trPr>
        <w:tc>
          <w:tcPr>
            <w:tcW w:w="10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1. Consolidated Financial Statements</w:t>
            </w:r>
          </w:p>
        </w:tc>
        <w:tc>
          <w:tcPr>
            <w:tcW w:w="180" w:type="dxa"/>
            <w:vAlign w:val="bottom"/>
            <w:gridSpan w:val="2"/>
          </w:tcPr>
          <w:p>
            <w:pPr>
              <w:jc w:val="right"/>
              <w:spacing w:after="0"/>
              <w:rPr>
                <w:sz w:val="20"/>
                <w:szCs w:val="20"/>
                <w:color w:val="auto"/>
              </w:rPr>
            </w:pPr>
            <w:r>
              <w:rPr>
                <w:rFonts w:ascii="Arial" w:cs="Arial" w:eastAsia="Arial" w:hAnsi="Arial"/>
                <w:sz w:val="15"/>
                <w:szCs w:val="15"/>
                <w:color w:val="0000FF"/>
              </w:rPr>
              <w:t>3</w:t>
            </w:r>
          </w:p>
        </w:tc>
        <w:tc>
          <w:tcPr>
            <w:tcW w:w="120" w:type="dxa"/>
            <w:vAlign w:val="bottom"/>
          </w:tcPr>
          <w:p>
            <w:pPr>
              <w:spacing w:after="0"/>
              <w:rPr>
                <w:sz w:val="15"/>
                <w:szCs w:val="15"/>
                <w:color w:val="auto"/>
              </w:rPr>
            </w:pPr>
          </w:p>
        </w:tc>
      </w:tr>
      <w:tr>
        <w:trPr>
          <w:trHeight w:val="20"/>
        </w:trPr>
        <w:tc>
          <w:tcPr>
            <w:tcW w:w="10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23</w:t>
            </w:r>
          </w:p>
        </w:tc>
        <w:tc>
          <w:tcPr>
            <w:tcW w:w="120" w:type="dxa"/>
            <w:vAlign w:val="bottom"/>
          </w:tcPr>
          <w:p>
            <w:pPr>
              <w:spacing w:after="0"/>
              <w:rPr>
                <w:sz w:val="15"/>
                <w:szCs w:val="15"/>
                <w:color w:val="auto"/>
              </w:rPr>
            </w:pPr>
          </w:p>
        </w:tc>
      </w:tr>
      <w:tr>
        <w:trPr>
          <w:trHeight w:val="182"/>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3. Quantitative and Qualitative Disclosures About Market Risk</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39</w:t>
            </w:r>
          </w:p>
        </w:tc>
        <w:tc>
          <w:tcPr>
            <w:tcW w:w="120" w:type="dxa"/>
            <w:vAlign w:val="bottom"/>
          </w:tcPr>
          <w:p>
            <w:pPr>
              <w:spacing w:after="0"/>
              <w:rPr>
                <w:sz w:val="15"/>
                <w:szCs w:val="15"/>
                <w:color w:val="auto"/>
              </w:rPr>
            </w:pPr>
          </w:p>
        </w:tc>
      </w:tr>
      <w:tr>
        <w:trPr>
          <w:trHeight w:val="182"/>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4. Controls and Procedures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39</w:t>
            </w:r>
          </w:p>
        </w:tc>
        <w:tc>
          <w:tcPr>
            <w:tcW w:w="120" w:type="dxa"/>
            <w:vAlign w:val="bottom"/>
          </w:tcPr>
          <w:p>
            <w:pPr>
              <w:spacing w:after="0"/>
              <w:rPr>
                <w:sz w:val="15"/>
                <w:szCs w:val="15"/>
                <w:color w:val="auto"/>
              </w:rPr>
            </w:pPr>
          </w:p>
        </w:tc>
      </w:tr>
      <w:tr>
        <w:trPr>
          <w:trHeight w:val="182"/>
        </w:trPr>
        <w:tc>
          <w:tcPr>
            <w:tcW w:w="1094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 II. OTHER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39</w:t>
            </w:r>
          </w:p>
        </w:tc>
        <w:tc>
          <w:tcPr>
            <w:tcW w:w="120" w:type="dxa"/>
            <w:vAlign w:val="bottom"/>
          </w:tcPr>
          <w:p>
            <w:pPr>
              <w:spacing w:after="0"/>
              <w:rPr>
                <w:sz w:val="15"/>
                <w:szCs w:val="15"/>
                <w:color w:val="auto"/>
              </w:rPr>
            </w:pPr>
          </w:p>
        </w:tc>
      </w:tr>
      <w:tr>
        <w:trPr>
          <w:trHeight w:val="182"/>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1. Legal Proceedings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39</w:t>
            </w:r>
          </w:p>
        </w:tc>
        <w:tc>
          <w:tcPr>
            <w:tcW w:w="120" w:type="dxa"/>
            <w:vAlign w:val="bottom"/>
          </w:tcPr>
          <w:p>
            <w:pPr>
              <w:spacing w:after="0"/>
              <w:rPr>
                <w:sz w:val="15"/>
                <w:szCs w:val="15"/>
                <w:color w:val="auto"/>
              </w:rPr>
            </w:pPr>
          </w:p>
        </w:tc>
      </w:tr>
      <w:tr>
        <w:trPr>
          <w:trHeight w:val="182"/>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1A. Risk Factors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39</w:t>
            </w:r>
          </w:p>
        </w:tc>
        <w:tc>
          <w:tcPr>
            <w:tcW w:w="120" w:type="dxa"/>
            <w:vAlign w:val="bottom"/>
          </w:tcPr>
          <w:p>
            <w:pPr>
              <w:spacing w:after="0"/>
              <w:rPr>
                <w:sz w:val="15"/>
                <w:szCs w:val="15"/>
                <w:color w:val="auto"/>
              </w:rPr>
            </w:pPr>
          </w:p>
        </w:tc>
      </w:tr>
      <w:tr>
        <w:trPr>
          <w:trHeight w:val="182"/>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2. Unregistered Sales of Equity Securities and Use of Proceeds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39</w:t>
            </w:r>
          </w:p>
        </w:tc>
        <w:tc>
          <w:tcPr>
            <w:tcW w:w="120" w:type="dxa"/>
            <w:vAlign w:val="bottom"/>
          </w:tcPr>
          <w:p>
            <w:pPr>
              <w:spacing w:after="0"/>
              <w:rPr>
                <w:sz w:val="15"/>
                <w:szCs w:val="15"/>
                <w:color w:val="auto"/>
              </w:rPr>
            </w:pPr>
          </w:p>
        </w:tc>
      </w:tr>
      <w:tr>
        <w:trPr>
          <w:trHeight w:val="182"/>
        </w:trPr>
        <w:tc>
          <w:tcPr>
            <w:tcW w:w="480" w:type="dxa"/>
            <w:vAlign w:val="bottom"/>
          </w:tcPr>
          <w:p>
            <w:pPr>
              <w:ind w:left="20"/>
              <w:spacing w:after="0"/>
              <w:rPr>
                <w:sz w:val="20"/>
                <w:szCs w:val="20"/>
                <w:color w:val="auto"/>
              </w:rPr>
            </w:pPr>
            <w:r>
              <w:rPr>
                <w:rFonts w:ascii="Arial" w:cs="Arial" w:eastAsia="Arial" w:hAnsi="Arial"/>
                <w:sz w:val="14"/>
                <w:szCs w:val="14"/>
                <w:color w:val="auto"/>
              </w:rPr>
              <w:t>Item 3.</w:t>
            </w:r>
          </w:p>
        </w:tc>
        <w:tc>
          <w:tcPr>
            <w:tcW w:w="10460" w:type="dxa"/>
            <w:vAlign w:val="bottom"/>
          </w:tcPr>
          <w:p>
            <w:pPr>
              <w:ind w:left="20"/>
              <w:spacing w:after="0"/>
              <w:rPr>
                <w:sz w:val="20"/>
                <w:szCs w:val="20"/>
                <w:color w:val="auto"/>
              </w:rPr>
            </w:pPr>
            <w:r>
              <w:rPr>
                <w:rFonts w:ascii="Arial" w:cs="Arial" w:eastAsia="Arial" w:hAnsi="Arial"/>
                <w:sz w:val="14"/>
                <w:szCs w:val="14"/>
                <w:color w:val="auto"/>
              </w:rPr>
              <w:t>Defaults Upon Senior Securities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40</w:t>
            </w:r>
          </w:p>
        </w:tc>
        <w:tc>
          <w:tcPr>
            <w:tcW w:w="120" w:type="dxa"/>
            <w:vAlign w:val="bottom"/>
          </w:tcPr>
          <w:p>
            <w:pPr>
              <w:spacing w:after="0"/>
              <w:rPr>
                <w:sz w:val="15"/>
                <w:szCs w:val="15"/>
                <w:color w:val="auto"/>
              </w:rPr>
            </w:pPr>
          </w:p>
        </w:tc>
      </w:tr>
      <w:tr>
        <w:trPr>
          <w:trHeight w:val="182"/>
        </w:trPr>
        <w:tc>
          <w:tcPr>
            <w:tcW w:w="480" w:type="dxa"/>
            <w:vAlign w:val="bottom"/>
          </w:tcPr>
          <w:p>
            <w:pPr>
              <w:ind w:left="20"/>
              <w:spacing w:after="0"/>
              <w:rPr>
                <w:sz w:val="20"/>
                <w:szCs w:val="20"/>
                <w:color w:val="auto"/>
              </w:rPr>
            </w:pPr>
            <w:r>
              <w:rPr>
                <w:rFonts w:ascii="Arial" w:cs="Arial" w:eastAsia="Arial" w:hAnsi="Arial"/>
                <w:sz w:val="14"/>
                <w:szCs w:val="14"/>
                <w:color w:val="auto"/>
              </w:rPr>
              <w:t>Item 4.</w:t>
            </w:r>
          </w:p>
        </w:tc>
        <w:tc>
          <w:tcPr>
            <w:tcW w:w="10460" w:type="dxa"/>
            <w:vAlign w:val="bottom"/>
          </w:tcPr>
          <w:p>
            <w:pPr>
              <w:ind w:left="20"/>
              <w:spacing w:after="0"/>
              <w:rPr>
                <w:sz w:val="20"/>
                <w:szCs w:val="20"/>
                <w:color w:val="auto"/>
              </w:rPr>
            </w:pPr>
            <w:r>
              <w:rPr>
                <w:rFonts w:ascii="Arial" w:cs="Arial" w:eastAsia="Arial" w:hAnsi="Arial"/>
                <w:sz w:val="14"/>
                <w:szCs w:val="14"/>
                <w:color w:val="auto"/>
              </w:rPr>
              <w:t>Mine Safety Disclosures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40</w:t>
            </w:r>
          </w:p>
        </w:tc>
        <w:tc>
          <w:tcPr>
            <w:tcW w:w="120" w:type="dxa"/>
            <w:vAlign w:val="bottom"/>
          </w:tcPr>
          <w:p>
            <w:pPr>
              <w:spacing w:after="0"/>
              <w:rPr>
                <w:sz w:val="15"/>
                <w:szCs w:val="15"/>
                <w:color w:val="auto"/>
              </w:rPr>
            </w:pPr>
          </w:p>
        </w:tc>
      </w:tr>
      <w:tr>
        <w:trPr>
          <w:trHeight w:val="182"/>
        </w:trPr>
        <w:tc>
          <w:tcPr>
            <w:tcW w:w="480" w:type="dxa"/>
            <w:vAlign w:val="bottom"/>
          </w:tcPr>
          <w:p>
            <w:pPr>
              <w:ind w:left="20"/>
              <w:spacing w:after="0"/>
              <w:rPr>
                <w:sz w:val="20"/>
                <w:szCs w:val="20"/>
                <w:color w:val="auto"/>
              </w:rPr>
            </w:pPr>
            <w:r>
              <w:rPr>
                <w:rFonts w:ascii="Arial" w:cs="Arial" w:eastAsia="Arial" w:hAnsi="Arial"/>
                <w:sz w:val="14"/>
                <w:szCs w:val="14"/>
                <w:color w:val="auto"/>
              </w:rPr>
              <w:t>Item 5.</w:t>
            </w:r>
          </w:p>
        </w:tc>
        <w:tc>
          <w:tcPr>
            <w:tcW w:w="10460" w:type="dxa"/>
            <w:vAlign w:val="bottom"/>
          </w:tcPr>
          <w:p>
            <w:pPr>
              <w:ind w:left="20"/>
              <w:spacing w:after="0"/>
              <w:rPr>
                <w:sz w:val="20"/>
                <w:szCs w:val="20"/>
                <w:color w:val="auto"/>
              </w:rPr>
            </w:pPr>
            <w:r>
              <w:rPr>
                <w:rFonts w:ascii="Arial" w:cs="Arial" w:eastAsia="Arial" w:hAnsi="Arial"/>
                <w:sz w:val="14"/>
                <w:szCs w:val="14"/>
                <w:color w:val="auto"/>
              </w:rPr>
              <w:t>Other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40</w:t>
            </w:r>
          </w:p>
        </w:tc>
        <w:tc>
          <w:tcPr>
            <w:tcW w:w="120" w:type="dxa"/>
            <w:vAlign w:val="bottom"/>
          </w:tcPr>
          <w:p>
            <w:pPr>
              <w:spacing w:after="0"/>
              <w:rPr>
                <w:sz w:val="15"/>
                <w:szCs w:val="15"/>
                <w:color w:val="auto"/>
              </w:rPr>
            </w:pPr>
          </w:p>
        </w:tc>
      </w:tr>
      <w:tr>
        <w:trPr>
          <w:trHeight w:val="182"/>
        </w:trPr>
        <w:tc>
          <w:tcPr>
            <w:tcW w:w="480" w:type="dxa"/>
            <w:vAlign w:val="bottom"/>
          </w:tcPr>
          <w:p>
            <w:pPr>
              <w:ind w:left="20"/>
              <w:spacing w:after="0"/>
              <w:rPr>
                <w:sz w:val="20"/>
                <w:szCs w:val="20"/>
                <w:color w:val="auto"/>
              </w:rPr>
            </w:pPr>
            <w:r>
              <w:rPr>
                <w:rFonts w:ascii="Arial" w:cs="Arial" w:eastAsia="Arial" w:hAnsi="Arial"/>
                <w:sz w:val="14"/>
                <w:szCs w:val="14"/>
                <w:color w:val="auto"/>
              </w:rPr>
              <w:t>Item 6.</w:t>
            </w:r>
          </w:p>
        </w:tc>
        <w:tc>
          <w:tcPr>
            <w:tcW w:w="10460" w:type="dxa"/>
            <w:vAlign w:val="bottom"/>
          </w:tcPr>
          <w:p>
            <w:pPr>
              <w:ind w:left="20"/>
              <w:spacing w:after="0"/>
              <w:rPr>
                <w:sz w:val="20"/>
                <w:szCs w:val="20"/>
                <w:color w:val="auto"/>
              </w:rPr>
            </w:pPr>
            <w:r>
              <w:rPr>
                <w:rFonts w:ascii="Arial" w:cs="Arial" w:eastAsia="Arial" w:hAnsi="Arial"/>
                <w:sz w:val="14"/>
                <w:szCs w:val="14"/>
                <w:color w:val="auto"/>
              </w:rPr>
              <w:t>Exhibits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41</w:t>
            </w:r>
          </w:p>
        </w:tc>
        <w:tc>
          <w:tcPr>
            <w:tcW w:w="120" w:type="dxa"/>
            <w:vAlign w:val="bottom"/>
          </w:tcPr>
          <w:p>
            <w:pPr>
              <w:spacing w:after="0"/>
              <w:rPr>
                <w:sz w:val="15"/>
                <w:szCs w:val="15"/>
                <w:color w:val="auto"/>
              </w:rPr>
            </w:pPr>
          </w:p>
        </w:tc>
      </w:tr>
      <w:tr>
        <w:trPr>
          <w:trHeight w:val="182"/>
        </w:trPr>
        <w:tc>
          <w:tcPr>
            <w:tcW w:w="10940" w:type="dxa"/>
            <w:vAlign w:val="bottom"/>
            <w:gridSpan w:val="2"/>
          </w:tcPr>
          <w:p>
            <w:pPr>
              <w:ind w:left="20"/>
              <w:spacing w:after="0"/>
              <w:rPr>
                <w:sz w:val="20"/>
                <w:szCs w:val="20"/>
                <w:color w:val="auto"/>
              </w:rPr>
            </w:pPr>
            <w:r>
              <w:rPr>
                <w:rFonts w:ascii="Arial" w:cs="Arial" w:eastAsia="Arial" w:hAnsi="Arial"/>
                <w:sz w:val="14"/>
                <w:szCs w:val="14"/>
                <w:b w:val="1"/>
                <w:bCs w:val="1"/>
                <w:color w:val="auto"/>
              </w:rPr>
              <w:t>SIGNATURES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42</w:t>
            </w:r>
          </w:p>
        </w:tc>
        <w:tc>
          <w:tcPr>
            <w:tcW w:w="120" w:type="dxa"/>
            <w:vAlign w:val="bottom"/>
          </w:tcPr>
          <w:p>
            <w:pPr>
              <w:spacing w:after="0"/>
              <w:rPr>
                <w:sz w:val="15"/>
                <w:szCs w:val="15"/>
                <w:color w:val="auto"/>
              </w:rPr>
            </w:pPr>
          </w:p>
        </w:tc>
      </w:tr>
      <w:tr>
        <w:trPr>
          <w:trHeight w:val="1048"/>
        </w:trPr>
        <w:tc>
          <w:tcPr>
            <w:tcW w:w="480" w:type="dxa"/>
            <w:vAlign w:val="bottom"/>
            <w:tcBorders>
              <w:bottom w:val="single" w:sz="8" w:color="9A9A9A"/>
            </w:tcBorders>
          </w:tcPr>
          <w:p>
            <w:pPr>
              <w:spacing w:after="0"/>
              <w:rPr>
                <w:sz w:val="24"/>
                <w:szCs w:val="24"/>
                <w:color w:val="auto"/>
              </w:rPr>
            </w:pPr>
          </w:p>
        </w:tc>
        <w:tc>
          <w:tcPr>
            <w:tcW w:w="10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0046AD"/>
        </w:rPr>
        <w:t>FORWARD-LOOKING STATEMENTS</w:t>
      </w:r>
    </w:p>
    <w:p>
      <w:pPr>
        <w:spacing w:after="0" w:line="169"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This Form 10-Q contains both historical and forward-looking statements regarding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58" w:lineRule="exact"/>
        <w:rPr>
          <w:sz w:val="20"/>
          <w:szCs w:val="20"/>
          <w:color w:val="auto"/>
        </w:rPr>
      </w:pPr>
    </w:p>
    <w:p>
      <w:pPr>
        <w:ind w:left="640" w:hanging="31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depends on our ability to gain profitable business despite competitive market pressures.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results of operations can be adversely affected by labor shortages, turnover, and labor cost increases.</w:t>
      </w:r>
    </w:p>
    <w:p>
      <w:pPr>
        <w:spacing w:after="0" w:line="61" w:lineRule="exact"/>
        <w:rPr>
          <w:rFonts w:ascii="Arial" w:cs="Arial" w:eastAsia="Arial" w:hAnsi="Arial"/>
          <w:sz w:val="18"/>
          <w:szCs w:val="18"/>
          <w:color w:val="auto"/>
        </w:rPr>
      </w:pPr>
    </w:p>
    <w:p>
      <w:pPr>
        <w:ind w:left="640" w:hanging="31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attract and retain qualified personnel and senior management we need to support our business.</w:t>
      </w:r>
    </w:p>
    <w:p>
      <w:pPr>
        <w:spacing w:after="0" w:line="61" w:lineRule="exact"/>
        <w:rPr>
          <w:rFonts w:ascii="Arial" w:cs="Arial" w:eastAsia="Arial" w:hAnsi="Arial"/>
          <w:sz w:val="18"/>
          <w:szCs w:val="18"/>
          <w:color w:val="auto"/>
        </w:rPr>
      </w:pPr>
    </w:p>
    <w:p>
      <w:pPr>
        <w:jc w:val="both"/>
        <w:ind w:left="660" w:hanging="330"/>
        <w:spacing w:after="0" w:line="26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Investments in and changes to our businesses, operating structure, or personnel relating to our </w:t>
      </w:r>
      <w:r>
        <w:rPr>
          <w:rFonts w:ascii="Arial" w:cs="Arial" w:eastAsia="Arial" w:hAnsi="Arial"/>
          <w:sz w:val="18"/>
          <w:szCs w:val="18"/>
          <w:b w:val="1"/>
          <w:bCs w:val="1"/>
          <w:color w:val="D76428"/>
        </w:rPr>
        <w:t>ELEVATE</w:t>
      </w:r>
      <w:r>
        <w:rPr>
          <w:rFonts w:ascii="Arial" w:cs="Arial" w:eastAsia="Arial" w:hAnsi="Arial"/>
          <w:sz w:val="18"/>
          <w:szCs w:val="18"/>
          <w:color w:val="auto"/>
        </w:rPr>
        <w:t xml:space="preserve"> strategy, including the implementation of strategic transformations, enhanced business processes, and technology initiatives, may not have the desired effects on our financial condition and results of operations.</w:t>
      </w:r>
    </w:p>
    <w:p>
      <w:pPr>
        <w:spacing w:after="0" w:line="7" w:lineRule="exact"/>
        <w:rPr>
          <w:rFonts w:ascii="Arial" w:cs="Arial" w:eastAsia="Arial" w:hAnsi="Arial"/>
          <w:sz w:val="18"/>
          <w:szCs w:val="18"/>
          <w:color w:val="auto"/>
        </w:rPr>
      </w:pPr>
    </w:p>
    <w:p>
      <w:pPr>
        <w:ind w:left="640" w:hanging="31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preserve long-term client relationships is essential to our continued success.</w:t>
      </w:r>
    </w:p>
    <w:p>
      <w:pPr>
        <w:spacing w:after="0" w:line="61" w:lineRule="exact"/>
        <w:rPr>
          <w:rFonts w:ascii="Arial" w:cs="Arial" w:eastAsia="Arial" w:hAnsi="Arial"/>
          <w:sz w:val="18"/>
          <w:szCs w:val="18"/>
          <w:color w:val="auto"/>
        </w:rPr>
      </w:pPr>
    </w:p>
    <w:p>
      <w:pPr>
        <w:ind w:left="640" w:hanging="31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subcontractors or joint venture partners to perform work under customer contracts exposes us to liability and financial risk.</w:t>
      </w:r>
    </w:p>
    <w:p>
      <w:pPr>
        <w:spacing w:after="0" w:line="61" w:lineRule="exact"/>
        <w:rPr>
          <w:rFonts w:ascii="Arial" w:cs="Arial" w:eastAsia="Arial" w:hAnsi="Arial"/>
          <w:sz w:val="18"/>
          <w:szCs w:val="18"/>
          <w:color w:val="auto"/>
        </w:rPr>
      </w:pPr>
    </w:p>
    <w:p>
      <w:pPr>
        <w:ind w:left="660" w:hanging="330"/>
        <w:spacing w:after="0" w:line="28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business involves risks different from those we face in the United States that could negatively impact our results of operations and financial condition.</w:t>
      </w:r>
    </w:p>
    <w:p>
      <w:pPr>
        <w:ind w:left="660" w:hanging="330"/>
        <w:spacing w:after="0" w:line="28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commercial office space utilization due to hybrid work models and increases in office vacancy rates could adversely affect our financial condition.</w:t>
      </w:r>
    </w:p>
    <w:p>
      <w:pPr>
        <w:jc w:val="both"/>
        <w:ind w:left="660" w:hanging="330"/>
        <w:spacing w:after="0" w:line="26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changes in general economic conditions, such as recessionary pressures, high interest rates, durable and non-durable goods pricing, changes in energy prices, or changes in consumer goods pricing could reduce the demand for our services and, as a result, reduce our revenue and earnings and adversely affect our financial condition.</w:t>
      </w:r>
    </w:p>
    <w:p>
      <w:pPr>
        <w:spacing w:after="0" w:line="7" w:lineRule="exact"/>
        <w:rPr>
          <w:rFonts w:ascii="Arial" w:cs="Arial" w:eastAsia="Arial" w:hAnsi="Arial"/>
          <w:sz w:val="18"/>
          <w:szCs w:val="18"/>
          <w:color w:val="auto"/>
        </w:rPr>
      </w:pPr>
    </w:p>
    <w:p>
      <w:pPr>
        <w:ind w:left="660" w:hanging="330"/>
        <w:spacing w:after="0" w:line="28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breaches of, or disruptions to, our information technology systems or those of our third-party providers or clients, or other compromises of our data that could adversely affect our business.</w:t>
      </w:r>
    </w:p>
    <w:p>
      <w:pPr>
        <w:ind w:left="660" w:right="20" w:hanging="330"/>
        <w:spacing w:after="0" w:line="28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implementation of new enterprise resource planning (“ERP”) and related boundary systems could adversely impact our ability to operate our business, including the timing and amount of working capital needed, and report our financial results.</w:t>
      </w:r>
    </w:p>
    <w:p>
      <w:pPr>
        <w:ind w:left="660" w:hanging="330"/>
        <w:spacing w:after="0" w:line="28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divestitures, and other strategic transactions could fail to achieve financial or strategic objectives, disrupt our ongoing business, and adversely impact our results of operations.</w:t>
      </w:r>
    </w:p>
    <w:p>
      <w:pPr>
        <w:jc w:val="both"/>
        <w:ind w:left="660" w:hanging="330"/>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manage our insurable risks through a combination of third-party purchased policies and self-insurance, and we retain a substantial portion of the risk associated with expected losses under these programs, which exposes us to volatility associated with those risks, including the possibility that changes in estimates to our ultimate insurance loss reserves could result in material charges against our earnings.</w:t>
      </w:r>
    </w:p>
    <w:p>
      <w:pPr>
        <w:spacing w:after="0" w:line="13" w:lineRule="exact"/>
        <w:rPr>
          <w:rFonts w:ascii="Arial" w:cs="Arial" w:eastAsia="Arial" w:hAnsi="Arial"/>
          <w:sz w:val="18"/>
          <w:szCs w:val="18"/>
          <w:color w:val="auto"/>
        </w:rPr>
      </w:pPr>
    </w:p>
    <w:p>
      <w:pPr>
        <w:ind w:left="660" w:hanging="330"/>
        <w:spacing w:after="0" w:line="28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risk management and safety programs may not have the intended effect of reducing our liability for personal injury or property loss.</w:t>
      </w:r>
    </w:p>
    <w:p>
      <w:pPr>
        <w:ind w:left="660" w:hanging="330"/>
        <w:spacing w:after="0" w:line="28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developments in our class and representative actions and other lawsuits alleging various claims could cause us to incur substantial liabilities.</w:t>
      </w:r>
    </w:p>
    <w:p>
      <w:pPr>
        <w:ind w:left="660" w:right="20" w:hanging="330"/>
        <w:spacing w:after="0" w:line="28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extensive legal and regulatory requirements, which could limit our profitability by increasing the costs of legal and regulatory compliance.</w:t>
      </w:r>
    </w:p>
    <w:p>
      <w:pPr>
        <w:jc w:val="both"/>
        <w:ind w:left="660" w:hanging="330"/>
        <w:spacing w:after="0" w:line="26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number of our employees are covered by collective bargaining agreements that could expose us to potential liabilities in relation to our participation in multiemployer pension plans, requirements to make contributions to other benefit plans, and the potential for strikes, work slowdowns or similar activities, and union organizing drives.</w:t>
      </w:r>
    </w:p>
    <w:p>
      <w:pPr>
        <w:spacing w:after="0" w:line="7" w:lineRule="exact"/>
        <w:rPr>
          <w:rFonts w:ascii="Arial" w:cs="Arial" w:eastAsia="Arial" w:hAnsi="Arial"/>
          <w:sz w:val="18"/>
          <w:szCs w:val="18"/>
          <w:color w:val="auto"/>
        </w:rPr>
      </w:pPr>
    </w:p>
    <w:p>
      <w:pPr>
        <w:ind w:left="660" w:hanging="330"/>
        <w:spacing w:after="0" w:line="28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may be materially affected by changes to fiscal and tax policies. Negative or unexpected tax consequences could adversely affect our results of operations.</w:t>
      </w:r>
    </w:p>
    <w:p>
      <w:pPr>
        <w:ind w:left="640" w:hanging="31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increases in the level of our borrowings and interest rates could affect our results of operations.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4" w:name="page5"/>
    <w:bookmarkEnd w:id="4"/>
    <w:p>
      <w:pPr>
        <w:ind w:left="640" w:hanging="31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 of goodwill and long-lived assets could have a material adverse effect on our financial condition and results of operations.</w:t>
      </w:r>
    </w:p>
    <w:p>
      <w:pPr>
        <w:spacing w:after="0" w:line="61" w:lineRule="exact"/>
        <w:rPr>
          <w:rFonts w:ascii="Arial" w:cs="Arial" w:eastAsia="Arial" w:hAnsi="Arial"/>
          <w:sz w:val="18"/>
          <w:szCs w:val="18"/>
          <w:color w:val="auto"/>
        </w:rPr>
      </w:pPr>
    </w:p>
    <w:p>
      <w:pPr>
        <w:jc w:val="both"/>
        <w:ind w:left="660" w:hanging="330"/>
        <w:spacing w:after="0" w:line="26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w:t>
      </w:r>
    </w:p>
    <w:p>
      <w:pPr>
        <w:spacing w:after="0" w:line="7" w:lineRule="exact"/>
        <w:rPr>
          <w:rFonts w:ascii="Arial" w:cs="Arial" w:eastAsia="Arial" w:hAnsi="Arial"/>
          <w:sz w:val="18"/>
          <w:szCs w:val="18"/>
          <w:color w:val="auto"/>
        </w:rPr>
      </w:pPr>
    </w:p>
    <w:p>
      <w:pPr>
        <w:ind w:left="640" w:hanging="31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may be negatively impacted by adverse weather conditions.</w:t>
      </w:r>
    </w:p>
    <w:p>
      <w:pPr>
        <w:spacing w:after="0" w:line="61" w:lineRule="exact"/>
        <w:rPr>
          <w:rFonts w:ascii="Arial" w:cs="Arial" w:eastAsia="Arial" w:hAnsi="Arial"/>
          <w:sz w:val="18"/>
          <w:szCs w:val="18"/>
          <w:color w:val="auto"/>
        </w:rPr>
      </w:pPr>
    </w:p>
    <w:p>
      <w:pPr>
        <w:ind w:left="640" w:hanging="31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Catastrophic events, disasters, pandemics, and terrorist attacks could disrupt our services.</w:t>
      </w:r>
    </w:p>
    <w:p>
      <w:pPr>
        <w:spacing w:after="0" w:line="61" w:lineRule="exact"/>
        <w:rPr>
          <w:rFonts w:ascii="Arial" w:cs="Arial" w:eastAsia="Arial" w:hAnsi="Arial"/>
          <w:sz w:val="18"/>
          <w:szCs w:val="18"/>
          <w:color w:val="auto"/>
        </w:rPr>
      </w:pPr>
    </w:p>
    <w:p>
      <w:pPr>
        <w:ind w:left="640" w:hanging="31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of activist investors could disrupt our business.</w:t>
      </w:r>
    </w:p>
    <w:p>
      <w:pPr>
        <w:spacing w:after="0" w:line="169"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The list of factors above is illustrative and by no means exhaustive. Additional information regarding these and other risks and uncertainties we face is contained in our Annual Report on Form 10-K for the year ended October 31, 2024, and in other reports (including all amendments to those reports) we file from time to time with the Securities and Exchange Commission (“SEC”).</w:t>
      </w:r>
    </w:p>
    <w:p>
      <w:pPr>
        <w:spacing w:after="0" w:line="115"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0046AD"/>
        </w:rPr>
        <w:t>PART I. FINANCIAL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 CONSOLIDATED FINANCIAL STATEMENTS.</w:t>
      </w:r>
    </w:p>
    <w:p>
      <w:pPr>
        <w:spacing w:after="0" w:line="11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2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0046AD"/>
        </w:rPr>
        <w:t>CONSOLIDATED BALANCE SHEETS</w:t>
      </w:r>
    </w:p>
    <w:p>
      <w:pPr>
        <w:spacing w:after="0" w:line="12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0046AD"/>
        </w:rPr>
        <w:t>(UNAUDITED)</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share and per share amounts)</w:t>
            </w:r>
          </w:p>
        </w:tc>
        <w:tc>
          <w:tcPr>
            <w:tcW w:w="240" w:type="dxa"/>
            <w:vAlign w:val="bottom"/>
          </w:tcPr>
          <w:p>
            <w:pPr>
              <w:spacing w:after="0"/>
              <w:rPr>
                <w:sz w:val="16"/>
                <w:szCs w:val="16"/>
                <w:color w:val="auto"/>
              </w:rPr>
            </w:pPr>
          </w:p>
        </w:tc>
        <w:tc>
          <w:tcPr>
            <w:tcW w:w="1720" w:type="dxa"/>
            <w:vAlign w:val="bottom"/>
            <w:gridSpan w:val="2"/>
          </w:tcPr>
          <w:p>
            <w:pPr>
              <w:ind w:left="160"/>
              <w:spacing w:after="0"/>
              <w:rPr>
                <w:sz w:val="20"/>
                <w:szCs w:val="20"/>
                <w:color w:val="auto"/>
              </w:rPr>
            </w:pPr>
            <w:r>
              <w:rPr>
                <w:rFonts w:ascii="Arial" w:cs="Arial" w:eastAsia="Arial" w:hAnsi="Arial"/>
                <w:sz w:val="16"/>
                <w:szCs w:val="16"/>
                <w:b w:val="1"/>
                <w:bCs w:val="1"/>
                <w:color w:val="auto"/>
              </w:rPr>
              <w:t>April 30, 2025</w:t>
            </w:r>
          </w:p>
        </w:tc>
        <w:tc>
          <w:tcPr>
            <w:tcW w:w="160" w:type="dxa"/>
            <w:vAlign w:val="bottom"/>
          </w:tcPr>
          <w:p>
            <w:pPr>
              <w:spacing w:after="0"/>
              <w:rPr>
                <w:sz w:val="16"/>
                <w:szCs w:val="16"/>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b w:val="1"/>
                <w:bCs w:val="1"/>
                <w:color w:val="auto"/>
              </w:rPr>
              <w:t>October 31, 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3200" w:type="dxa"/>
            <w:vAlign w:val="bottom"/>
            <w:tcBorders>
              <w:top w:val="single" w:sz="8" w:color="auto"/>
              <w:bottom w:val="single" w:sz="8" w:color="DCE2EF"/>
            </w:tcBorders>
          </w:tcPr>
          <w:p>
            <w:pPr>
              <w:spacing w:after="0" w:line="20" w:lineRule="exact"/>
              <w:rPr>
                <w:sz w:val="1"/>
                <w:szCs w:val="1"/>
                <w:color w:val="auto"/>
              </w:rPr>
            </w:pPr>
          </w:p>
        </w:tc>
        <w:tc>
          <w:tcPr>
            <w:tcW w:w="408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DCE2EF"/>
          </w:tcPr>
          <w:p>
            <w:pPr>
              <w:spacing w:after="0"/>
              <w:rPr>
                <w:sz w:val="16"/>
                <w:szCs w:val="16"/>
                <w:color w:val="auto"/>
              </w:rPr>
            </w:pPr>
          </w:p>
        </w:tc>
        <w:tc>
          <w:tcPr>
            <w:tcW w:w="16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15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300" w:type="dxa"/>
            <w:vAlign w:val="bottom"/>
            <w:gridSpan w:val="3"/>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DCE2E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58.7</w:t>
            </w: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80" w:type="dxa"/>
            <w:vAlign w:val="bottom"/>
            <w:gridSpan w:val="2"/>
          </w:tcPr>
          <w:p>
            <w:pPr>
              <w:ind w:left="320"/>
              <w:spacing w:after="0" w:line="161" w:lineRule="exact"/>
              <w:rPr>
                <w:sz w:val="20"/>
                <w:szCs w:val="20"/>
                <w:color w:val="auto"/>
              </w:rPr>
            </w:pPr>
            <w:r>
              <w:rPr>
                <w:rFonts w:ascii="Arial" w:cs="Arial" w:eastAsia="Arial" w:hAnsi="Arial"/>
                <w:sz w:val="16"/>
                <w:szCs w:val="16"/>
                <w:color w:val="auto"/>
              </w:rPr>
              <w:t>Trade accounts receivable, net of allowances of $24.2 and $22.8</w:t>
            </w:r>
          </w:p>
        </w:tc>
        <w:tc>
          <w:tcPr>
            <w:tcW w:w="24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1,603.5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1,384.1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gridSpan w:val="2"/>
          </w:tcPr>
          <w:p>
            <w:pPr>
              <w:ind w:left="460"/>
              <w:spacing w:after="0"/>
              <w:rPr>
                <w:sz w:val="20"/>
                <w:szCs w:val="20"/>
                <w:color w:val="auto"/>
              </w:rPr>
            </w:pPr>
            <w:r>
              <w:rPr>
                <w:rFonts w:ascii="Arial" w:cs="Arial" w:eastAsia="Arial" w:hAnsi="Arial"/>
                <w:sz w:val="16"/>
                <w:szCs w:val="16"/>
                <w:color w:val="auto"/>
              </w:rPr>
              <w:t>at April 30, 2025 and October 31, 2024, respectively</w:t>
            </w:r>
          </w:p>
        </w:tc>
        <w:tc>
          <w:tcPr>
            <w:tcW w:w="24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Costs incurred in excess of amounts billed</w:t>
            </w:r>
          </w:p>
        </w:tc>
        <w:tc>
          <w:tcPr>
            <w:tcW w:w="240" w:type="dxa"/>
            <w:vAlign w:val="bottom"/>
            <w:shd w:val="clear" w:color="auto" w:fill="DCE2EF"/>
          </w:tcPr>
          <w:p>
            <w:pPr>
              <w:spacing w:after="0"/>
              <w:rPr>
                <w:sz w:val="18"/>
                <w:szCs w:val="18"/>
                <w:color w:val="auto"/>
              </w:rPr>
            </w:pPr>
          </w:p>
        </w:tc>
        <w:tc>
          <w:tcPr>
            <w:tcW w:w="1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131.5</w:t>
            </w: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gridSpan w:val="2"/>
          </w:tcPr>
          <w:p>
            <w:pPr>
              <w:ind w:left="320"/>
              <w:spacing w:after="0"/>
              <w:rPr>
                <w:sz w:val="20"/>
                <w:szCs w:val="20"/>
                <w:color w:val="auto"/>
              </w:rPr>
            </w:pPr>
            <w:r>
              <w:rPr>
                <w:rFonts w:ascii="Arial" w:cs="Arial" w:eastAsia="Arial" w:hAnsi="Arial"/>
                <w:sz w:val="16"/>
                <w:szCs w:val="16"/>
                <w:color w:val="auto"/>
              </w:rPr>
              <w:t>Prepaid expenses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shd w:val="clear" w:color="auto" w:fill="DCE2EF"/>
          </w:tcPr>
          <w:p>
            <w:pPr>
              <w:spacing w:after="0"/>
              <w:rPr>
                <w:sz w:val="18"/>
                <w:szCs w:val="18"/>
                <w:color w:val="auto"/>
              </w:rPr>
            </w:pPr>
          </w:p>
        </w:tc>
        <w:tc>
          <w:tcPr>
            <w:tcW w:w="16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78.7</w:t>
            </w:r>
          </w:p>
        </w:tc>
        <w:tc>
          <w:tcPr>
            <w:tcW w:w="120" w:type="dxa"/>
            <w:vAlign w:val="bottom"/>
            <w:shd w:val="clear" w:color="auto" w:fill="DCE2EF"/>
          </w:tcPr>
          <w:p>
            <w:pPr>
              <w:spacing w:after="0"/>
              <w:rPr>
                <w:sz w:val="18"/>
                <w:szCs w:val="18"/>
                <w:color w:val="auto"/>
              </w:rPr>
            </w:pPr>
          </w:p>
        </w:tc>
        <w:tc>
          <w:tcPr>
            <w:tcW w:w="160" w:type="dxa"/>
            <w:vAlign w:val="bottom"/>
            <w:tcBorders>
              <w:bottom w:val="single" w:sz="8" w:color="auto"/>
            </w:tcBorders>
            <w:shd w:val="clear" w:color="auto" w:fill="DCE2EF"/>
          </w:tcPr>
          <w:p>
            <w:pPr>
              <w:spacing w:after="0"/>
              <w:rPr>
                <w:sz w:val="18"/>
                <w:szCs w:val="18"/>
                <w:color w:val="auto"/>
              </w:rPr>
            </w:pP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08"/>
        </w:trPr>
        <w:tc>
          <w:tcPr>
            <w:tcW w:w="20" w:type="dxa"/>
            <w:vAlign w:val="bottom"/>
            <w:tcBorders>
              <w:bottom w:val="single" w:sz="8" w:color="DCE2EF"/>
            </w:tcBorders>
          </w:tcPr>
          <w:p>
            <w:pPr>
              <w:spacing w:after="0"/>
              <w:rPr>
                <w:sz w:val="18"/>
                <w:szCs w:val="18"/>
                <w:color w:val="auto"/>
              </w:rPr>
            </w:pPr>
          </w:p>
        </w:tc>
        <w:tc>
          <w:tcPr>
            <w:tcW w:w="7280" w:type="dxa"/>
            <w:vAlign w:val="bottom"/>
            <w:tcBorders>
              <w:bottom w:val="single" w:sz="8" w:color="DCE2EF"/>
            </w:tcBorders>
            <w:gridSpan w:val="2"/>
          </w:tcPr>
          <w:p>
            <w:pPr>
              <w:ind w:left="66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2,014.1</w:t>
            </w:r>
          </w:p>
        </w:tc>
        <w:tc>
          <w:tcPr>
            <w:tcW w:w="120" w:type="dxa"/>
            <w:vAlign w:val="bottom"/>
            <w:tcBorders>
              <w:bottom w:val="single" w:sz="8" w:color="DCE2E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1,788.7</w:t>
            </w:r>
          </w:p>
        </w:tc>
        <w:tc>
          <w:tcPr>
            <w:tcW w:w="0" w:type="dxa"/>
            <w:vAlign w:val="bottom"/>
          </w:tcPr>
          <w:p>
            <w:pPr>
              <w:spacing w:after="0"/>
              <w:rPr>
                <w:sz w:val="1"/>
                <w:szCs w:val="1"/>
                <w:color w:val="auto"/>
              </w:rPr>
            </w:pPr>
          </w:p>
        </w:tc>
      </w:tr>
      <w:tr>
        <w:trPr>
          <w:trHeight w:val="209"/>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Other investments</w:t>
            </w:r>
          </w:p>
        </w:tc>
        <w:tc>
          <w:tcPr>
            <w:tcW w:w="240" w:type="dxa"/>
            <w:vAlign w:val="bottom"/>
            <w:shd w:val="clear" w:color="auto" w:fill="DCE2EF"/>
          </w:tcPr>
          <w:p>
            <w:pPr>
              <w:spacing w:after="0"/>
              <w:rPr>
                <w:sz w:val="18"/>
                <w:szCs w:val="18"/>
                <w:color w:val="auto"/>
              </w:rPr>
            </w:pPr>
          </w:p>
        </w:tc>
        <w:tc>
          <w:tcPr>
            <w:tcW w:w="1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27.4</w:t>
            </w: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161"/>
        </w:trPr>
        <w:tc>
          <w:tcPr>
            <w:tcW w:w="7300" w:type="dxa"/>
            <w:vAlign w:val="bottom"/>
            <w:gridSpan w:val="3"/>
          </w:tcPr>
          <w:p>
            <w:pPr>
              <w:ind w:left="20"/>
              <w:spacing w:after="0" w:line="161" w:lineRule="exact"/>
              <w:rPr>
                <w:sz w:val="20"/>
                <w:szCs w:val="20"/>
                <w:color w:val="auto"/>
              </w:rPr>
            </w:pPr>
            <w:r>
              <w:rPr>
                <w:rFonts w:ascii="Arial" w:cs="Arial" w:eastAsia="Arial" w:hAnsi="Arial"/>
                <w:sz w:val="16"/>
                <w:szCs w:val="16"/>
                <w:color w:val="auto"/>
              </w:rPr>
              <w:t>Property, plant and equipment, net of accumulated depreciation of $356.6 and $351.3 at April 30,</w:t>
            </w:r>
          </w:p>
        </w:tc>
        <w:tc>
          <w:tcPr>
            <w:tcW w:w="24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159.6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150.7</w:t>
            </w:r>
          </w:p>
        </w:tc>
        <w:tc>
          <w:tcPr>
            <w:tcW w:w="0" w:type="dxa"/>
            <w:vAlign w:val="bottom"/>
          </w:tcPr>
          <w:p>
            <w:pPr>
              <w:spacing w:after="0"/>
              <w:rPr>
                <w:sz w:val="1"/>
                <w:szCs w:val="1"/>
                <w:color w:val="auto"/>
              </w:rPr>
            </w:pPr>
          </w:p>
        </w:tc>
      </w:tr>
      <w:tr>
        <w:trPr>
          <w:trHeight w:val="214"/>
        </w:trPr>
        <w:tc>
          <w:tcPr>
            <w:tcW w:w="7300" w:type="dxa"/>
            <w:vAlign w:val="bottom"/>
            <w:gridSpan w:val="3"/>
          </w:tcPr>
          <w:p>
            <w:pPr>
              <w:ind w:left="20"/>
              <w:spacing w:after="0"/>
              <w:rPr>
                <w:sz w:val="20"/>
                <w:szCs w:val="20"/>
                <w:color w:val="auto"/>
              </w:rPr>
            </w:pPr>
            <w:r>
              <w:rPr>
                <w:rFonts w:ascii="Arial" w:cs="Arial" w:eastAsia="Arial" w:hAnsi="Arial"/>
                <w:sz w:val="16"/>
                <w:szCs w:val="16"/>
                <w:color w:val="auto"/>
              </w:rPr>
              <w:t>2025 and October 31, 2024, respectively</w:t>
            </w:r>
          </w:p>
        </w:tc>
        <w:tc>
          <w:tcPr>
            <w:tcW w:w="24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Right-of-use assets</w:t>
            </w:r>
          </w:p>
        </w:tc>
        <w:tc>
          <w:tcPr>
            <w:tcW w:w="240" w:type="dxa"/>
            <w:vAlign w:val="bottom"/>
            <w:shd w:val="clear" w:color="auto" w:fill="DCE2EF"/>
          </w:tcPr>
          <w:p>
            <w:pPr>
              <w:spacing w:after="0"/>
              <w:rPr>
                <w:sz w:val="18"/>
                <w:szCs w:val="18"/>
                <w:color w:val="auto"/>
              </w:rPr>
            </w:pPr>
          </w:p>
        </w:tc>
        <w:tc>
          <w:tcPr>
            <w:tcW w:w="1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100.4</w:t>
            </w: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161"/>
        </w:trPr>
        <w:tc>
          <w:tcPr>
            <w:tcW w:w="7300" w:type="dxa"/>
            <w:vAlign w:val="bottom"/>
            <w:gridSpan w:val="3"/>
          </w:tcPr>
          <w:p>
            <w:pPr>
              <w:ind w:left="20"/>
              <w:spacing w:after="0" w:line="161" w:lineRule="exact"/>
              <w:rPr>
                <w:sz w:val="20"/>
                <w:szCs w:val="20"/>
                <w:color w:val="auto"/>
              </w:rPr>
            </w:pPr>
            <w:r>
              <w:rPr>
                <w:rFonts w:ascii="Arial" w:cs="Arial" w:eastAsia="Arial" w:hAnsi="Arial"/>
                <w:sz w:val="16"/>
                <w:szCs w:val="16"/>
                <w:color w:val="auto"/>
              </w:rPr>
              <w:t>Other intangible assets, net of accumulated amortization of $506.3 and $479.3</w:t>
            </w:r>
          </w:p>
        </w:tc>
        <w:tc>
          <w:tcPr>
            <w:tcW w:w="24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256.2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282.4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gridSpan w:val="2"/>
          </w:tcPr>
          <w:p>
            <w:pPr>
              <w:ind w:left="180"/>
              <w:spacing w:after="0"/>
              <w:rPr>
                <w:sz w:val="20"/>
                <w:szCs w:val="20"/>
                <w:color w:val="auto"/>
              </w:rPr>
            </w:pPr>
            <w:r>
              <w:rPr>
                <w:rFonts w:ascii="Arial" w:cs="Arial" w:eastAsia="Arial" w:hAnsi="Arial"/>
                <w:sz w:val="16"/>
                <w:szCs w:val="16"/>
                <w:color w:val="auto"/>
              </w:rPr>
              <w:t>at April 30, 2025 and October 31, 2024, respectively</w:t>
            </w:r>
          </w:p>
        </w:tc>
        <w:tc>
          <w:tcPr>
            <w:tcW w:w="24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DCE2EF"/>
          </w:tcPr>
          <w:p>
            <w:pPr>
              <w:spacing w:after="0"/>
              <w:rPr>
                <w:sz w:val="18"/>
                <w:szCs w:val="18"/>
                <w:color w:val="auto"/>
              </w:rPr>
            </w:pPr>
          </w:p>
        </w:tc>
        <w:tc>
          <w:tcPr>
            <w:tcW w:w="1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2,576.6</w:t>
            </w: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2,575.9</w:t>
            </w:r>
          </w:p>
        </w:tc>
        <w:tc>
          <w:tcPr>
            <w:tcW w:w="0" w:type="dxa"/>
            <w:vAlign w:val="bottom"/>
          </w:tcPr>
          <w:p>
            <w:pPr>
              <w:spacing w:after="0"/>
              <w:rPr>
                <w:sz w:val="1"/>
                <w:szCs w:val="1"/>
                <w:color w:val="auto"/>
              </w:rPr>
            </w:pPr>
          </w:p>
        </w:tc>
      </w:tr>
      <w:tr>
        <w:trPr>
          <w:trHeight w:val="214"/>
        </w:trPr>
        <w:tc>
          <w:tcPr>
            <w:tcW w:w="730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color w:val="auto"/>
              </w:rPr>
              <w:t>Other noncurrent assets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176.3</w:t>
            </w:r>
          </w:p>
        </w:tc>
        <w:tc>
          <w:tcPr>
            <w:tcW w:w="120" w:type="dxa"/>
            <w:vAlign w:val="bottom"/>
            <w:tcBorders>
              <w:bottom w:val="single" w:sz="8" w:color="DCE2E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167.5</w:t>
            </w:r>
          </w:p>
        </w:tc>
        <w:tc>
          <w:tcPr>
            <w:tcW w:w="0" w:type="dxa"/>
            <w:vAlign w:val="bottom"/>
          </w:tcPr>
          <w:p>
            <w:pPr>
              <w:spacing w:after="0"/>
              <w:rPr>
                <w:sz w:val="1"/>
                <w:szCs w:val="1"/>
                <w:color w:val="auto"/>
              </w:rPr>
            </w:pPr>
          </w:p>
        </w:tc>
      </w:tr>
      <w:tr>
        <w:trPr>
          <w:trHeight w:val="234"/>
        </w:trPr>
        <w:tc>
          <w:tcPr>
            <w:tcW w:w="730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DCE2E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5,310.7</w:t>
            </w:r>
          </w:p>
        </w:tc>
        <w:tc>
          <w:tcPr>
            <w:tcW w:w="120" w:type="dxa"/>
            <w:vAlign w:val="bottom"/>
            <w:tcBorders>
              <w:bottom w:val="single" w:sz="8" w:color="DCE2EF"/>
            </w:tcBorders>
            <w:shd w:val="clear" w:color="auto" w:fill="DCE2EF"/>
          </w:tcPr>
          <w:p>
            <w:pPr>
              <w:spacing w:after="0"/>
              <w:rPr>
                <w:sz w:val="19"/>
                <w:szCs w:val="19"/>
                <w:color w:val="auto"/>
              </w:rPr>
            </w:pP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5,097.2</w:t>
            </w:r>
          </w:p>
        </w:tc>
        <w:tc>
          <w:tcPr>
            <w:tcW w:w="0" w:type="dxa"/>
            <w:vAlign w:val="bottom"/>
          </w:tcPr>
          <w:p>
            <w:pPr>
              <w:spacing w:after="0"/>
              <w:rPr>
                <w:sz w:val="1"/>
                <w:szCs w:val="1"/>
                <w:color w:val="auto"/>
              </w:rPr>
            </w:pPr>
          </w:p>
        </w:tc>
      </w:tr>
      <w:tr>
        <w:trPr>
          <w:trHeight w:val="20"/>
        </w:trPr>
        <w:tc>
          <w:tcPr>
            <w:tcW w:w="7300" w:type="dxa"/>
            <w:vAlign w:val="bottom"/>
            <w:tcBorders>
              <w:top w:val="single" w:sz="8" w:color="DCE2EF"/>
              <w:bottom w:val="single" w:sz="8" w:color="DCE2EF"/>
            </w:tcBorders>
            <w:gridSpan w:val="3"/>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DCE2EF"/>
              <w:bottom w:val="single" w:sz="8" w:color="auto"/>
            </w:tcBorders>
          </w:tcPr>
          <w:p>
            <w:pPr>
              <w:spacing w:after="0" w:line="20" w:lineRule="exact"/>
              <w:rPr>
                <w:sz w:val="1"/>
                <w:szCs w:val="1"/>
                <w:color w:val="auto"/>
              </w:rPr>
            </w:pPr>
          </w:p>
        </w:tc>
        <w:tc>
          <w:tcPr>
            <w:tcW w:w="160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15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3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DCE2EF"/>
          </w:tcPr>
          <w:p>
            <w:pPr>
              <w:spacing w:after="0"/>
              <w:rPr>
                <w:sz w:val="18"/>
                <w:szCs w:val="18"/>
                <w:color w:val="auto"/>
              </w:rPr>
            </w:pPr>
          </w:p>
        </w:tc>
        <w:tc>
          <w:tcPr>
            <w:tcW w:w="16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gridSpan w:val="2"/>
          </w:tcPr>
          <w:p>
            <w:pPr>
              <w:ind w:left="320"/>
              <w:spacing w:after="0"/>
              <w:rPr>
                <w:sz w:val="20"/>
                <w:szCs w:val="20"/>
                <w:color w:val="auto"/>
              </w:rPr>
            </w:pPr>
            <w:r>
              <w:rPr>
                <w:rFonts w:ascii="Arial" w:cs="Arial" w:eastAsia="Arial" w:hAnsi="Arial"/>
                <w:sz w:val="16"/>
                <w:szCs w:val="16"/>
                <w:color w:val="auto"/>
              </w:rPr>
              <w:t>Current portion of debt, net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Trade accounts payable</w:t>
            </w:r>
          </w:p>
        </w:tc>
        <w:tc>
          <w:tcPr>
            <w:tcW w:w="240" w:type="dxa"/>
            <w:vAlign w:val="bottom"/>
            <w:shd w:val="clear" w:color="auto" w:fill="DCE2EF"/>
          </w:tcPr>
          <w:p>
            <w:pPr>
              <w:spacing w:after="0"/>
              <w:rPr>
                <w:sz w:val="18"/>
                <w:szCs w:val="18"/>
                <w:color w:val="auto"/>
              </w:rPr>
            </w:pPr>
          </w:p>
        </w:tc>
        <w:tc>
          <w:tcPr>
            <w:tcW w:w="1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319.9</w:t>
            </w: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324.3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gridSpan w:val="2"/>
          </w:tcPr>
          <w:p>
            <w:pPr>
              <w:ind w:left="320"/>
              <w:spacing w:after="0"/>
              <w:rPr>
                <w:sz w:val="20"/>
                <w:szCs w:val="20"/>
                <w:color w:val="auto"/>
              </w:rPr>
            </w:pPr>
            <w:r>
              <w:rPr>
                <w:rFonts w:ascii="Arial" w:cs="Arial" w:eastAsia="Arial" w:hAnsi="Arial"/>
                <w:sz w:val="16"/>
                <w:szCs w:val="16"/>
                <w:color w:val="auto"/>
              </w:rPr>
              <w:t>Accrued compensation</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295.6</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Accrued taxes — other than income</w:t>
            </w:r>
          </w:p>
        </w:tc>
        <w:tc>
          <w:tcPr>
            <w:tcW w:w="240" w:type="dxa"/>
            <w:vAlign w:val="bottom"/>
            <w:shd w:val="clear" w:color="auto" w:fill="DCE2EF"/>
          </w:tcPr>
          <w:p>
            <w:pPr>
              <w:spacing w:after="0"/>
              <w:rPr>
                <w:sz w:val="18"/>
                <w:szCs w:val="18"/>
                <w:color w:val="auto"/>
              </w:rPr>
            </w:pPr>
          </w:p>
        </w:tc>
        <w:tc>
          <w:tcPr>
            <w:tcW w:w="1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64.4</w:t>
            </w: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gridSpan w:val="2"/>
          </w:tcPr>
          <w:p>
            <w:pPr>
              <w:ind w:left="32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Insurance claims</w:t>
            </w:r>
          </w:p>
        </w:tc>
        <w:tc>
          <w:tcPr>
            <w:tcW w:w="240" w:type="dxa"/>
            <w:vAlign w:val="bottom"/>
            <w:shd w:val="clear" w:color="auto" w:fill="DCE2EF"/>
          </w:tcPr>
          <w:p>
            <w:pPr>
              <w:spacing w:after="0"/>
              <w:rPr>
                <w:sz w:val="18"/>
                <w:szCs w:val="18"/>
                <w:color w:val="auto"/>
              </w:rPr>
            </w:pPr>
          </w:p>
        </w:tc>
        <w:tc>
          <w:tcPr>
            <w:tcW w:w="1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197.5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gridSpan w:val="2"/>
          </w:tcPr>
          <w:p>
            <w:pPr>
              <w:ind w:left="32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Current portion of lease liabilities</w:t>
            </w:r>
          </w:p>
        </w:tc>
        <w:tc>
          <w:tcPr>
            <w:tcW w:w="240" w:type="dxa"/>
            <w:vAlign w:val="bottom"/>
            <w:shd w:val="clear" w:color="auto" w:fill="DCE2EF"/>
          </w:tcPr>
          <w:p>
            <w:pPr>
              <w:spacing w:after="0"/>
              <w:rPr>
                <w:sz w:val="18"/>
                <w:szCs w:val="18"/>
                <w:color w:val="auto"/>
              </w:rPr>
            </w:pPr>
          </w:p>
        </w:tc>
        <w:tc>
          <w:tcPr>
            <w:tcW w:w="1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29.2</w:t>
            </w: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14"/>
        </w:trPr>
        <w:tc>
          <w:tcPr>
            <w:tcW w:w="20" w:type="dxa"/>
            <w:vAlign w:val="bottom"/>
            <w:tcBorders>
              <w:bottom w:val="single" w:sz="8" w:color="DCE2EF"/>
            </w:tcBorders>
          </w:tcPr>
          <w:p>
            <w:pPr>
              <w:spacing w:after="0"/>
              <w:rPr>
                <w:sz w:val="18"/>
                <w:szCs w:val="18"/>
                <w:color w:val="auto"/>
              </w:rPr>
            </w:pPr>
          </w:p>
        </w:tc>
        <w:tc>
          <w:tcPr>
            <w:tcW w:w="7280" w:type="dxa"/>
            <w:vAlign w:val="bottom"/>
            <w:tcBorders>
              <w:bottom w:val="single" w:sz="8" w:color="DCE2EF"/>
            </w:tcBorders>
            <w:gridSpan w:val="2"/>
          </w:tcPr>
          <w:p>
            <w:pPr>
              <w:ind w:left="320"/>
              <w:spacing w:after="0"/>
              <w:rPr>
                <w:sz w:val="20"/>
                <w:szCs w:val="20"/>
                <w:color w:val="auto"/>
              </w:rPr>
            </w:pPr>
            <w:r>
              <w:rPr>
                <w:rFonts w:ascii="Arial" w:cs="Arial" w:eastAsia="Arial" w:hAnsi="Arial"/>
                <w:sz w:val="16"/>
                <w:szCs w:val="16"/>
                <w:color w:val="auto"/>
              </w:rPr>
              <w:t>Other accrued liabilities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379.3</w:t>
            </w:r>
          </w:p>
        </w:tc>
        <w:tc>
          <w:tcPr>
            <w:tcW w:w="120" w:type="dxa"/>
            <w:vAlign w:val="bottom"/>
            <w:tcBorders>
              <w:bottom w:val="single" w:sz="8" w:color="DCE2E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348.2</w:t>
            </w: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66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shd w:val="clear" w:color="auto" w:fill="DCE2EF"/>
          </w:tcPr>
          <w:p>
            <w:pPr>
              <w:spacing w:after="0"/>
              <w:rPr>
                <w:sz w:val="18"/>
                <w:szCs w:val="18"/>
                <w:color w:val="auto"/>
              </w:rPr>
            </w:pPr>
          </w:p>
        </w:tc>
        <w:tc>
          <w:tcPr>
            <w:tcW w:w="16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1,299.8</w:t>
            </w:r>
          </w:p>
        </w:tc>
        <w:tc>
          <w:tcPr>
            <w:tcW w:w="120" w:type="dxa"/>
            <w:vAlign w:val="bottom"/>
            <w:shd w:val="clear" w:color="auto" w:fill="DCE2EF"/>
          </w:tcPr>
          <w:p>
            <w:pPr>
              <w:spacing w:after="0"/>
              <w:rPr>
                <w:sz w:val="18"/>
                <w:szCs w:val="18"/>
                <w:color w:val="auto"/>
              </w:rPr>
            </w:pPr>
          </w:p>
        </w:tc>
        <w:tc>
          <w:tcPr>
            <w:tcW w:w="160" w:type="dxa"/>
            <w:vAlign w:val="bottom"/>
            <w:tcBorders>
              <w:bottom w:val="single" w:sz="8" w:color="auto"/>
            </w:tcBorders>
            <w:shd w:val="clear" w:color="auto" w:fill="DCE2EF"/>
          </w:tcPr>
          <w:p>
            <w:pPr>
              <w:spacing w:after="0"/>
              <w:rPr>
                <w:sz w:val="18"/>
                <w:szCs w:val="18"/>
                <w:color w:val="auto"/>
              </w:rPr>
            </w:pP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1,348.4</w:t>
            </w:r>
          </w:p>
        </w:tc>
        <w:tc>
          <w:tcPr>
            <w:tcW w:w="0" w:type="dxa"/>
            <w:vAlign w:val="bottom"/>
          </w:tcPr>
          <w:p>
            <w:pPr>
              <w:spacing w:after="0"/>
              <w:rPr>
                <w:sz w:val="1"/>
                <w:szCs w:val="1"/>
                <w:color w:val="auto"/>
              </w:rPr>
            </w:pPr>
          </w:p>
        </w:tc>
      </w:tr>
      <w:tr>
        <w:trPr>
          <w:trHeight w:val="208"/>
        </w:trPr>
        <w:tc>
          <w:tcPr>
            <w:tcW w:w="7300" w:type="dxa"/>
            <w:vAlign w:val="bottom"/>
            <w:gridSpan w:val="3"/>
          </w:tcPr>
          <w:p>
            <w:pPr>
              <w:ind w:left="20"/>
              <w:spacing w:after="0"/>
              <w:rPr>
                <w:sz w:val="20"/>
                <w:szCs w:val="20"/>
                <w:color w:val="auto"/>
              </w:rPr>
            </w:pPr>
            <w:r>
              <w:rPr>
                <w:rFonts w:ascii="Arial" w:cs="Arial" w:eastAsia="Arial" w:hAnsi="Arial"/>
                <w:sz w:val="16"/>
                <w:szCs w:val="16"/>
                <w:color w:val="auto"/>
              </w:rPr>
              <w:t>Long-term debt, net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1,521.8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1,302.2</w:t>
            </w:r>
          </w:p>
        </w:tc>
        <w:tc>
          <w:tcPr>
            <w:tcW w:w="0" w:type="dxa"/>
            <w:vAlign w:val="bottom"/>
          </w:tcPr>
          <w:p>
            <w:pPr>
              <w:spacing w:after="0"/>
              <w:rPr>
                <w:sz w:val="1"/>
                <w:szCs w:val="1"/>
                <w:color w:val="auto"/>
              </w:rPr>
            </w:pPr>
          </w:p>
        </w:tc>
      </w:tr>
      <w:tr>
        <w:trPr>
          <w:trHeight w:val="216"/>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Long-term lease liabilities</w:t>
            </w:r>
          </w:p>
        </w:tc>
        <w:tc>
          <w:tcPr>
            <w:tcW w:w="240" w:type="dxa"/>
            <w:vAlign w:val="bottom"/>
            <w:shd w:val="clear" w:color="auto" w:fill="DCE2EF"/>
          </w:tcPr>
          <w:p>
            <w:pPr>
              <w:spacing w:after="0"/>
              <w:rPr>
                <w:sz w:val="18"/>
                <w:szCs w:val="18"/>
                <w:color w:val="auto"/>
              </w:rPr>
            </w:pPr>
          </w:p>
        </w:tc>
        <w:tc>
          <w:tcPr>
            <w:tcW w:w="1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88.1</w:t>
            </w: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214"/>
        </w:trPr>
        <w:tc>
          <w:tcPr>
            <w:tcW w:w="7300" w:type="dxa"/>
            <w:vAlign w:val="bottom"/>
            <w:gridSpan w:val="3"/>
          </w:tcPr>
          <w:p>
            <w:pPr>
              <w:ind w:left="20"/>
              <w:spacing w:after="0"/>
              <w:rPr>
                <w:sz w:val="20"/>
                <w:szCs w:val="20"/>
                <w:color w:val="auto"/>
              </w:rPr>
            </w:pPr>
            <w:r>
              <w:rPr>
                <w:rFonts w:ascii="Arial" w:cs="Arial" w:eastAsia="Arial" w:hAnsi="Arial"/>
                <w:sz w:val="16"/>
                <w:szCs w:val="16"/>
                <w:color w:val="auto"/>
              </w:rPr>
              <w:t>Deferred income tax liability, net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16"/>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Noncurrent insurance claims</w:t>
            </w:r>
          </w:p>
        </w:tc>
        <w:tc>
          <w:tcPr>
            <w:tcW w:w="240" w:type="dxa"/>
            <w:vAlign w:val="bottom"/>
            <w:shd w:val="clear" w:color="auto" w:fill="DCE2EF"/>
          </w:tcPr>
          <w:p>
            <w:pPr>
              <w:spacing w:after="0"/>
              <w:rPr>
                <w:sz w:val="18"/>
                <w:szCs w:val="18"/>
                <w:color w:val="auto"/>
              </w:rPr>
            </w:pPr>
          </w:p>
        </w:tc>
        <w:tc>
          <w:tcPr>
            <w:tcW w:w="1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429.0</w:t>
            </w: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421.8</w:t>
            </w:r>
          </w:p>
        </w:tc>
        <w:tc>
          <w:tcPr>
            <w:tcW w:w="0" w:type="dxa"/>
            <w:vAlign w:val="bottom"/>
          </w:tcPr>
          <w:p>
            <w:pPr>
              <w:spacing w:after="0"/>
              <w:rPr>
                <w:sz w:val="1"/>
                <w:szCs w:val="1"/>
                <w:color w:val="auto"/>
              </w:rPr>
            </w:pPr>
          </w:p>
        </w:tc>
      </w:tr>
      <w:tr>
        <w:trPr>
          <w:trHeight w:val="214"/>
        </w:trPr>
        <w:tc>
          <w:tcPr>
            <w:tcW w:w="7300" w:type="dxa"/>
            <w:vAlign w:val="bottom"/>
            <w:gridSpan w:val="3"/>
          </w:tcPr>
          <w:p>
            <w:pPr>
              <w:ind w:left="20"/>
              <w:spacing w:after="0"/>
              <w:rPr>
                <w:sz w:val="20"/>
                <w:szCs w:val="20"/>
                <w:color w:val="auto"/>
              </w:rPr>
            </w:pPr>
            <w:r>
              <w:rPr>
                <w:rFonts w:ascii="Arial" w:cs="Arial" w:eastAsia="Arial" w:hAnsi="Arial"/>
                <w:sz w:val="16"/>
                <w:szCs w:val="16"/>
                <w:color w:val="auto"/>
              </w:rPr>
              <w:t>Other noncurrent liabilities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16"/>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Noncurrent income taxes payable</w:t>
            </w:r>
          </w:p>
        </w:tc>
        <w:tc>
          <w:tcPr>
            <w:tcW w:w="240" w:type="dxa"/>
            <w:vAlign w:val="bottom"/>
            <w:tcBorders>
              <w:bottom w:val="single" w:sz="8" w:color="auto"/>
            </w:tcBorders>
            <w:shd w:val="clear" w:color="auto" w:fill="DCE2EF"/>
          </w:tcPr>
          <w:p>
            <w:pPr>
              <w:spacing w:after="0"/>
              <w:rPr>
                <w:sz w:val="18"/>
                <w:szCs w:val="18"/>
                <w:color w:val="auto"/>
              </w:rPr>
            </w:pPr>
          </w:p>
        </w:tc>
        <w:tc>
          <w:tcPr>
            <w:tcW w:w="16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DCE2EF"/>
          </w:tcPr>
          <w:p>
            <w:pPr>
              <w:spacing w:after="0"/>
              <w:rPr>
                <w:sz w:val="18"/>
                <w:szCs w:val="18"/>
                <w:color w:val="auto"/>
              </w:rPr>
            </w:pPr>
          </w:p>
        </w:tc>
        <w:tc>
          <w:tcPr>
            <w:tcW w:w="160" w:type="dxa"/>
            <w:vAlign w:val="bottom"/>
            <w:tcBorders>
              <w:bottom w:val="single" w:sz="8" w:color="auto"/>
            </w:tcBorders>
            <w:shd w:val="clear" w:color="auto" w:fill="DCE2EF"/>
          </w:tcPr>
          <w:p>
            <w:pPr>
              <w:spacing w:after="0"/>
              <w:rPr>
                <w:sz w:val="18"/>
                <w:szCs w:val="18"/>
                <w:color w:val="auto"/>
              </w:rPr>
            </w:pP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8"/>
        </w:trPr>
        <w:tc>
          <w:tcPr>
            <w:tcW w:w="20" w:type="dxa"/>
            <w:vAlign w:val="bottom"/>
            <w:tcBorders>
              <w:bottom w:val="single" w:sz="8" w:color="DCE2EF"/>
            </w:tcBorders>
          </w:tcPr>
          <w:p>
            <w:pPr>
              <w:spacing w:after="0"/>
              <w:rPr>
                <w:sz w:val="18"/>
                <w:szCs w:val="18"/>
                <w:color w:val="auto"/>
              </w:rPr>
            </w:pPr>
          </w:p>
        </w:tc>
        <w:tc>
          <w:tcPr>
            <w:tcW w:w="7280" w:type="dxa"/>
            <w:vAlign w:val="bottom"/>
            <w:tcBorders>
              <w:bottom w:val="single" w:sz="8" w:color="DCE2EF"/>
            </w:tcBorders>
            <w:gridSpan w:val="2"/>
          </w:tcPr>
          <w:p>
            <w:pPr>
              <w:ind w:left="32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3,486.3</w:t>
            </w:r>
          </w:p>
        </w:tc>
        <w:tc>
          <w:tcPr>
            <w:tcW w:w="120" w:type="dxa"/>
            <w:vAlign w:val="bottom"/>
            <w:tcBorders>
              <w:bottom w:val="single" w:sz="8" w:color="DCE2E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3,315.2</w:t>
            </w:r>
          </w:p>
        </w:tc>
        <w:tc>
          <w:tcPr>
            <w:tcW w:w="0" w:type="dxa"/>
            <w:vAlign w:val="bottom"/>
          </w:tcPr>
          <w:p>
            <w:pPr>
              <w:spacing w:after="0"/>
              <w:rPr>
                <w:sz w:val="1"/>
                <w:szCs w:val="1"/>
                <w:color w:val="auto"/>
              </w:rPr>
            </w:pPr>
          </w:p>
        </w:tc>
      </w:tr>
      <w:tr>
        <w:trPr>
          <w:trHeight w:val="196"/>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Commitments and contingencies</w:t>
            </w:r>
          </w:p>
        </w:tc>
        <w:tc>
          <w:tcPr>
            <w:tcW w:w="240" w:type="dxa"/>
            <w:vAlign w:val="bottom"/>
            <w:shd w:val="clear" w:color="auto" w:fill="DCE2EF"/>
          </w:tcPr>
          <w:p>
            <w:pPr>
              <w:spacing w:after="0"/>
              <w:rPr>
                <w:sz w:val="17"/>
                <w:szCs w:val="17"/>
                <w:color w:val="auto"/>
              </w:rPr>
            </w:pPr>
          </w:p>
        </w:tc>
        <w:tc>
          <w:tcPr>
            <w:tcW w:w="16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5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300" w:type="dxa"/>
            <w:vAlign w:val="bottom"/>
            <w:gridSpan w:val="3"/>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Preferred stock, $0.01 par value; 500,000 shares authorized; none issued</w:t>
            </w:r>
          </w:p>
        </w:tc>
        <w:tc>
          <w:tcPr>
            <w:tcW w:w="240" w:type="dxa"/>
            <w:vAlign w:val="bottom"/>
            <w:shd w:val="clear" w:color="auto" w:fill="DCE2EF"/>
          </w:tcPr>
          <w:p>
            <w:pPr>
              <w:spacing w:after="0"/>
              <w:rPr>
                <w:sz w:val="18"/>
                <w:szCs w:val="18"/>
                <w:color w:val="auto"/>
              </w:rPr>
            </w:pPr>
          </w:p>
        </w:tc>
        <w:tc>
          <w:tcPr>
            <w:tcW w:w="172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1"/>
        </w:trPr>
        <w:tc>
          <w:tcPr>
            <w:tcW w:w="7300" w:type="dxa"/>
            <w:vAlign w:val="bottom"/>
            <w:gridSpan w:val="3"/>
          </w:tcPr>
          <w:p>
            <w:pPr>
              <w:ind w:left="20"/>
              <w:spacing w:after="0" w:line="161" w:lineRule="exact"/>
              <w:rPr>
                <w:sz w:val="20"/>
                <w:szCs w:val="20"/>
                <w:color w:val="auto"/>
              </w:rPr>
            </w:pPr>
            <w:r>
              <w:rPr>
                <w:rFonts w:ascii="Arial" w:cs="Arial" w:eastAsia="Arial" w:hAnsi="Arial"/>
                <w:sz w:val="16"/>
                <w:szCs w:val="16"/>
                <w:color w:val="auto"/>
              </w:rPr>
              <w:t>Common stock, $0.01 par value; 100,000,000 shares authorized;</w:t>
            </w: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80" w:type="dxa"/>
            <w:vAlign w:val="bottom"/>
            <w:gridSpan w:val="2"/>
          </w:tcPr>
          <w:p>
            <w:pPr>
              <w:ind w:left="540"/>
              <w:spacing w:after="0" w:line="161" w:lineRule="exact"/>
              <w:rPr>
                <w:sz w:val="20"/>
                <w:szCs w:val="20"/>
                <w:color w:val="auto"/>
              </w:rPr>
            </w:pPr>
            <w:r>
              <w:rPr>
                <w:rFonts w:ascii="Arial" w:cs="Arial" w:eastAsia="Arial" w:hAnsi="Arial"/>
                <w:sz w:val="16"/>
                <w:szCs w:val="16"/>
                <w:color w:val="auto"/>
              </w:rPr>
              <w:t>62,249,968 and 62,196,665 shares issued and outstanding at</w:t>
            </w:r>
          </w:p>
        </w:tc>
        <w:tc>
          <w:tcPr>
            <w:tcW w:w="24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gridSpan w:val="2"/>
          </w:tcPr>
          <w:p>
            <w:pPr>
              <w:ind w:left="540"/>
              <w:spacing w:after="0"/>
              <w:rPr>
                <w:sz w:val="20"/>
                <w:szCs w:val="20"/>
                <w:color w:val="auto"/>
              </w:rPr>
            </w:pPr>
            <w:r>
              <w:rPr>
                <w:rFonts w:ascii="Arial" w:cs="Arial" w:eastAsia="Arial" w:hAnsi="Arial"/>
                <w:sz w:val="16"/>
                <w:szCs w:val="16"/>
                <w:color w:val="auto"/>
              </w:rPr>
              <w:t>April 30, 2025 and October 31, 2024, respectively</w:t>
            </w:r>
          </w:p>
        </w:tc>
        <w:tc>
          <w:tcPr>
            <w:tcW w:w="24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DCE2EF"/>
          </w:tcPr>
          <w:p>
            <w:pPr>
              <w:spacing w:after="0"/>
              <w:rPr>
                <w:sz w:val="18"/>
                <w:szCs w:val="18"/>
                <w:color w:val="auto"/>
              </w:rPr>
            </w:pPr>
          </w:p>
        </w:tc>
        <w:tc>
          <w:tcPr>
            <w:tcW w:w="1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516.3</w:t>
            </w: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527.4</w:t>
            </w:r>
          </w:p>
        </w:tc>
        <w:tc>
          <w:tcPr>
            <w:tcW w:w="0" w:type="dxa"/>
            <w:vAlign w:val="bottom"/>
          </w:tcPr>
          <w:p>
            <w:pPr>
              <w:spacing w:after="0"/>
              <w:rPr>
                <w:sz w:val="1"/>
                <w:szCs w:val="1"/>
                <w:color w:val="auto"/>
              </w:rPr>
            </w:pPr>
          </w:p>
        </w:tc>
      </w:tr>
      <w:tr>
        <w:trPr>
          <w:trHeight w:val="214"/>
        </w:trPr>
        <w:tc>
          <w:tcPr>
            <w:tcW w:w="7300" w:type="dxa"/>
            <w:vAlign w:val="bottom"/>
            <w:gridSpan w:val="3"/>
          </w:tcPr>
          <w:p>
            <w:pPr>
              <w:ind w:left="20"/>
              <w:spacing w:after="0"/>
              <w:rPr>
                <w:sz w:val="20"/>
                <w:szCs w:val="20"/>
                <w:color w:val="auto"/>
              </w:rPr>
            </w:pPr>
            <w:r>
              <w:rPr>
                <w:rFonts w:ascii="Arial" w:cs="Arial" w:eastAsia="Arial" w:hAnsi="Arial"/>
                <w:sz w:val="16"/>
                <w:szCs w:val="16"/>
                <w:color w:val="auto"/>
              </w:rPr>
              <w:t>Accumulated other comprehensive loss, net of taxes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16"/>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auto"/>
            </w:tcBorders>
            <w:shd w:val="clear" w:color="auto" w:fill="DCE2EF"/>
          </w:tcPr>
          <w:p>
            <w:pPr>
              <w:spacing w:after="0"/>
              <w:rPr>
                <w:sz w:val="18"/>
                <w:szCs w:val="18"/>
                <w:color w:val="auto"/>
              </w:rPr>
            </w:pPr>
          </w:p>
        </w:tc>
        <w:tc>
          <w:tcPr>
            <w:tcW w:w="16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1,324.7</w:t>
            </w:r>
          </w:p>
        </w:tc>
        <w:tc>
          <w:tcPr>
            <w:tcW w:w="120" w:type="dxa"/>
            <w:vAlign w:val="bottom"/>
            <w:shd w:val="clear" w:color="auto" w:fill="DCE2EF"/>
          </w:tcPr>
          <w:p>
            <w:pPr>
              <w:spacing w:after="0"/>
              <w:rPr>
                <w:sz w:val="18"/>
                <w:szCs w:val="18"/>
                <w:color w:val="auto"/>
              </w:rPr>
            </w:pPr>
          </w:p>
        </w:tc>
        <w:tc>
          <w:tcPr>
            <w:tcW w:w="160" w:type="dxa"/>
            <w:vAlign w:val="bottom"/>
            <w:tcBorders>
              <w:bottom w:val="single" w:sz="8" w:color="auto"/>
            </w:tcBorders>
            <w:shd w:val="clear" w:color="auto" w:fill="DCE2EF"/>
          </w:tcPr>
          <w:p>
            <w:pPr>
              <w:spacing w:after="0"/>
              <w:rPr>
                <w:sz w:val="18"/>
                <w:szCs w:val="18"/>
                <w:color w:val="auto"/>
              </w:rPr>
            </w:pP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1,272.9</w:t>
            </w:r>
          </w:p>
        </w:tc>
        <w:tc>
          <w:tcPr>
            <w:tcW w:w="0" w:type="dxa"/>
            <w:vAlign w:val="bottom"/>
          </w:tcPr>
          <w:p>
            <w:pPr>
              <w:spacing w:after="0"/>
              <w:rPr>
                <w:sz w:val="1"/>
                <w:szCs w:val="1"/>
                <w:color w:val="auto"/>
              </w:rPr>
            </w:pPr>
          </w:p>
        </w:tc>
      </w:tr>
      <w:tr>
        <w:trPr>
          <w:trHeight w:val="208"/>
        </w:trPr>
        <w:tc>
          <w:tcPr>
            <w:tcW w:w="20" w:type="dxa"/>
            <w:vAlign w:val="bottom"/>
            <w:tcBorders>
              <w:bottom w:val="single" w:sz="8" w:color="DCE2EF"/>
            </w:tcBorders>
          </w:tcPr>
          <w:p>
            <w:pPr>
              <w:spacing w:after="0"/>
              <w:rPr>
                <w:sz w:val="18"/>
                <w:szCs w:val="18"/>
                <w:color w:val="auto"/>
              </w:rPr>
            </w:pPr>
          </w:p>
        </w:tc>
        <w:tc>
          <w:tcPr>
            <w:tcW w:w="7280" w:type="dxa"/>
            <w:vAlign w:val="bottom"/>
            <w:tcBorders>
              <w:bottom w:val="single" w:sz="8" w:color="DCE2EF"/>
            </w:tcBorders>
            <w:gridSpan w:val="2"/>
          </w:tcPr>
          <w:p>
            <w:pPr>
              <w:ind w:left="32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1,824.4</w:t>
            </w:r>
          </w:p>
        </w:tc>
        <w:tc>
          <w:tcPr>
            <w:tcW w:w="120" w:type="dxa"/>
            <w:vAlign w:val="bottom"/>
            <w:tcBorders>
              <w:bottom w:val="single" w:sz="8" w:color="DCE2E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1,781.9</w:t>
            </w:r>
          </w:p>
        </w:tc>
        <w:tc>
          <w:tcPr>
            <w:tcW w:w="0" w:type="dxa"/>
            <w:vAlign w:val="bottom"/>
          </w:tcPr>
          <w:p>
            <w:pPr>
              <w:spacing w:after="0"/>
              <w:rPr>
                <w:sz w:val="1"/>
                <w:szCs w:val="1"/>
                <w:color w:val="auto"/>
              </w:rPr>
            </w:pPr>
          </w:p>
        </w:tc>
      </w:tr>
      <w:tr>
        <w:trPr>
          <w:trHeight w:val="234"/>
        </w:trPr>
        <w:tc>
          <w:tcPr>
            <w:tcW w:w="730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DCE2E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5,310.7</w:t>
            </w:r>
          </w:p>
        </w:tc>
        <w:tc>
          <w:tcPr>
            <w:tcW w:w="120" w:type="dxa"/>
            <w:vAlign w:val="bottom"/>
            <w:tcBorders>
              <w:bottom w:val="single" w:sz="8" w:color="DCE2EF"/>
            </w:tcBorders>
            <w:shd w:val="clear" w:color="auto" w:fill="DCE2EF"/>
          </w:tcPr>
          <w:p>
            <w:pPr>
              <w:spacing w:after="0"/>
              <w:rPr>
                <w:sz w:val="19"/>
                <w:szCs w:val="19"/>
                <w:color w:val="auto"/>
              </w:rPr>
            </w:pP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5,097.2</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3200" w:type="dxa"/>
            <w:vAlign w:val="bottom"/>
            <w:tcBorders>
              <w:top w:val="single" w:sz="8" w:color="DCE2EF"/>
            </w:tcBorders>
          </w:tcPr>
          <w:p>
            <w:pPr>
              <w:spacing w:after="0" w:line="20" w:lineRule="exact"/>
              <w:rPr>
                <w:sz w:val="1"/>
                <w:szCs w:val="1"/>
                <w:color w:val="auto"/>
              </w:rPr>
            </w:pPr>
          </w:p>
        </w:tc>
        <w:tc>
          <w:tcPr>
            <w:tcW w:w="408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bottom w:val="single" w:sz="8" w:color="auto"/>
            </w:tcBorders>
          </w:tcPr>
          <w:p>
            <w:pPr>
              <w:spacing w:after="0" w:line="20" w:lineRule="exact"/>
              <w:rPr>
                <w:sz w:val="1"/>
                <w:szCs w:val="1"/>
                <w:color w:val="auto"/>
              </w:rPr>
            </w:pPr>
          </w:p>
        </w:tc>
        <w:tc>
          <w:tcPr>
            <w:tcW w:w="160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15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120"/>
          </w:cols>
          <w:pgMar w:left="320" w:top="1249" w:right="45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80010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20"/>
          </w:cols>
          <w:pgMar w:left="320" w:top="1249" w:right="45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6AD"/>
        </w:rPr>
        <w:t>CONSOLIDATED STATEMENTS OF COMPREHENSIVE INCOME</w:t>
      </w:r>
    </w:p>
    <w:p>
      <w:pPr>
        <w:spacing w:after="0" w:line="1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6AD"/>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 share amounts)</w:t>
            </w:r>
          </w:p>
        </w:tc>
        <w:tc>
          <w:tcPr>
            <w:tcW w:w="240" w:type="dxa"/>
            <w:vAlign w:val="bottom"/>
          </w:tcPr>
          <w:p>
            <w:pPr>
              <w:spacing w:after="0"/>
              <w:rPr>
                <w:sz w:val="18"/>
                <w:szCs w:val="18"/>
                <w:color w:val="auto"/>
              </w:rPr>
            </w:pPr>
          </w:p>
        </w:tc>
        <w:tc>
          <w:tcPr>
            <w:tcW w:w="280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Three Months Ended April 30,</w:t>
            </w:r>
          </w:p>
        </w:tc>
        <w:tc>
          <w:tcPr>
            <w:tcW w:w="340" w:type="dxa"/>
            <w:vAlign w:val="bottom"/>
          </w:tcPr>
          <w:p>
            <w:pPr>
              <w:spacing w:after="0"/>
              <w:rPr>
                <w:sz w:val="18"/>
                <w:szCs w:val="18"/>
                <w:color w:val="auto"/>
              </w:rPr>
            </w:pPr>
          </w:p>
        </w:tc>
        <w:tc>
          <w:tcPr>
            <w:tcW w:w="268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Six Months Ended April 30,</w:t>
            </w:r>
          </w:p>
        </w:tc>
        <w:tc>
          <w:tcPr>
            <w:tcW w:w="0" w:type="dxa"/>
            <w:vAlign w:val="bottom"/>
          </w:tcPr>
          <w:p>
            <w:pPr>
              <w:spacing w:after="0"/>
              <w:rPr>
                <w:sz w:val="1"/>
                <w:szCs w:val="1"/>
                <w:color w:val="auto"/>
              </w:rPr>
            </w:pPr>
          </w:p>
        </w:tc>
      </w:tr>
      <w:tr>
        <w:trPr>
          <w:trHeight w:val="175"/>
        </w:trPr>
        <w:tc>
          <w:tcPr>
            <w:tcW w:w="51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459"/>
              <w:spacing w:after="0" w:line="175"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499"/>
              <w:spacing w:after="0" w:line="175" w:lineRule="exact"/>
              <w:rPr>
                <w:sz w:val="20"/>
                <w:szCs w:val="20"/>
                <w:color w:val="auto"/>
              </w:rPr>
            </w:pPr>
            <w:r>
              <w:rPr>
                <w:rFonts w:ascii="Arial" w:cs="Arial" w:eastAsia="Arial" w:hAnsi="Arial"/>
                <w:sz w:val="16"/>
                <w:szCs w:val="16"/>
                <w:b w:val="1"/>
                <w:bCs w:val="1"/>
                <w:color w:val="auto"/>
              </w:rPr>
              <w:t>2024</w:t>
            </w:r>
          </w:p>
        </w:tc>
        <w:tc>
          <w:tcPr>
            <w:tcW w:w="340" w:type="dxa"/>
            <w:vAlign w:val="bottom"/>
          </w:tcPr>
          <w:p>
            <w:pPr>
              <w:spacing w:after="0"/>
              <w:rPr>
                <w:sz w:val="15"/>
                <w:szCs w:val="15"/>
                <w:color w:val="auto"/>
              </w:rPr>
            </w:pPr>
          </w:p>
        </w:tc>
        <w:tc>
          <w:tcPr>
            <w:tcW w:w="1160" w:type="dxa"/>
            <w:vAlign w:val="bottom"/>
          </w:tcPr>
          <w:p>
            <w:pPr>
              <w:jc w:val="right"/>
              <w:ind w:right="459"/>
              <w:spacing w:after="0" w:line="175"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59"/>
              <w:spacing w:after="0" w:line="175"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520" w:type="dxa"/>
            <w:vAlign w:val="bottom"/>
            <w:tcBorders>
              <w:top w:val="single" w:sz="8" w:color="auto"/>
              <w:bottom w:val="single" w:sz="8" w:color="DCE2EF"/>
            </w:tcBorders>
          </w:tcPr>
          <w:p>
            <w:pPr>
              <w:spacing w:after="0" w:line="20" w:lineRule="exact"/>
              <w:rPr>
                <w:sz w:val="1"/>
                <w:szCs w:val="1"/>
                <w:color w:val="auto"/>
              </w:rPr>
            </w:pPr>
          </w:p>
        </w:tc>
        <w:tc>
          <w:tcPr>
            <w:tcW w:w="258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512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2,111.7</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2,018.2</w:t>
            </w:r>
          </w:p>
        </w:tc>
        <w:tc>
          <w:tcPr>
            <w:tcW w:w="34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4,226.6</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4,087.8</w:t>
            </w:r>
          </w:p>
        </w:tc>
        <w:tc>
          <w:tcPr>
            <w:tcW w:w="0" w:type="dxa"/>
            <w:vAlign w:val="bottom"/>
          </w:tcPr>
          <w:p>
            <w:pPr>
              <w:spacing w:after="0"/>
              <w:rPr>
                <w:sz w:val="1"/>
                <w:szCs w:val="1"/>
                <w:color w:val="auto"/>
              </w:rPr>
            </w:pPr>
          </w:p>
        </w:tc>
      </w:tr>
      <w:tr>
        <w:trPr>
          <w:trHeight w:val="214"/>
        </w:trPr>
        <w:tc>
          <w:tcPr>
            <w:tcW w:w="5120" w:type="dxa"/>
            <w:vAlign w:val="bottom"/>
            <w:gridSpan w:val="3"/>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1,841.0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1,763.5</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3,696.1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3,589.8</w:t>
            </w: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shd w:val="clear" w:color="auto" w:fill="DCE2EF"/>
          </w:tcPr>
          <w:p>
            <w:pPr>
              <w:spacing w:after="0"/>
              <w:rPr>
                <w:sz w:val="18"/>
                <w:szCs w:val="18"/>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175.1</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159.9</w:t>
            </w:r>
          </w:p>
        </w:tc>
        <w:tc>
          <w:tcPr>
            <w:tcW w:w="340" w:type="dxa"/>
            <w:vAlign w:val="bottom"/>
            <w:shd w:val="clear" w:color="auto" w:fill="DCE2EF"/>
          </w:tcPr>
          <w:p>
            <w:pPr>
              <w:spacing w:after="0"/>
              <w:rPr>
                <w:sz w:val="18"/>
                <w:szCs w:val="18"/>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344.1</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314.5</w:t>
            </w:r>
          </w:p>
        </w:tc>
        <w:tc>
          <w:tcPr>
            <w:tcW w:w="0" w:type="dxa"/>
            <w:vAlign w:val="bottom"/>
          </w:tcPr>
          <w:p>
            <w:pPr>
              <w:spacing w:after="0"/>
              <w:rPr>
                <w:sz w:val="1"/>
                <w:szCs w:val="1"/>
                <w:color w:val="auto"/>
              </w:rPr>
            </w:pPr>
          </w:p>
        </w:tc>
      </w:tr>
      <w:tr>
        <w:trPr>
          <w:trHeight w:val="214"/>
        </w:trPr>
        <w:tc>
          <w:tcPr>
            <w:tcW w:w="512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DCE2E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DCE2E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09"/>
        </w:trPr>
        <w:tc>
          <w:tcPr>
            <w:tcW w:w="512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Operating profit</w:t>
            </w:r>
          </w:p>
        </w:tc>
        <w:tc>
          <w:tcPr>
            <w:tcW w:w="240" w:type="dxa"/>
            <w:vAlign w:val="bottom"/>
            <w:shd w:val="clear" w:color="auto" w:fill="DCE2EF"/>
          </w:tcPr>
          <w:p>
            <w:pPr>
              <w:spacing w:after="0"/>
              <w:rPr>
                <w:sz w:val="18"/>
                <w:szCs w:val="18"/>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82.3</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81.3</w:t>
            </w:r>
          </w:p>
        </w:tc>
        <w:tc>
          <w:tcPr>
            <w:tcW w:w="340" w:type="dxa"/>
            <w:vAlign w:val="bottom"/>
            <w:shd w:val="clear" w:color="auto" w:fill="DCE2EF"/>
          </w:tcPr>
          <w:p>
            <w:pPr>
              <w:spacing w:after="0"/>
              <w:rPr>
                <w:sz w:val="18"/>
                <w:szCs w:val="18"/>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159.9</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155.4</w:t>
            </w:r>
          </w:p>
        </w:tc>
        <w:tc>
          <w:tcPr>
            <w:tcW w:w="0" w:type="dxa"/>
            <w:vAlign w:val="bottom"/>
          </w:tcPr>
          <w:p>
            <w:pPr>
              <w:spacing w:after="0"/>
              <w:rPr>
                <w:sz w:val="1"/>
                <w:szCs w:val="1"/>
                <w:color w:val="auto"/>
              </w:rPr>
            </w:pPr>
          </w:p>
        </w:tc>
      </w:tr>
      <w:tr>
        <w:trPr>
          <w:trHeight w:val="214"/>
        </w:trPr>
        <w:tc>
          <w:tcPr>
            <w:tcW w:w="5120" w:type="dxa"/>
            <w:vAlign w:val="bottom"/>
            <w:gridSpan w:val="3"/>
          </w:tcPr>
          <w:p>
            <w:pPr>
              <w:ind w:left="20"/>
              <w:spacing w:after="0"/>
              <w:rPr>
                <w:sz w:val="20"/>
                <w:szCs w:val="20"/>
                <w:color w:val="auto"/>
              </w:rPr>
            </w:pPr>
            <w:r>
              <w:rPr>
                <w:rFonts w:ascii="Arial" w:cs="Arial" w:eastAsia="Arial" w:hAnsi="Arial"/>
                <w:sz w:val="16"/>
                <w:szCs w:val="16"/>
                <w:color w:val="auto"/>
              </w:rPr>
              <w:t>Income from unconsolidated affiliates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shd w:val="clear" w:color="auto" w:fill="DCE2EF"/>
          </w:tcPr>
          <w:p>
            <w:pPr>
              <w:spacing w:after="0"/>
              <w:rPr>
                <w:sz w:val="18"/>
                <w:szCs w:val="18"/>
                <w:color w:val="auto"/>
              </w:rPr>
            </w:pP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DCE2EF"/>
          </w:tcPr>
          <w:p>
            <w:pPr>
              <w:spacing w:after="0"/>
              <w:rPr>
                <w:sz w:val="18"/>
                <w:szCs w:val="18"/>
                <w:color w:val="auto"/>
              </w:rPr>
            </w:pPr>
          </w:p>
        </w:tc>
        <w:tc>
          <w:tcPr>
            <w:tcW w:w="320" w:type="dxa"/>
            <w:vAlign w:val="bottom"/>
            <w:tcBorders>
              <w:bottom w:val="single" w:sz="8" w:color="auto"/>
            </w:tcBorders>
            <w:shd w:val="clear" w:color="auto" w:fill="DCE2EF"/>
          </w:tcPr>
          <w:p>
            <w:pPr>
              <w:spacing w:after="0"/>
              <w:rPr>
                <w:sz w:val="18"/>
                <w:szCs w:val="18"/>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(20.6)</w:t>
            </w:r>
          </w:p>
        </w:tc>
        <w:tc>
          <w:tcPr>
            <w:tcW w:w="340" w:type="dxa"/>
            <w:vAlign w:val="bottom"/>
            <w:tcBorders>
              <w:bottom w:val="single" w:sz="8" w:color="auto"/>
            </w:tcBorders>
            <w:shd w:val="clear" w:color="auto" w:fill="DCE2EF"/>
          </w:tcPr>
          <w:p>
            <w:pPr>
              <w:spacing w:after="0"/>
              <w:rPr>
                <w:sz w:val="18"/>
                <w:szCs w:val="18"/>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(46.8)</w:t>
            </w:r>
          </w:p>
        </w:tc>
        <w:tc>
          <w:tcPr>
            <w:tcW w:w="100" w:type="dxa"/>
            <w:vAlign w:val="bottom"/>
            <w:shd w:val="clear" w:color="auto" w:fill="DCE2EF"/>
          </w:tcPr>
          <w:p>
            <w:pPr>
              <w:spacing w:after="0"/>
              <w:rPr>
                <w:sz w:val="18"/>
                <w:szCs w:val="18"/>
                <w:color w:val="auto"/>
              </w:rPr>
            </w:pPr>
          </w:p>
        </w:tc>
        <w:tc>
          <w:tcPr>
            <w:tcW w:w="320" w:type="dxa"/>
            <w:vAlign w:val="bottom"/>
            <w:tcBorders>
              <w:bottom w:val="single" w:sz="8" w:color="auto"/>
            </w:tcBorders>
            <w:shd w:val="clear" w:color="auto" w:fill="DCE2EF"/>
          </w:tcPr>
          <w:p>
            <w:pPr>
              <w:spacing w:after="0"/>
              <w:rPr>
                <w:sz w:val="18"/>
                <w:szCs w:val="18"/>
                <w:color w:val="auto"/>
              </w:rPr>
            </w:pP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08"/>
        </w:trPr>
        <w:tc>
          <w:tcPr>
            <w:tcW w:w="5120" w:type="dxa"/>
            <w:vAlign w:val="bottom"/>
            <w:gridSpan w:val="3"/>
          </w:tcPr>
          <w:p>
            <w:pPr>
              <w:ind w:left="20"/>
              <w:spacing w:after="0"/>
              <w:rPr>
                <w:sz w:val="20"/>
                <w:szCs w:val="20"/>
                <w:color w:val="auto"/>
              </w:rPr>
            </w:pPr>
            <w:r>
              <w:rPr>
                <w:rFonts w:ascii="Arial" w:cs="Arial" w:eastAsia="Arial" w:hAnsi="Arial"/>
                <w:sz w:val="16"/>
                <w:szCs w:val="16"/>
                <w:color w:val="auto"/>
              </w:rPr>
              <w:t>Income before income taxes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62.4</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116.4</w:t>
            </w: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Income tax provision</w:t>
            </w:r>
          </w:p>
        </w:tc>
        <w:tc>
          <w:tcPr>
            <w:tcW w:w="240" w:type="dxa"/>
            <w:vAlign w:val="bottom"/>
            <w:tcBorders>
              <w:bottom w:val="single" w:sz="8" w:color="auto"/>
            </w:tcBorders>
            <w:shd w:val="clear" w:color="auto" w:fill="DCE2EF"/>
          </w:tcPr>
          <w:p>
            <w:pPr>
              <w:spacing w:after="0"/>
              <w:rPr>
                <w:sz w:val="18"/>
                <w:szCs w:val="18"/>
                <w:color w:val="auto"/>
              </w:rPr>
            </w:pP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DCE2EF"/>
          </w:tcPr>
          <w:p>
            <w:pPr>
              <w:spacing w:after="0"/>
              <w:rPr>
                <w:sz w:val="18"/>
                <w:szCs w:val="18"/>
                <w:color w:val="auto"/>
              </w:rPr>
            </w:pPr>
          </w:p>
        </w:tc>
        <w:tc>
          <w:tcPr>
            <w:tcW w:w="320" w:type="dxa"/>
            <w:vAlign w:val="bottom"/>
            <w:tcBorders>
              <w:bottom w:val="single" w:sz="8" w:color="auto"/>
            </w:tcBorders>
            <w:shd w:val="clear" w:color="auto" w:fill="DCE2EF"/>
          </w:tcPr>
          <w:p>
            <w:pPr>
              <w:spacing w:after="0"/>
              <w:rPr>
                <w:sz w:val="18"/>
                <w:szCs w:val="18"/>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(18.7)</w:t>
            </w:r>
          </w:p>
        </w:tc>
        <w:tc>
          <w:tcPr>
            <w:tcW w:w="340" w:type="dxa"/>
            <w:vAlign w:val="bottom"/>
            <w:tcBorders>
              <w:bottom w:val="single" w:sz="8" w:color="auto"/>
            </w:tcBorders>
            <w:shd w:val="clear" w:color="auto" w:fill="DCE2EF"/>
          </w:tcPr>
          <w:p>
            <w:pPr>
              <w:spacing w:after="0"/>
              <w:rPr>
                <w:sz w:val="18"/>
                <w:szCs w:val="18"/>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auto"/>
            </w:tcBorders>
            <w:shd w:val="clear" w:color="auto" w:fill="DCE2EF"/>
          </w:tcPr>
          <w:p>
            <w:pPr>
              <w:spacing w:after="0"/>
              <w:rPr>
                <w:sz w:val="18"/>
                <w:szCs w:val="18"/>
                <w:color w:val="auto"/>
              </w:rPr>
            </w:pPr>
          </w:p>
        </w:tc>
        <w:tc>
          <w:tcPr>
            <w:tcW w:w="320" w:type="dxa"/>
            <w:vAlign w:val="bottom"/>
            <w:tcBorders>
              <w:bottom w:val="single" w:sz="8" w:color="auto"/>
            </w:tcBorders>
            <w:shd w:val="clear" w:color="auto" w:fill="DCE2EF"/>
          </w:tcPr>
          <w:p>
            <w:pPr>
              <w:spacing w:after="0"/>
              <w:rPr>
                <w:sz w:val="18"/>
                <w:szCs w:val="18"/>
                <w:color w:val="auto"/>
              </w:rPr>
            </w:pP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08"/>
        </w:trPr>
        <w:tc>
          <w:tcPr>
            <w:tcW w:w="512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DCE2E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43.8</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196"/>
        </w:trPr>
        <w:tc>
          <w:tcPr>
            <w:tcW w:w="512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Other comprehensive income</w:t>
            </w:r>
          </w:p>
        </w:tc>
        <w:tc>
          <w:tcPr>
            <w:tcW w:w="240" w:type="dxa"/>
            <w:vAlign w:val="bottom"/>
            <w:shd w:val="clear" w:color="auto" w:fill="DCE2EF"/>
          </w:tcPr>
          <w:p>
            <w:pPr>
              <w:spacing w:after="0"/>
              <w:rPr>
                <w:sz w:val="17"/>
                <w:szCs w:val="17"/>
                <w:color w:val="auto"/>
              </w:rPr>
            </w:pPr>
          </w:p>
        </w:tc>
        <w:tc>
          <w:tcPr>
            <w:tcW w:w="12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6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1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0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00" w:type="dxa"/>
            <w:vAlign w:val="bottom"/>
            <w:gridSpan w:val="2"/>
          </w:tcPr>
          <w:p>
            <w:pPr>
              <w:ind w:left="320"/>
              <w:spacing w:after="0"/>
              <w:rPr>
                <w:sz w:val="20"/>
                <w:szCs w:val="20"/>
                <w:color w:val="auto"/>
              </w:rPr>
            </w:pPr>
            <w:r>
              <w:rPr>
                <w:rFonts w:ascii="Arial" w:cs="Arial" w:eastAsia="Arial" w:hAnsi="Arial"/>
                <w:sz w:val="16"/>
                <w:szCs w:val="16"/>
                <w:color w:val="auto"/>
              </w:rPr>
              <w:t>Interest rate swaps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510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Foreign currency translation and other</w:t>
            </w:r>
          </w:p>
        </w:tc>
        <w:tc>
          <w:tcPr>
            <w:tcW w:w="240" w:type="dxa"/>
            <w:vAlign w:val="bottom"/>
            <w:shd w:val="clear" w:color="auto" w:fill="DCE2EF"/>
          </w:tcPr>
          <w:p>
            <w:pPr>
              <w:spacing w:after="0"/>
              <w:rPr>
                <w:sz w:val="18"/>
                <w:szCs w:val="18"/>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w:t>
            </w:r>
          </w:p>
        </w:tc>
        <w:tc>
          <w:tcPr>
            <w:tcW w:w="340" w:type="dxa"/>
            <w:vAlign w:val="bottom"/>
            <w:shd w:val="clear" w:color="auto" w:fill="DCE2EF"/>
          </w:tcPr>
          <w:p>
            <w:pPr>
              <w:spacing w:after="0"/>
              <w:rPr>
                <w:sz w:val="18"/>
                <w:szCs w:val="18"/>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4"/>
        </w:trPr>
        <w:tc>
          <w:tcPr>
            <w:tcW w:w="20" w:type="dxa"/>
            <w:vAlign w:val="bottom"/>
            <w:tcBorders>
              <w:bottom w:val="single" w:sz="8" w:color="DCE2EF"/>
            </w:tcBorders>
          </w:tcPr>
          <w:p>
            <w:pPr>
              <w:spacing w:after="0"/>
              <w:rPr>
                <w:sz w:val="18"/>
                <w:szCs w:val="18"/>
                <w:color w:val="auto"/>
              </w:rPr>
            </w:pPr>
          </w:p>
        </w:tc>
        <w:tc>
          <w:tcPr>
            <w:tcW w:w="5100" w:type="dxa"/>
            <w:vAlign w:val="bottom"/>
            <w:tcBorders>
              <w:bottom w:val="single" w:sz="8" w:color="DCE2EF"/>
            </w:tcBorders>
            <w:gridSpan w:val="2"/>
          </w:tcPr>
          <w:p>
            <w:pPr>
              <w:ind w:left="320"/>
              <w:spacing w:after="0"/>
              <w:rPr>
                <w:sz w:val="20"/>
                <w:szCs w:val="20"/>
                <w:color w:val="auto"/>
              </w:rPr>
            </w:pPr>
            <w:r>
              <w:rPr>
                <w:rFonts w:ascii="Arial" w:cs="Arial" w:eastAsia="Arial" w:hAnsi="Arial"/>
                <w:sz w:val="16"/>
                <w:szCs w:val="16"/>
                <w:color w:val="auto"/>
              </w:rPr>
              <w:t>Income tax benefit (provision)</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DCE2E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DCE2E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4"/>
        </w:trPr>
        <w:tc>
          <w:tcPr>
            <w:tcW w:w="512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6"/>
                <w:szCs w:val="16"/>
                <w:color w:val="auto"/>
              </w:rPr>
              <w:t>Comprehensive income</w:t>
            </w:r>
          </w:p>
        </w:tc>
        <w:tc>
          <w:tcPr>
            <w:tcW w:w="24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DCE2EF"/>
            </w:tcBorders>
            <w:shd w:val="clear" w:color="auto" w:fill="DCE2EF"/>
          </w:tcPr>
          <w:p>
            <w:pPr>
              <w:spacing w:after="0"/>
              <w:rPr>
                <w:sz w:val="19"/>
                <w:szCs w:val="19"/>
                <w:color w:val="auto"/>
              </w:rPr>
            </w:pPr>
          </w:p>
        </w:tc>
        <w:tc>
          <w:tcPr>
            <w:tcW w:w="320" w:type="dxa"/>
            <w:vAlign w:val="bottom"/>
            <w:tcBorders>
              <w:bottom w:val="single" w:sz="8" w:color="auto"/>
            </w:tcBorders>
            <w:shd w:val="clear" w:color="auto" w:fill="DCE2E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49.7</w:t>
            </w:r>
          </w:p>
        </w:tc>
        <w:tc>
          <w:tcPr>
            <w:tcW w:w="340" w:type="dxa"/>
            <w:vAlign w:val="bottom"/>
            <w:tcBorders>
              <w:bottom w:val="single" w:sz="8" w:color="auto"/>
            </w:tcBorders>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87.6</w:t>
            </w:r>
          </w:p>
        </w:tc>
        <w:tc>
          <w:tcPr>
            <w:tcW w:w="100" w:type="dxa"/>
            <w:vAlign w:val="bottom"/>
            <w:tcBorders>
              <w:bottom w:val="single" w:sz="8" w:color="DCE2EF"/>
            </w:tcBorders>
            <w:shd w:val="clear" w:color="auto" w:fill="DCE2EF"/>
          </w:tcPr>
          <w:p>
            <w:pPr>
              <w:spacing w:after="0"/>
              <w:rPr>
                <w:sz w:val="19"/>
                <w:szCs w:val="19"/>
                <w:color w:val="auto"/>
              </w:rPr>
            </w:pPr>
          </w:p>
        </w:tc>
        <w:tc>
          <w:tcPr>
            <w:tcW w:w="320" w:type="dxa"/>
            <w:vAlign w:val="bottom"/>
            <w:tcBorders>
              <w:bottom w:val="single" w:sz="8" w:color="auto"/>
            </w:tcBorders>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87.9</w:t>
            </w:r>
          </w:p>
        </w:tc>
        <w:tc>
          <w:tcPr>
            <w:tcW w:w="0" w:type="dxa"/>
            <w:vAlign w:val="bottom"/>
          </w:tcPr>
          <w:p>
            <w:pPr>
              <w:spacing w:after="0"/>
              <w:rPr>
                <w:sz w:val="1"/>
                <w:szCs w:val="1"/>
                <w:color w:val="auto"/>
              </w:rPr>
            </w:pPr>
          </w:p>
        </w:tc>
      </w:tr>
      <w:tr>
        <w:trPr>
          <w:trHeight w:val="20"/>
        </w:trPr>
        <w:tc>
          <w:tcPr>
            <w:tcW w:w="5120" w:type="dxa"/>
            <w:vAlign w:val="bottom"/>
            <w:tcBorders>
              <w:top w:val="single" w:sz="8" w:color="DCE2EF"/>
              <w:bottom w:val="single" w:sz="8" w:color="DCE2EF"/>
            </w:tcBorders>
            <w:gridSpan w:val="3"/>
            <w:vMerge w:val="restart"/>
          </w:tcPr>
          <w:p>
            <w:pPr>
              <w:ind w:left="20"/>
              <w:spacing w:after="0"/>
              <w:rPr>
                <w:sz w:val="20"/>
                <w:szCs w:val="20"/>
                <w:color w:val="auto"/>
              </w:rPr>
            </w:pPr>
            <w:r>
              <w:rPr>
                <w:rFonts w:ascii="Arial" w:cs="Arial" w:eastAsia="Arial" w:hAnsi="Arial"/>
                <w:sz w:val="16"/>
                <w:szCs w:val="16"/>
                <w:b w:val="1"/>
                <w:bCs w:val="1"/>
                <w:color w:val="auto"/>
              </w:rPr>
              <w:t>Net income per common share</w:t>
            </w:r>
          </w:p>
        </w:tc>
        <w:tc>
          <w:tcPr>
            <w:tcW w:w="240" w:type="dxa"/>
            <w:vAlign w:val="bottom"/>
            <w:tcBorders>
              <w:top w:val="single" w:sz="8" w:color="DCE2EF"/>
              <w:bottom w:val="single" w:sz="8" w:color="auto"/>
            </w:tcBorders>
          </w:tcPr>
          <w:p>
            <w:pPr>
              <w:spacing w:after="0" w:line="20" w:lineRule="exact"/>
              <w:rPr>
                <w:sz w:val="1"/>
                <w:szCs w:val="1"/>
                <w:color w:val="auto"/>
              </w:rPr>
            </w:pPr>
          </w:p>
        </w:tc>
        <w:tc>
          <w:tcPr>
            <w:tcW w:w="12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1160" w:type="dxa"/>
            <w:vAlign w:val="bottom"/>
            <w:tcBorders>
              <w:top w:val="single" w:sz="8" w:color="DCE2EF"/>
              <w:bottom w:val="single" w:sz="8" w:color="auto"/>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110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12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510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0.67</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0.69</w:t>
            </w:r>
          </w:p>
        </w:tc>
        <w:tc>
          <w:tcPr>
            <w:tcW w:w="34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00" w:type="dxa"/>
            <w:vAlign w:val="bottom"/>
            <w:gridSpan w:val="2"/>
          </w:tcPr>
          <w:p>
            <w:pPr>
              <w:ind w:left="32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0.69</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162"/>
        </w:trPr>
        <w:tc>
          <w:tcPr>
            <w:tcW w:w="5120" w:type="dxa"/>
            <w:vAlign w:val="bottom"/>
            <w:gridSpan w:val="3"/>
            <w:shd w:val="clear" w:color="auto" w:fill="DCE2EF"/>
          </w:tcPr>
          <w:p>
            <w:pPr>
              <w:ind w:left="20"/>
              <w:spacing w:after="0" w:line="162" w:lineRule="exact"/>
              <w:rPr>
                <w:sz w:val="20"/>
                <w:szCs w:val="20"/>
                <w:color w:val="auto"/>
              </w:rPr>
            </w:pPr>
            <w:r>
              <w:rPr>
                <w:rFonts w:ascii="Arial" w:cs="Arial" w:eastAsia="Arial" w:hAnsi="Arial"/>
                <w:sz w:val="16"/>
                <w:szCs w:val="16"/>
                <w:b w:val="1"/>
                <w:bCs w:val="1"/>
                <w:color w:val="auto"/>
              </w:rPr>
              <w:t>Weighted-average common and common equivalent</w:t>
            </w:r>
          </w:p>
        </w:tc>
        <w:tc>
          <w:tcPr>
            <w:tcW w:w="240" w:type="dxa"/>
            <w:vAlign w:val="bottom"/>
            <w:shd w:val="clear" w:color="auto" w:fill="DCE2EF"/>
          </w:tcPr>
          <w:p>
            <w:pPr>
              <w:spacing w:after="0"/>
              <w:rPr>
                <w:sz w:val="14"/>
                <w:szCs w:val="14"/>
                <w:color w:val="auto"/>
              </w:rPr>
            </w:pPr>
          </w:p>
        </w:tc>
        <w:tc>
          <w:tcPr>
            <w:tcW w:w="12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20" w:type="dxa"/>
            <w:vAlign w:val="bottom"/>
            <w:shd w:val="clear" w:color="auto" w:fill="DCE2EF"/>
          </w:tcPr>
          <w:p>
            <w:pPr>
              <w:spacing w:after="0"/>
              <w:rPr>
                <w:sz w:val="14"/>
                <w:szCs w:val="14"/>
                <w:color w:val="auto"/>
              </w:rPr>
            </w:pPr>
          </w:p>
        </w:tc>
        <w:tc>
          <w:tcPr>
            <w:tcW w:w="1160" w:type="dxa"/>
            <w:vAlign w:val="bottom"/>
            <w:shd w:val="clear" w:color="auto" w:fill="DCE2EF"/>
          </w:tcPr>
          <w:p>
            <w:pPr>
              <w:spacing w:after="0"/>
              <w:rPr>
                <w:sz w:val="14"/>
                <w:szCs w:val="14"/>
                <w:color w:val="auto"/>
              </w:rPr>
            </w:pPr>
          </w:p>
        </w:tc>
        <w:tc>
          <w:tcPr>
            <w:tcW w:w="340" w:type="dxa"/>
            <w:vAlign w:val="bottom"/>
            <w:shd w:val="clear" w:color="auto" w:fill="DCE2EF"/>
          </w:tcPr>
          <w:p>
            <w:pPr>
              <w:spacing w:after="0"/>
              <w:rPr>
                <w:sz w:val="14"/>
                <w:szCs w:val="14"/>
                <w:color w:val="auto"/>
              </w:rPr>
            </w:pPr>
          </w:p>
        </w:tc>
        <w:tc>
          <w:tcPr>
            <w:tcW w:w="116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20" w:type="dxa"/>
            <w:vAlign w:val="bottom"/>
            <w:shd w:val="clear" w:color="auto" w:fill="DCE2EF"/>
          </w:tcPr>
          <w:p>
            <w:pPr>
              <w:spacing w:after="0"/>
              <w:rPr>
                <w:sz w:val="14"/>
                <w:szCs w:val="14"/>
                <w:color w:val="auto"/>
              </w:rPr>
            </w:pPr>
          </w:p>
        </w:tc>
        <w:tc>
          <w:tcPr>
            <w:tcW w:w="1100" w:type="dxa"/>
            <w:vAlign w:val="bottom"/>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5100" w:type="dxa"/>
            <w:vAlign w:val="bottom"/>
            <w:gridSpan w:val="2"/>
            <w:shd w:val="clear" w:color="auto" w:fill="DCE2EF"/>
          </w:tcPr>
          <w:p>
            <w:pPr>
              <w:ind w:left="120"/>
              <w:spacing w:after="0"/>
              <w:rPr>
                <w:sz w:val="20"/>
                <w:szCs w:val="20"/>
                <w:color w:val="auto"/>
              </w:rPr>
            </w:pPr>
            <w:r>
              <w:rPr>
                <w:rFonts w:ascii="Arial" w:cs="Arial" w:eastAsia="Arial" w:hAnsi="Arial"/>
                <w:sz w:val="16"/>
                <w:szCs w:val="16"/>
                <w:b w:val="1"/>
                <w:bCs w:val="1"/>
                <w:color w:val="auto"/>
              </w:rPr>
              <w:t>shares outstanding</w:t>
            </w:r>
          </w:p>
        </w:tc>
        <w:tc>
          <w:tcPr>
            <w:tcW w:w="240" w:type="dxa"/>
            <w:vAlign w:val="bottom"/>
            <w:shd w:val="clear" w:color="auto" w:fill="DCE2EF"/>
          </w:tcPr>
          <w:p>
            <w:pPr>
              <w:spacing w:after="0"/>
              <w:rPr>
                <w:sz w:val="18"/>
                <w:szCs w:val="18"/>
                <w:color w:val="auto"/>
              </w:rPr>
            </w:pPr>
          </w:p>
        </w:tc>
        <w:tc>
          <w:tcPr>
            <w:tcW w:w="12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6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0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00" w:type="dxa"/>
            <w:vAlign w:val="bottom"/>
            <w:gridSpan w:val="2"/>
          </w:tcPr>
          <w:p>
            <w:pPr>
              <w:ind w:left="32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63.3</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510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DCE2EF"/>
          </w:tcPr>
          <w:p>
            <w:pPr>
              <w:spacing w:after="0"/>
              <w:rPr>
                <w:sz w:val="18"/>
                <w:szCs w:val="18"/>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63.5</w:t>
            </w:r>
          </w:p>
        </w:tc>
        <w:tc>
          <w:tcPr>
            <w:tcW w:w="340" w:type="dxa"/>
            <w:vAlign w:val="bottom"/>
            <w:shd w:val="clear" w:color="auto" w:fill="DCE2EF"/>
          </w:tcPr>
          <w:p>
            <w:pPr>
              <w:spacing w:after="0"/>
              <w:rPr>
                <w:sz w:val="18"/>
                <w:szCs w:val="18"/>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72390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60" w:top="1249" w:right="359" w:bottom="1440" w:gutter="0" w:footer="0" w:header="0"/>
        </w:sectPr>
      </w:pPr>
    </w:p>
    <w:bookmarkStart w:id="7" w:name="page8"/>
    <w:bookmarkEnd w:id="7"/>
    <w:p>
      <w:pPr>
        <w:ind w:left="322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29"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0046AD"/>
        </w:rPr>
        <w:t>CONSOLIDATED STATEMENTS OF STOCKHOLDERS’ EQUITY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60" w:type="dxa"/>
            <w:vAlign w:val="bottom"/>
            <w:gridSpan w:val="8"/>
          </w:tcPr>
          <w:p>
            <w:pPr>
              <w:jc w:val="right"/>
              <w:spacing w:after="0"/>
              <w:rPr>
                <w:sz w:val="20"/>
                <w:szCs w:val="20"/>
                <w:color w:val="auto"/>
              </w:rPr>
            </w:pPr>
            <w:r>
              <w:rPr>
                <w:rFonts w:ascii="Arial" w:cs="Arial" w:eastAsia="Arial" w:hAnsi="Arial"/>
                <w:sz w:val="16"/>
                <w:szCs w:val="16"/>
                <w:b w:val="1"/>
                <w:bCs w:val="1"/>
                <w:color w:val="auto"/>
              </w:rPr>
              <w:t>Three Months Ended April 30,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100" w:type="dxa"/>
            <w:vAlign w:val="bottom"/>
            <w:gridSpan w:val="7"/>
          </w:tcPr>
          <w:p>
            <w:pPr>
              <w:ind w:left="20"/>
              <w:spacing w:after="0"/>
              <w:rPr>
                <w:sz w:val="20"/>
                <w:szCs w:val="20"/>
                <w:color w:val="auto"/>
              </w:rPr>
            </w:pPr>
            <w:r>
              <w:rPr>
                <w:rFonts w:ascii="Arial" w:cs="Arial" w:eastAsia="Arial" w:hAnsi="Arial"/>
                <w:sz w:val="16"/>
                <w:szCs w:val="16"/>
                <w:b w:val="1"/>
                <w:bCs w:val="1"/>
                <w:color w:val="auto"/>
                <w:w w:val="99"/>
              </w:rPr>
              <w:t>Six Months Ended April 30,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rPr>
              <w:t>2025</w:t>
            </w:r>
          </w:p>
        </w:tc>
        <w:tc>
          <w:tcPr>
            <w:tcW w:w="76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6"/>
                <w:szCs w:val="16"/>
                <w:b w:val="1"/>
                <w:bCs w:val="1"/>
                <w:color w:val="auto"/>
              </w:rPr>
              <w:t>2024</w:t>
            </w:r>
          </w:p>
        </w:tc>
        <w:tc>
          <w:tcPr>
            <w:tcW w:w="76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6"/>
                <w:szCs w:val="16"/>
                <w:b w:val="1"/>
                <w:bCs w:val="1"/>
                <w:color w:val="auto"/>
              </w:rPr>
              <w:t>2025</w:t>
            </w:r>
          </w:p>
        </w:tc>
        <w:tc>
          <w:tcPr>
            <w:tcW w:w="740" w:type="dxa"/>
            <w:vAlign w:val="bottom"/>
          </w:tcPr>
          <w:p>
            <w:pPr>
              <w:spacing w:after="0"/>
              <w:rPr>
                <w:sz w:val="18"/>
                <w:szCs w:val="18"/>
                <w:color w:val="auto"/>
              </w:rPr>
            </w:pPr>
          </w:p>
        </w:tc>
        <w:tc>
          <w:tcPr>
            <w:tcW w:w="1220" w:type="dxa"/>
            <w:vAlign w:val="bottom"/>
            <w:gridSpan w:val="5"/>
          </w:tcPr>
          <w:p>
            <w:pPr>
              <w:jc w:val="right"/>
              <w:spacing w:after="0"/>
              <w:rPr>
                <w:sz w:val="20"/>
                <w:szCs w:val="20"/>
                <w:color w:val="auto"/>
              </w:rPr>
            </w:pPr>
            <w:r>
              <w:rPr>
                <w:rFonts w:ascii="Arial" w:cs="Arial" w:eastAsia="Arial" w:hAnsi="Arial"/>
                <w:sz w:val="16"/>
                <w:szCs w:val="16"/>
                <w:b w:val="1"/>
                <w:bCs w:val="1"/>
                <w:color w:val="auto"/>
              </w:rPr>
              <w:t>2024</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i w:val="1"/>
                <w:iCs w:val="1"/>
                <w:color w:val="auto"/>
              </w:rPr>
              <w:t>(in millions, except per share amounts)</w:t>
            </w:r>
          </w:p>
        </w:tc>
        <w:tc>
          <w:tcPr>
            <w:tcW w:w="960" w:type="dxa"/>
            <w:vAlign w:val="bottom"/>
            <w:tcBorders>
              <w:top w:val="single" w:sz="8" w:color="auto"/>
            </w:tcBorders>
            <w:gridSpan w:val="2"/>
          </w:tcPr>
          <w:p>
            <w:pPr>
              <w:ind w:left="160"/>
              <w:spacing w:after="0" w:line="168" w:lineRule="exact"/>
              <w:rPr>
                <w:sz w:val="20"/>
                <w:szCs w:val="20"/>
                <w:color w:val="auto"/>
              </w:rPr>
            </w:pPr>
            <w:r>
              <w:rPr>
                <w:rFonts w:ascii="Arial" w:cs="Arial" w:eastAsia="Arial" w:hAnsi="Arial"/>
                <w:sz w:val="16"/>
                <w:szCs w:val="16"/>
                <w:b w:val="1"/>
                <w:bCs w:val="1"/>
                <w:color w:val="auto"/>
              </w:rPr>
              <w:t>Shares</w:t>
            </w: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59"/>
              <w:spacing w:after="0" w:line="168" w:lineRule="exact"/>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4"/>
                <w:szCs w:val="14"/>
                <w:color w:val="auto"/>
              </w:rPr>
            </w:pPr>
          </w:p>
        </w:tc>
        <w:tc>
          <w:tcPr>
            <w:tcW w:w="980" w:type="dxa"/>
            <w:vAlign w:val="bottom"/>
            <w:tcBorders>
              <w:top w:val="single" w:sz="8" w:color="auto"/>
            </w:tcBorders>
            <w:gridSpan w:val="2"/>
          </w:tcPr>
          <w:p>
            <w:pPr>
              <w:ind w:left="160"/>
              <w:spacing w:after="0" w:line="168" w:lineRule="exact"/>
              <w:rPr>
                <w:sz w:val="20"/>
                <w:szCs w:val="20"/>
                <w:color w:val="auto"/>
              </w:rPr>
            </w:pPr>
            <w:r>
              <w:rPr>
                <w:rFonts w:ascii="Arial" w:cs="Arial" w:eastAsia="Arial" w:hAnsi="Arial"/>
                <w:sz w:val="16"/>
                <w:szCs w:val="16"/>
                <w:b w:val="1"/>
                <w:bCs w:val="1"/>
                <w:color w:val="auto"/>
              </w:rPr>
              <w:t>Shares</w:t>
            </w: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59"/>
              <w:spacing w:after="0" w:line="168" w:lineRule="exact"/>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4"/>
                <w:szCs w:val="14"/>
                <w:color w:val="auto"/>
              </w:rPr>
            </w:pPr>
          </w:p>
        </w:tc>
        <w:tc>
          <w:tcPr>
            <w:tcW w:w="860" w:type="dxa"/>
            <w:vAlign w:val="bottom"/>
            <w:tcBorders>
              <w:top w:val="single" w:sz="8" w:color="auto"/>
            </w:tcBorders>
          </w:tcPr>
          <w:p>
            <w:pPr>
              <w:jc w:val="right"/>
              <w:ind w:right="79"/>
              <w:spacing w:after="0" w:line="168" w:lineRule="exact"/>
              <w:rPr>
                <w:sz w:val="20"/>
                <w:szCs w:val="20"/>
                <w:color w:val="auto"/>
              </w:rPr>
            </w:pPr>
            <w:r>
              <w:rPr>
                <w:rFonts w:ascii="Arial" w:cs="Arial" w:eastAsia="Arial" w:hAnsi="Arial"/>
                <w:sz w:val="16"/>
                <w:szCs w:val="16"/>
                <w:b w:val="1"/>
                <w:bCs w:val="1"/>
                <w:color w:val="auto"/>
              </w:rPr>
              <w:t>Shares</w:t>
            </w: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59"/>
              <w:spacing w:after="0" w:line="168" w:lineRule="exact"/>
              <w:rPr>
                <w:sz w:val="20"/>
                <w:szCs w:val="20"/>
                <w:color w:val="auto"/>
              </w:rPr>
            </w:pPr>
            <w:r>
              <w:rPr>
                <w:rFonts w:ascii="Arial" w:cs="Arial" w:eastAsia="Arial" w:hAnsi="Arial"/>
                <w:sz w:val="16"/>
                <w:szCs w:val="16"/>
                <w:b w:val="1"/>
                <w:bCs w:val="1"/>
                <w:color w:val="auto"/>
                <w:w w:val="95"/>
              </w:rPr>
              <w:t>Amount</w:t>
            </w:r>
          </w:p>
        </w:tc>
        <w:tc>
          <w:tcPr>
            <w:tcW w:w="100" w:type="dxa"/>
            <w:vAlign w:val="bottom"/>
          </w:tcPr>
          <w:p>
            <w:pPr>
              <w:spacing w:after="0"/>
              <w:rPr>
                <w:sz w:val="14"/>
                <w:szCs w:val="14"/>
                <w:color w:val="auto"/>
              </w:rPr>
            </w:pPr>
          </w:p>
        </w:tc>
        <w:tc>
          <w:tcPr>
            <w:tcW w:w="1000" w:type="dxa"/>
            <w:vAlign w:val="bottom"/>
            <w:tcBorders>
              <w:top w:val="single" w:sz="8" w:color="auto"/>
            </w:tcBorders>
            <w:gridSpan w:val="3"/>
          </w:tcPr>
          <w:p>
            <w:pPr>
              <w:ind w:left="160"/>
              <w:spacing w:after="0" w:line="168" w:lineRule="exact"/>
              <w:rPr>
                <w:sz w:val="20"/>
                <w:szCs w:val="20"/>
                <w:color w:val="auto"/>
              </w:rPr>
            </w:pPr>
            <w:r>
              <w:rPr>
                <w:rFonts w:ascii="Arial" w:cs="Arial" w:eastAsia="Arial" w:hAnsi="Arial"/>
                <w:sz w:val="16"/>
                <w:szCs w:val="16"/>
                <w:b w:val="1"/>
                <w:bCs w:val="1"/>
                <w:color w:val="auto"/>
              </w:rPr>
              <w:t>Shares</w:t>
            </w: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59"/>
              <w:spacing w:after="0" w:line="168" w:lineRule="exact"/>
              <w:rPr>
                <w:sz w:val="20"/>
                <w:szCs w:val="20"/>
                <w:color w:val="auto"/>
              </w:rPr>
            </w:pPr>
            <w:r>
              <w:rPr>
                <w:rFonts w:ascii="Arial" w:cs="Arial" w:eastAsia="Arial" w:hAnsi="Arial"/>
                <w:sz w:val="16"/>
                <w:szCs w:val="16"/>
                <w:b w:val="1"/>
                <w:bCs w:val="1"/>
                <w:color w:val="auto"/>
                <w:w w:val="95"/>
              </w:rPr>
              <w:t>Amount</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520" w:type="dxa"/>
            <w:vAlign w:val="bottom"/>
            <w:tcBorders>
              <w:top w:val="single" w:sz="8" w:color="auto"/>
              <w:bottom w:val="single" w:sz="8" w:color="DCE2EF"/>
            </w:tcBorders>
          </w:tcPr>
          <w:p>
            <w:pPr>
              <w:spacing w:after="0" w:line="20" w:lineRule="exact"/>
              <w:rPr>
                <w:sz w:val="1"/>
                <w:szCs w:val="1"/>
                <w:color w:val="auto"/>
              </w:rPr>
            </w:pPr>
          </w:p>
        </w:tc>
        <w:tc>
          <w:tcPr>
            <w:tcW w:w="960" w:type="dxa"/>
            <w:vAlign w:val="bottom"/>
            <w:tcBorders>
              <w:bottom w:val="single" w:sz="8" w:color="DCE2E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DCE2EF"/>
          </w:tcPr>
          <w:p>
            <w:pPr>
              <w:spacing w:after="0"/>
              <w:rPr>
                <w:sz w:val="16"/>
                <w:szCs w:val="16"/>
                <w:color w:val="auto"/>
              </w:rPr>
            </w:pPr>
          </w:p>
        </w:tc>
        <w:tc>
          <w:tcPr>
            <w:tcW w:w="348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Common Stock</w:t>
            </w:r>
          </w:p>
        </w:tc>
        <w:tc>
          <w:tcPr>
            <w:tcW w:w="8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7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8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7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8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7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8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74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gridSpan w:val="2"/>
          </w:tcPr>
          <w:p>
            <w:pPr>
              <w:ind w:left="120"/>
              <w:spacing w:after="0"/>
              <w:rPr>
                <w:sz w:val="20"/>
                <w:szCs w:val="20"/>
                <w:color w:val="auto"/>
              </w:rPr>
            </w:pPr>
            <w:r>
              <w:rPr>
                <w:rFonts w:ascii="Arial" w:cs="Arial" w:eastAsia="Arial" w:hAnsi="Arial"/>
                <w:sz w:val="16"/>
                <w:szCs w:val="16"/>
                <w:color w:val="auto"/>
              </w:rPr>
              <w:t>Balance, beginning of period</w:t>
            </w:r>
          </w:p>
        </w:tc>
        <w:tc>
          <w:tcPr>
            <w:tcW w:w="860" w:type="dxa"/>
            <w:vAlign w:val="bottom"/>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63.3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62.2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62.8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62"/>
        </w:trPr>
        <w:tc>
          <w:tcPr>
            <w:tcW w:w="20" w:type="dxa"/>
            <w:vAlign w:val="bottom"/>
            <w:shd w:val="clear" w:color="auto" w:fill="DCE2EF"/>
          </w:tcPr>
          <w:p>
            <w:pPr>
              <w:spacing w:after="0"/>
              <w:rPr>
                <w:sz w:val="14"/>
                <w:szCs w:val="14"/>
                <w:color w:val="auto"/>
              </w:rPr>
            </w:pPr>
          </w:p>
        </w:tc>
        <w:tc>
          <w:tcPr>
            <w:tcW w:w="3480" w:type="dxa"/>
            <w:vAlign w:val="bottom"/>
            <w:gridSpan w:val="2"/>
            <w:shd w:val="clear" w:color="auto" w:fill="DCE2EF"/>
          </w:tcPr>
          <w:p>
            <w:pPr>
              <w:ind w:left="120"/>
              <w:spacing w:after="0" w:line="162" w:lineRule="exact"/>
              <w:rPr>
                <w:sz w:val="20"/>
                <w:szCs w:val="20"/>
                <w:color w:val="auto"/>
              </w:rPr>
            </w:pPr>
            <w:r>
              <w:rPr>
                <w:rFonts w:ascii="Arial" w:cs="Arial" w:eastAsia="Arial" w:hAnsi="Arial"/>
                <w:sz w:val="16"/>
                <w:szCs w:val="16"/>
                <w:color w:val="auto"/>
              </w:rPr>
              <w:t>Stock issued under employee stock</w:t>
            </w:r>
          </w:p>
        </w:tc>
        <w:tc>
          <w:tcPr>
            <w:tcW w:w="86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40" w:type="dxa"/>
            <w:vAlign w:val="bottom"/>
            <w:shd w:val="clear" w:color="auto" w:fill="DCE2EF"/>
          </w:tcPr>
          <w:p>
            <w:pPr>
              <w:spacing w:after="0"/>
              <w:rPr>
                <w:sz w:val="14"/>
                <w:szCs w:val="14"/>
                <w:color w:val="auto"/>
              </w:rPr>
            </w:pPr>
          </w:p>
        </w:tc>
        <w:tc>
          <w:tcPr>
            <w:tcW w:w="76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86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76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86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140" w:type="dxa"/>
            <w:vAlign w:val="bottom"/>
            <w:shd w:val="clear" w:color="auto" w:fill="DCE2EF"/>
          </w:tcPr>
          <w:p>
            <w:pPr>
              <w:spacing w:after="0"/>
              <w:rPr>
                <w:sz w:val="14"/>
                <w:szCs w:val="14"/>
                <w:color w:val="auto"/>
              </w:rPr>
            </w:pPr>
          </w:p>
        </w:tc>
        <w:tc>
          <w:tcPr>
            <w:tcW w:w="74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86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740" w:type="dxa"/>
            <w:vAlign w:val="bottom"/>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DCE2EF"/>
          </w:tcPr>
          <w:p>
            <w:pPr>
              <w:spacing w:after="0"/>
              <w:rPr>
                <w:sz w:val="14"/>
                <w:szCs w:val="14"/>
                <w:color w:val="auto"/>
              </w:rPr>
            </w:pPr>
          </w:p>
        </w:tc>
        <w:tc>
          <w:tcPr>
            <w:tcW w:w="3480" w:type="dxa"/>
            <w:vAlign w:val="bottom"/>
            <w:gridSpan w:val="2"/>
            <w:shd w:val="clear" w:color="auto" w:fill="DCE2EF"/>
          </w:tcPr>
          <w:p>
            <w:pPr>
              <w:ind w:left="280"/>
              <w:spacing w:after="0" w:line="161" w:lineRule="exact"/>
              <w:rPr>
                <w:sz w:val="20"/>
                <w:szCs w:val="20"/>
                <w:color w:val="auto"/>
              </w:rPr>
            </w:pPr>
            <w:r>
              <w:rPr>
                <w:rFonts w:ascii="Arial" w:cs="Arial" w:eastAsia="Arial" w:hAnsi="Arial"/>
                <w:sz w:val="16"/>
                <w:szCs w:val="16"/>
                <w:color w:val="auto"/>
              </w:rPr>
              <w:t>purchase and share-based compensation</w:t>
            </w:r>
          </w:p>
        </w:tc>
        <w:tc>
          <w:tcPr>
            <w:tcW w:w="960" w:type="dxa"/>
            <w:vAlign w:val="bottom"/>
            <w:gridSpan w:val="2"/>
            <w:vMerge w:val="restart"/>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CE2EF"/>
          </w:tcPr>
          <w:p>
            <w:pPr>
              <w:spacing w:after="0"/>
              <w:rPr>
                <w:sz w:val="14"/>
                <w:szCs w:val="14"/>
                <w:color w:val="auto"/>
              </w:rPr>
            </w:pPr>
          </w:p>
        </w:tc>
        <w:tc>
          <w:tcPr>
            <w:tcW w:w="76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CE2EF"/>
          </w:tcPr>
          <w:p>
            <w:pPr>
              <w:spacing w:after="0"/>
              <w:rPr>
                <w:sz w:val="14"/>
                <w:szCs w:val="14"/>
                <w:color w:val="auto"/>
              </w:rPr>
            </w:pPr>
          </w:p>
        </w:tc>
        <w:tc>
          <w:tcPr>
            <w:tcW w:w="980" w:type="dxa"/>
            <w:vAlign w:val="bottom"/>
            <w:gridSpan w:val="2"/>
            <w:vMerge w:val="restart"/>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CE2EF"/>
          </w:tcPr>
          <w:p>
            <w:pPr>
              <w:spacing w:after="0"/>
              <w:rPr>
                <w:sz w:val="14"/>
                <w:szCs w:val="14"/>
                <w:color w:val="auto"/>
              </w:rPr>
            </w:pPr>
          </w:p>
        </w:tc>
        <w:tc>
          <w:tcPr>
            <w:tcW w:w="76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DCE2E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DCE2EF"/>
          </w:tcPr>
          <w:p>
            <w:pPr>
              <w:spacing w:after="0"/>
              <w:rPr>
                <w:sz w:val="14"/>
                <w:szCs w:val="14"/>
                <w:color w:val="auto"/>
              </w:rPr>
            </w:pPr>
          </w:p>
        </w:tc>
        <w:tc>
          <w:tcPr>
            <w:tcW w:w="140" w:type="dxa"/>
            <w:vAlign w:val="bottom"/>
            <w:shd w:val="clear" w:color="auto" w:fill="DCE2EF"/>
          </w:tcPr>
          <w:p>
            <w:pPr>
              <w:spacing w:after="0"/>
              <w:rPr>
                <w:sz w:val="14"/>
                <w:szCs w:val="14"/>
                <w:color w:val="auto"/>
              </w:rPr>
            </w:pPr>
          </w:p>
        </w:tc>
        <w:tc>
          <w:tcPr>
            <w:tcW w:w="74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DCE2E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74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3480" w:type="dxa"/>
            <w:vAlign w:val="bottom"/>
            <w:gridSpan w:val="2"/>
            <w:shd w:val="clear" w:color="auto" w:fill="DCE2EF"/>
          </w:tcPr>
          <w:p>
            <w:pPr>
              <w:ind w:left="280"/>
              <w:spacing w:after="0"/>
              <w:rPr>
                <w:sz w:val="20"/>
                <w:szCs w:val="20"/>
                <w:color w:val="auto"/>
              </w:rPr>
            </w:pPr>
            <w:r>
              <w:rPr>
                <w:rFonts w:ascii="Arial" w:cs="Arial" w:eastAsia="Arial" w:hAnsi="Arial"/>
                <w:sz w:val="16"/>
                <w:szCs w:val="16"/>
                <w:color w:val="auto"/>
              </w:rPr>
              <w:t>plans</w:t>
            </w:r>
          </w:p>
        </w:tc>
        <w:tc>
          <w:tcPr>
            <w:tcW w:w="960" w:type="dxa"/>
            <w:vAlign w:val="bottom"/>
            <w:gridSpan w:val="2"/>
            <w:vMerge w:val="continue"/>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760" w:type="dxa"/>
            <w:vAlign w:val="bottom"/>
            <w:vMerge w:val="continue"/>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980" w:type="dxa"/>
            <w:vAlign w:val="bottom"/>
            <w:gridSpan w:val="2"/>
            <w:vMerge w:val="continue"/>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760" w:type="dxa"/>
            <w:vAlign w:val="bottom"/>
            <w:vMerge w:val="continue"/>
            <w:shd w:val="clear" w:color="auto" w:fill="DCE2EF"/>
          </w:tcPr>
          <w:p>
            <w:pPr>
              <w:spacing w:after="0"/>
              <w:rPr>
                <w:sz w:val="18"/>
                <w:szCs w:val="18"/>
                <w:color w:val="auto"/>
              </w:rPr>
            </w:pPr>
          </w:p>
        </w:tc>
        <w:tc>
          <w:tcPr>
            <w:tcW w:w="960" w:type="dxa"/>
            <w:vAlign w:val="bottom"/>
            <w:gridSpan w:val="2"/>
            <w:vMerge w:val="continue"/>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740" w:type="dxa"/>
            <w:vAlign w:val="bottom"/>
            <w:vMerge w:val="continue"/>
            <w:shd w:val="clear" w:color="auto" w:fill="DCE2EF"/>
          </w:tcPr>
          <w:p>
            <w:pPr>
              <w:spacing w:after="0"/>
              <w:rPr>
                <w:sz w:val="18"/>
                <w:szCs w:val="18"/>
                <w:color w:val="auto"/>
              </w:rPr>
            </w:pPr>
          </w:p>
        </w:tc>
        <w:tc>
          <w:tcPr>
            <w:tcW w:w="960" w:type="dxa"/>
            <w:vAlign w:val="bottom"/>
            <w:gridSpan w:val="2"/>
            <w:vMerge w:val="continue"/>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740" w:type="dxa"/>
            <w:vAlign w:val="bottom"/>
            <w:vMerge w:val="continue"/>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gridSpan w:val="2"/>
          </w:tcPr>
          <w:p>
            <w:pPr>
              <w:ind w:left="120"/>
              <w:spacing w:after="0"/>
              <w:rPr>
                <w:sz w:val="20"/>
                <w:szCs w:val="20"/>
                <w:color w:val="auto"/>
              </w:rPr>
            </w:pPr>
            <w:r>
              <w:rPr>
                <w:rFonts w:ascii="Arial" w:cs="Arial" w:eastAsia="Arial" w:hAnsi="Arial"/>
                <w:sz w:val="16"/>
                <w:szCs w:val="16"/>
                <w:color w:val="auto"/>
              </w:rPr>
              <w:t>Repurchase of common stock</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Borders>
              <w:top w:val="single" w:sz="8" w:color="DCE2EF"/>
            </w:tcBorders>
            <w:shd w:val="clear" w:color="auto" w:fill="DCE2EF"/>
          </w:tcPr>
          <w:p>
            <w:pPr>
              <w:spacing w:after="0"/>
              <w:rPr>
                <w:sz w:val="18"/>
                <w:szCs w:val="18"/>
                <w:color w:val="auto"/>
              </w:rPr>
            </w:pPr>
          </w:p>
        </w:tc>
        <w:tc>
          <w:tcPr>
            <w:tcW w:w="3480" w:type="dxa"/>
            <w:vAlign w:val="bottom"/>
            <w:tcBorders>
              <w:top w:val="single" w:sz="8" w:color="DCE2EF"/>
            </w:tcBorders>
            <w:gridSpan w:val="2"/>
            <w:shd w:val="clear" w:color="auto" w:fill="DCE2EF"/>
          </w:tcPr>
          <w:p>
            <w:pPr>
              <w:ind w:left="120"/>
              <w:spacing w:after="0"/>
              <w:rPr>
                <w:sz w:val="20"/>
                <w:szCs w:val="20"/>
                <w:color w:val="auto"/>
              </w:rPr>
            </w:pPr>
            <w:r>
              <w:rPr>
                <w:rFonts w:ascii="Arial" w:cs="Arial" w:eastAsia="Arial" w:hAnsi="Arial"/>
                <w:sz w:val="16"/>
                <w:szCs w:val="16"/>
                <w:color w:val="auto"/>
              </w:rPr>
              <w:t>Balance, end of period</w:t>
            </w:r>
          </w:p>
        </w:tc>
        <w:tc>
          <w:tcPr>
            <w:tcW w:w="86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Borders>
              <w:top w:val="single" w:sz="8" w:color="auto"/>
            </w:tcBorders>
            <w:shd w:val="clear" w:color="auto" w:fill="DCE2EF"/>
          </w:tcPr>
          <w:p>
            <w:pPr>
              <w:spacing w:after="0"/>
              <w:rPr>
                <w:sz w:val="18"/>
                <w:szCs w:val="18"/>
                <w:color w:val="auto"/>
              </w:rPr>
            </w:pPr>
          </w:p>
        </w:tc>
        <w:tc>
          <w:tcPr>
            <w:tcW w:w="140" w:type="dxa"/>
            <w:vAlign w:val="bottom"/>
            <w:tcBorders>
              <w:top w:val="single" w:sz="8" w:color="auto"/>
            </w:tcBorders>
            <w:shd w:val="clear" w:color="auto" w:fill="DCE2EF"/>
          </w:tcPr>
          <w:p>
            <w:pPr>
              <w:spacing w:after="0"/>
              <w:rPr>
                <w:sz w:val="18"/>
                <w:szCs w:val="18"/>
                <w:color w:val="auto"/>
              </w:rPr>
            </w:pPr>
          </w:p>
        </w:tc>
        <w:tc>
          <w:tcPr>
            <w:tcW w:w="76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0.6</w:t>
            </w:r>
          </w:p>
        </w:tc>
        <w:tc>
          <w:tcPr>
            <w:tcW w:w="960" w:type="dxa"/>
            <w:vAlign w:val="bottom"/>
            <w:tcBorders>
              <w:top w:val="single" w:sz="8" w:color="auto"/>
            </w:tcBorders>
            <w:gridSpan w:val="2"/>
            <w:shd w:val="clear" w:color="auto" w:fill="DCE2EF"/>
          </w:tcPr>
          <w:p>
            <w:pPr>
              <w:jc w:val="right"/>
              <w:spacing w:after="0"/>
              <w:rPr>
                <w:sz w:val="20"/>
                <w:szCs w:val="20"/>
                <w:color w:val="auto"/>
              </w:rPr>
            </w:pPr>
            <w:r>
              <w:rPr>
                <w:rFonts w:ascii="Arial" w:cs="Arial" w:eastAsia="Arial" w:hAnsi="Arial"/>
                <w:sz w:val="16"/>
                <w:szCs w:val="16"/>
                <w:color w:val="auto"/>
              </w:rPr>
              <w:t>62.8</w:t>
            </w:r>
          </w:p>
        </w:tc>
        <w:tc>
          <w:tcPr>
            <w:tcW w:w="120" w:type="dxa"/>
            <w:vAlign w:val="bottom"/>
            <w:tcBorders>
              <w:top w:val="single" w:sz="8" w:color="auto"/>
            </w:tcBorders>
            <w:shd w:val="clear" w:color="auto" w:fill="DCE2EF"/>
          </w:tcPr>
          <w:p>
            <w:pPr>
              <w:spacing w:after="0"/>
              <w:rPr>
                <w:sz w:val="18"/>
                <w:szCs w:val="18"/>
                <w:color w:val="auto"/>
              </w:rPr>
            </w:pPr>
          </w:p>
        </w:tc>
        <w:tc>
          <w:tcPr>
            <w:tcW w:w="120" w:type="dxa"/>
            <w:vAlign w:val="bottom"/>
            <w:tcBorders>
              <w:top w:val="single" w:sz="8" w:color="auto"/>
            </w:tcBorders>
            <w:shd w:val="clear" w:color="auto" w:fill="DCE2EF"/>
          </w:tcPr>
          <w:p>
            <w:pPr>
              <w:spacing w:after="0"/>
              <w:rPr>
                <w:sz w:val="18"/>
                <w:szCs w:val="18"/>
                <w:color w:val="auto"/>
              </w:rPr>
            </w:pPr>
          </w:p>
        </w:tc>
        <w:tc>
          <w:tcPr>
            <w:tcW w:w="76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top w:val="single" w:sz="8" w:color="DCE2EF"/>
            </w:tcBorders>
            <w:shd w:val="clear" w:color="auto" w:fill="DCE2EF"/>
          </w:tcPr>
          <w:p>
            <w:pPr>
              <w:spacing w:after="0"/>
              <w:rPr>
                <w:sz w:val="18"/>
                <w:szCs w:val="18"/>
                <w:color w:val="auto"/>
              </w:rPr>
            </w:pPr>
          </w:p>
        </w:tc>
        <w:tc>
          <w:tcPr>
            <w:tcW w:w="86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62.2</w:t>
            </w:r>
          </w:p>
        </w:tc>
        <w:tc>
          <w:tcPr>
            <w:tcW w:w="120" w:type="dxa"/>
            <w:vAlign w:val="bottom"/>
            <w:tcBorders>
              <w:top w:val="single" w:sz="8" w:color="DCE2EF"/>
            </w:tcBorders>
            <w:shd w:val="clear" w:color="auto" w:fill="DCE2EF"/>
          </w:tcPr>
          <w:p>
            <w:pPr>
              <w:spacing w:after="0"/>
              <w:rPr>
                <w:sz w:val="18"/>
                <w:szCs w:val="18"/>
                <w:color w:val="auto"/>
              </w:rPr>
            </w:pPr>
          </w:p>
        </w:tc>
        <w:tc>
          <w:tcPr>
            <w:tcW w:w="140" w:type="dxa"/>
            <w:vAlign w:val="bottom"/>
            <w:tcBorders>
              <w:top w:val="single" w:sz="8" w:color="auto"/>
            </w:tcBorders>
            <w:shd w:val="clear" w:color="auto" w:fill="DCE2EF"/>
          </w:tcPr>
          <w:p>
            <w:pPr>
              <w:spacing w:after="0"/>
              <w:rPr>
                <w:sz w:val="18"/>
                <w:szCs w:val="18"/>
                <w:color w:val="auto"/>
              </w:rPr>
            </w:pPr>
          </w:p>
        </w:tc>
        <w:tc>
          <w:tcPr>
            <w:tcW w:w="74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top w:val="single" w:sz="8" w:color="DCE2EF"/>
            </w:tcBorders>
            <w:shd w:val="clear" w:color="auto" w:fill="DCE2EF"/>
          </w:tcPr>
          <w:p>
            <w:pPr>
              <w:spacing w:after="0"/>
              <w:rPr>
                <w:sz w:val="18"/>
                <w:szCs w:val="18"/>
                <w:color w:val="auto"/>
              </w:rPr>
            </w:pPr>
          </w:p>
        </w:tc>
        <w:tc>
          <w:tcPr>
            <w:tcW w:w="86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62.8</w:t>
            </w:r>
          </w:p>
        </w:tc>
        <w:tc>
          <w:tcPr>
            <w:tcW w:w="120" w:type="dxa"/>
            <w:vAlign w:val="bottom"/>
            <w:tcBorders>
              <w:top w:val="single" w:sz="8" w:color="DCE2EF"/>
            </w:tcBorders>
            <w:shd w:val="clear" w:color="auto" w:fill="DCE2EF"/>
          </w:tcPr>
          <w:p>
            <w:pPr>
              <w:spacing w:after="0"/>
              <w:rPr>
                <w:sz w:val="18"/>
                <w:szCs w:val="18"/>
                <w:color w:val="auto"/>
              </w:rPr>
            </w:pPr>
          </w:p>
        </w:tc>
        <w:tc>
          <w:tcPr>
            <w:tcW w:w="20" w:type="dxa"/>
            <w:vAlign w:val="bottom"/>
            <w:tcBorders>
              <w:top w:val="single" w:sz="8" w:color="auto"/>
            </w:tcBorders>
            <w:shd w:val="clear" w:color="auto" w:fill="DCE2EF"/>
          </w:tcPr>
          <w:p>
            <w:pPr>
              <w:spacing w:after="0"/>
              <w:rPr>
                <w:sz w:val="18"/>
                <w:szCs w:val="18"/>
                <w:color w:val="auto"/>
              </w:rPr>
            </w:pPr>
          </w:p>
        </w:tc>
        <w:tc>
          <w:tcPr>
            <w:tcW w:w="120" w:type="dxa"/>
            <w:vAlign w:val="bottom"/>
            <w:tcBorders>
              <w:top w:val="single" w:sz="8" w:color="auto"/>
            </w:tcBorders>
            <w:shd w:val="clear" w:color="auto" w:fill="DCE2EF"/>
          </w:tcPr>
          <w:p>
            <w:pPr>
              <w:spacing w:after="0"/>
              <w:rPr>
                <w:sz w:val="18"/>
                <w:szCs w:val="18"/>
                <w:color w:val="auto"/>
              </w:rPr>
            </w:pPr>
          </w:p>
        </w:tc>
        <w:tc>
          <w:tcPr>
            <w:tcW w:w="74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80" w:type="dxa"/>
            <w:vAlign w:val="bottom"/>
            <w:gridSpan w:val="2"/>
          </w:tcPr>
          <w:p>
            <w:pPr>
              <w:spacing w:after="0"/>
              <w:rPr>
                <w:sz w:val="20"/>
                <w:szCs w:val="20"/>
                <w:color w:val="auto"/>
              </w:rPr>
            </w:pPr>
            <w:r>
              <w:rPr>
                <w:rFonts w:ascii="Arial" w:cs="Arial" w:eastAsia="Arial" w:hAnsi="Arial"/>
                <w:sz w:val="16"/>
                <w:szCs w:val="16"/>
                <w:b w:val="1"/>
                <w:bCs w:val="1"/>
                <w:color w:val="auto"/>
              </w:rPr>
              <w:t>Additional Paid-in Capital</w:t>
            </w: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3480" w:type="dxa"/>
            <w:vAlign w:val="bottom"/>
            <w:gridSpan w:val="2"/>
            <w:shd w:val="clear" w:color="auto" w:fill="DCE2EF"/>
          </w:tcPr>
          <w:p>
            <w:pPr>
              <w:ind w:left="120"/>
              <w:spacing w:after="0"/>
              <w:rPr>
                <w:sz w:val="20"/>
                <w:szCs w:val="20"/>
                <w:color w:val="auto"/>
              </w:rPr>
            </w:pPr>
            <w:r>
              <w:rPr>
                <w:rFonts w:ascii="Arial" w:cs="Arial" w:eastAsia="Arial" w:hAnsi="Arial"/>
                <w:sz w:val="16"/>
                <w:szCs w:val="16"/>
                <w:color w:val="auto"/>
              </w:rPr>
              <w:t>Balance, beginning of period</w:t>
            </w:r>
          </w:p>
        </w:tc>
        <w:tc>
          <w:tcPr>
            <w:tcW w:w="8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506.8</w:t>
            </w: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558.5</w:t>
            </w: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527.4</w:t>
            </w: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558.9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80" w:type="dxa"/>
            <w:vAlign w:val="bottom"/>
            <w:gridSpan w:val="2"/>
          </w:tcPr>
          <w:p>
            <w:pPr>
              <w:ind w:left="120"/>
              <w:spacing w:after="0" w:line="161" w:lineRule="exact"/>
              <w:rPr>
                <w:sz w:val="20"/>
                <w:szCs w:val="20"/>
                <w:color w:val="auto"/>
              </w:rPr>
            </w:pPr>
            <w:r>
              <w:rPr>
                <w:rFonts w:ascii="Arial" w:cs="Arial" w:eastAsia="Arial" w:hAnsi="Arial"/>
                <w:sz w:val="16"/>
                <w:szCs w:val="16"/>
                <w:color w:val="auto"/>
              </w:rPr>
              <w:t>Stock Issued (taxes withheld) under</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80" w:type="dxa"/>
            <w:vAlign w:val="bottom"/>
            <w:gridSpan w:val="2"/>
          </w:tcPr>
          <w:p>
            <w:pPr>
              <w:ind w:left="280"/>
              <w:spacing w:after="0" w:line="161" w:lineRule="exact"/>
              <w:rPr>
                <w:sz w:val="20"/>
                <w:szCs w:val="20"/>
                <w:color w:val="auto"/>
              </w:rPr>
            </w:pPr>
            <w:r>
              <w:rPr>
                <w:rFonts w:ascii="Arial" w:cs="Arial" w:eastAsia="Arial" w:hAnsi="Arial"/>
                <w:sz w:val="16"/>
                <w:szCs w:val="16"/>
                <w:color w:val="auto"/>
              </w:rPr>
              <w:t>employee stock purchase and share-</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gridSpan w:val="2"/>
          </w:tcPr>
          <w:p>
            <w:pPr>
              <w:ind w:left="280"/>
              <w:spacing w:after="0"/>
              <w:rPr>
                <w:sz w:val="20"/>
                <w:szCs w:val="20"/>
                <w:color w:val="auto"/>
              </w:rPr>
            </w:pPr>
            <w:r>
              <w:rPr>
                <w:rFonts w:ascii="Arial" w:cs="Arial" w:eastAsia="Arial" w:hAnsi="Arial"/>
                <w:sz w:val="16"/>
                <w:szCs w:val="16"/>
                <w:color w:val="auto"/>
              </w:rPr>
              <w:t>based compensation plans, net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3480" w:type="dxa"/>
            <w:vAlign w:val="bottom"/>
            <w:gridSpan w:val="2"/>
            <w:shd w:val="clear" w:color="auto" w:fill="DCE2EF"/>
          </w:tcPr>
          <w:p>
            <w:pPr>
              <w:ind w:left="120"/>
              <w:spacing w:after="0"/>
              <w:rPr>
                <w:sz w:val="20"/>
                <w:szCs w:val="20"/>
                <w:color w:val="auto"/>
              </w:rPr>
            </w:pPr>
            <w:r>
              <w:rPr>
                <w:rFonts w:ascii="Arial" w:cs="Arial" w:eastAsia="Arial" w:hAnsi="Arial"/>
                <w:sz w:val="16"/>
                <w:szCs w:val="16"/>
                <w:color w:val="auto"/>
              </w:rPr>
              <w:t>Share-based compensation expense</w:t>
            </w:r>
          </w:p>
        </w:tc>
        <w:tc>
          <w:tcPr>
            <w:tcW w:w="8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4"/>
        </w:trPr>
        <w:tc>
          <w:tcPr>
            <w:tcW w:w="20" w:type="dxa"/>
            <w:vAlign w:val="bottom"/>
            <w:tcBorders>
              <w:bottom w:val="single" w:sz="8" w:color="DCE2EF"/>
            </w:tcBorders>
          </w:tcPr>
          <w:p>
            <w:pPr>
              <w:spacing w:after="0"/>
              <w:rPr>
                <w:sz w:val="18"/>
                <w:szCs w:val="18"/>
                <w:color w:val="auto"/>
              </w:rPr>
            </w:pPr>
          </w:p>
        </w:tc>
        <w:tc>
          <w:tcPr>
            <w:tcW w:w="3480" w:type="dxa"/>
            <w:vAlign w:val="bottom"/>
            <w:tcBorders>
              <w:bottom w:val="single" w:sz="8" w:color="DCE2EF"/>
            </w:tcBorders>
            <w:gridSpan w:val="2"/>
          </w:tcPr>
          <w:p>
            <w:pPr>
              <w:ind w:left="120"/>
              <w:spacing w:after="0"/>
              <w:rPr>
                <w:sz w:val="20"/>
                <w:szCs w:val="20"/>
                <w:color w:val="auto"/>
              </w:rPr>
            </w:pPr>
            <w:r>
              <w:rPr>
                <w:rFonts w:ascii="Arial" w:cs="Arial" w:eastAsia="Arial" w:hAnsi="Arial"/>
                <w:sz w:val="16"/>
                <w:szCs w:val="16"/>
                <w:color w:val="auto"/>
              </w:rPr>
              <w:t>Repurchase of common stock</w:t>
            </w:r>
          </w:p>
        </w:tc>
        <w:tc>
          <w:tcPr>
            <w:tcW w:w="860" w:type="dxa"/>
            <w:vAlign w:val="bottom"/>
            <w:tcBorders>
              <w:bottom w:val="single" w:sz="8" w:color="DCE2EF"/>
            </w:tcBorders>
          </w:tcPr>
          <w:p>
            <w:pPr>
              <w:spacing w:after="0"/>
              <w:rPr>
                <w:sz w:val="18"/>
                <w:szCs w:val="18"/>
                <w:color w:val="auto"/>
              </w:rPr>
            </w:pPr>
          </w:p>
        </w:tc>
        <w:tc>
          <w:tcPr>
            <w:tcW w:w="100" w:type="dxa"/>
            <w:vAlign w:val="bottom"/>
            <w:tcBorders>
              <w:bottom w:val="single" w:sz="8" w:color="DCE2E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CE2EF"/>
            </w:tcBorders>
          </w:tcPr>
          <w:p>
            <w:pPr>
              <w:spacing w:after="0"/>
              <w:rPr>
                <w:sz w:val="18"/>
                <w:szCs w:val="18"/>
                <w:color w:val="auto"/>
              </w:rPr>
            </w:pPr>
          </w:p>
        </w:tc>
        <w:tc>
          <w:tcPr>
            <w:tcW w:w="860" w:type="dxa"/>
            <w:vAlign w:val="bottom"/>
            <w:tcBorders>
              <w:bottom w:val="single" w:sz="8" w:color="DCE2EF"/>
            </w:tcBorders>
          </w:tcPr>
          <w:p>
            <w:pPr>
              <w:spacing w:after="0"/>
              <w:rPr>
                <w:sz w:val="18"/>
                <w:szCs w:val="18"/>
                <w:color w:val="auto"/>
              </w:rPr>
            </w:pPr>
          </w:p>
        </w:tc>
        <w:tc>
          <w:tcPr>
            <w:tcW w:w="120" w:type="dxa"/>
            <w:vAlign w:val="bottom"/>
            <w:tcBorders>
              <w:bottom w:val="single" w:sz="8" w:color="DCE2E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DCE2EF"/>
            </w:tcBorders>
          </w:tcPr>
          <w:p>
            <w:pPr>
              <w:spacing w:after="0"/>
              <w:rPr>
                <w:sz w:val="18"/>
                <w:szCs w:val="18"/>
                <w:color w:val="auto"/>
              </w:rPr>
            </w:pPr>
          </w:p>
        </w:tc>
        <w:tc>
          <w:tcPr>
            <w:tcW w:w="860" w:type="dxa"/>
            <w:vAlign w:val="bottom"/>
            <w:tcBorders>
              <w:bottom w:val="single" w:sz="8" w:color="DCE2EF"/>
            </w:tcBorders>
          </w:tcPr>
          <w:p>
            <w:pPr>
              <w:spacing w:after="0"/>
              <w:rPr>
                <w:sz w:val="18"/>
                <w:szCs w:val="18"/>
                <w:color w:val="auto"/>
              </w:rPr>
            </w:pPr>
          </w:p>
        </w:tc>
        <w:tc>
          <w:tcPr>
            <w:tcW w:w="120" w:type="dxa"/>
            <w:vAlign w:val="bottom"/>
            <w:tcBorders>
              <w:bottom w:val="single" w:sz="8" w:color="DCE2E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DCE2EF"/>
            </w:tcBorders>
          </w:tcPr>
          <w:p>
            <w:pPr>
              <w:spacing w:after="0"/>
              <w:rPr>
                <w:sz w:val="18"/>
                <w:szCs w:val="18"/>
                <w:color w:val="auto"/>
              </w:rPr>
            </w:pPr>
          </w:p>
        </w:tc>
        <w:tc>
          <w:tcPr>
            <w:tcW w:w="860" w:type="dxa"/>
            <w:vAlign w:val="bottom"/>
            <w:tcBorders>
              <w:bottom w:val="single" w:sz="8" w:color="DCE2EF"/>
            </w:tcBorders>
          </w:tcPr>
          <w:p>
            <w:pPr>
              <w:spacing w:after="0"/>
              <w:rPr>
                <w:sz w:val="18"/>
                <w:szCs w:val="18"/>
                <w:color w:val="auto"/>
              </w:rPr>
            </w:pPr>
          </w:p>
        </w:tc>
        <w:tc>
          <w:tcPr>
            <w:tcW w:w="120" w:type="dxa"/>
            <w:vAlign w:val="bottom"/>
            <w:tcBorders>
              <w:bottom w:val="single" w:sz="8" w:color="DCE2E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3480" w:type="dxa"/>
            <w:vAlign w:val="bottom"/>
            <w:gridSpan w:val="2"/>
            <w:shd w:val="clear" w:color="auto" w:fill="DCE2EF"/>
          </w:tcPr>
          <w:p>
            <w:pPr>
              <w:ind w:left="120"/>
              <w:spacing w:after="0"/>
              <w:rPr>
                <w:sz w:val="20"/>
                <w:szCs w:val="20"/>
                <w:color w:val="auto"/>
              </w:rPr>
            </w:pPr>
            <w:r>
              <w:rPr>
                <w:rFonts w:ascii="Arial" w:cs="Arial" w:eastAsia="Arial" w:hAnsi="Arial"/>
                <w:sz w:val="16"/>
                <w:szCs w:val="16"/>
                <w:color w:val="auto"/>
              </w:rPr>
              <w:t>Balance, end of period</w:t>
            </w:r>
          </w:p>
        </w:tc>
        <w:tc>
          <w:tcPr>
            <w:tcW w:w="8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40" w:type="dxa"/>
            <w:vAlign w:val="bottom"/>
            <w:tcBorders>
              <w:bottom w:val="single" w:sz="8" w:color="auto"/>
            </w:tcBorders>
            <w:shd w:val="clear" w:color="auto" w:fill="DCE2EF"/>
          </w:tcPr>
          <w:p>
            <w:pPr>
              <w:spacing w:after="0"/>
              <w:rPr>
                <w:sz w:val="18"/>
                <w:szCs w:val="18"/>
                <w:color w:val="auto"/>
              </w:rPr>
            </w:pPr>
          </w:p>
        </w:tc>
        <w:tc>
          <w:tcPr>
            <w:tcW w:w="7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516.3</w:t>
            </w: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20" w:type="dxa"/>
            <w:vAlign w:val="bottom"/>
            <w:tcBorders>
              <w:bottom w:val="single" w:sz="8" w:color="auto"/>
            </w:tcBorders>
            <w:shd w:val="clear" w:color="auto" w:fill="DCE2EF"/>
          </w:tcPr>
          <w:p>
            <w:pPr>
              <w:spacing w:after="0"/>
              <w:rPr>
                <w:sz w:val="18"/>
                <w:szCs w:val="18"/>
                <w:color w:val="auto"/>
              </w:rPr>
            </w:pPr>
          </w:p>
        </w:tc>
        <w:tc>
          <w:tcPr>
            <w:tcW w:w="7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544.0</w:t>
            </w: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40" w:type="dxa"/>
            <w:vAlign w:val="bottom"/>
            <w:tcBorders>
              <w:bottom w:val="single" w:sz="8" w:color="auto"/>
            </w:tcBorders>
            <w:shd w:val="clear" w:color="auto" w:fill="DCE2EF"/>
          </w:tcPr>
          <w:p>
            <w:pPr>
              <w:spacing w:after="0"/>
              <w:rPr>
                <w:sz w:val="18"/>
                <w:szCs w:val="18"/>
                <w:color w:val="auto"/>
              </w:rPr>
            </w:pPr>
          </w:p>
        </w:tc>
        <w:tc>
          <w:tcPr>
            <w:tcW w:w="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516.3</w:t>
            </w: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0" w:type="dxa"/>
            <w:vAlign w:val="bottom"/>
            <w:tcBorders>
              <w:bottom w:val="single" w:sz="8" w:color="auto"/>
            </w:tcBorders>
            <w:shd w:val="clear" w:color="auto" w:fill="DCE2EF"/>
          </w:tcPr>
          <w:p>
            <w:pPr>
              <w:spacing w:after="0"/>
              <w:rPr>
                <w:sz w:val="18"/>
                <w:szCs w:val="18"/>
                <w:color w:val="auto"/>
              </w:rPr>
            </w:pPr>
          </w:p>
        </w:tc>
        <w:tc>
          <w:tcPr>
            <w:tcW w:w="120" w:type="dxa"/>
            <w:vAlign w:val="bottom"/>
            <w:tcBorders>
              <w:bottom w:val="single" w:sz="8" w:color="auto"/>
            </w:tcBorders>
            <w:shd w:val="clear" w:color="auto" w:fill="DCE2EF"/>
          </w:tcPr>
          <w:p>
            <w:pPr>
              <w:spacing w:after="0"/>
              <w:rPr>
                <w:sz w:val="18"/>
                <w:szCs w:val="18"/>
                <w:color w:val="auto"/>
              </w:rPr>
            </w:pPr>
          </w:p>
        </w:tc>
        <w:tc>
          <w:tcPr>
            <w:tcW w:w="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544.0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80" w:type="dxa"/>
            <w:vAlign w:val="bottom"/>
            <w:gridSpan w:val="2"/>
          </w:tcPr>
          <w:p>
            <w:pPr>
              <w:ind w:left="60"/>
              <w:spacing w:after="0" w:line="142" w:lineRule="exact"/>
              <w:rPr>
                <w:sz w:val="20"/>
                <w:szCs w:val="20"/>
                <w:color w:val="auto"/>
              </w:rPr>
            </w:pPr>
            <w:r>
              <w:rPr>
                <w:rFonts w:ascii="Arial" w:cs="Arial" w:eastAsia="Arial" w:hAnsi="Arial"/>
                <w:sz w:val="16"/>
                <w:szCs w:val="16"/>
                <w:b w:val="1"/>
                <w:bCs w:val="1"/>
                <w:color w:val="auto"/>
              </w:rPr>
              <w:t>Accumulated Other Comprehensive Loss,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80" w:type="dxa"/>
            <w:vAlign w:val="bottom"/>
            <w:gridSpan w:val="2"/>
          </w:tcPr>
          <w:p>
            <w:pPr>
              <w:ind w:left="60"/>
              <w:spacing w:after="0"/>
              <w:rPr>
                <w:sz w:val="20"/>
                <w:szCs w:val="20"/>
                <w:color w:val="auto"/>
              </w:rPr>
            </w:pPr>
            <w:r>
              <w:rPr>
                <w:rFonts w:ascii="Arial" w:cs="Arial" w:eastAsia="Arial" w:hAnsi="Arial"/>
                <w:sz w:val="16"/>
                <w:szCs w:val="16"/>
                <w:b w:val="1"/>
                <w:bCs w:val="1"/>
                <w:color w:val="auto"/>
              </w:rPr>
              <w:t>Net of Taxes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3480" w:type="dxa"/>
            <w:vAlign w:val="bottom"/>
            <w:gridSpan w:val="2"/>
            <w:shd w:val="clear" w:color="auto" w:fill="DCE2EF"/>
          </w:tcPr>
          <w:p>
            <w:pPr>
              <w:ind w:left="120"/>
              <w:spacing w:after="0"/>
              <w:rPr>
                <w:sz w:val="20"/>
                <w:szCs w:val="20"/>
                <w:color w:val="auto"/>
              </w:rPr>
            </w:pPr>
            <w:r>
              <w:rPr>
                <w:rFonts w:ascii="Arial" w:cs="Arial" w:eastAsia="Arial" w:hAnsi="Arial"/>
                <w:sz w:val="16"/>
                <w:szCs w:val="16"/>
                <w:color w:val="auto"/>
              </w:rPr>
              <w:t>Balance, beginning of period</w:t>
            </w:r>
          </w:p>
        </w:tc>
        <w:tc>
          <w:tcPr>
            <w:tcW w:w="8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4"/>
        </w:trPr>
        <w:tc>
          <w:tcPr>
            <w:tcW w:w="20" w:type="dxa"/>
            <w:vAlign w:val="bottom"/>
            <w:tcBorders>
              <w:bottom w:val="single" w:sz="8" w:color="DCE2EF"/>
            </w:tcBorders>
          </w:tcPr>
          <w:p>
            <w:pPr>
              <w:spacing w:after="0"/>
              <w:rPr>
                <w:sz w:val="18"/>
                <w:szCs w:val="18"/>
                <w:color w:val="auto"/>
              </w:rPr>
            </w:pPr>
          </w:p>
        </w:tc>
        <w:tc>
          <w:tcPr>
            <w:tcW w:w="3480" w:type="dxa"/>
            <w:vAlign w:val="bottom"/>
            <w:tcBorders>
              <w:bottom w:val="single" w:sz="8" w:color="DCE2EF"/>
            </w:tcBorders>
            <w:gridSpan w:val="2"/>
          </w:tcPr>
          <w:p>
            <w:pPr>
              <w:ind w:left="120"/>
              <w:spacing w:after="0"/>
              <w:rPr>
                <w:sz w:val="20"/>
                <w:szCs w:val="20"/>
                <w:color w:val="auto"/>
              </w:rPr>
            </w:pPr>
            <w:r>
              <w:rPr>
                <w:rFonts w:ascii="Arial" w:cs="Arial" w:eastAsia="Arial" w:hAnsi="Arial"/>
                <w:sz w:val="16"/>
                <w:szCs w:val="16"/>
                <w:color w:val="auto"/>
              </w:rPr>
              <w:t>Other comprehensive income (loss)</w:t>
            </w:r>
          </w:p>
        </w:tc>
        <w:tc>
          <w:tcPr>
            <w:tcW w:w="860" w:type="dxa"/>
            <w:vAlign w:val="bottom"/>
            <w:tcBorders>
              <w:bottom w:val="single" w:sz="8" w:color="DCE2EF"/>
            </w:tcBorders>
          </w:tcPr>
          <w:p>
            <w:pPr>
              <w:spacing w:after="0"/>
              <w:rPr>
                <w:sz w:val="18"/>
                <w:szCs w:val="18"/>
                <w:color w:val="auto"/>
              </w:rPr>
            </w:pPr>
          </w:p>
        </w:tc>
        <w:tc>
          <w:tcPr>
            <w:tcW w:w="100" w:type="dxa"/>
            <w:vAlign w:val="bottom"/>
            <w:tcBorders>
              <w:bottom w:val="single" w:sz="8" w:color="DCE2E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DCE2EF"/>
            </w:tcBorders>
          </w:tcPr>
          <w:p>
            <w:pPr>
              <w:spacing w:after="0"/>
              <w:rPr>
                <w:sz w:val="18"/>
                <w:szCs w:val="18"/>
                <w:color w:val="auto"/>
              </w:rPr>
            </w:pPr>
          </w:p>
        </w:tc>
        <w:tc>
          <w:tcPr>
            <w:tcW w:w="860" w:type="dxa"/>
            <w:vAlign w:val="bottom"/>
            <w:tcBorders>
              <w:bottom w:val="single" w:sz="8" w:color="DCE2EF"/>
            </w:tcBorders>
          </w:tcPr>
          <w:p>
            <w:pPr>
              <w:spacing w:after="0"/>
              <w:rPr>
                <w:sz w:val="18"/>
                <w:szCs w:val="18"/>
                <w:color w:val="auto"/>
              </w:rPr>
            </w:pPr>
          </w:p>
        </w:tc>
        <w:tc>
          <w:tcPr>
            <w:tcW w:w="120" w:type="dxa"/>
            <w:vAlign w:val="bottom"/>
            <w:tcBorders>
              <w:bottom w:val="single" w:sz="8" w:color="DCE2E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DCE2EF"/>
            </w:tcBorders>
          </w:tcPr>
          <w:p>
            <w:pPr>
              <w:spacing w:after="0"/>
              <w:rPr>
                <w:sz w:val="18"/>
                <w:szCs w:val="18"/>
                <w:color w:val="auto"/>
              </w:rPr>
            </w:pPr>
          </w:p>
        </w:tc>
        <w:tc>
          <w:tcPr>
            <w:tcW w:w="860" w:type="dxa"/>
            <w:vAlign w:val="bottom"/>
            <w:tcBorders>
              <w:bottom w:val="single" w:sz="8" w:color="DCE2EF"/>
            </w:tcBorders>
          </w:tcPr>
          <w:p>
            <w:pPr>
              <w:spacing w:after="0"/>
              <w:rPr>
                <w:sz w:val="18"/>
                <w:szCs w:val="18"/>
                <w:color w:val="auto"/>
              </w:rPr>
            </w:pPr>
          </w:p>
        </w:tc>
        <w:tc>
          <w:tcPr>
            <w:tcW w:w="120" w:type="dxa"/>
            <w:vAlign w:val="bottom"/>
            <w:tcBorders>
              <w:bottom w:val="single" w:sz="8" w:color="DCE2E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DCE2EF"/>
            </w:tcBorders>
          </w:tcPr>
          <w:p>
            <w:pPr>
              <w:spacing w:after="0"/>
              <w:rPr>
                <w:sz w:val="18"/>
                <w:szCs w:val="18"/>
                <w:color w:val="auto"/>
              </w:rPr>
            </w:pPr>
          </w:p>
        </w:tc>
        <w:tc>
          <w:tcPr>
            <w:tcW w:w="860" w:type="dxa"/>
            <w:vAlign w:val="bottom"/>
            <w:tcBorders>
              <w:bottom w:val="single" w:sz="8" w:color="DCE2EF"/>
            </w:tcBorders>
          </w:tcPr>
          <w:p>
            <w:pPr>
              <w:spacing w:after="0"/>
              <w:rPr>
                <w:sz w:val="18"/>
                <w:szCs w:val="18"/>
                <w:color w:val="auto"/>
              </w:rPr>
            </w:pPr>
          </w:p>
        </w:tc>
        <w:tc>
          <w:tcPr>
            <w:tcW w:w="120" w:type="dxa"/>
            <w:vAlign w:val="bottom"/>
            <w:tcBorders>
              <w:bottom w:val="single" w:sz="8" w:color="DCE2E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3480" w:type="dxa"/>
            <w:vAlign w:val="bottom"/>
            <w:gridSpan w:val="2"/>
            <w:shd w:val="clear" w:color="auto" w:fill="DCE2EF"/>
          </w:tcPr>
          <w:p>
            <w:pPr>
              <w:ind w:left="120"/>
              <w:spacing w:after="0"/>
              <w:rPr>
                <w:sz w:val="20"/>
                <w:szCs w:val="20"/>
                <w:color w:val="auto"/>
              </w:rPr>
            </w:pPr>
            <w:r>
              <w:rPr>
                <w:rFonts w:ascii="Arial" w:cs="Arial" w:eastAsia="Arial" w:hAnsi="Arial"/>
                <w:sz w:val="16"/>
                <w:szCs w:val="16"/>
                <w:color w:val="auto"/>
              </w:rPr>
              <w:t>Balance, end of period</w:t>
            </w:r>
          </w:p>
        </w:tc>
        <w:tc>
          <w:tcPr>
            <w:tcW w:w="8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40" w:type="dxa"/>
            <w:vAlign w:val="bottom"/>
            <w:tcBorders>
              <w:bottom w:val="single" w:sz="8" w:color="auto"/>
            </w:tcBorders>
            <w:shd w:val="clear" w:color="auto" w:fill="DCE2EF"/>
          </w:tcPr>
          <w:p>
            <w:pPr>
              <w:spacing w:after="0"/>
              <w:rPr>
                <w:sz w:val="18"/>
                <w:szCs w:val="18"/>
                <w:color w:val="auto"/>
              </w:rPr>
            </w:pPr>
          </w:p>
        </w:tc>
        <w:tc>
          <w:tcPr>
            <w:tcW w:w="7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20" w:type="dxa"/>
            <w:vAlign w:val="bottom"/>
            <w:tcBorders>
              <w:bottom w:val="single" w:sz="8" w:color="auto"/>
            </w:tcBorders>
            <w:shd w:val="clear" w:color="auto" w:fill="DCE2EF"/>
          </w:tcPr>
          <w:p>
            <w:pPr>
              <w:spacing w:after="0"/>
              <w:rPr>
                <w:sz w:val="18"/>
                <w:szCs w:val="18"/>
                <w:color w:val="auto"/>
              </w:rPr>
            </w:pPr>
          </w:p>
        </w:tc>
        <w:tc>
          <w:tcPr>
            <w:tcW w:w="7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40" w:type="dxa"/>
            <w:vAlign w:val="bottom"/>
            <w:tcBorders>
              <w:bottom w:val="single" w:sz="8" w:color="auto"/>
            </w:tcBorders>
            <w:shd w:val="clear" w:color="auto" w:fill="DCE2EF"/>
          </w:tcPr>
          <w:p>
            <w:pPr>
              <w:spacing w:after="0"/>
              <w:rPr>
                <w:sz w:val="18"/>
                <w:szCs w:val="18"/>
                <w:color w:val="auto"/>
              </w:rPr>
            </w:pPr>
          </w:p>
        </w:tc>
        <w:tc>
          <w:tcPr>
            <w:tcW w:w="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0" w:type="dxa"/>
            <w:vAlign w:val="bottom"/>
            <w:tcBorders>
              <w:bottom w:val="single" w:sz="8" w:color="auto"/>
            </w:tcBorders>
            <w:shd w:val="clear" w:color="auto" w:fill="DCE2EF"/>
          </w:tcPr>
          <w:p>
            <w:pPr>
              <w:spacing w:after="0"/>
              <w:rPr>
                <w:sz w:val="18"/>
                <w:szCs w:val="18"/>
                <w:color w:val="auto"/>
              </w:rPr>
            </w:pPr>
          </w:p>
        </w:tc>
        <w:tc>
          <w:tcPr>
            <w:tcW w:w="120" w:type="dxa"/>
            <w:vAlign w:val="bottom"/>
            <w:tcBorders>
              <w:bottom w:val="single" w:sz="8" w:color="auto"/>
            </w:tcBorders>
            <w:shd w:val="clear" w:color="auto" w:fill="DCE2EF"/>
          </w:tcPr>
          <w:p>
            <w:pPr>
              <w:spacing w:after="0"/>
              <w:rPr>
                <w:sz w:val="18"/>
                <w:szCs w:val="18"/>
                <w:color w:val="auto"/>
              </w:rPr>
            </w:pPr>
          </w:p>
        </w:tc>
        <w:tc>
          <w:tcPr>
            <w:tcW w:w="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80" w:type="dxa"/>
            <w:vAlign w:val="bottom"/>
            <w:gridSpan w:val="2"/>
          </w:tcPr>
          <w:p>
            <w:pPr>
              <w:spacing w:after="0"/>
              <w:rPr>
                <w:sz w:val="20"/>
                <w:szCs w:val="20"/>
                <w:color w:val="auto"/>
              </w:rPr>
            </w:pPr>
            <w:r>
              <w:rPr>
                <w:rFonts w:ascii="Arial" w:cs="Arial" w:eastAsia="Arial" w:hAnsi="Arial"/>
                <w:sz w:val="16"/>
                <w:szCs w:val="16"/>
                <w:b w:val="1"/>
                <w:bCs w:val="1"/>
                <w:color w:val="auto"/>
              </w:rPr>
              <w:t>Retained Earnings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3480" w:type="dxa"/>
            <w:vAlign w:val="bottom"/>
            <w:gridSpan w:val="2"/>
            <w:shd w:val="clear" w:color="auto" w:fill="DCE2EF"/>
          </w:tcPr>
          <w:p>
            <w:pPr>
              <w:ind w:left="120"/>
              <w:spacing w:after="0"/>
              <w:rPr>
                <w:sz w:val="20"/>
                <w:szCs w:val="20"/>
                <w:color w:val="auto"/>
              </w:rPr>
            </w:pPr>
            <w:r>
              <w:rPr>
                <w:rFonts w:ascii="Arial" w:cs="Arial" w:eastAsia="Arial" w:hAnsi="Arial"/>
                <w:sz w:val="16"/>
                <w:szCs w:val="16"/>
                <w:color w:val="auto"/>
              </w:rPr>
              <w:t>Balance, beginning of period</w:t>
            </w:r>
          </w:p>
        </w:tc>
        <w:tc>
          <w:tcPr>
            <w:tcW w:w="8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1,299.3</w:t>
            </w: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1,279.3</w:t>
            </w: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1,272.9</w:t>
            </w: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7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1,249.6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85.8</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3480" w:type="dxa"/>
            <w:vAlign w:val="bottom"/>
            <w:gridSpan w:val="2"/>
            <w:shd w:val="clear" w:color="auto" w:fill="DCE2EF"/>
          </w:tcPr>
          <w:p>
            <w:pPr>
              <w:ind w:left="120"/>
              <w:spacing w:after="0"/>
              <w:rPr>
                <w:sz w:val="20"/>
                <w:szCs w:val="20"/>
                <w:color w:val="auto"/>
              </w:rPr>
            </w:pPr>
            <w:r>
              <w:rPr>
                <w:rFonts w:ascii="Arial" w:cs="Arial" w:eastAsia="Arial" w:hAnsi="Arial"/>
                <w:sz w:val="16"/>
                <w:szCs w:val="16"/>
                <w:color w:val="auto"/>
              </w:rPr>
              <w:t>Dividends</w:t>
            </w:r>
          </w:p>
        </w:tc>
        <w:tc>
          <w:tcPr>
            <w:tcW w:w="8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7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7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74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74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80" w:type="dxa"/>
            <w:vAlign w:val="bottom"/>
            <w:gridSpan w:val="2"/>
          </w:tcPr>
          <w:p>
            <w:pPr>
              <w:ind w:left="220"/>
              <w:spacing w:after="0" w:line="215" w:lineRule="exact"/>
              <w:rPr>
                <w:sz w:val="20"/>
                <w:szCs w:val="20"/>
                <w:color w:val="auto"/>
              </w:rPr>
            </w:pPr>
            <w:r>
              <w:rPr>
                <w:rFonts w:ascii="Arial" w:cs="Arial" w:eastAsia="Arial" w:hAnsi="Arial"/>
                <w:sz w:val="16"/>
                <w:szCs w:val="16"/>
                <w:color w:val="auto"/>
              </w:rPr>
              <w:t xml:space="preserve">Common stock </w:t>
            </w:r>
            <w:r>
              <w:rPr>
                <w:rFonts w:ascii="Arial" w:cs="Arial" w:eastAsia="Arial" w:hAnsi="Arial"/>
                <w:sz w:val="20"/>
                <w:szCs w:val="20"/>
                <w:color w:val="auto"/>
                <w:vertAlign w:val="superscript"/>
              </w:rPr>
              <w:t>(1)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161"/>
        </w:trPr>
        <w:tc>
          <w:tcPr>
            <w:tcW w:w="20" w:type="dxa"/>
            <w:vAlign w:val="bottom"/>
            <w:shd w:val="clear" w:color="auto" w:fill="DCE2EF"/>
          </w:tcPr>
          <w:p>
            <w:pPr>
              <w:spacing w:after="0"/>
              <w:rPr>
                <w:sz w:val="14"/>
                <w:szCs w:val="14"/>
                <w:color w:val="auto"/>
              </w:rPr>
            </w:pPr>
          </w:p>
        </w:tc>
        <w:tc>
          <w:tcPr>
            <w:tcW w:w="3480" w:type="dxa"/>
            <w:vAlign w:val="bottom"/>
            <w:gridSpan w:val="2"/>
            <w:shd w:val="clear" w:color="auto" w:fill="DCE2EF"/>
          </w:tcPr>
          <w:p>
            <w:pPr>
              <w:ind w:left="220"/>
              <w:spacing w:after="0" w:line="161" w:lineRule="exact"/>
              <w:rPr>
                <w:sz w:val="20"/>
                <w:szCs w:val="20"/>
                <w:color w:val="auto"/>
              </w:rPr>
            </w:pPr>
            <w:r>
              <w:rPr>
                <w:rFonts w:ascii="Arial" w:cs="Arial" w:eastAsia="Arial" w:hAnsi="Arial"/>
                <w:sz w:val="16"/>
                <w:szCs w:val="16"/>
                <w:color w:val="auto"/>
              </w:rPr>
              <w:t>Stock issued under share-based</w:t>
            </w:r>
          </w:p>
        </w:tc>
        <w:tc>
          <w:tcPr>
            <w:tcW w:w="86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40" w:type="dxa"/>
            <w:vAlign w:val="bottom"/>
            <w:shd w:val="clear" w:color="auto" w:fill="DCE2EF"/>
          </w:tcPr>
          <w:p>
            <w:pPr>
              <w:spacing w:after="0"/>
              <w:rPr>
                <w:sz w:val="14"/>
                <w:szCs w:val="14"/>
                <w:color w:val="auto"/>
              </w:rPr>
            </w:pPr>
          </w:p>
        </w:tc>
        <w:tc>
          <w:tcPr>
            <w:tcW w:w="76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DCE2EF"/>
          </w:tcPr>
          <w:p>
            <w:pPr>
              <w:spacing w:after="0"/>
              <w:rPr>
                <w:sz w:val="14"/>
                <w:szCs w:val="14"/>
                <w:color w:val="auto"/>
              </w:rPr>
            </w:pPr>
          </w:p>
        </w:tc>
        <w:tc>
          <w:tcPr>
            <w:tcW w:w="86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76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DCE2EF"/>
          </w:tcPr>
          <w:p>
            <w:pPr>
              <w:spacing w:after="0"/>
              <w:rPr>
                <w:sz w:val="14"/>
                <w:szCs w:val="14"/>
                <w:color w:val="auto"/>
              </w:rPr>
            </w:pPr>
          </w:p>
        </w:tc>
        <w:tc>
          <w:tcPr>
            <w:tcW w:w="86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140" w:type="dxa"/>
            <w:vAlign w:val="bottom"/>
            <w:shd w:val="clear" w:color="auto" w:fill="DCE2EF"/>
          </w:tcPr>
          <w:p>
            <w:pPr>
              <w:spacing w:after="0"/>
              <w:rPr>
                <w:sz w:val="14"/>
                <w:szCs w:val="14"/>
                <w:color w:val="auto"/>
              </w:rPr>
            </w:pPr>
          </w:p>
        </w:tc>
        <w:tc>
          <w:tcPr>
            <w:tcW w:w="74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DCE2EF"/>
          </w:tcPr>
          <w:p>
            <w:pPr>
              <w:spacing w:after="0"/>
              <w:rPr>
                <w:sz w:val="14"/>
                <w:szCs w:val="14"/>
                <w:color w:val="auto"/>
              </w:rPr>
            </w:pPr>
          </w:p>
        </w:tc>
        <w:tc>
          <w:tcPr>
            <w:tcW w:w="86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74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3480" w:type="dxa"/>
            <w:vAlign w:val="bottom"/>
            <w:gridSpan w:val="2"/>
            <w:shd w:val="clear" w:color="auto" w:fill="DCE2EF"/>
          </w:tcPr>
          <w:p>
            <w:pPr>
              <w:ind w:left="220"/>
              <w:spacing w:after="0"/>
              <w:rPr>
                <w:sz w:val="20"/>
                <w:szCs w:val="20"/>
                <w:color w:val="auto"/>
              </w:rPr>
            </w:pPr>
            <w:r>
              <w:rPr>
                <w:rFonts w:ascii="Arial" w:cs="Arial" w:eastAsia="Arial" w:hAnsi="Arial"/>
                <w:sz w:val="16"/>
                <w:szCs w:val="16"/>
                <w:color w:val="auto"/>
              </w:rPr>
              <w:t>compensation plans</w:t>
            </w:r>
          </w:p>
        </w:tc>
        <w:tc>
          <w:tcPr>
            <w:tcW w:w="8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40" w:type="dxa"/>
            <w:vAlign w:val="bottom"/>
            <w:tcBorders>
              <w:bottom w:val="single" w:sz="8" w:color="auto"/>
            </w:tcBorders>
            <w:shd w:val="clear" w:color="auto" w:fill="DCE2EF"/>
          </w:tcPr>
          <w:p>
            <w:pPr>
              <w:spacing w:after="0"/>
              <w:rPr>
                <w:sz w:val="18"/>
                <w:szCs w:val="18"/>
                <w:color w:val="auto"/>
              </w:rPr>
            </w:pPr>
          </w:p>
        </w:tc>
        <w:tc>
          <w:tcPr>
            <w:tcW w:w="760" w:type="dxa"/>
            <w:vAlign w:val="bottom"/>
            <w:tcBorders>
              <w:bottom w:val="single" w:sz="8" w:color="auto"/>
            </w:tcBorders>
            <w:vMerge w:val="continue"/>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20" w:type="dxa"/>
            <w:vAlign w:val="bottom"/>
            <w:tcBorders>
              <w:bottom w:val="single" w:sz="8" w:color="auto"/>
            </w:tcBorders>
            <w:shd w:val="clear" w:color="auto" w:fill="DCE2EF"/>
          </w:tcPr>
          <w:p>
            <w:pPr>
              <w:spacing w:after="0"/>
              <w:rPr>
                <w:sz w:val="18"/>
                <w:szCs w:val="18"/>
                <w:color w:val="auto"/>
              </w:rPr>
            </w:pPr>
          </w:p>
        </w:tc>
        <w:tc>
          <w:tcPr>
            <w:tcW w:w="760" w:type="dxa"/>
            <w:vAlign w:val="bottom"/>
            <w:tcBorders>
              <w:bottom w:val="single" w:sz="8" w:color="auto"/>
            </w:tcBorders>
            <w:vMerge w:val="continue"/>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40" w:type="dxa"/>
            <w:vAlign w:val="bottom"/>
            <w:tcBorders>
              <w:bottom w:val="single" w:sz="8" w:color="auto"/>
            </w:tcBorders>
            <w:shd w:val="clear" w:color="auto" w:fill="DCE2EF"/>
          </w:tcPr>
          <w:p>
            <w:pPr>
              <w:spacing w:after="0"/>
              <w:rPr>
                <w:sz w:val="18"/>
                <w:szCs w:val="18"/>
                <w:color w:val="auto"/>
              </w:rPr>
            </w:pPr>
          </w:p>
        </w:tc>
        <w:tc>
          <w:tcPr>
            <w:tcW w:w="740" w:type="dxa"/>
            <w:vAlign w:val="bottom"/>
            <w:tcBorders>
              <w:bottom w:val="single" w:sz="8" w:color="auto"/>
            </w:tcBorders>
            <w:vMerge w:val="continue"/>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0" w:type="dxa"/>
            <w:vAlign w:val="bottom"/>
            <w:tcBorders>
              <w:bottom w:val="single" w:sz="8" w:color="auto"/>
            </w:tcBorders>
            <w:shd w:val="clear" w:color="auto" w:fill="DCE2EF"/>
          </w:tcPr>
          <w:p>
            <w:pPr>
              <w:spacing w:after="0"/>
              <w:rPr>
                <w:sz w:val="18"/>
                <w:szCs w:val="18"/>
                <w:color w:val="auto"/>
              </w:rPr>
            </w:pPr>
          </w:p>
        </w:tc>
        <w:tc>
          <w:tcPr>
            <w:tcW w:w="120" w:type="dxa"/>
            <w:vAlign w:val="bottom"/>
            <w:tcBorders>
              <w:bottom w:val="single" w:sz="8" w:color="auto"/>
            </w:tcBorders>
            <w:shd w:val="clear" w:color="auto" w:fill="DCE2EF"/>
          </w:tcPr>
          <w:p>
            <w:pPr>
              <w:spacing w:after="0"/>
              <w:rPr>
                <w:sz w:val="18"/>
                <w:szCs w:val="18"/>
                <w:color w:val="auto"/>
              </w:rPr>
            </w:pPr>
          </w:p>
        </w:tc>
        <w:tc>
          <w:tcPr>
            <w:tcW w:w="740" w:type="dxa"/>
            <w:vAlign w:val="bottom"/>
            <w:tcBorders>
              <w:bottom w:val="single" w:sz="8" w:color="auto"/>
            </w:tcBorders>
            <w:vMerge w:val="continue"/>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DCE2EF"/>
            </w:tcBorders>
          </w:tcPr>
          <w:p>
            <w:pPr>
              <w:spacing w:after="0"/>
              <w:rPr>
                <w:sz w:val="18"/>
                <w:szCs w:val="18"/>
                <w:color w:val="auto"/>
              </w:rPr>
            </w:pPr>
          </w:p>
        </w:tc>
        <w:tc>
          <w:tcPr>
            <w:tcW w:w="3480" w:type="dxa"/>
            <w:vAlign w:val="bottom"/>
            <w:tcBorders>
              <w:bottom w:val="single" w:sz="8" w:color="DCE2EF"/>
            </w:tcBorders>
            <w:gridSpan w:val="2"/>
          </w:tcPr>
          <w:p>
            <w:pPr>
              <w:ind w:left="120"/>
              <w:spacing w:after="0"/>
              <w:rPr>
                <w:sz w:val="20"/>
                <w:szCs w:val="20"/>
                <w:color w:val="auto"/>
              </w:rPr>
            </w:pPr>
            <w:r>
              <w:rPr>
                <w:rFonts w:ascii="Arial" w:cs="Arial" w:eastAsia="Arial" w:hAnsi="Arial"/>
                <w:sz w:val="16"/>
                <w:szCs w:val="16"/>
                <w:color w:val="auto"/>
              </w:rPr>
              <w:t>Balance, end of period</w:t>
            </w:r>
          </w:p>
        </w:tc>
        <w:tc>
          <w:tcPr>
            <w:tcW w:w="860" w:type="dxa"/>
            <w:vAlign w:val="bottom"/>
            <w:tcBorders>
              <w:bottom w:val="single" w:sz="8" w:color="DCE2EF"/>
            </w:tcBorders>
          </w:tcPr>
          <w:p>
            <w:pPr>
              <w:spacing w:after="0"/>
              <w:rPr>
                <w:sz w:val="18"/>
                <w:szCs w:val="18"/>
                <w:color w:val="auto"/>
              </w:rPr>
            </w:pPr>
          </w:p>
        </w:tc>
        <w:tc>
          <w:tcPr>
            <w:tcW w:w="100" w:type="dxa"/>
            <w:vAlign w:val="bottom"/>
            <w:tcBorders>
              <w:bottom w:val="single" w:sz="8" w:color="DCE2E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1,324.7</w:t>
            </w:r>
          </w:p>
        </w:tc>
        <w:tc>
          <w:tcPr>
            <w:tcW w:w="100" w:type="dxa"/>
            <w:vAlign w:val="bottom"/>
            <w:tcBorders>
              <w:bottom w:val="single" w:sz="8" w:color="DCE2EF"/>
            </w:tcBorders>
          </w:tcPr>
          <w:p>
            <w:pPr>
              <w:spacing w:after="0"/>
              <w:rPr>
                <w:sz w:val="18"/>
                <w:szCs w:val="18"/>
                <w:color w:val="auto"/>
              </w:rPr>
            </w:pPr>
          </w:p>
        </w:tc>
        <w:tc>
          <w:tcPr>
            <w:tcW w:w="860" w:type="dxa"/>
            <w:vAlign w:val="bottom"/>
            <w:tcBorders>
              <w:bottom w:val="single" w:sz="8" w:color="DCE2EF"/>
            </w:tcBorders>
          </w:tcPr>
          <w:p>
            <w:pPr>
              <w:spacing w:after="0"/>
              <w:rPr>
                <w:sz w:val="18"/>
                <w:szCs w:val="18"/>
                <w:color w:val="auto"/>
              </w:rPr>
            </w:pPr>
          </w:p>
        </w:tc>
        <w:tc>
          <w:tcPr>
            <w:tcW w:w="120" w:type="dxa"/>
            <w:vAlign w:val="bottom"/>
            <w:tcBorders>
              <w:bottom w:val="single" w:sz="8" w:color="DCE2E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1,308.8</w:t>
            </w:r>
          </w:p>
        </w:tc>
        <w:tc>
          <w:tcPr>
            <w:tcW w:w="100" w:type="dxa"/>
            <w:vAlign w:val="bottom"/>
            <w:tcBorders>
              <w:bottom w:val="single" w:sz="8" w:color="DCE2EF"/>
            </w:tcBorders>
          </w:tcPr>
          <w:p>
            <w:pPr>
              <w:spacing w:after="0"/>
              <w:rPr>
                <w:sz w:val="18"/>
                <w:szCs w:val="18"/>
                <w:color w:val="auto"/>
              </w:rPr>
            </w:pPr>
          </w:p>
        </w:tc>
        <w:tc>
          <w:tcPr>
            <w:tcW w:w="860" w:type="dxa"/>
            <w:vAlign w:val="bottom"/>
            <w:tcBorders>
              <w:bottom w:val="single" w:sz="8" w:color="DCE2EF"/>
            </w:tcBorders>
          </w:tcPr>
          <w:p>
            <w:pPr>
              <w:spacing w:after="0"/>
              <w:rPr>
                <w:sz w:val="18"/>
                <w:szCs w:val="18"/>
                <w:color w:val="auto"/>
              </w:rPr>
            </w:pPr>
          </w:p>
        </w:tc>
        <w:tc>
          <w:tcPr>
            <w:tcW w:w="120" w:type="dxa"/>
            <w:vAlign w:val="bottom"/>
            <w:tcBorders>
              <w:bottom w:val="single" w:sz="8" w:color="DCE2E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1,324.7</w:t>
            </w:r>
          </w:p>
        </w:tc>
        <w:tc>
          <w:tcPr>
            <w:tcW w:w="100" w:type="dxa"/>
            <w:vAlign w:val="bottom"/>
            <w:tcBorders>
              <w:bottom w:val="single" w:sz="8" w:color="DCE2EF"/>
            </w:tcBorders>
          </w:tcPr>
          <w:p>
            <w:pPr>
              <w:spacing w:after="0"/>
              <w:rPr>
                <w:sz w:val="18"/>
                <w:szCs w:val="18"/>
                <w:color w:val="auto"/>
              </w:rPr>
            </w:pPr>
          </w:p>
        </w:tc>
        <w:tc>
          <w:tcPr>
            <w:tcW w:w="860" w:type="dxa"/>
            <w:vAlign w:val="bottom"/>
            <w:tcBorders>
              <w:bottom w:val="single" w:sz="8" w:color="DCE2EF"/>
            </w:tcBorders>
          </w:tcPr>
          <w:p>
            <w:pPr>
              <w:spacing w:after="0"/>
              <w:rPr>
                <w:sz w:val="18"/>
                <w:szCs w:val="18"/>
                <w:color w:val="auto"/>
              </w:rPr>
            </w:pPr>
          </w:p>
        </w:tc>
        <w:tc>
          <w:tcPr>
            <w:tcW w:w="120" w:type="dxa"/>
            <w:vAlign w:val="bottom"/>
            <w:tcBorders>
              <w:bottom w:val="single" w:sz="8" w:color="DCE2E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1,308.8</w:t>
            </w:r>
          </w:p>
        </w:tc>
        <w:tc>
          <w:tcPr>
            <w:tcW w:w="0" w:type="dxa"/>
            <w:vAlign w:val="bottom"/>
          </w:tcPr>
          <w:p>
            <w:pPr>
              <w:spacing w:after="0"/>
              <w:rPr>
                <w:sz w:val="1"/>
                <w:szCs w:val="1"/>
                <w:color w:val="auto"/>
              </w:rPr>
            </w:pPr>
          </w:p>
        </w:tc>
      </w:tr>
      <w:tr>
        <w:trPr>
          <w:trHeight w:val="234"/>
        </w:trPr>
        <w:tc>
          <w:tcPr>
            <w:tcW w:w="20" w:type="dxa"/>
            <w:vAlign w:val="bottom"/>
            <w:tcBorders>
              <w:bottom w:val="single" w:sz="8" w:color="DCE2EF"/>
            </w:tcBorders>
            <w:shd w:val="clear" w:color="auto" w:fill="DCE2EF"/>
          </w:tcPr>
          <w:p>
            <w:pPr>
              <w:spacing w:after="0"/>
              <w:rPr>
                <w:sz w:val="19"/>
                <w:szCs w:val="19"/>
                <w:color w:val="auto"/>
              </w:rPr>
            </w:pPr>
          </w:p>
        </w:tc>
        <w:tc>
          <w:tcPr>
            <w:tcW w:w="348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b w:val="1"/>
                <w:bCs w:val="1"/>
                <w:color w:val="auto"/>
              </w:rPr>
              <w:t>Total Stockholders’ Equity</w:t>
            </w:r>
          </w:p>
        </w:tc>
        <w:tc>
          <w:tcPr>
            <w:tcW w:w="860" w:type="dxa"/>
            <w:vAlign w:val="bottom"/>
            <w:tcBorders>
              <w:bottom w:val="single" w:sz="8" w:color="DCE2EF"/>
            </w:tcBorders>
            <w:shd w:val="clear" w:color="auto" w:fill="DCE2EF"/>
          </w:tcPr>
          <w:p>
            <w:pPr>
              <w:spacing w:after="0"/>
              <w:rPr>
                <w:sz w:val="19"/>
                <w:szCs w:val="19"/>
                <w:color w:val="auto"/>
              </w:rPr>
            </w:pPr>
          </w:p>
        </w:tc>
        <w:tc>
          <w:tcPr>
            <w:tcW w:w="100" w:type="dxa"/>
            <w:vAlign w:val="bottom"/>
            <w:tcBorders>
              <w:bottom w:val="single" w:sz="8" w:color="DCE2EF"/>
            </w:tcBorders>
            <w:shd w:val="clear" w:color="auto" w:fill="DCE2EF"/>
          </w:tcPr>
          <w:p>
            <w:pPr>
              <w:spacing w:after="0"/>
              <w:rPr>
                <w:sz w:val="19"/>
                <w:szCs w:val="19"/>
                <w:color w:val="auto"/>
              </w:rPr>
            </w:pP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1,824.4</w:t>
            </w:r>
          </w:p>
        </w:tc>
        <w:tc>
          <w:tcPr>
            <w:tcW w:w="100" w:type="dxa"/>
            <w:vAlign w:val="bottom"/>
            <w:tcBorders>
              <w:bottom w:val="single" w:sz="8" w:color="DCE2EF"/>
            </w:tcBorders>
            <w:shd w:val="clear" w:color="auto" w:fill="DCE2EF"/>
          </w:tcPr>
          <w:p>
            <w:pPr>
              <w:spacing w:after="0"/>
              <w:rPr>
                <w:sz w:val="19"/>
                <w:szCs w:val="19"/>
                <w:color w:val="auto"/>
              </w:rPr>
            </w:pPr>
          </w:p>
        </w:tc>
        <w:tc>
          <w:tcPr>
            <w:tcW w:w="860" w:type="dxa"/>
            <w:vAlign w:val="bottom"/>
            <w:tcBorders>
              <w:bottom w:val="single" w:sz="8" w:color="DCE2EF"/>
            </w:tcBorders>
            <w:shd w:val="clear" w:color="auto" w:fill="DCE2EF"/>
          </w:tcPr>
          <w:p>
            <w:pPr>
              <w:spacing w:after="0"/>
              <w:rPr>
                <w:sz w:val="19"/>
                <w:szCs w:val="19"/>
                <w:color w:val="auto"/>
              </w:rPr>
            </w:pPr>
          </w:p>
        </w:tc>
        <w:tc>
          <w:tcPr>
            <w:tcW w:w="120" w:type="dxa"/>
            <w:vAlign w:val="bottom"/>
            <w:tcBorders>
              <w:bottom w:val="single" w:sz="8" w:color="DCE2EF"/>
            </w:tcBorders>
            <w:shd w:val="clear" w:color="auto" w:fill="DCE2EF"/>
          </w:tcPr>
          <w:p>
            <w:pPr>
              <w:spacing w:after="0"/>
              <w:rPr>
                <w:sz w:val="19"/>
                <w:szCs w:val="19"/>
                <w:color w:val="auto"/>
              </w:rPr>
            </w:pPr>
          </w:p>
        </w:tc>
        <w:tc>
          <w:tcPr>
            <w:tcW w:w="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1,843.6</w:t>
            </w:r>
          </w:p>
        </w:tc>
        <w:tc>
          <w:tcPr>
            <w:tcW w:w="100" w:type="dxa"/>
            <w:vAlign w:val="bottom"/>
            <w:tcBorders>
              <w:bottom w:val="single" w:sz="8" w:color="DCE2EF"/>
            </w:tcBorders>
            <w:shd w:val="clear" w:color="auto" w:fill="DCE2EF"/>
          </w:tcPr>
          <w:p>
            <w:pPr>
              <w:spacing w:after="0"/>
              <w:rPr>
                <w:sz w:val="19"/>
                <w:szCs w:val="19"/>
                <w:color w:val="auto"/>
              </w:rPr>
            </w:pPr>
          </w:p>
        </w:tc>
        <w:tc>
          <w:tcPr>
            <w:tcW w:w="860" w:type="dxa"/>
            <w:vAlign w:val="bottom"/>
            <w:tcBorders>
              <w:bottom w:val="single" w:sz="8" w:color="DCE2EF"/>
            </w:tcBorders>
            <w:shd w:val="clear" w:color="auto" w:fill="DCE2EF"/>
          </w:tcPr>
          <w:p>
            <w:pPr>
              <w:spacing w:after="0"/>
              <w:rPr>
                <w:sz w:val="19"/>
                <w:szCs w:val="19"/>
                <w:color w:val="auto"/>
              </w:rPr>
            </w:pPr>
          </w:p>
        </w:tc>
        <w:tc>
          <w:tcPr>
            <w:tcW w:w="120" w:type="dxa"/>
            <w:vAlign w:val="bottom"/>
            <w:tcBorders>
              <w:bottom w:val="single" w:sz="8" w:color="DCE2EF"/>
            </w:tcBorders>
            <w:shd w:val="clear" w:color="auto" w:fill="DCE2EF"/>
          </w:tcPr>
          <w:p>
            <w:pPr>
              <w:spacing w:after="0"/>
              <w:rPr>
                <w:sz w:val="19"/>
                <w:szCs w:val="19"/>
                <w:color w:val="auto"/>
              </w:rPr>
            </w:pP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1,824.4</w:t>
            </w:r>
          </w:p>
        </w:tc>
        <w:tc>
          <w:tcPr>
            <w:tcW w:w="100" w:type="dxa"/>
            <w:vAlign w:val="bottom"/>
            <w:tcBorders>
              <w:bottom w:val="single" w:sz="8" w:color="DCE2EF"/>
            </w:tcBorders>
            <w:shd w:val="clear" w:color="auto" w:fill="DCE2EF"/>
          </w:tcPr>
          <w:p>
            <w:pPr>
              <w:spacing w:after="0"/>
              <w:rPr>
                <w:sz w:val="19"/>
                <w:szCs w:val="19"/>
                <w:color w:val="auto"/>
              </w:rPr>
            </w:pPr>
          </w:p>
        </w:tc>
        <w:tc>
          <w:tcPr>
            <w:tcW w:w="860" w:type="dxa"/>
            <w:vAlign w:val="bottom"/>
            <w:tcBorders>
              <w:bottom w:val="single" w:sz="8" w:color="DCE2EF"/>
            </w:tcBorders>
            <w:shd w:val="clear" w:color="auto" w:fill="DCE2EF"/>
          </w:tcPr>
          <w:p>
            <w:pPr>
              <w:spacing w:after="0"/>
              <w:rPr>
                <w:sz w:val="19"/>
                <w:szCs w:val="19"/>
                <w:color w:val="auto"/>
              </w:rPr>
            </w:pPr>
          </w:p>
        </w:tc>
        <w:tc>
          <w:tcPr>
            <w:tcW w:w="120" w:type="dxa"/>
            <w:vAlign w:val="bottom"/>
            <w:tcBorders>
              <w:bottom w:val="single" w:sz="8" w:color="DCE2EF"/>
            </w:tcBorders>
            <w:shd w:val="clear" w:color="auto" w:fill="DCE2EF"/>
          </w:tcPr>
          <w:p>
            <w:pPr>
              <w:spacing w:after="0"/>
              <w:rPr>
                <w:sz w:val="19"/>
                <w:szCs w:val="19"/>
                <w:color w:val="auto"/>
              </w:rPr>
            </w:pPr>
          </w:p>
        </w:tc>
        <w:tc>
          <w:tcPr>
            <w:tcW w:w="20" w:type="dxa"/>
            <w:vAlign w:val="bottom"/>
            <w:tcBorders>
              <w:bottom w:val="single" w:sz="8" w:color="auto"/>
            </w:tcBorders>
            <w:shd w:val="clear" w:color="auto" w:fill="DCE2EF"/>
          </w:tcPr>
          <w:p>
            <w:pPr>
              <w:spacing w:after="0"/>
              <w:rPr>
                <w:sz w:val="19"/>
                <w:szCs w:val="19"/>
                <w:color w:val="auto"/>
              </w:rPr>
            </w:pPr>
          </w:p>
        </w:tc>
        <w:tc>
          <w:tcPr>
            <w:tcW w:w="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1,843.6</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520" w:type="dxa"/>
            <w:vAlign w:val="bottom"/>
            <w:tcBorders>
              <w:top w:val="single" w:sz="8" w:color="DCE2EF"/>
            </w:tcBorders>
          </w:tcPr>
          <w:p>
            <w:pPr>
              <w:spacing w:after="0" w:line="20" w:lineRule="exact"/>
              <w:rPr>
                <w:sz w:val="1"/>
                <w:szCs w:val="1"/>
                <w:color w:val="auto"/>
              </w:rPr>
            </w:pPr>
          </w:p>
        </w:tc>
        <w:tc>
          <w:tcPr>
            <w:tcW w:w="960" w:type="dxa"/>
            <w:vAlign w:val="bottom"/>
            <w:tcBorders>
              <w:top w:val="single" w:sz="8" w:color="DCE2EF"/>
            </w:tcBorders>
          </w:tcPr>
          <w:p>
            <w:pPr>
              <w:spacing w:after="0" w:line="20" w:lineRule="exact"/>
              <w:rPr>
                <w:sz w:val="1"/>
                <w:szCs w:val="1"/>
                <w:color w:val="auto"/>
              </w:rPr>
            </w:pPr>
          </w:p>
        </w:tc>
        <w:tc>
          <w:tcPr>
            <w:tcW w:w="86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7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86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bottom w:val="single" w:sz="8" w:color="auto"/>
            </w:tcBorders>
          </w:tcPr>
          <w:p>
            <w:pPr>
              <w:spacing w:after="0" w:line="20" w:lineRule="exact"/>
              <w:rPr>
                <w:sz w:val="1"/>
                <w:szCs w:val="1"/>
                <w:color w:val="auto"/>
              </w:rPr>
            </w:pPr>
          </w:p>
        </w:tc>
        <w:tc>
          <w:tcPr>
            <w:tcW w:w="7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86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7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86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bottom w:val="single" w:sz="8" w:color="auto"/>
            </w:tcBorders>
          </w:tcPr>
          <w:p>
            <w:pPr>
              <w:spacing w:after="0" w:line="20" w:lineRule="exact"/>
              <w:rPr>
                <w:sz w:val="1"/>
                <w:szCs w:val="1"/>
                <w:color w:val="auto"/>
              </w:rPr>
            </w:pPr>
          </w:p>
        </w:tc>
        <w:tc>
          <w:tcPr>
            <w:tcW w:w="74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4" w:lineRule="exact"/>
        <w:rPr>
          <w:sz w:val="20"/>
          <w:szCs w:val="20"/>
          <w:color w:val="auto"/>
        </w:rPr>
      </w:pPr>
    </w:p>
    <w:p>
      <w:pPr>
        <w:ind w:right="340" w:firstLine="7"/>
        <w:spacing w:after="0" w:line="234" w:lineRule="auto"/>
        <w:tabs>
          <w:tab w:leader="none" w:pos="153"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Cash dividends declared per common share were $0.265 and $0.225 for the three months ended April 30, 2025 and 2024, respectively, and $0.530 and $0.450 for the six months ended April 30, 2025 and 2024,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8" w:name="page9"/>
    <w:bookmarkEnd w:id="8"/>
    <w:p>
      <w:pPr>
        <w:ind w:left="292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6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0046AD"/>
        </w:rPr>
        <w:t>CONSOLIDATED STATEMENTS OF CASH FLOWS</w:t>
      </w:r>
    </w:p>
    <w:p>
      <w:pPr>
        <w:spacing w:after="0" w:line="1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6AD"/>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Six Months Ended April 30,</w:t>
            </w:r>
          </w:p>
        </w:tc>
      </w:tr>
      <w:tr>
        <w:trPr>
          <w:trHeight w:val="168"/>
        </w:trPr>
        <w:tc>
          <w:tcPr>
            <w:tcW w:w="7180" w:type="dxa"/>
            <w:vAlign w:val="bottom"/>
            <w:gridSpan w:val="3"/>
          </w:tcPr>
          <w:p>
            <w:pPr>
              <w:ind w:left="20"/>
              <w:spacing w:after="0" w:line="168" w:lineRule="exact"/>
              <w:rPr>
                <w:sz w:val="20"/>
                <w:szCs w:val="20"/>
                <w:color w:val="auto"/>
              </w:rPr>
            </w:pPr>
            <w:r>
              <w:rPr>
                <w:rFonts w:ascii="Times New Roman" w:cs="Times New Roman" w:eastAsia="Times New Roman" w:hAnsi="Times New Roman"/>
                <w:sz w:val="16"/>
                <w:szCs w:val="16"/>
                <w:i w:val="1"/>
                <w:iCs w:val="1"/>
                <w:color w:val="auto"/>
              </w:rPr>
              <w:t>(in millions)</w:t>
            </w:r>
          </w:p>
        </w:tc>
        <w:tc>
          <w:tcPr>
            <w:tcW w:w="380" w:type="dxa"/>
            <w:vAlign w:val="bottom"/>
          </w:tcPr>
          <w:p>
            <w:pPr>
              <w:spacing w:after="0"/>
              <w:rPr>
                <w:sz w:val="14"/>
                <w:szCs w:val="14"/>
                <w:color w:val="auto"/>
              </w:rPr>
            </w:pPr>
          </w:p>
        </w:tc>
        <w:tc>
          <w:tcPr>
            <w:tcW w:w="1320" w:type="dxa"/>
            <w:vAlign w:val="bottom"/>
          </w:tcPr>
          <w:p>
            <w:pPr>
              <w:jc w:val="right"/>
              <w:ind w:right="599"/>
              <w:spacing w:after="0" w:line="168" w:lineRule="exact"/>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right"/>
              <w:ind w:right="599"/>
              <w:spacing w:after="0" w:line="168" w:lineRule="exact"/>
              <w:rPr>
                <w:sz w:val="20"/>
                <w:szCs w:val="20"/>
                <w:color w:val="auto"/>
              </w:rPr>
            </w:pPr>
            <w:r>
              <w:rPr>
                <w:rFonts w:ascii="Arial" w:cs="Arial" w:eastAsia="Arial" w:hAnsi="Arial"/>
                <w:sz w:val="16"/>
                <w:szCs w:val="16"/>
                <w:b w:val="1"/>
                <w:bCs w:val="1"/>
                <w:color w:val="auto"/>
              </w:rPr>
              <w:t>2024</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80" w:type="dxa"/>
            <w:vAlign w:val="bottom"/>
            <w:tcBorders>
              <w:top w:val="single" w:sz="8" w:color="auto"/>
              <w:bottom w:val="single" w:sz="8" w:color="DCE2EF"/>
            </w:tcBorders>
          </w:tcPr>
          <w:p>
            <w:pPr>
              <w:spacing w:after="0" w:line="20" w:lineRule="exact"/>
              <w:rPr>
                <w:sz w:val="1"/>
                <w:szCs w:val="1"/>
                <w:color w:val="auto"/>
              </w:rPr>
            </w:pPr>
          </w:p>
        </w:tc>
        <w:tc>
          <w:tcPr>
            <w:tcW w:w="638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5"/>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shd w:val="clear" w:color="auto" w:fill="DCE2EF"/>
          </w:tcPr>
          <w:p>
            <w:pPr>
              <w:spacing w:after="0"/>
              <w:rPr>
                <w:sz w:val="16"/>
                <w:szCs w:val="16"/>
                <w:color w:val="auto"/>
              </w:rPr>
            </w:pPr>
          </w:p>
        </w:tc>
        <w:tc>
          <w:tcPr>
            <w:tcW w:w="13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380" w:type="dxa"/>
            <w:vAlign w:val="bottom"/>
            <w:shd w:val="clear" w:color="auto" w:fill="DCE2EF"/>
          </w:tcPr>
          <w:p>
            <w:pPr>
              <w:spacing w:after="0"/>
              <w:rPr>
                <w:sz w:val="16"/>
                <w:szCs w:val="16"/>
                <w:color w:val="auto"/>
              </w:rPr>
            </w:pPr>
          </w:p>
        </w:tc>
        <w:tc>
          <w:tcPr>
            <w:tcW w:w="1320" w:type="dxa"/>
            <w:vAlign w:val="bottom"/>
            <w:shd w:val="clear" w:color="auto" w:fill="DCE2EF"/>
          </w:tcPr>
          <w:p>
            <w:pPr>
              <w:spacing w:after="0"/>
              <w:rPr>
                <w:sz w:val="16"/>
                <w:szCs w:val="16"/>
                <w:color w:val="auto"/>
              </w:rPr>
            </w:pPr>
          </w:p>
        </w:tc>
      </w:tr>
      <w:tr>
        <w:trPr>
          <w:trHeight w:val="214"/>
        </w:trPr>
        <w:tc>
          <w:tcPr>
            <w:tcW w:w="7180" w:type="dxa"/>
            <w:vAlign w:val="bottom"/>
            <w:gridSpan w:val="3"/>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85.8</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88.4</w:t>
            </w:r>
          </w:p>
        </w:tc>
      </w:tr>
      <w:tr>
        <w:trPr>
          <w:trHeight w:val="162"/>
        </w:trPr>
        <w:tc>
          <w:tcPr>
            <w:tcW w:w="7180" w:type="dxa"/>
            <w:vAlign w:val="bottom"/>
            <w:gridSpan w:val="3"/>
            <w:shd w:val="clear" w:color="auto" w:fill="DCE2EF"/>
          </w:tcPr>
          <w:p>
            <w:pPr>
              <w:ind w:left="20"/>
              <w:spacing w:after="0" w:line="162" w:lineRule="exact"/>
              <w:rPr>
                <w:sz w:val="20"/>
                <w:szCs w:val="20"/>
                <w:color w:val="auto"/>
              </w:rPr>
            </w:pPr>
            <w:r>
              <w:rPr>
                <w:rFonts w:ascii="Arial" w:cs="Arial" w:eastAsia="Arial" w:hAnsi="Arial"/>
                <w:sz w:val="16"/>
                <w:szCs w:val="16"/>
                <w:b w:val="1"/>
                <w:bCs w:val="1"/>
                <w:color w:val="auto"/>
              </w:rPr>
              <w:t>Adjustments to reconcile net income to net cash provided by operating</w:t>
            </w:r>
          </w:p>
        </w:tc>
        <w:tc>
          <w:tcPr>
            <w:tcW w:w="380" w:type="dxa"/>
            <w:vAlign w:val="bottom"/>
            <w:shd w:val="clear" w:color="auto" w:fill="DCE2EF"/>
          </w:tcPr>
          <w:p>
            <w:pPr>
              <w:spacing w:after="0"/>
              <w:rPr>
                <w:sz w:val="14"/>
                <w:szCs w:val="14"/>
                <w:color w:val="auto"/>
              </w:rPr>
            </w:pPr>
          </w:p>
        </w:tc>
        <w:tc>
          <w:tcPr>
            <w:tcW w:w="132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380" w:type="dxa"/>
            <w:vAlign w:val="bottom"/>
            <w:shd w:val="clear" w:color="auto" w:fill="DCE2EF"/>
          </w:tcPr>
          <w:p>
            <w:pPr>
              <w:spacing w:after="0"/>
              <w:rPr>
                <w:sz w:val="14"/>
                <w:szCs w:val="14"/>
                <w:color w:val="auto"/>
              </w:rPr>
            </w:pPr>
          </w:p>
        </w:tc>
        <w:tc>
          <w:tcPr>
            <w:tcW w:w="1320" w:type="dxa"/>
            <w:vAlign w:val="bottom"/>
            <w:shd w:val="clear" w:color="auto" w:fill="DCE2EF"/>
          </w:tcPr>
          <w:p>
            <w:pPr>
              <w:spacing w:after="0"/>
              <w:rPr>
                <w:sz w:val="14"/>
                <w:szCs w:val="14"/>
                <w:color w:val="auto"/>
              </w:rPr>
            </w:pPr>
          </w:p>
        </w:tc>
      </w:tr>
      <w:tr>
        <w:trPr>
          <w:trHeight w:val="215"/>
        </w:trPr>
        <w:tc>
          <w:tcPr>
            <w:tcW w:w="20" w:type="dxa"/>
            <w:vAlign w:val="bottom"/>
            <w:shd w:val="clear" w:color="auto" w:fill="DCE2EF"/>
          </w:tcPr>
          <w:p>
            <w:pPr>
              <w:spacing w:after="0"/>
              <w:rPr>
                <w:sz w:val="18"/>
                <w:szCs w:val="18"/>
                <w:color w:val="auto"/>
              </w:rPr>
            </w:pPr>
          </w:p>
        </w:tc>
        <w:tc>
          <w:tcPr>
            <w:tcW w:w="7160" w:type="dxa"/>
            <w:vAlign w:val="bottom"/>
            <w:gridSpan w:val="2"/>
            <w:shd w:val="clear" w:color="auto" w:fill="DCE2EF"/>
          </w:tcPr>
          <w:p>
            <w:pPr>
              <w:ind w:left="180"/>
              <w:spacing w:after="0"/>
              <w:rPr>
                <w:sz w:val="20"/>
                <w:szCs w:val="20"/>
                <w:color w:val="auto"/>
              </w:rPr>
            </w:pPr>
            <w:r>
              <w:rPr>
                <w:rFonts w:ascii="Arial" w:cs="Arial" w:eastAsia="Arial" w:hAnsi="Arial"/>
                <w:sz w:val="16"/>
                <w:szCs w:val="16"/>
                <w:b w:val="1"/>
                <w:bCs w:val="1"/>
                <w:color w:val="auto"/>
              </w:rPr>
              <w:t>activities</w:t>
            </w: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spacing w:after="0"/>
              <w:rPr>
                <w:sz w:val="18"/>
                <w:szCs w:val="18"/>
                <w:color w:val="auto"/>
              </w:rPr>
            </w:pPr>
          </w:p>
        </w:tc>
      </w:tr>
      <w:tr>
        <w:trPr>
          <w:trHeight w:val="214"/>
        </w:trPr>
        <w:tc>
          <w:tcPr>
            <w:tcW w:w="7180" w:type="dxa"/>
            <w:vAlign w:val="bottom"/>
            <w:gridSpan w:val="3"/>
          </w:tcPr>
          <w:p>
            <w:pPr>
              <w:ind w:left="2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52.9</w:t>
            </w:r>
          </w:p>
        </w:tc>
      </w:tr>
      <w:tr>
        <w:trPr>
          <w:trHeight w:val="216"/>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Deferred income taxes</w:t>
            </w: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(2.6)</w:t>
            </w:r>
          </w:p>
        </w:tc>
      </w:tr>
      <w:tr>
        <w:trPr>
          <w:trHeight w:val="214"/>
        </w:trPr>
        <w:tc>
          <w:tcPr>
            <w:tcW w:w="7180" w:type="dxa"/>
            <w:vAlign w:val="bottom"/>
            <w:gridSpan w:val="3"/>
          </w:tcPr>
          <w:p>
            <w:pPr>
              <w:ind w:left="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16"/>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Provision for bad debt</w:t>
            </w: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2.2</w:t>
            </w:r>
          </w:p>
        </w:tc>
      </w:tr>
      <w:tr>
        <w:trPr>
          <w:trHeight w:val="214"/>
        </w:trPr>
        <w:tc>
          <w:tcPr>
            <w:tcW w:w="7180" w:type="dxa"/>
            <w:vAlign w:val="bottom"/>
            <w:gridSpan w:val="3"/>
          </w:tcPr>
          <w:p>
            <w:pPr>
              <w:ind w:left="20"/>
              <w:spacing w:after="0"/>
              <w:rPr>
                <w:sz w:val="20"/>
                <w:szCs w:val="20"/>
                <w:color w:val="auto"/>
              </w:rPr>
            </w:pPr>
            <w:r>
              <w:rPr>
                <w:rFonts w:ascii="Arial" w:cs="Arial" w:eastAsia="Arial" w:hAnsi="Arial"/>
                <w:sz w:val="16"/>
                <w:szCs w:val="16"/>
                <w:color w:val="auto"/>
              </w:rPr>
              <w:t>Discount accretion on insurance claims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6"/>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Gain on sale of assets</w:t>
            </w: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(0.2)</w:t>
            </w:r>
          </w:p>
        </w:tc>
      </w:tr>
      <w:tr>
        <w:trPr>
          <w:trHeight w:val="214"/>
        </w:trPr>
        <w:tc>
          <w:tcPr>
            <w:tcW w:w="7180" w:type="dxa"/>
            <w:vAlign w:val="bottom"/>
            <w:gridSpan w:val="3"/>
          </w:tcPr>
          <w:p>
            <w:pPr>
              <w:ind w:left="20"/>
              <w:spacing w:after="0"/>
              <w:rPr>
                <w:sz w:val="20"/>
                <w:szCs w:val="20"/>
                <w:color w:val="auto"/>
              </w:rPr>
            </w:pPr>
            <w:r>
              <w:rPr>
                <w:rFonts w:ascii="Arial" w:cs="Arial" w:eastAsia="Arial" w:hAnsi="Arial"/>
                <w:sz w:val="16"/>
                <w:szCs w:val="16"/>
                <w:color w:val="auto"/>
              </w:rPr>
              <w:t>Income from unconsolidated affiliates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Distributions from unconsolidated affiliates</w:t>
            </w: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5.5</w:t>
            </w:r>
          </w:p>
        </w:tc>
        <w:tc>
          <w:tcPr>
            <w:tcW w:w="8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1.8</w:t>
            </w:r>
          </w:p>
        </w:tc>
      </w:tr>
      <w:tr>
        <w:trPr>
          <w:trHeight w:val="214"/>
        </w:trPr>
        <w:tc>
          <w:tcPr>
            <w:tcW w:w="7180" w:type="dxa"/>
            <w:vAlign w:val="bottom"/>
            <w:gridSpan w:val="3"/>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0" w:type="dxa"/>
            <w:vAlign w:val="bottom"/>
            <w:shd w:val="clear" w:color="auto" w:fill="DCE2EF"/>
          </w:tcPr>
          <w:p>
            <w:pPr>
              <w:spacing w:after="0"/>
              <w:rPr>
                <w:sz w:val="18"/>
                <w:szCs w:val="18"/>
                <w:color w:val="auto"/>
              </w:rPr>
            </w:pPr>
          </w:p>
        </w:tc>
        <w:tc>
          <w:tcPr>
            <w:tcW w:w="716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Trade accounts receivable and costs incurred in excess of amounts billed</w:t>
            </w: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(190.9)</w:t>
            </w:r>
          </w:p>
        </w:tc>
        <w:tc>
          <w:tcPr>
            <w:tcW w:w="8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36.4</w:t>
            </w:r>
          </w:p>
        </w:tc>
      </w:tr>
      <w:tr>
        <w:trPr>
          <w:trHeight w:val="214"/>
        </w:trPr>
        <w:tc>
          <w:tcPr>
            <w:tcW w:w="20" w:type="dxa"/>
            <w:vAlign w:val="bottom"/>
          </w:tcPr>
          <w:p>
            <w:pPr>
              <w:spacing w:after="0"/>
              <w:rPr>
                <w:sz w:val="18"/>
                <w:szCs w:val="18"/>
                <w:color w:val="auto"/>
              </w:rPr>
            </w:pPr>
          </w:p>
        </w:tc>
        <w:tc>
          <w:tcPr>
            <w:tcW w:w="7160" w:type="dxa"/>
            <w:vAlign w:val="bottom"/>
            <w:gridSpan w:val="2"/>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(34.4)</w:t>
            </w:r>
          </w:p>
        </w:tc>
      </w:tr>
      <w:tr>
        <w:trPr>
          <w:trHeight w:val="216"/>
        </w:trPr>
        <w:tc>
          <w:tcPr>
            <w:tcW w:w="20" w:type="dxa"/>
            <w:vAlign w:val="bottom"/>
            <w:shd w:val="clear" w:color="auto" w:fill="DCE2EF"/>
          </w:tcPr>
          <w:p>
            <w:pPr>
              <w:spacing w:after="0"/>
              <w:rPr>
                <w:sz w:val="18"/>
                <w:szCs w:val="18"/>
                <w:color w:val="auto"/>
              </w:rPr>
            </w:pPr>
          </w:p>
        </w:tc>
        <w:tc>
          <w:tcPr>
            <w:tcW w:w="716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Right-of-use assets</w:t>
            </w: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0.8</w:t>
            </w:r>
          </w:p>
        </w:tc>
        <w:tc>
          <w:tcPr>
            <w:tcW w:w="8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5.0</w:t>
            </w:r>
          </w:p>
        </w:tc>
      </w:tr>
      <w:tr>
        <w:trPr>
          <w:trHeight w:val="214"/>
        </w:trPr>
        <w:tc>
          <w:tcPr>
            <w:tcW w:w="20" w:type="dxa"/>
            <w:vAlign w:val="bottom"/>
          </w:tcPr>
          <w:p>
            <w:pPr>
              <w:spacing w:after="0"/>
              <w:rPr>
                <w:sz w:val="18"/>
                <w:szCs w:val="18"/>
                <w:color w:val="auto"/>
              </w:rPr>
            </w:pPr>
          </w:p>
        </w:tc>
        <w:tc>
          <w:tcPr>
            <w:tcW w:w="7160" w:type="dxa"/>
            <w:vAlign w:val="bottom"/>
            <w:gridSpan w:val="2"/>
          </w:tcPr>
          <w:p>
            <w:pPr>
              <w:ind w:left="320"/>
              <w:spacing w:after="0"/>
              <w:rPr>
                <w:sz w:val="20"/>
                <w:szCs w:val="20"/>
                <w:color w:val="auto"/>
              </w:rPr>
            </w:pPr>
            <w:r>
              <w:rPr>
                <w:rFonts w:ascii="Arial" w:cs="Arial" w:eastAsia="Arial" w:hAnsi="Arial"/>
                <w:sz w:val="16"/>
                <w:szCs w:val="16"/>
                <w:color w:val="auto"/>
              </w:rPr>
              <w:t>Other noncurrent assets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16"/>
        </w:trPr>
        <w:tc>
          <w:tcPr>
            <w:tcW w:w="20" w:type="dxa"/>
            <w:vAlign w:val="bottom"/>
            <w:shd w:val="clear" w:color="auto" w:fill="DCE2EF"/>
          </w:tcPr>
          <w:p>
            <w:pPr>
              <w:spacing w:after="0"/>
              <w:rPr>
                <w:sz w:val="18"/>
                <w:szCs w:val="18"/>
                <w:color w:val="auto"/>
              </w:rPr>
            </w:pPr>
          </w:p>
        </w:tc>
        <w:tc>
          <w:tcPr>
            <w:tcW w:w="716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Trade accounts payable and other accrued liabilities</w:t>
            </w: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(57.8)</w:t>
            </w:r>
          </w:p>
        </w:tc>
      </w:tr>
      <w:tr>
        <w:trPr>
          <w:trHeight w:val="214"/>
        </w:trPr>
        <w:tc>
          <w:tcPr>
            <w:tcW w:w="20" w:type="dxa"/>
            <w:vAlign w:val="bottom"/>
          </w:tcPr>
          <w:p>
            <w:pPr>
              <w:spacing w:after="0"/>
              <w:rPr>
                <w:sz w:val="18"/>
                <w:szCs w:val="18"/>
                <w:color w:val="auto"/>
              </w:rPr>
            </w:pPr>
          </w:p>
        </w:tc>
        <w:tc>
          <w:tcPr>
            <w:tcW w:w="7160" w:type="dxa"/>
            <w:vAlign w:val="bottom"/>
            <w:gridSpan w:val="2"/>
          </w:tcPr>
          <w:p>
            <w:pPr>
              <w:ind w:left="320"/>
              <w:spacing w:after="0"/>
              <w:rPr>
                <w:sz w:val="20"/>
                <w:szCs w:val="20"/>
                <w:color w:val="auto"/>
              </w:rPr>
            </w:pPr>
            <w:r>
              <w:rPr>
                <w:rFonts w:ascii="Arial" w:cs="Arial" w:eastAsia="Arial" w:hAnsi="Arial"/>
                <w:sz w:val="16"/>
                <w:szCs w:val="16"/>
                <w:color w:val="auto"/>
              </w:rPr>
              <w:t>Long-term lease liabilities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20" w:type="dxa"/>
            <w:vAlign w:val="bottom"/>
            <w:shd w:val="clear" w:color="auto" w:fill="DCE2EF"/>
          </w:tcPr>
          <w:p>
            <w:pPr>
              <w:spacing w:after="0"/>
              <w:rPr>
                <w:sz w:val="18"/>
                <w:szCs w:val="18"/>
                <w:color w:val="auto"/>
              </w:rPr>
            </w:pPr>
          </w:p>
        </w:tc>
        <w:tc>
          <w:tcPr>
            <w:tcW w:w="716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Insurance claims</w:t>
            </w: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11.7</w:t>
            </w:r>
          </w:p>
        </w:tc>
        <w:tc>
          <w:tcPr>
            <w:tcW w:w="8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49.5</w:t>
            </w:r>
          </w:p>
        </w:tc>
      </w:tr>
      <w:tr>
        <w:trPr>
          <w:trHeight w:val="214"/>
        </w:trPr>
        <w:tc>
          <w:tcPr>
            <w:tcW w:w="20" w:type="dxa"/>
            <w:vAlign w:val="bottom"/>
          </w:tcPr>
          <w:p>
            <w:pPr>
              <w:spacing w:after="0"/>
              <w:rPr>
                <w:sz w:val="18"/>
                <w:szCs w:val="18"/>
                <w:color w:val="auto"/>
              </w:rPr>
            </w:pPr>
          </w:p>
        </w:tc>
        <w:tc>
          <w:tcPr>
            <w:tcW w:w="7160" w:type="dxa"/>
            <w:vAlign w:val="bottom"/>
            <w:gridSpan w:val="2"/>
          </w:tcPr>
          <w:p>
            <w:pPr>
              <w:ind w:left="320"/>
              <w:spacing w:after="0"/>
              <w:rPr>
                <w:sz w:val="20"/>
                <w:szCs w:val="20"/>
                <w:color w:val="auto"/>
              </w:rPr>
            </w:pPr>
            <w:r>
              <w:rPr>
                <w:rFonts w:ascii="Arial" w:cs="Arial" w:eastAsia="Arial" w:hAnsi="Arial"/>
                <w:sz w:val="16"/>
                <w:szCs w:val="16"/>
                <w:color w:val="auto"/>
              </w:rPr>
              <w:t>Income taxes payable, net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6"/>
        </w:trPr>
        <w:tc>
          <w:tcPr>
            <w:tcW w:w="20" w:type="dxa"/>
            <w:vAlign w:val="bottom"/>
            <w:shd w:val="clear" w:color="auto" w:fill="DCE2EF"/>
          </w:tcPr>
          <w:p>
            <w:pPr>
              <w:spacing w:after="0"/>
              <w:rPr>
                <w:sz w:val="18"/>
                <w:szCs w:val="18"/>
                <w:color w:val="auto"/>
              </w:rPr>
            </w:pPr>
          </w:p>
        </w:tc>
        <w:tc>
          <w:tcPr>
            <w:tcW w:w="716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Other noncurrent liabilities</w:t>
            </w:r>
          </w:p>
        </w:tc>
        <w:tc>
          <w:tcPr>
            <w:tcW w:w="380" w:type="dxa"/>
            <w:vAlign w:val="bottom"/>
            <w:tcBorders>
              <w:bottom w:val="single" w:sz="8" w:color="auto"/>
            </w:tcBorders>
            <w:shd w:val="clear" w:color="auto" w:fill="DCE2EF"/>
          </w:tcPr>
          <w:p>
            <w:pPr>
              <w:spacing w:after="0"/>
              <w:rPr>
                <w:sz w:val="18"/>
                <w:szCs w:val="18"/>
                <w:color w:val="auto"/>
              </w:rPr>
            </w:pPr>
          </w:p>
        </w:tc>
        <w:tc>
          <w:tcPr>
            <w:tcW w:w="13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3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(0.9)</w:t>
            </w:r>
          </w:p>
        </w:tc>
      </w:tr>
      <w:tr>
        <w:trPr>
          <w:trHeight w:val="208"/>
        </w:trPr>
        <w:tc>
          <w:tcPr>
            <w:tcW w:w="718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color w:val="auto"/>
              </w:rPr>
              <w:t>Total adjustments</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(159.7)</w:t>
            </w:r>
          </w:p>
        </w:tc>
        <w:tc>
          <w:tcPr>
            <w:tcW w:w="80" w:type="dxa"/>
            <w:vAlign w:val="bottom"/>
            <w:tcBorders>
              <w:bottom w:val="single" w:sz="8" w:color="DCE2E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r>
      <w:tr>
        <w:trPr>
          <w:trHeight w:val="209"/>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Net cash (used in) provided by operating activities</w:t>
            </w:r>
          </w:p>
        </w:tc>
        <w:tc>
          <w:tcPr>
            <w:tcW w:w="380" w:type="dxa"/>
            <w:vAlign w:val="bottom"/>
            <w:tcBorders>
              <w:bottom w:val="single" w:sz="8" w:color="auto"/>
            </w:tcBorders>
            <w:shd w:val="clear" w:color="auto" w:fill="DCE2EF"/>
          </w:tcPr>
          <w:p>
            <w:pPr>
              <w:spacing w:after="0"/>
              <w:rPr>
                <w:sz w:val="18"/>
                <w:szCs w:val="18"/>
                <w:color w:val="auto"/>
              </w:rPr>
            </w:pPr>
          </w:p>
        </w:tc>
        <w:tc>
          <w:tcPr>
            <w:tcW w:w="13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(73.9)</w:t>
            </w:r>
          </w:p>
        </w:tc>
        <w:tc>
          <w:tcPr>
            <w:tcW w:w="8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3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116.9</w:t>
            </w:r>
          </w:p>
        </w:tc>
      </w:tr>
      <w:tr>
        <w:trPr>
          <w:trHeight w:val="195"/>
        </w:trPr>
        <w:tc>
          <w:tcPr>
            <w:tcW w:w="7180" w:type="dxa"/>
            <w:vAlign w:val="bottom"/>
            <w:gridSpan w:val="3"/>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5"/>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(33.8)</w:t>
            </w:r>
          </w:p>
        </w:tc>
        <w:tc>
          <w:tcPr>
            <w:tcW w:w="8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(29.1)</w:t>
            </w:r>
          </w:p>
        </w:tc>
      </w:tr>
      <w:tr>
        <w:trPr>
          <w:trHeight w:val="214"/>
        </w:trPr>
        <w:tc>
          <w:tcPr>
            <w:tcW w:w="7180" w:type="dxa"/>
            <w:vAlign w:val="bottom"/>
            <w:gridSpan w:val="3"/>
          </w:tcPr>
          <w:p>
            <w:pPr>
              <w:ind w:left="20"/>
              <w:spacing w:after="0"/>
              <w:rPr>
                <w:sz w:val="20"/>
                <w:szCs w:val="20"/>
                <w:color w:val="auto"/>
              </w:rPr>
            </w:pPr>
            <w:r>
              <w:rPr>
                <w:rFonts w:ascii="Arial" w:cs="Arial" w:eastAsia="Arial" w:hAnsi="Arial"/>
                <w:sz w:val="16"/>
                <w:szCs w:val="16"/>
                <w:color w:val="auto"/>
              </w:rPr>
              <w:t>Proceeds from sale of assets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6"/>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Purchase price adjustment for the Quality Uptime Acquisition</w:t>
            </w:r>
          </w:p>
        </w:tc>
        <w:tc>
          <w:tcPr>
            <w:tcW w:w="380" w:type="dxa"/>
            <w:vAlign w:val="bottom"/>
            <w:tcBorders>
              <w:bottom w:val="single" w:sz="8" w:color="auto"/>
            </w:tcBorders>
            <w:shd w:val="clear" w:color="auto" w:fill="DCE2EF"/>
          </w:tcPr>
          <w:p>
            <w:pPr>
              <w:spacing w:after="0"/>
              <w:rPr>
                <w:sz w:val="18"/>
                <w:szCs w:val="18"/>
                <w:color w:val="auto"/>
              </w:rPr>
            </w:pPr>
          </w:p>
        </w:tc>
        <w:tc>
          <w:tcPr>
            <w:tcW w:w="13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3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718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80" w:type="dxa"/>
            <w:vAlign w:val="bottom"/>
            <w:tcBorders>
              <w:bottom w:val="single" w:sz="8" w:color="DCE2E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r>
      <w:tr>
        <w:trPr>
          <w:trHeight w:val="195"/>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shd w:val="clear" w:color="auto" w:fill="DCE2EF"/>
          </w:tcPr>
          <w:p>
            <w:pPr>
              <w:spacing w:after="0"/>
              <w:rPr>
                <w:sz w:val="16"/>
                <w:szCs w:val="16"/>
                <w:color w:val="auto"/>
              </w:rPr>
            </w:pPr>
          </w:p>
        </w:tc>
        <w:tc>
          <w:tcPr>
            <w:tcW w:w="13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380" w:type="dxa"/>
            <w:vAlign w:val="bottom"/>
            <w:shd w:val="clear" w:color="auto" w:fill="DCE2EF"/>
          </w:tcPr>
          <w:p>
            <w:pPr>
              <w:spacing w:after="0"/>
              <w:rPr>
                <w:sz w:val="16"/>
                <w:szCs w:val="16"/>
                <w:color w:val="auto"/>
              </w:rPr>
            </w:pPr>
          </w:p>
        </w:tc>
        <w:tc>
          <w:tcPr>
            <w:tcW w:w="1320" w:type="dxa"/>
            <w:vAlign w:val="bottom"/>
            <w:shd w:val="clear" w:color="auto" w:fill="DCE2EF"/>
          </w:tcPr>
          <w:p>
            <w:pPr>
              <w:spacing w:after="0"/>
              <w:rPr>
                <w:sz w:val="16"/>
                <w:szCs w:val="16"/>
                <w:color w:val="auto"/>
              </w:rPr>
            </w:pPr>
          </w:p>
        </w:tc>
      </w:tr>
      <w:tr>
        <w:trPr>
          <w:trHeight w:val="214"/>
        </w:trPr>
        <w:tc>
          <w:tcPr>
            <w:tcW w:w="7180" w:type="dxa"/>
            <w:vAlign w:val="bottom"/>
            <w:gridSpan w:val="3"/>
          </w:tcPr>
          <w:p>
            <w:pPr>
              <w:ind w:left="20"/>
              <w:spacing w:after="0"/>
              <w:rPr>
                <w:sz w:val="20"/>
                <w:szCs w:val="20"/>
                <w:color w:val="auto"/>
              </w:rPr>
            </w:pPr>
            <w:r>
              <w:rPr>
                <w:rFonts w:ascii="Arial" w:cs="Arial" w:eastAsia="Arial" w:hAnsi="Arial"/>
                <w:sz w:val="16"/>
                <w:szCs w:val="16"/>
                <w:color w:val="auto"/>
              </w:rPr>
              <w:t>Taxes withheld from issuance of share-based compensation awards, net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6"/>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Repurchases of common stock, including excise taxes</w:t>
            </w: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(21.3)</w:t>
            </w:r>
          </w:p>
        </w:tc>
        <w:tc>
          <w:tcPr>
            <w:tcW w:w="8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(23.8)</w:t>
            </w:r>
          </w:p>
        </w:tc>
      </w:tr>
      <w:tr>
        <w:trPr>
          <w:trHeight w:val="214"/>
        </w:trPr>
        <w:tc>
          <w:tcPr>
            <w:tcW w:w="7180" w:type="dxa"/>
            <w:vAlign w:val="bottom"/>
            <w:gridSpan w:val="3"/>
          </w:tcPr>
          <w:p>
            <w:pPr>
              <w:ind w:left="20"/>
              <w:spacing w:after="0"/>
              <w:rPr>
                <w:sz w:val="20"/>
                <w:szCs w:val="20"/>
                <w:color w:val="auto"/>
              </w:rPr>
            </w:pPr>
            <w:r>
              <w:rPr>
                <w:rFonts w:ascii="Arial" w:cs="Arial" w:eastAsia="Arial" w:hAnsi="Arial"/>
                <w:sz w:val="16"/>
                <w:szCs w:val="16"/>
                <w:color w:val="auto"/>
              </w:rPr>
              <w:t>Dividends paid</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(28.3)</w:t>
            </w:r>
          </w:p>
        </w:tc>
      </w:tr>
      <w:tr>
        <w:trPr>
          <w:trHeight w:val="216"/>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Deferred financing costs paid</w:t>
            </w: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(8.0)</w:t>
            </w:r>
          </w:p>
        </w:tc>
        <w:tc>
          <w:tcPr>
            <w:tcW w:w="8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180" w:type="dxa"/>
            <w:vAlign w:val="bottom"/>
            <w:gridSpan w:val="3"/>
          </w:tcPr>
          <w:p>
            <w:pPr>
              <w:ind w:left="20"/>
              <w:spacing w:after="0"/>
              <w:rPr>
                <w:sz w:val="20"/>
                <w:szCs w:val="20"/>
                <w:color w:val="auto"/>
              </w:rPr>
            </w:pPr>
            <w:r>
              <w:rPr>
                <w:rFonts w:ascii="Arial" w:cs="Arial" w:eastAsia="Arial" w:hAnsi="Arial"/>
                <w:sz w:val="16"/>
                <w:szCs w:val="16"/>
                <w:color w:val="auto"/>
              </w:rPr>
              <w:t>Borrowings from debt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918.8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556.0</w:t>
            </w:r>
          </w:p>
        </w:tc>
      </w:tr>
      <w:tr>
        <w:trPr>
          <w:trHeight w:val="216"/>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Repayment of borrowings from debt</w:t>
            </w: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(700.0)</w:t>
            </w:r>
          </w:p>
        </w:tc>
        <w:tc>
          <w:tcPr>
            <w:tcW w:w="8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(597.3)</w:t>
            </w:r>
          </w:p>
        </w:tc>
      </w:tr>
      <w:tr>
        <w:trPr>
          <w:trHeight w:val="214"/>
        </w:trPr>
        <w:tc>
          <w:tcPr>
            <w:tcW w:w="7180" w:type="dxa"/>
            <w:vAlign w:val="bottom"/>
            <w:gridSpan w:val="3"/>
          </w:tcPr>
          <w:p>
            <w:pPr>
              <w:ind w:left="20"/>
              <w:spacing w:after="0"/>
              <w:rPr>
                <w:sz w:val="20"/>
                <w:szCs w:val="20"/>
                <w:color w:val="auto"/>
              </w:rPr>
            </w:pPr>
            <w:r>
              <w:rPr>
                <w:rFonts w:ascii="Arial" w:cs="Arial" w:eastAsia="Arial" w:hAnsi="Arial"/>
                <w:sz w:val="16"/>
                <w:szCs w:val="16"/>
                <w:color w:val="auto"/>
              </w:rPr>
              <w:t>Changes in book cash overdrafts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6"/>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Repayment of finance lease obligations</w:t>
            </w:r>
          </w:p>
        </w:tc>
        <w:tc>
          <w:tcPr>
            <w:tcW w:w="380" w:type="dxa"/>
            <w:vAlign w:val="bottom"/>
            <w:tcBorders>
              <w:bottom w:val="single" w:sz="8" w:color="auto"/>
            </w:tcBorders>
            <w:shd w:val="clear" w:color="auto" w:fill="DCE2EF"/>
          </w:tcPr>
          <w:p>
            <w:pPr>
              <w:spacing w:after="0"/>
              <w:rPr>
                <w:sz w:val="18"/>
                <w:szCs w:val="18"/>
                <w:color w:val="auto"/>
              </w:rPr>
            </w:pPr>
          </w:p>
        </w:tc>
        <w:tc>
          <w:tcPr>
            <w:tcW w:w="13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3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(2.0)</w:t>
            </w:r>
          </w:p>
        </w:tc>
      </w:tr>
      <w:tr>
        <w:trPr>
          <w:trHeight w:val="208"/>
        </w:trPr>
        <w:tc>
          <w:tcPr>
            <w:tcW w:w="718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w:t>
            </w:r>
          </w:p>
        </w:tc>
        <w:tc>
          <w:tcPr>
            <w:tcW w:w="80" w:type="dxa"/>
            <w:vAlign w:val="bottom"/>
            <w:tcBorders>
              <w:bottom w:val="single" w:sz="8" w:color="DCE2E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w:t>
            </w:r>
          </w:p>
        </w:tc>
      </w:tr>
      <w:tr>
        <w:trPr>
          <w:trHeight w:val="208"/>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380" w:type="dxa"/>
            <w:vAlign w:val="bottom"/>
            <w:tcBorders>
              <w:bottom w:val="single" w:sz="8" w:color="auto"/>
            </w:tcBorders>
            <w:shd w:val="clear" w:color="auto" w:fill="DCE2EF"/>
          </w:tcPr>
          <w:p>
            <w:pPr>
              <w:spacing w:after="0"/>
              <w:rPr>
                <w:sz w:val="18"/>
                <w:szCs w:val="18"/>
                <w:color w:val="auto"/>
              </w:rPr>
            </w:pPr>
          </w:p>
        </w:tc>
        <w:tc>
          <w:tcPr>
            <w:tcW w:w="13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3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0.8</w:t>
            </w:r>
          </w:p>
        </w:tc>
      </w:tr>
      <w:tr>
        <w:trPr>
          <w:trHeight w:val="208"/>
        </w:trPr>
        <w:tc>
          <w:tcPr>
            <w:tcW w:w="7180" w:type="dxa"/>
            <w:vAlign w:val="bottom"/>
            <w:gridSpan w:val="3"/>
          </w:tcPr>
          <w:p>
            <w:pPr>
              <w:ind w:left="20"/>
              <w:spacing w:after="0"/>
              <w:rPr>
                <w:sz w:val="20"/>
                <w:szCs w:val="20"/>
                <w:color w:val="auto"/>
              </w:rPr>
            </w:pPr>
            <w:r>
              <w:rPr>
                <w:rFonts w:ascii="Arial" w:cs="Arial" w:eastAsia="Arial" w:hAnsi="Arial"/>
                <w:sz w:val="16"/>
                <w:szCs w:val="16"/>
                <w:b w:val="1"/>
                <w:bCs w:val="1"/>
                <w:color w:val="auto"/>
              </w:rPr>
              <w:t>Net decrease in cash and cash equivalents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15"/>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Cash and cash equivalents at beginning of year</w:t>
            </w:r>
          </w:p>
        </w:tc>
        <w:tc>
          <w:tcPr>
            <w:tcW w:w="380" w:type="dxa"/>
            <w:vAlign w:val="bottom"/>
            <w:tcBorders>
              <w:bottom w:val="single" w:sz="8" w:color="auto"/>
            </w:tcBorders>
            <w:shd w:val="clear" w:color="auto" w:fill="DCE2EF"/>
          </w:tcPr>
          <w:p>
            <w:pPr>
              <w:spacing w:after="0"/>
              <w:rPr>
                <w:sz w:val="18"/>
                <w:szCs w:val="18"/>
                <w:color w:val="auto"/>
              </w:rPr>
            </w:pPr>
          </w:p>
        </w:tc>
        <w:tc>
          <w:tcPr>
            <w:tcW w:w="13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64.6</w:t>
            </w:r>
          </w:p>
        </w:tc>
        <w:tc>
          <w:tcPr>
            <w:tcW w:w="8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3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69.5</w:t>
            </w:r>
          </w:p>
        </w:tc>
      </w:tr>
      <w:tr>
        <w:trPr>
          <w:trHeight w:val="208"/>
        </w:trPr>
        <w:tc>
          <w:tcPr>
            <w:tcW w:w="7180" w:type="dxa"/>
            <w:vAlign w:val="bottom"/>
            <w:gridSpan w:val="3"/>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w:t>
            </w: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72390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660"/>
          </w:cols>
          <w:pgMar w:left="620" w:top="1088" w:right="6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NOTES TO CONSOLIDATED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(UNAUDITED)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 THE COMPANY AND 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ABM is a leading provider of integrated facility services with a mission to make a difference, every person, every day. We are organized into four industry groups and one Technical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986155</wp:posOffset>
            </wp:positionH>
            <wp:positionV relativeFrom="paragraph">
              <wp:posOffset>74930</wp:posOffset>
            </wp:positionV>
            <wp:extent cx="5179060" cy="8788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79060" cy="87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Through these groups, we offer janitorial, facilities engineering, parking, and specialized mechanical and electrical technical solutions, on a standalone basis or in combination with other services.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2. BASIS OF PRESENTATION AND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Basis of Presentation</w:t>
      </w:r>
    </w:p>
    <w:p>
      <w:pPr>
        <w:spacing w:after="0" w:line="169"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(i) United States generally accepted accounting principles (“U.S. GAAP”) for interim financial information and (ii) the instructions to Form 10-Q and Article 10 of Regulation S-X. In the opinion of our management, our unaudited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The Financial Statements should be read in conjunction with our audited consolidated financial statements (and notes thereto) in our Annual Report on Form 10-K for the year ended October 31, 2024. Unless otherwise indicated, all references to years are to our fiscal years, which end on October 31.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Rounding</w:t>
      </w:r>
    </w:p>
    <w:p>
      <w:pPr>
        <w:spacing w:after="0" w:line="169"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We round amounts in the Financial Statements to millions and calculate all percentages and per-share data from the underlying whole-dollar amounts. Thus, certain amounts may not foot, crossfoot, or recalculate based on reported numbers due to rounding.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Management Reimbursement Revenue by Segment</w:t>
      </w:r>
    </w:p>
    <w:p>
      <w:pPr>
        <w:spacing w:after="0" w:line="169"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We operate certain parking facilities under management reimbursement arrangements. Under these arrangements, we manage the parking facilities for management fees and pass through the revenues and expenses associated with the facilities to the owners. These revenues and expenses are reported in equal amounts as costs reimbursed from our managed locations. Management reimbursement revenue for the three and six months ended April 30, 2025, was $84.5 million and $166.5 million, respectively. Management reimbursement revenue for the three and six months ended April 30, 2024, was $76.9 million and $157.0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Recently Adopted Accounting Standards</w:t>
      </w:r>
    </w:p>
    <w:p>
      <w:pPr>
        <w:spacing w:after="0" w:line="169" w:lineRule="exact"/>
        <w:rPr>
          <w:sz w:val="20"/>
          <w:szCs w:val="20"/>
          <w:color w:val="auto"/>
        </w:rPr>
      </w:pPr>
    </w:p>
    <w:p>
      <w:pPr>
        <w:jc w:val="both"/>
        <w:ind w:firstLine="645"/>
        <w:spacing w:after="0" w:line="256" w:lineRule="auto"/>
        <w:rPr>
          <w:sz w:val="20"/>
          <w:szCs w:val="20"/>
          <w:color w:val="auto"/>
        </w:rPr>
      </w:pPr>
      <w:r>
        <w:rPr>
          <w:rFonts w:ascii="Arial" w:cs="Arial" w:eastAsia="Arial" w:hAnsi="Arial"/>
          <w:sz w:val="18"/>
          <w:szCs w:val="18"/>
          <w:color w:val="auto"/>
        </w:rPr>
        <w:t xml:space="preserve">In September 2022, the FASB issued ASU 2022-04, </w:t>
      </w:r>
      <w:r>
        <w:rPr>
          <w:rFonts w:ascii="Arial" w:cs="Arial" w:eastAsia="Arial" w:hAnsi="Arial"/>
          <w:sz w:val="18"/>
          <w:szCs w:val="18"/>
          <w:i w:val="1"/>
          <w:iCs w:val="1"/>
          <w:color w:val="auto"/>
        </w:rPr>
        <w:t>Liabilities — Supplier Finance Programs (Subtopic 405-50): 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Supplier Finance Program Obligations</w:t>
      </w:r>
      <w:r>
        <w:rPr>
          <w:rFonts w:ascii="Arial" w:cs="Arial" w:eastAsia="Arial" w:hAnsi="Arial"/>
          <w:sz w:val="18"/>
          <w:szCs w:val="18"/>
          <w:color w:val="auto"/>
        </w:rPr>
        <w:t>, designed to enhance transparency around supplier finance programs by requiring new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that would allow a user of the financial statements to understand the program’s nature, activity during the period, changes from period to period, and potential magnitude. This ASU is effective for fiscal years beginning after December 15, 2022, including interim periods within those fiscal years, except for the amendment on rollforward information, which is effective for fiscal years beginning after December 15, 2023, with early adoption permitted. We adopted this standard, effective November 1, 2023, and adopted the</w:t>
      </w:r>
    </w:p>
    <w:p>
      <w:pPr>
        <w:sectPr>
          <w:pgSz w:w="11900" w:h="16838" w:orient="portrait"/>
          <w:cols w:equalWidth="0" w:num="1">
            <w:col w:w="11240"/>
          </w:cols>
          <w:pgMar w:left="320" w:top="1249"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80010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type w:val="continuous"/>
        </w:sectPr>
      </w:pPr>
    </w:p>
    <w:bookmarkStart w:id="10" w:name="page11"/>
    <w:bookmarkEnd w:id="10"/>
    <w:p>
      <w:pPr>
        <w:spacing w:after="0" w:line="285" w:lineRule="auto"/>
        <w:rPr>
          <w:sz w:val="20"/>
          <w:szCs w:val="20"/>
          <w:color w:val="auto"/>
        </w:rPr>
      </w:pPr>
      <w:r>
        <w:rPr>
          <w:rFonts w:ascii="Arial" w:cs="Arial" w:eastAsia="Arial" w:hAnsi="Arial"/>
          <w:sz w:val="18"/>
          <w:szCs w:val="18"/>
          <w:color w:val="auto"/>
        </w:rPr>
        <w:t>rollforward requirement, effective November 1, 2024, on a prospective basis. We do not participate in any material supplier finance programs and, as such, the adoption of this guidance did not have an impact on our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0046AD"/>
        </w:rPr>
        <w:t>3.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Acquisition of Quality Uptime</w:t>
      </w:r>
    </w:p>
    <w:p>
      <w:pPr>
        <w:spacing w:after="0" w:line="169"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Effective June 21, 2024, we acquired Quality Uptime Services, Inc. (“Quality Uptime”), an uninterrupted power supply system (“UPS”) installation and maintenance company providing customized preventive and emergency service programs for mission-critical data centers and other facilities, for a net cash purchase price of approximately $ 116.3 million. The acquisition was accounted for under the acquisition method. Accordingly, the assets acquired and liabilities assumed were recognized on the date of acquisition at their estimated fair values, with the excess of the purchase price recorded as goodwill. The goodwill is amortizable over 15 years for income tax purposes. As of April 30, 2025, we recorded preliminary goodwill and intangibles of $77.4 million and $35.2 million, respectively. The total assets acquired, excluding goodwill and intangibles, and liabilities assumed amounted to $24.0 million and $20.3 million, respectively. The acquisition accounting is subject to change as we obtain additional information about the facts and circumstances that existed as of the acquisition date during the measurement period, not to exceed one year from the acquisition date.</w:t>
      </w:r>
    </w:p>
    <w:p>
      <w:pPr>
        <w:spacing w:after="0" w:line="132"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The unaudited Consolidated Statements of Comprehensive Income for the three and six months ended April 30, 2025, include revenues of $16.6 million and $29.3 million, respectively, attributable to Quality Uptime, which are included in our Technical Solutions segment.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Acquisition of RavenVolt</w:t>
      </w:r>
    </w:p>
    <w:p>
      <w:pPr>
        <w:spacing w:after="0" w:line="169"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On September 1, 2022, we completed the acquisition of all of the equity interests of RavenVolt, Inc. (“RavenVolt”), a nationwide provider of advanced turn-key microgrid systems utilized by diversified commercial and industrial customers, national retailers, utilities, and municipalities. RavenVolt’s operations are included within our Technical Solutions segment.</w:t>
      </w:r>
    </w:p>
    <w:p>
      <w:pPr>
        <w:spacing w:after="0" w:line="115"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The purchase price for the acquisition was approximately $ 170.0 million in cash at closing plus the potential of post-closing contingent consideration of up to $280.0 million. The estimate of the fair value of the contingent consideration on the date of acquisition was $59.0 million. The post-closing contingent consideration would be payable in cash in calendar years 2024, 2025, and 2026 if RavenVolt’s earnings before interest, taxes, depreciation, and amortization (“EBITDA”), as defined in the RavenVolt merger agreement, meets or exceeds certain defined targets. In 2024, defined EBITDA targets were not achieved, and as a result, no contingent consideration payment was made in 2024 for calendar year 2023. At October 31, 2024, the estimate of the fair value of the contingent consideration was $109.1 million. There was no material change in the fair value of the contingent consideration during the three and six months ended April 30, 2025. In the third quarter of 2025, we made a $75.0 million payment for calendar year 2024. The maximum remaining contingent consideration that could be payable in calendar year 2026 is $130.0 million. If the EBITDA achieved for calendar years 2023–2025 cumulatively meets the defined EBITDA targets, the entire $280.0 million would be paid in calendar year 2026, minus any earn-out payments made in 2024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0046AD"/>
        </w:rPr>
        <w:t>4.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Disaggregation of Revenues</w:t>
      </w:r>
    </w:p>
    <w:p>
      <w:pPr>
        <w:spacing w:after="0" w:line="169"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We generate revenues under several types of contracts, which are further explained below. Generally, the type of contract is determined by the nature of the services provided by each of our major service lines throughout our reportable segments; therefore, we disaggregate revenues from contracts with customers into major service lines. We have determined that disaggregating revenues into these categories best depicts how the nature, amount, timing, and uncertainty of revenues and cash flows are affected by economic factors. Our reportable segments are B&amp;I, M&amp;D, Aviation, Education, and Technical Solutions, as described in Note 12, “Segment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17"/>
          </w:tcPr>
          <w:p>
            <w:pPr>
              <w:ind w:left="360"/>
              <w:spacing w:after="0"/>
              <w:rPr>
                <w:sz w:val="20"/>
                <w:szCs w:val="20"/>
                <w:color w:val="auto"/>
              </w:rPr>
            </w:pPr>
            <w:r>
              <w:rPr>
                <w:rFonts w:ascii="Arial" w:cs="Arial" w:eastAsia="Arial" w:hAnsi="Arial"/>
                <w:sz w:val="14"/>
                <w:szCs w:val="14"/>
                <w:b w:val="1"/>
                <w:bCs w:val="1"/>
                <w:color w:val="auto"/>
              </w:rPr>
              <w:t>Three Months Ended April 30, 2025</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11"/>
          </w:tcPr>
          <w:p>
            <w:pPr>
              <w:ind w:left="40"/>
              <w:spacing w:after="0"/>
              <w:rPr>
                <w:sz w:val="20"/>
                <w:szCs w:val="20"/>
                <w:color w:val="auto"/>
              </w:rPr>
            </w:pPr>
            <w:r>
              <w:rPr>
                <w:rFonts w:ascii="Arial" w:cs="Arial" w:eastAsia="Arial" w:hAnsi="Arial"/>
                <w:sz w:val="14"/>
                <w:szCs w:val="14"/>
                <w:b w:val="1"/>
                <w:bCs w:val="1"/>
                <w:color w:val="auto"/>
              </w:rPr>
              <w:t>Six Months Ended April 30, 2025</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10"/>
                <w:szCs w:val="10"/>
                <w:color w:val="auto"/>
              </w:rPr>
            </w:pPr>
          </w:p>
        </w:tc>
        <w:tc>
          <w:tcPr>
            <w:tcW w:w="5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B&amp;I</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M&amp;D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Aviation</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Education</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ind w:left="20"/>
              <w:spacing w:after="0" w:line="116" w:lineRule="exact"/>
              <w:rPr>
                <w:sz w:val="20"/>
                <w:szCs w:val="20"/>
                <w:color w:val="auto"/>
              </w:rPr>
            </w:pPr>
            <w:r>
              <w:rPr>
                <w:rFonts w:ascii="Arial" w:cs="Arial" w:eastAsia="Arial" w:hAnsi="Arial"/>
                <w:sz w:val="13"/>
                <w:szCs w:val="13"/>
                <w:b w:val="1"/>
                <w:bCs w:val="1"/>
                <w:color w:val="auto"/>
              </w:rPr>
              <w:t>Technical</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B&amp;I</w:t>
            </w:r>
          </w:p>
        </w:tc>
        <w:tc>
          <w:tcPr>
            <w:tcW w:w="120" w:type="dxa"/>
            <w:vAlign w:val="bottom"/>
          </w:tcPr>
          <w:p>
            <w:pPr>
              <w:spacing w:after="0"/>
              <w:rPr>
                <w:sz w:val="10"/>
                <w:szCs w:val="10"/>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M&amp;D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Aviation</w:t>
            </w:r>
          </w:p>
        </w:tc>
        <w:tc>
          <w:tcPr>
            <w:tcW w:w="12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Education</w:t>
            </w:r>
          </w:p>
        </w:tc>
        <w:tc>
          <w:tcPr>
            <w:tcW w:w="120" w:type="dxa"/>
            <w:vAlign w:val="bottom"/>
          </w:tcPr>
          <w:p>
            <w:pPr>
              <w:spacing w:after="0"/>
              <w:rPr>
                <w:sz w:val="10"/>
                <w:szCs w:val="10"/>
                <w:color w:val="auto"/>
              </w:rPr>
            </w:pPr>
          </w:p>
        </w:tc>
        <w:tc>
          <w:tcPr>
            <w:tcW w:w="860" w:type="dxa"/>
            <w:vAlign w:val="bottom"/>
            <w:gridSpan w:val="2"/>
          </w:tcPr>
          <w:p>
            <w:pPr>
              <w:ind w:left="40"/>
              <w:spacing w:after="0" w:line="116" w:lineRule="exact"/>
              <w:rPr>
                <w:sz w:val="20"/>
                <w:szCs w:val="20"/>
                <w:color w:val="auto"/>
              </w:rPr>
            </w:pPr>
            <w:r>
              <w:rPr>
                <w:rFonts w:ascii="Arial" w:cs="Arial" w:eastAsia="Arial" w:hAnsi="Arial"/>
                <w:sz w:val="13"/>
                <w:szCs w:val="13"/>
                <w:b w:val="1"/>
                <w:bCs w:val="1"/>
                <w:color w:val="auto"/>
              </w:rPr>
              <w:t>Technical</w:t>
            </w:r>
          </w:p>
        </w:tc>
        <w:tc>
          <w:tcPr>
            <w:tcW w:w="140" w:type="dxa"/>
            <w:vAlign w:val="bottom"/>
          </w:tcPr>
          <w:p>
            <w:pPr>
              <w:spacing w:after="0"/>
              <w:rPr>
                <w:sz w:val="10"/>
                <w:szCs w:val="10"/>
                <w:color w:val="auto"/>
              </w:rPr>
            </w:pPr>
          </w:p>
        </w:tc>
        <w:tc>
          <w:tcPr>
            <w:tcW w:w="58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20"/>
              <w:spacing w:after="0" w:line="148" w:lineRule="exact"/>
              <w:rPr>
                <w:sz w:val="20"/>
                <w:szCs w:val="20"/>
                <w:color w:val="auto"/>
              </w:rPr>
            </w:pPr>
            <w:r>
              <w:rPr>
                <w:rFonts w:ascii="Arial" w:cs="Arial" w:eastAsia="Arial" w:hAnsi="Arial"/>
                <w:sz w:val="13"/>
                <w:szCs w:val="13"/>
                <w:b w:val="1"/>
                <w:bCs w:val="1"/>
                <w:color w:val="auto"/>
              </w:rPr>
              <w:t>Solutions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40"/>
              <w:spacing w:after="0" w:line="148" w:lineRule="exact"/>
              <w:rPr>
                <w:sz w:val="20"/>
                <w:szCs w:val="20"/>
                <w:color w:val="auto"/>
              </w:rPr>
            </w:pPr>
            <w:r>
              <w:rPr>
                <w:rFonts w:ascii="Arial" w:cs="Arial" w:eastAsia="Arial" w:hAnsi="Arial"/>
                <w:sz w:val="13"/>
                <w:szCs w:val="13"/>
                <w:b w:val="1"/>
                <w:bCs w:val="1"/>
                <w:color w:val="auto"/>
              </w:rPr>
              <w:t>Solutions</w:t>
            </w: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top w:val="single" w:sz="8" w:color="auto"/>
              <w:bottom w:val="single" w:sz="8" w:color="DCE2EF"/>
            </w:tcBorders>
          </w:tcPr>
          <w:p>
            <w:pPr>
              <w:spacing w:after="0" w:line="20" w:lineRule="exact"/>
              <w:rPr>
                <w:sz w:val="1"/>
                <w:szCs w:val="1"/>
                <w:color w:val="auto"/>
              </w:rPr>
            </w:pPr>
          </w:p>
        </w:tc>
        <w:tc>
          <w:tcPr>
            <w:tcW w:w="74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DCE2EF"/>
          </w:tcPr>
          <w:p>
            <w:pPr>
              <w:spacing w:after="0"/>
              <w:rPr>
                <w:sz w:val="14"/>
                <w:szCs w:val="14"/>
                <w:color w:val="auto"/>
              </w:rPr>
            </w:pPr>
          </w:p>
        </w:tc>
        <w:tc>
          <w:tcPr>
            <w:tcW w:w="142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Major Service Line</w:t>
            </w:r>
          </w:p>
        </w:tc>
        <w:tc>
          <w:tcPr>
            <w:tcW w:w="140" w:type="dxa"/>
            <w:vAlign w:val="bottom"/>
            <w:shd w:val="clear" w:color="auto" w:fill="DCE2EF"/>
          </w:tcPr>
          <w:p>
            <w:pPr>
              <w:spacing w:after="0"/>
              <w:rPr>
                <w:sz w:val="14"/>
                <w:szCs w:val="14"/>
                <w:color w:val="auto"/>
              </w:rPr>
            </w:pPr>
          </w:p>
        </w:tc>
        <w:tc>
          <w:tcPr>
            <w:tcW w:w="520" w:type="dxa"/>
            <w:vAlign w:val="bottom"/>
            <w:shd w:val="clear" w:color="auto" w:fill="DCE2EF"/>
          </w:tcPr>
          <w:p>
            <w:pPr>
              <w:spacing w:after="0"/>
              <w:rPr>
                <w:sz w:val="14"/>
                <w:szCs w:val="14"/>
                <w:color w:val="auto"/>
              </w:rPr>
            </w:pPr>
          </w:p>
        </w:tc>
        <w:tc>
          <w:tcPr>
            <w:tcW w:w="40" w:type="dxa"/>
            <w:vAlign w:val="bottom"/>
            <w:shd w:val="clear" w:color="auto" w:fill="DCE2EF"/>
          </w:tcPr>
          <w:p>
            <w:pPr>
              <w:spacing w:after="0"/>
              <w:rPr>
                <w:sz w:val="14"/>
                <w:szCs w:val="14"/>
                <w:color w:val="auto"/>
              </w:rPr>
            </w:pPr>
          </w:p>
        </w:tc>
        <w:tc>
          <w:tcPr>
            <w:tcW w:w="60" w:type="dxa"/>
            <w:vAlign w:val="bottom"/>
            <w:shd w:val="clear" w:color="auto" w:fill="DCE2EF"/>
          </w:tcPr>
          <w:p>
            <w:pPr>
              <w:spacing w:after="0"/>
              <w:rPr>
                <w:sz w:val="14"/>
                <w:szCs w:val="14"/>
                <w:color w:val="auto"/>
              </w:rPr>
            </w:pPr>
          </w:p>
        </w:tc>
        <w:tc>
          <w:tcPr>
            <w:tcW w:w="4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420" w:type="dxa"/>
            <w:vAlign w:val="bottom"/>
            <w:shd w:val="clear" w:color="auto" w:fill="DCE2EF"/>
          </w:tcPr>
          <w:p>
            <w:pPr>
              <w:spacing w:after="0"/>
              <w:rPr>
                <w:sz w:val="14"/>
                <w:szCs w:val="14"/>
                <w:color w:val="auto"/>
              </w:rPr>
            </w:pPr>
          </w:p>
        </w:tc>
        <w:tc>
          <w:tcPr>
            <w:tcW w:w="40" w:type="dxa"/>
            <w:vAlign w:val="bottom"/>
            <w:shd w:val="clear" w:color="auto" w:fill="DCE2EF"/>
          </w:tcPr>
          <w:p>
            <w:pPr>
              <w:spacing w:after="0"/>
              <w:rPr>
                <w:sz w:val="14"/>
                <w:szCs w:val="14"/>
                <w:color w:val="auto"/>
              </w:rPr>
            </w:pPr>
          </w:p>
        </w:tc>
        <w:tc>
          <w:tcPr>
            <w:tcW w:w="60" w:type="dxa"/>
            <w:vAlign w:val="bottom"/>
            <w:shd w:val="clear" w:color="auto" w:fill="DCE2EF"/>
          </w:tcPr>
          <w:p>
            <w:pPr>
              <w:spacing w:after="0"/>
              <w:rPr>
                <w:sz w:val="14"/>
                <w:szCs w:val="14"/>
                <w:color w:val="auto"/>
              </w:rPr>
            </w:pPr>
          </w:p>
        </w:tc>
        <w:tc>
          <w:tcPr>
            <w:tcW w:w="4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560" w:type="dxa"/>
            <w:vAlign w:val="bottom"/>
            <w:shd w:val="clear" w:color="auto" w:fill="DCE2EF"/>
          </w:tcPr>
          <w:p>
            <w:pPr>
              <w:spacing w:after="0"/>
              <w:rPr>
                <w:sz w:val="14"/>
                <w:szCs w:val="14"/>
                <w:color w:val="auto"/>
              </w:rPr>
            </w:pPr>
          </w:p>
        </w:tc>
        <w:tc>
          <w:tcPr>
            <w:tcW w:w="40" w:type="dxa"/>
            <w:vAlign w:val="bottom"/>
            <w:shd w:val="clear" w:color="auto" w:fill="DCE2EF"/>
          </w:tcPr>
          <w:p>
            <w:pPr>
              <w:spacing w:after="0"/>
              <w:rPr>
                <w:sz w:val="14"/>
                <w:szCs w:val="14"/>
                <w:color w:val="auto"/>
              </w:rPr>
            </w:pPr>
          </w:p>
        </w:tc>
        <w:tc>
          <w:tcPr>
            <w:tcW w:w="40" w:type="dxa"/>
            <w:vAlign w:val="bottom"/>
            <w:shd w:val="clear" w:color="auto" w:fill="DCE2EF"/>
          </w:tcPr>
          <w:p>
            <w:pPr>
              <w:spacing w:after="0"/>
              <w:rPr>
                <w:sz w:val="14"/>
                <w:szCs w:val="14"/>
                <w:color w:val="auto"/>
              </w:rPr>
            </w:pPr>
          </w:p>
        </w:tc>
        <w:tc>
          <w:tcPr>
            <w:tcW w:w="4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680" w:type="dxa"/>
            <w:vAlign w:val="bottom"/>
            <w:shd w:val="clear" w:color="auto" w:fill="DCE2EF"/>
          </w:tcPr>
          <w:p>
            <w:pPr>
              <w:spacing w:after="0"/>
              <w:rPr>
                <w:sz w:val="14"/>
                <w:szCs w:val="14"/>
                <w:color w:val="auto"/>
              </w:rPr>
            </w:pPr>
          </w:p>
        </w:tc>
        <w:tc>
          <w:tcPr>
            <w:tcW w:w="40" w:type="dxa"/>
            <w:vAlign w:val="bottom"/>
            <w:shd w:val="clear" w:color="auto" w:fill="DCE2EF"/>
          </w:tcPr>
          <w:p>
            <w:pPr>
              <w:spacing w:after="0"/>
              <w:rPr>
                <w:sz w:val="14"/>
                <w:szCs w:val="14"/>
                <w:color w:val="auto"/>
              </w:rPr>
            </w:pPr>
          </w:p>
        </w:tc>
        <w:tc>
          <w:tcPr>
            <w:tcW w:w="60" w:type="dxa"/>
            <w:vAlign w:val="bottom"/>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680" w:type="dxa"/>
            <w:vAlign w:val="bottom"/>
            <w:shd w:val="clear" w:color="auto" w:fill="DCE2EF"/>
          </w:tcPr>
          <w:p>
            <w:pPr>
              <w:spacing w:after="0"/>
              <w:rPr>
                <w:sz w:val="14"/>
                <w:szCs w:val="14"/>
                <w:color w:val="auto"/>
              </w:rPr>
            </w:pPr>
          </w:p>
        </w:tc>
        <w:tc>
          <w:tcPr>
            <w:tcW w:w="40" w:type="dxa"/>
            <w:vAlign w:val="bottom"/>
            <w:shd w:val="clear" w:color="auto" w:fill="DCE2EF"/>
          </w:tcPr>
          <w:p>
            <w:pPr>
              <w:spacing w:after="0"/>
              <w:rPr>
                <w:sz w:val="14"/>
                <w:szCs w:val="14"/>
                <w:color w:val="auto"/>
              </w:rPr>
            </w:pPr>
          </w:p>
        </w:tc>
        <w:tc>
          <w:tcPr>
            <w:tcW w:w="60" w:type="dxa"/>
            <w:vAlign w:val="bottom"/>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140" w:type="dxa"/>
            <w:vAlign w:val="bottom"/>
            <w:shd w:val="clear" w:color="auto" w:fill="DCE2EF"/>
          </w:tcPr>
          <w:p>
            <w:pPr>
              <w:spacing w:after="0"/>
              <w:rPr>
                <w:sz w:val="14"/>
                <w:szCs w:val="14"/>
                <w:color w:val="auto"/>
              </w:rPr>
            </w:pPr>
          </w:p>
        </w:tc>
        <w:tc>
          <w:tcPr>
            <w:tcW w:w="560" w:type="dxa"/>
            <w:vAlign w:val="bottom"/>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60" w:type="dxa"/>
            <w:vAlign w:val="bottom"/>
            <w:shd w:val="clear" w:color="auto" w:fill="DCE2EF"/>
          </w:tcPr>
          <w:p>
            <w:pPr>
              <w:spacing w:after="0"/>
              <w:rPr>
                <w:sz w:val="14"/>
                <w:szCs w:val="14"/>
                <w:color w:val="auto"/>
              </w:rPr>
            </w:pPr>
          </w:p>
        </w:tc>
        <w:tc>
          <w:tcPr>
            <w:tcW w:w="40" w:type="dxa"/>
            <w:vAlign w:val="bottom"/>
            <w:shd w:val="clear" w:color="auto" w:fill="DCE2EF"/>
          </w:tcPr>
          <w:p>
            <w:pPr>
              <w:spacing w:after="0"/>
              <w:rPr>
                <w:sz w:val="14"/>
                <w:szCs w:val="14"/>
                <w:color w:val="auto"/>
              </w:rPr>
            </w:pPr>
          </w:p>
        </w:tc>
        <w:tc>
          <w:tcPr>
            <w:tcW w:w="140" w:type="dxa"/>
            <w:vAlign w:val="bottom"/>
            <w:shd w:val="clear" w:color="auto" w:fill="DCE2EF"/>
          </w:tcPr>
          <w:p>
            <w:pPr>
              <w:spacing w:after="0"/>
              <w:rPr>
                <w:sz w:val="14"/>
                <w:szCs w:val="14"/>
                <w:color w:val="auto"/>
              </w:rPr>
            </w:pPr>
          </w:p>
        </w:tc>
        <w:tc>
          <w:tcPr>
            <w:tcW w:w="56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440" w:type="dxa"/>
            <w:vAlign w:val="bottom"/>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62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76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76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40" w:type="dxa"/>
            <w:vAlign w:val="bottom"/>
            <w:shd w:val="clear" w:color="auto" w:fill="DCE2EF"/>
          </w:tcPr>
          <w:p>
            <w:pPr>
              <w:spacing w:after="0"/>
              <w:rPr>
                <w:sz w:val="14"/>
                <w:szCs w:val="14"/>
                <w:color w:val="auto"/>
              </w:rPr>
            </w:pPr>
          </w:p>
        </w:tc>
        <w:tc>
          <w:tcPr>
            <w:tcW w:w="580" w:type="dxa"/>
            <w:vAlign w:val="bottom"/>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20" w:type="dxa"/>
            <w:vAlign w:val="bottom"/>
            <w:gridSpan w:val="2"/>
          </w:tcPr>
          <w:p>
            <w:pPr>
              <w:ind w:left="120"/>
              <w:spacing w:after="0" w:line="188" w:lineRule="exact"/>
              <w:rPr>
                <w:sz w:val="20"/>
                <w:szCs w:val="20"/>
                <w:color w:val="auto"/>
              </w:rPr>
            </w:pPr>
            <w:r>
              <w:rPr>
                <w:rFonts w:ascii="Arial" w:cs="Arial" w:eastAsia="Arial" w:hAnsi="Arial"/>
                <w:sz w:val="14"/>
                <w:szCs w:val="14"/>
                <w:color w:val="auto"/>
              </w:rPr>
              <w:t>Janitorial</w:t>
            </w:r>
            <w:r>
              <w:rPr>
                <w:rFonts w:ascii="Arial" w:cs="Arial" w:eastAsia="Arial" w:hAnsi="Arial"/>
                <w:sz w:val="17"/>
                <w:szCs w:val="17"/>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706.6</w:t>
            </w:r>
          </w:p>
        </w:tc>
        <w:tc>
          <w:tcPr>
            <w:tcW w:w="4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339.3</w:t>
            </w:r>
          </w:p>
        </w:tc>
        <w:tc>
          <w:tcPr>
            <w:tcW w:w="4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52.7</w:t>
            </w:r>
          </w:p>
        </w:tc>
        <w:tc>
          <w:tcPr>
            <w:tcW w:w="40" w:type="dxa"/>
            <w:vAlign w:val="bottom"/>
          </w:tcPr>
          <w:p>
            <w:pPr>
              <w:spacing w:after="0"/>
              <w:rPr>
                <w:sz w:val="16"/>
                <w:szCs w:val="16"/>
                <w:color w:val="auto"/>
              </w:rPr>
            </w:pP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197.9</w:t>
            </w:r>
          </w:p>
        </w:tc>
        <w:tc>
          <w:tcPr>
            <w:tcW w:w="40" w:type="dxa"/>
            <w:vAlign w:val="bottom"/>
          </w:tcPr>
          <w:p>
            <w:pPr>
              <w:spacing w:after="0"/>
              <w:rPr>
                <w:sz w:val="16"/>
                <w:szCs w:val="16"/>
                <w:color w:val="auto"/>
              </w:rPr>
            </w:pP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1,296.5</w:t>
            </w:r>
          </w:p>
        </w:tc>
        <w:tc>
          <w:tcPr>
            <w:tcW w:w="2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1,404.4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667.5</w:t>
            </w:r>
          </w:p>
        </w:tc>
        <w:tc>
          <w:tcPr>
            <w:tcW w:w="20" w:type="dxa"/>
            <w:vAlign w:val="bottom"/>
          </w:tcPr>
          <w:p>
            <w:pPr>
              <w:spacing w:after="0"/>
              <w:rPr>
                <w:sz w:val="16"/>
                <w:szCs w:val="16"/>
                <w:color w:val="auto"/>
              </w:rPr>
            </w:pP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3"/>
              <w:spacing w:after="0"/>
              <w:rPr>
                <w:sz w:val="20"/>
                <w:szCs w:val="20"/>
                <w:color w:val="auto"/>
              </w:rPr>
            </w:pPr>
            <w:r>
              <w:rPr>
                <w:rFonts w:ascii="Arial" w:cs="Arial" w:eastAsia="Arial" w:hAnsi="Arial"/>
                <w:sz w:val="14"/>
                <w:szCs w:val="14"/>
                <w:color w:val="auto"/>
              </w:rPr>
              <w:t>105.9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394.4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2,572.3</w:t>
            </w:r>
          </w:p>
        </w:tc>
        <w:tc>
          <w:tcPr>
            <w:tcW w:w="0" w:type="dxa"/>
            <w:vAlign w:val="bottom"/>
          </w:tcPr>
          <w:p>
            <w:pPr>
              <w:spacing w:after="0"/>
              <w:rPr>
                <w:sz w:val="1"/>
                <w:szCs w:val="1"/>
                <w:color w:val="auto"/>
              </w:rPr>
            </w:pPr>
          </w:p>
        </w:tc>
      </w:tr>
      <w:tr>
        <w:trPr>
          <w:trHeight w:val="188"/>
        </w:trPr>
        <w:tc>
          <w:tcPr>
            <w:tcW w:w="20" w:type="dxa"/>
            <w:vAlign w:val="bottom"/>
            <w:shd w:val="clear" w:color="auto" w:fill="DCE2EF"/>
          </w:tcPr>
          <w:p>
            <w:pPr>
              <w:spacing w:after="0"/>
              <w:rPr>
                <w:sz w:val="16"/>
                <w:szCs w:val="16"/>
                <w:color w:val="auto"/>
              </w:rPr>
            </w:pPr>
          </w:p>
        </w:tc>
        <w:tc>
          <w:tcPr>
            <w:tcW w:w="1420" w:type="dxa"/>
            <w:vAlign w:val="bottom"/>
            <w:gridSpan w:val="2"/>
            <w:shd w:val="clear" w:color="auto" w:fill="DCE2EF"/>
          </w:tcPr>
          <w:p>
            <w:pPr>
              <w:ind w:left="120"/>
              <w:spacing w:after="0" w:line="188" w:lineRule="exact"/>
              <w:rPr>
                <w:sz w:val="20"/>
                <w:szCs w:val="20"/>
                <w:color w:val="auto"/>
              </w:rPr>
            </w:pPr>
            <w:r>
              <w:rPr>
                <w:rFonts w:ascii="Arial" w:cs="Arial" w:eastAsia="Arial" w:hAnsi="Arial"/>
                <w:sz w:val="14"/>
                <w:szCs w:val="14"/>
                <w:color w:val="auto"/>
              </w:rPr>
              <w:t>Aviation Services</w:t>
            </w:r>
            <w:r>
              <w:rPr>
                <w:rFonts w:ascii="Arial" w:cs="Arial" w:eastAsia="Arial" w:hAnsi="Arial"/>
                <w:sz w:val="17"/>
                <w:szCs w:val="17"/>
                <w:color w:val="auto"/>
                <w:vertAlign w:val="superscript"/>
              </w:rPr>
              <w:t>(2)</w:t>
            </w:r>
          </w:p>
        </w:tc>
        <w:tc>
          <w:tcPr>
            <w:tcW w:w="140" w:type="dxa"/>
            <w:vAlign w:val="bottom"/>
            <w:shd w:val="clear" w:color="auto" w:fill="DCE2EF"/>
          </w:tcPr>
          <w:p>
            <w:pPr>
              <w:spacing w:after="0"/>
              <w:rPr>
                <w:sz w:val="16"/>
                <w:szCs w:val="16"/>
                <w:color w:val="auto"/>
              </w:rPr>
            </w:pPr>
          </w:p>
        </w:tc>
        <w:tc>
          <w:tcPr>
            <w:tcW w:w="560" w:type="dxa"/>
            <w:vAlign w:val="bottom"/>
            <w:gridSpan w:val="2"/>
            <w:shd w:val="clear" w:color="auto" w:fill="DCE2E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460" w:type="dxa"/>
            <w:vAlign w:val="bottom"/>
            <w:gridSpan w:val="2"/>
            <w:shd w:val="clear" w:color="auto" w:fill="DCE2E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116.4</w:t>
            </w:r>
          </w:p>
        </w:tc>
        <w:tc>
          <w:tcPr>
            <w:tcW w:w="4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720" w:type="dxa"/>
            <w:vAlign w:val="bottom"/>
            <w:gridSpan w:val="2"/>
            <w:shd w:val="clear" w:color="auto" w:fill="DCE2E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720" w:type="dxa"/>
            <w:vAlign w:val="bottom"/>
            <w:gridSpan w:val="2"/>
            <w:shd w:val="clear" w:color="auto" w:fill="DCE2E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116.4</w:t>
            </w:r>
          </w:p>
        </w:tc>
        <w:tc>
          <w:tcPr>
            <w:tcW w:w="2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660" w:type="dxa"/>
            <w:vAlign w:val="bottom"/>
            <w:gridSpan w:val="3"/>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DCE2EF"/>
          </w:tcPr>
          <w:p>
            <w:pPr>
              <w:spacing w:after="0"/>
              <w:rPr>
                <w:sz w:val="16"/>
                <w:szCs w:val="16"/>
                <w:color w:val="auto"/>
              </w:rPr>
            </w:pPr>
          </w:p>
        </w:tc>
        <w:tc>
          <w:tcPr>
            <w:tcW w:w="460" w:type="dxa"/>
            <w:vAlign w:val="bottom"/>
            <w:gridSpan w:val="2"/>
            <w:shd w:val="clear" w:color="auto" w:fill="DCE2E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620" w:type="dxa"/>
            <w:vAlign w:val="bottom"/>
            <w:shd w:val="clear" w:color="auto" w:fill="DCE2EF"/>
          </w:tcPr>
          <w:p>
            <w:pPr>
              <w:jc w:val="right"/>
              <w:ind w:right="13"/>
              <w:spacing w:after="0"/>
              <w:rPr>
                <w:sz w:val="20"/>
                <w:szCs w:val="20"/>
                <w:color w:val="auto"/>
              </w:rPr>
            </w:pPr>
            <w:r>
              <w:rPr>
                <w:rFonts w:ascii="Arial" w:cs="Arial" w:eastAsia="Arial" w:hAnsi="Arial"/>
                <w:sz w:val="14"/>
                <w:szCs w:val="14"/>
                <w:color w:val="auto"/>
              </w:rPr>
              <w:t>233.7</w:t>
            </w:r>
          </w:p>
        </w:tc>
        <w:tc>
          <w:tcPr>
            <w:tcW w:w="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86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DCE2EF"/>
          </w:tcPr>
          <w:p>
            <w:pPr>
              <w:spacing w:after="0"/>
              <w:rPr>
                <w:sz w:val="16"/>
                <w:szCs w:val="16"/>
                <w:color w:val="auto"/>
              </w:rPr>
            </w:pPr>
          </w:p>
        </w:tc>
        <w:tc>
          <w:tcPr>
            <w:tcW w:w="86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DCE2EF"/>
          </w:tcPr>
          <w:p>
            <w:pPr>
              <w:spacing w:after="0"/>
              <w:rPr>
                <w:sz w:val="16"/>
                <w:szCs w:val="16"/>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233.7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2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Parking and</w:t>
            </w:r>
          </w:p>
        </w:tc>
        <w:tc>
          <w:tcPr>
            <w:tcW w:w="14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106.2</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12.1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77.9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196.3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210.7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25.4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ind w:right="13"/>
              <w:spacing w:after="0"/>
              <w:rPr>
                <w:sz w:val="20"/>
                <w:szCs w:val="20"/>
                <w:color w:val="auto"/>
              </w:rPr>
            </w:pPr>
            <w:r>
              <w:rPr>
                <w:rFonts w:ascii="Arial" w:cs="Arial" w:eastAsia="Arial" w:hAnsi="Arial"/>
                <w:sz w:val="14"/>
                <w:szCs w:val="14"/>
                <w:color w:val="auto"/>
              </w:rPr>
              <w:t>164.2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400.5</w:t>
            </w:r>
          </w:p>
        </w:tc>
        <w:tc>
          <w:tcPr>
            <w:tcW w:w="0" w:type="dxa"/>
            <w:vAlign w:val="bottom"/>
          </w:tcPr>
          <w:p>
            <w:pPr>
              <w:spacing w:after="0"/>
              <w:rPr>
                <w:sz w:val="1"/>
                <w:szCs w:val="1"/>
                <w:color w:val="auto"/>
              </w:rPr>
            </w:pPr>
          </w:p>
        </w:tc>
      </w:tr>
      <w:tr>
        <w:trPr>
          <w:trHeight w:val="188"/>
        </w:trPr>
        <w:tc>
          <w:tcPr>
            <w:tcW w:w="20" w:type="dxa"/>
            <w:vAlign w:val="bottom"/>
            <w:tcBorders>
              <w:bottom w:val="single" w:sz="8" w:color="DCE2EF"/>
            </w:tcBorders>
          </w:tcPr>
          <w:p>
            <w:pPr>
              <w:spacing w:after="0"/>
              <w:rPr>
                <w:sz w:val="16"/>
                <w:szCs w:val="16"/>
                <w:color w:val="auto"/>
              </w:rPr>
            </w:pPr>
          </w:p>
        </w:tc>
        <w:tc>
          <w:tcPr>
            <w:tcW w:w="1420" w:type="dxa"/>
            <w:vAlign w:val="bottom"/>
            <w:tcBorders>
              <w:bottom w:val="single" w:sz="8" w:color="DCE2EF"/>
            </w:tcBorders>
            <w:gridSpan w:val="2"/>
          </w:tcPr>
          <w:p>
            <w:pPr>
              <w:ind w:left="120"/>
              <w:spacing w:after="0" w:line="188" w:lineRule="exact"/>
              <w:rPr>
                <w:sz w:val="20"/>
                <w:szCs w:val="20"/>
                <w:color w:val="auto"/>
              </w:rPr>
            </w:pPr>
            <w:r>
              <w:rPr>
                <w:rFonts w:ascii="Arial" w:cs="Arial" w:eastAsia="Arial" w:hAnsi="Arial"/>
                <w:sz w:val="14"/>
                <w:szCs w:val="14"/>
                <w:color w:val="auto"/>
              </w:rPr>
              <w:t>Transportation</w:t>
            </w:r>
            <w:r>
              <w:rPr>
                <w:rFonts w:ascii="Arial" w:cs="Arial" w:eastAsia="Arial" w:hAnsi="Arial"/>
                <w:sz w:val="17"/>
                <w:szCs w:val="17"/>
                <w:color w:val="auto"/>
                <w:vertAlign w:val="superscript"/>
              </w:rPr>
              <w:t>(3)</w:t>
            </w: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DCE2EF"/>
            </w:tcBorders>
          </w:tcPr>
          <w:p>
            <w:pPr>
              <w:spacing w:after="0"/>
              <w:rPr>
                <w:sz w:val="16"/>
                <w:szCs w:val="16"/>
                <w:color w:val="auto"/>
              </w:rPr>
            </w:pPr>
          </w:p>
        </w:tc>
        <w:tc>
          <w:tcPr>
            <w:tcW w:w="40" w:type="dxa"/>
            <w:vAlign w:val="bottom"/>
            <w:tcBorders>
              <w:bottom w:val="single" w:sz="8" w:color="DCE2E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DCE2EF"/>
            </w:tcBorders>
          </w:tcPr>
          <w:p>
            <w:pPr>
              <w:spacing w:after="0"/>
              <w:rPr>
                <w:sz w:val="16"/>
                <w:szCs w:val="16"/>
                <w:color w:val="auto"/>
              </w:rPr>
            </w:pPr>
          </w:p>
        </w:tc>
        <w:tc>
          <w:tcPr>
            <w:tcW w:w="4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CE2E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DCE2EF"/>
          </w:tcPr>
          <w:p>
            <w:pPr>
              <w:spacing w:after="0"/>
              <w:rPr>
                <w:sz w:val="15"/>
                <w:szCs w:val="15"/>
                <w:color w:val="auto"/>
              </w:rPr>
            </w:pPr>
          </w:p>
        </w:tc>
        <w:tc>
          <w:tcPr>
            <w:tcW w:w="1420" w:type="dxa"/>
            <w:vAlign w:val="bottom"/>
            <w:gridSpan w:val="2"/>
            <w:shd w:val="clear" w:color="auto" w:fill="DCE2EF"/>
          </w:tcPr>
          <w:p>
            <w:pPr>
              <w:ind w:left="120"/>
              <w:spacing w:after="0"/>
              <w:rPr>
                <w:sz w:val="20"/>
                <w:szCs w:val="20"/>
                <w:color w:val="auto"/>
              </w:rPr>
            </w:pPr>
            <w:r>
              <w:rPr>
                <w:rFonts w:ascii="Arial" w:cs="Arial" w:eastAsia="Arial" w:hAnsi="Arial"/>
                <w:sz w:val="14"/>
                <w:szCs w:val="14"/>
                <w:b w:val="1"/>
                <w:bCs w:val="1"/>
                <w:color w:val="auto"/>
              </w:rPr>
              <w:t>Facility Solutions</w:t>
            </w:r>
          </w:p>
        </w:tc>
        <w:tc>
          <w:tcPr>
            <w:tcW w:w="14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812.8</w:t>
            </w:r>
          </w:p>
        </w:tc>
        <w:tc>
          <w:tcPr>
            <w:tcW w:w="40" w:type="dxa"/>
            <w:vAlign w:val="bottom"/>
            <w:shd w:val="clear" w:color="auto" w:fill="DCE2EF"/>
          </w:tcPr>
          <w:p>
            <w:pPr>
              <w:spacing w:after="0"/>
              <w:rPr>
                <w:sz w:val="15"/>
                <w:szCs w:val="15"/>
                <w:color w:val="auto"/>
              </w:rPr>
            </w:pPr>
          </w:p>
        </w:tc>
        <w:tc>
          <w:tcPr>
            <w:tcW w:w="200" w:type="dxa"/>
            <w:vAlign w:val="bottom"/>
            <w:gridSpan w:val="3"/>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351.4</w:t>
            </w:r>
          </w:p>
        </w:tc>
        <w:tc>
          <w:tcPr>
            <w:tcW w:w="40" w:type="dxa"/>
            <w:vAlign w:val="bottom"/>
            <w:shd w:val="clear" w:color="auto" w:fill="DCE2EF"/>
          </w:tcPr>
          <w:p>
            <w:pPr>
              <w:spacing w:after="0"/>
              <w:rPr>
                <w:sz w:val="15"/>
                <w:szCs w:val="15"/>
                <w:color w:val="auto"/>
              </w:rPr>
            </w:pPr>
          </w:p>
        </w:tc>
        <w:tc>
          <w:tcPr>
            <w:tcW w:w="200" w:type="dxa"/>
            <w:vAlign w:val="bottom"/>
            <w:gridSpan w:val="3"/>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246.9</w:t>
            </w:r>
          </w:p>
        </w:tc>
        <w:tc>
          <w:tcPr>
            <w:tcW w:w="40" w:type="dxa"/>
            <w:vAlign w:val="bottom"/>
            <w:shd w:val="clear" w:color="auto" w:fill="DCE2EF"/>
          </w:tcPr>
          <w:p>
            <w:pPr>
              <w:spacing w:after="0"/>
              <w:rPr>
                <w:sz w:val="15"/>
                <w:szCs w:val="15"/>
                <w:color w:val="auto"/>
              </w:rPr>
            </w:pPr>
          </w:p>
        </w:tc>
        <w:tc>
          <w:tcPr>
            <w:tcW w:w="40" w:type="dxa"/>
            <w:vAlign w:val="bottom"/>
            <w:shd w:val="clear" w:color="auto" w:fill="DCE2EF"/>
          </w:tcPr>
          <w:p>
            <w:pPr>
              <w:spacing w:after="0"/>
              <w:rPr>
                <w:sz w:val="15"/>
                <w:szCs w:val="15"/>
                <w:color w:val="auto"/>
              </w:rPr>
            </w:pPr>
          </w:p>
        </w:tc>
        <w:tc>
          <w:tcPr>
            <w:tcW w:w="40" w:type="dxa"/>
            <w:vAlign w:val="bottom"/>
            <w:shd w:val="clear" w:color="auto" w:fill="DCE2EF"/>
          </w:tcPr>
          <w:p>
            <w:pPr>
              <w:spacing w:after="0"/>
              <w:rPr>
                <w:sz w:val="15"/>
                <w:szCs w:val="15"/>
                <w:color w:val="auto"/>
              </w:rPr>
            </w:pPr>
          </w:p>
        </w:tc>
        <w:tc>
          <w:tcPr>
            <w:tcW w:w="10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198.0</w:t>
            </w:r>
          </w:p>
        </w:tc>
        <w:tc>
          <w:tcPr>
            <w:tcW w:w="40" w:type="dxa"/>
            <w:vAlign w:val="bottom"/>
            <w:shd w:val="clear" w:color="auto" w:fill="DCE2EF"/>
          </w:tcPr>
          <w:p>
            <w:pPr>
              <w:spacing w:after="0"/>
              <w:rPr>
                <w:sz w:val="15"/>
                <w:szCs w:val="15"/>
                <w:color w:val="auto"/>
              </w:rPr>
            </w:pPr>
          </w:p>
        </w:tc>
        <w:tc>
          <w:tcPr>
            <w:tcW w:w="180" w:type="dxa"/>
            <w:vAlign w:val="bottom"/>
            <w:gridSpan w:val="3"/>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DCE2EF"/>
          </w:tcPr>
          <w:p>
            <w:pPr>
              <w:jc w:val="right"/>
              <w:ind w:right="60"/>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3"/>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1,609.2</w:t>
            </w:r>
          </w:p>
        </w:tc>
        <w:tc>
          <w:tcPr>
            <w:tcW w:w="2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40" w:type="dxa"/>
            <w:vAlign w:val="bottom"/>
            <w:shd w:val="clear" w:color="auto" w:fill="DCE2EF"/>
          </w:tcPr>
          <w:p>
            <w:pPr>
              <w:spacing w:after="0"/>
              <w:rPr>
                <w:sz w:val="15"/>
                <w:szCs w:val="15"/>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1,615.1</w:t>
            </w: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692.9</w:t>
            </w:r>
          </w:p>
        </w:tc>
        <w:tc>
          <w:tcPr>
            <w:tcW w:w="20" w:type="dxa"/>
            <w:vAlign w:val="bottom"/>
            <w:shd w:val="clear" w:color="auto" w:fill="DCE2EF"/>
          </w:tcPr>
          <w:p>
            <w:pPr>
              <w:spacing w:after="0"/>
              <w:rPr>
                <w:sz w:val="15"/>
                <w:szCs w:val="15"/>
                <w:color w:val="auto"/>
              </w:rPr>
            </w:pPr>
          </w:p>
        </w:tc>
        <w:tc>
          <w:tcPr>
            <w:tcW w:w="180" w:type="dxa"/>
            <w:vAlign w:val="bottom"/>
            <w:gridSpan w:val="3"/>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DCE2EF"/>
          </w:tcPr>
          <w:p>
            <w:pPr>
              <w:jc w:val="right"/>
              <w:ind w:right="13"/>
              <w:spacing w:after="0"/>
              <w:rPr>
                <w:sz w:val="20"/>
                <w:szCs w:val="20"/>
                <w:color w:val="auto"/>
              </w:rPr>
            </w:pPr>
            <w:r>
              <w:rPr>
                <w:rFonts w:ascii="Arial" w:cs="Arial" w:eastAsia="Arial" w:hAnsi="Arial"/>
                <w:sz w:val="14"/>
                <w:szCs w:val="14"/>
                <w:b w:val="1"/>
                <w:bCs w:val="1"/>
                <w:color w:val="auto"/>
              </w:rPr>
              <w:t>503.9</w:t>
            </w:r>
          </w:p>
        </w:tc>
        <w:tc>
          <w:tcPr>
            <w:tcW w:w="80" w:type="dxa"/>
            <w:vAlign w:val="bottom"/>
            <w:shd w:val="clear" w:color="auto" w:fill="DCE2EF"/>
          </w:tcPr>
          <w:p>
            <w:pPr>
              <w:spacing w:after="0"/>
              <w:rPr>
                <w:sz w:val="15"/>
                <w:szCs w:val="15"/>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394.6</w:t>
            </w:r>
          </w:p>
        </w:tc>
        <w:tc>
          <w:tcPr>
            <w:tcW w:w="100" w:type="dxa"/>
            <w:vAlign w:val="bottom"/>
            <w:shd w:val="clear" w:color="auto" w:fill="DCE2EF"/>
          </w:tcPr>
          <w:p>
            <w:pPr>
              <w:spacing w:after="0"/>
              <w:rPr>
                <w:sz w:val="15"/>
                <w:szCs w:val="15"/>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3,206.5</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4"/>
        </w:trPr>
        <w:tc>
          <w:tcPr>
            <w:tcW w:w="20" w:type="dxa"/>
            <w:vAlign w:val="bottom"/>
            <w:shd w:val="clear" w:color="auto" w:fill="DCE2EF"/>
          </w:tcPr>
          <w:p>
            <w:pPr>
              <w:spacing w:after="0"/>
              <w:rPr>
                <w:sz w:val="11"/>
                <w:szCs w:val="11"/>
                <w:color w:val="auto"/>
              </w:rPr>
            </w:pPr>
          </w:p>
        </w:tc>
        <w:tc>
          <w:tcPr>
            <w:tcW w:w="1420" w:type="dxa"/>
            <w:vAlign w:val="bottom"/>
            <w:gridSpan w:val="2"/>
            <w:shd w:val="clear" w:color="auto" w:fill="DCE2EF"/>
          </w:tcPr>
          <w:p>
            <w:pPr>
              <w:ind w:left="120"/>
              <w:spacing w:after="0" w:line="135" w:lineRule="exact"/>
              <w:rPr>
                <w:sz w:val="20"/>
                <w:szCs w:val="20"/>
                <w:color w:val="auto"/>
              </w:rPr>
            </w:pPr>
            <w:r>
              <w:rPr>
                <w:rFonts w:ascii="Arial" w:cs="Arial" w:eastAsia="Arial" w:hAnsi="Arial"/>
                <w:sz w:val="14"/>
                <w:szCs w:val="14"/>
                <w:color w:val="auto"/>
              </w:rPr>
              <w:t>Operations and</w:t>
            </w:r>
          </w:p>
        </w:tc>
        <w:tc>
          <w:tcPr>
            <w:tcW w:w="140" w:type="dxa"/>
            <w:vAlign w:val="bottom"/>
            <w:shd w:val="clear" w:color="auto" w:fill="DCE2EF"/>
          </w:tcPr>
          <w:p>
            <w:pPr>
              <w:spacing w:after="0"/>
              <w:rPr>
                <w:sz w:val="11"/>
                <w:szCs w:val="11"/>
                <w:color w:val="auto"/>
              </w:rPr>
            </w:pP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202.7</w:t>
            </w:r>
          </w:p>
        </w:tc>
        <w:tc>
          <w:tcPr>
            <w:tcW w:w="40" w:type="dxa"/>
            <w:vAlign w:val="bottom"/>
            <w:shd w:val="clear" w:color="auto" w:fill="DCE2EF"/>
          </w:tcPr>
          <w:p>
            <w:pPr>
              <w:spacing w:after="0"/>
              <w:rPr>
                <w:sz w:val="11"/>
                <w:szCs w:val="11"/>
                <w:color w:val="auto"/>
              </w:rPr>
            </w:pPr>
          </w:p>
        </w:tc>
        <w:tc>
          <w:tcPr>
            <w:tcW w:w="60" w:type="dxa"/>
            <w:vAlign w:val="bottom"/>
            <w:shd w:val="clear" w:color="auto" w:fill="DCE2EF"/>
          </w:tcPr>
          <w:p>
            <w:pPr>
              <w:spacing w:after="0"/>
              <w:rPr>
                <w:sz w:val="11"/>
                <w:szCs w:val="11"/>
                <w:color w:val="auto"/>
              </w:rPr>
            </w:pPr>
          </w:p>
        </w:tc>
        <w:tc>
          <w:tcPr>
            <w:tcW w:w="4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42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46.7</w:t>
            </w:r>
          </w:p>
        </w:tc>
        <w:tc>
          <w:tcPr>
            <w:tcW w:w="40" w:type="dxa"/>
            <w:vAlign w:val="bottom"/>
            <w:shd w:val="clear" w:color="auto" w:fill="DCE2EF"/>
          </w:tcPr>
          <w:p>
            <w:pPr>
              <w:spacing w:after="0"/>
              <w:rPr>
                <w:sz w:val="11"/>
                <w:szCs w:val="11"/>
                <w:color w:val="auto"/>
              </w:rPr>
            </w:pPr>
          </w:p>
        </w:tc>
        <w:tc>
          <w:tcPr>
            <w:tcW w:w="60" w:type="dxa"/>
            <w:vAlign w:val="bottom"/>
            <w:shd w:val="clear" w:color="auto" w:fill="DCE2EF"/>
          </w:tcPr>
          <w:p>
            <w:pPr>
              <w:spacing w:after="0"/>
              <w:rPr>
                <w:sz w:val="11"/>
                <w:szCs w:val="11"/>
                <w:color w:val="auto"/>
              </w:rPr>
            </w:pPr>
          </w:p>
        </w:tc>
        <w:tc>
          <w:tcPr>
            <w:tcW w:w="4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56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13.2</w:t>
            </w:r>
          </w:p>
        </w:tc>
        <w:tc>
          <w:tcPr>
            <w:tcW w:w="40" w:type="dxa"/>
            <w:vAlign w:val="bottom"/>
            <w:shd w:val="clear" w:color="auto" w:fill="DCE2EF"/>
          </w:tcPr>
          <w:p>
            <w:pPr>
              <w:spacing w:after="0"/>
              <w:rPr>
                <w:sz w:val="11"/>
                <w:szCs w:val="11"/>
                <w:color w:val="auto"/>
              </w:rPr>
            </w:pPr>
          </w:p>
        </w:tc>
        <w:tc>
          <w:tcPr>
            <w:tcW w:w="40" w:type="dxa"/>
            <w:vAlign w:val="bottom"/>
            <w:shd w:val="clear" w:color="auto" w:fill="DCE2EF"/>
          </w:tcPr>
          <w:p>
            <w:pPr>
              <w:spacing w:after="0"/>
              <w:rPr>
                <w:sz w:val="11"/>
                <w:szCs w:val="11"/>
                <w:color w:val="auto"/>
              </w:rPr>
            </w:pPr>
          </w:p>
        </w:tc>
        <w:tc>
          <w:tcPr>
            <w:tcW w:w="4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68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29.8</w:t>
            </w:r>
          </w:p>
        </w:tc>
        <w:tc>
          <w:tcPr>
            <w:tcW w:w="40" w:type="dxa"/>
            <w:vAlign w:val="bottom"/>
            <w:shd w:val="clear" w:color="auto" w:fill="DCE2EF"/>
          </w:tcPr>
          <w:p>
            <w:pPr>
              <w:spacing w:after="0"/>
              <w:rPr>
                <w:sz w:val="11"/>
                <w:szCs w:val="11"/>
                <w:color w:val="auto"/>
              </w:rPr>
            </w:pPr>
          </w:p>
        </w:tc>
        <w:tc>
          <w:tcPr>
            <w:tcW w:w="6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720" w:type="dxa"/>
            <w:vAlign w:val="bottom"/>
            <w:gridSpan w:val="2"/>
            <w:vMerge w:val="restart"/>
            <w:shd w:val="clear" w:color="auto" w:fill="DCE2E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140" w:type="dxa"/>
            <w:vAlign w:val="bottom"/>
            <w:shd w:val="clear" w:color="auto" w:fill="DCE2EF"/>
          </w:tcPr>
          <w:p>
            <w:pPr>
              <w:spacing w:after="0"/>
              <w:rPr>
                <w:sz w:val="11"/>
                <w:szCs w:val="11"/>
                <w:color w:val="auto"/>
              </w:rPr>
            </w:pPr>
          </w:p>
        </w:tc>
        <w:tc>
          <w:tcPr>
            <w:tcW w:w="56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292.4</w:t>
            </w:r>
          </w:p>
        </w:tc>
        <w:tc>
          <w:tcPr>
            <w:tcW w:w="20" w:type="dxa"/>
            <w:vAlign w:val="bottom"/>
            <w:shd w:val="clear" w:color="auto" w:fill="DCE2EF"/>
          </w:tcPr>
          <w:p>
            <w:pPr>
              <w:spacing w:after="0"/>
              <w:rPr>
                <w:sz w:val="11"/>
                <w:szCs w:val="11"/>
                <w:color w:val="auto"/>
              </w:rPr>
            </w:pPr>
          </w:p>
        </w:tc>
        <w:tc>
          <w:tcPr>
            <w:tcW w:w="60" w:type="dxa"/>
            <w:vAlign w:val="bottom"/>
            <w:shd w:val="clear" w:color="auto" w:fill="DCE2EF"/>
          </w:tcPr>
          <w:p>
            <w:pPr>
              <w:spacing w:after="0"/>
              <w:rPr>
                <w:sz w:val="11"/>
                <w:szCs w:val="11"/>
                <w:color w:val="auto"/>
              </w:rPr>
            </w:pPr>
          </w:p>
        </w:tc>
        <w:tc>
          <w:tcPr>
            <w:tcW w:w="40" w:type="dxa"/>
            <w:vAlign w:val="bottom"/>
            <w:shd w:val="clear" w:color="auto" w:fill="DCE2EF"/>
          </w:tcPr>
          <w:p>
            <w:pPr>
              <w:spacing w:after="0"/>
              <w:rPr>
                <w:sz w:val="11"/>
                <w:szCs w:val="11"/>
                <w:color w:val="auto"/>
              </w:rPr>
            </w:pPr>
          </w:p>
        </w:tc>
        <w:tc>
          <w:tcPr>
            <w:tcW w:w="140" w:type="dxa"/>
            <w:vAlign w:val="bottom"/>
            <w:shd w:val="clear" w:color="auto" w:fill="DCE2EF"/>
          </w:tcPr>
          <w:p>
            <w:pPr>
              <w:spacing w:after="0"/>
              <w:rPr>
                <w:sz w:val="11"/>
                <w:szCs w:val="11"/>
                <w:color w:val="auto"/>
              </w:rPr>
            </w:pPr>
          </w:p>
        </w:tc>
        <w:tc>
          <w:tcPr>
            <w:tcW w:w="56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423.4</w:t>
            </w:r>
          </w:p>
        </w:tc>
        <w:tc>
          <w:tcPr>
            <w:tcW w:w="8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44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99.4</w:t>
            </w:r>
          </w:p>
        </w:tc>
        <w:tc>
          <w:tcPr>
            <w:tcW w:w="2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620" w:type="dxa"/>
            <w:vAlign w:val="bottom"/>
            <w:vMerge w:val="restart"/>
            <w:shd w:val="clear" w:color="auto" w:fill="DCE2EF"/>
          </w:tcPr>
          <w:p>
            <w:pPr>
              <w:jc w:val="right"/>
              <w:ind w:right="13"/>
              <w:spacing w:after="0"/>
              <w:rPr>
                <w:sz w:val="20"/>
                <w:szCs w:val="20"/>
                <w:color w:val="auto"/>
              </w:rPr>
            </w:pPr>
            <w:r>
              <w:rPr>
                <w:rFonts w:ascii="Arial" w:cs="Arial" w:eastAsia="Arial" w:hAnsi="Arial"/>
                <w:sz w:val="14"/>
                <w:szCs w:val="14"/>
                <w:color w:val="auto"/>
              </w:rPr>
              <w:t>26.3</w:t>
            </w:r>
          </w:p>
        </w:tc>
        <w:tc>
          <w:tcPr>
            <w:tcW w:w="8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76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58.5</w:t>
            </w:r>
          </w:p>
        </w:tc>
        <w:tc>
          <w:tcPr>
            <w:tcW w:w="10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860" w:type="dxa"/>
            <w:vAlign w:val="bottom"/>
            <w:gridSpan w:val="2"/>
            <w:vMerge w:val="restart"/>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DCE2EF"/>
          </w:tcPr>
          <w:p>
            <w:pPr>
              <w:spacing w:after="0"/>
              <w:rPr>
                <w:sz w:val="11"/>
                <w:szCs w:val="11"/>
                <w:color w:val="auto"/>
              </w:rPr>
            </w:pPr>
          </w:p>
        </w:tc>
        <w:tc>
          <w:tcPr>
            <w:tcW w:w="58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607.7</w:t>
            </w:r>
          </w:p>
        </w:tc>
        <w:tc>
          <w:tcPr>
            <w:tcW w:w="0" w:type="dxa"/>
            <w:vAlign w:val="bottom"/>
          </w:tcPr>
          <w:p>
            <w:pPr>
              <w:spacing w:after="0"/>
              <w:rPr>
                <w:sz w:val="1"/>
                <w:szCs w:val="1"/>
                <w:color w:val="auto"/>
              </w:rPr>
            </w:pPr>
          </w:p>
        </w:tc>
      </w:tr>
      <w:tr>
        <w:trPr>
          <w:trHeight w:val="188"/>
        </w:trPr>
        <w:tc>
          <w:tcPr>
            <w:tcW w:w="20" w:type="dxa"/>
            <w:vAlign w:val="bottom"/>
            <w:shd w:val="clear" w:color="auto" w:fill="DCE2EF"/>
          </w:tcPr>
          <w:p>
            <w:pPr>
              <w:spacing w:after="0"/>
              <w:rPr>
                <w:sz w:val="16"/>
                <w:szCs w:val="16"/>
                <w:color w:val="auto"/>
              </w:rPr>
            </w:pPr>
          </w:p>
        </w:tc>
        <w:tc>
          <w:tcPr>
            <w:tcW w:w="1420" w:type="dxa"/>
            <w:vAlign w:val="bottom"/>
            <w:gridSpan w:val="2"/>
            <w:shd w:val="clear" w:color="auto" w:fill="DCE2EF"/>
          </w:tcPr>
          <w:p>
            <w:pPr>
              <w:ind w:left="120"/>
              <w:spacing w:after="0" w:line="188" w:lineRule="exact"/>
              <w:rPr>
                <w:sz w:val="20"/>
                <w:szCs w:val="20"/>
                <w:color w:val="auto"/>
              </w:rPr>
            </w:pPr>
            <w:r>
              <w:rPr>
                <w:rFonts w:ascii="Arial" w:cs="Arial" w:eastAsia="Arial" w:hAnsi="Arial"/>
                <w:sz w:val="14"/>
                <w:szCs w:val="14"/>
                <w:color w:val="auto"/>
              </w:rPr>
              <w:t>Maintenance</w:t>
            </w:r>
            <w:r>
              <w:rPr>
                <w:rFonts w:ascii="Arial" w:cs="Arial" w:eastAsia="Arial" w:hAnsi="Arial"/>
                <w:sz w:val="17"/>
                <w:szCs w:val="17"/>
                <w:color w:val="auto"/>
                <w:vertAlign w:val="superscript"/>
              </w:rPr>
              <w:t>(4)</w:t>
            </w:r>
          </w:p>
        </w:tc>
        <w:tc>
          <w:tcPr>
            <w:tcW w:w="140" w:type="dxa"/>
            <w:vAlign w:val="bottom"/>
            <w:shd w:val="clear" w:color="auto" w:fill="DCE2EF"/>
          </w:tcPr>
          <w:p>
            <w:pPr>
              <w:spacing w:after="0"/>
              <w:rPr>
                <w:sz w:val="16"/>
                <w:szCs w:val="16"/>
                <w:color w:val="auto"/>
              </w:rPr>
            </w:pPr>
          </w:p>
        </w:tc>
        <w:tc>
          <w:tcPr>
            <w:tcW w:w="520" w:type="dxa"/>
            <w:vAlign w:val="bottom"/>
            <w:vMerge w:val="continue"/>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420" w:type="dxa"/>
            <w:vAlign w:val="bottom"/>
            <w:vMerge w:val="continue"/>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560" w:type="dxa"/>
            <w:vAlign w:val="bottom"/>
            <w:vMerge w:val="continue"/>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680" w:type="dxa"/>
            <w:vAlign w:val="bottom"/>
            <w:vMerge w:val="continue"/>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720" w:type="dxa"/>
            <w:vAlign w:val="bottom"/>
            <w:gridSpan w:val="2"/>
            <w:vMerge w:val="continue"/>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560" w:type="dxa"/>
            <w:vAlign w:val="bottom"/>
            <w:vMerge w:val="continue"/>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560" w:type="dxa"/>
            <w:vAlign w:val="bottom"/>
            <w:vMerge w:val="continue"/>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440" w:type="dxa"/>
            <w:vAlign w:val="bottom"/>
            <w:vMerge w:val="continue"/>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620" w:type="dxa"/>
            <w:vAlign w:val="bottom"/>
            <w:vMerge w:val="continue"/>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760" w:type="dxa"/>
            <w:vAlign w:val="bottom"/>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860" w:type="dxa"/>
            <w:vAlign w:val="bottom"/>
            <w:gridSpan w:val="2"/>
            <w:vMerge w:val="continue"/>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580" w:type="dxa"/>
            <w:vAlign w:val="bottom"/>
            <w:vMerge w:val="continue"/>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2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Building &amp; Energy</w:t>
            </w:r>
          </w:p>
        </w:tc>
        <w:tc>
          <w:tcPr>
            <w:tcW w:w="140" w:type="dxa"/>
            <w:vAlign w:val="bottom"/>
          </w:tcPr>
          <w:p>
            <w:pPr>
              <w:spacing w:after="0"/>
              <w:rPr>
                <w:sz w:val="11"/>
                <w:szCs w:val="11"/>
                <w:color w:val="auto"/>
              </w:rPr>
            </w:pP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210.2</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210.2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4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412.4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412.4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20" w:type="dxa"/>
            <w:vAlign w:val="bottom"/>
            <w:gridSpan w:val="2"/>
          </w:tcPr>
          <w:p>
            <w:pPr>
              <w:ind w:left="120"/>
              <w:spacing w:after="0" w:line="188" w:lineRule="exact"/>
              <w:rPr>
                <w:sz w:val="20"/>
                <w:szCs w:val="20"/>
                <w:color w:val="auto"/>
              </w:rPr>
            </w:pPr>
            <w:r>
              <w:rPr>
                <w:rFonts w:ascii="Arial" w:cs="Arial" w:eastAsia="Arial" w:hAnsi="Arial"/>
                <w:sz w:val="14"/>
                <w:szCs w:val="14"/>
                <w:color w:val="auto"/>
              </w:rPr>
              <w:t>Solutions</w:t>
            </w:r>
            <w:r>
              <w:rPr>
                <w:rFonts w:ascii="Arial" w:cs="Arial" w:eastAsia="Arial" w:hAnsi="Arial"/>
                <w:sz w:val="17"/>
                <w:szCs w:val="17"/>
                <w:color w:val="auto"/>
                <w:vertAlign w:val="superscript"/>
              </w:rPr>
              <w:t>(5)</w:t>
            </w:r>
          </w:p>
        </w:tc>
        <w:tc>
          <w:tcPr>
            <w:tcW w:w="1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0" w:type="dxa"/>
            <w:vAlign w:val="bottom"/>
            <w:tcBorders>
              <w:top w:val="single" w:sz="8" w:color="DCE2EF"/>
            </w:tcBorders>
            <w:shd w:val="clear" w:color="auto" w:fill="DCE2EF"/>
          </w:tcPr>
          <w:p>
            <w:pPr>
              <w:spacing w:after="0"/>
              <w:rPr>
                <w:sz w:val="9"/>
                <w:szCs w:val="9"/>
                <w:color w:val="auto"/>
              </w:rPr>
            </w:pPr>
          </w:p>
        </w:tc>
        <w:tc>
          <w:tcPr>
            <w:tcW w:w="1420" w:type="dxa"/>
            <w:vAlign w:val="bottom"/>
            <w:tcBorders>
              <w:top w:val="single" w:sz="8" w:color="DCE2EF"/>
            </w:tcBorders>
            <w:gridSpan w:val="2"/>
            <w:shd w:val="clear" w:color="auto" w:fill="DCE2EF"/>
          </w:tcPr>
          <w:p>
            <w:pPr>
              <w:ind w:left="120"/>
              <w:spacing w:after="0" w:line="114" w:lineRule="exact"/>
              <w:rPr>
                <w:sz w:val="20"/>
                <w:szCs w:val="20"/>
                <w:color w:val="auto"/>
              </w:rPr>
            </w:pPr>
            <w:r>
              <w:rPr>
                <w:rFonts w:ascii="Arial" w:cs="Arial" w:eastAsia="Arial" w:hAnsi="Arial"/>
                <w:sz w:val="12"/>
                <w:szCs w:val="12"/>
                <w:b w:val="1"/>
                <w:bCs w:val="1"/>
                <w:color w:val="auto"/>
              </w:rPr>
              <w:t>Engineering and</w:t>
            </w:r>
          </w:p>
        </w:tc>
        <w:tc>
          <w:tcPr>
            <w:tcW w:w="140" w:type="dxa"/>
            <w:vAlign w:val="bottom"/>
            <w:tcBorders>
              <w:top w:val="single" w:sz="8" w:color="auto"/>
            </w:tcBorders>
            <w:shd w:val="clear" w:color="auto" w:fill="DCE2EF"/>
          </w:tcPr>
          <w:p>
            <w:pPr>
              <w:spacing w:after="0"/>
              <w:rPr>
                <w:sz w:val="9"/>
                <w:szCs w:val="9"/>
                <w:color w:val="auto"/>
              </w:rPr>
            </w:pPr>
          </w:p>
        </w:tc>
        <w:tc>
          <w:tcPr>
            <w:tcW w:w="520" w:type="dxa"/>
            <w:vAlign w:val="bottom"/>
            <w:tcBorders>
              <w:top w:val="single" w:sz="8" w:color="auto"/>
            </w:tcBorders>
            <w:shd w:val="clear" w:color="auto" w:fill="DCE2EF"/>
          </w:tcPr>
          <w:p>
            <w:pPr>
              <w:spacing w:after="0"/>
              <w:rPr>
                <w:sz w:val="9"/>
                <w:szCs w:val="9"/>
                <w:color w:val="auto"/>
              </w:rPr>
            </w:pPr>
          </w:p>
        </w:tc>
        <w:tc>
          <w:tcPr>
            <w:tcW w:w="40" w:type="dxa"/>
            <w:vAlign w:val="bottom"/>
            <w:tcBorders>
              <w:top w:val="single" w:sz="8" w:color="auto"/>
            </w:tcBorders>
            <w:shd w:val="clear" w:color="auto" w:fill="DCE2EF"/>
          </w:tcPr>
          <w:p>
            <w:pPr>
              <w:spacing w:after="0"/>
              <w:rPr>
                <w:sz w:val="9"/>
                <w:szCs w:val="9"/>
                <w:color w:val="auto"/>
              </w:rPr>
            </w:pPr>
          </w:p>
        </w:tc>
        <w:tc>
          <w:tcPr>
            <w:tcW w:w="60" w:type="dxa"/>
            <w:vAlign w:val="bottom"/>
            <w:tcBorders>
              <w:top w:val="single" w:sz="8" w:color="auto"/>
            </w:tcBorders>
            <w:shd w:val="clear" w:color="auto" w:fill="DCE2EF"/>
          </w:tcPr>
          <w:p>
            <w:pPr>
              <w:spacing w:after="0"/>
              <w:rPr>
                <w:sz w:val="9"/>
                <w:szCs w:val="9"/>
                <w:color w:val="auto"/>
              </w:rPr>
            </w:pPr>
          </w:p>
        </w:tc>
        <w:tc>
          <w:tcPr>
            <w:tcW w:w="40" w:type="dxa"/>
            <w:vAlign w:val="bottom"/>
            <w:tcBorders>
              <w:top w:val="single" w:sz="8" w:color="auto"/>
            </w:tcBorders>
            <w:shd w:val="clear" w:color="auto" w:fill="DCE2EF"/>
          </w:tcPr>
          <w:p>
            <w:pPr>
              <w:spacing w:after="0"/>
              <w:rPr>
                <w:sz w:val="9"/>
                <w:szCs w:val="9"/>
                <w:color w:val="auto"/>
              </w:rPr>
            </w:pPr>
          </w:p>
        </w:tc>
        <w:tc>
          <w:tcPr>
            <w:tcW w:w="100" w:type="dxa"/>
            <w:vAlign w:val="bottom"/>
            <w:tcBorders>
              <w:top w:val="single" w:sz="8" w:color="auto"/>
            </w:tcBorders>
            <w:shd w:val="clear" w:color="auto" w:fill="DCE2EF"/>
          </w:tcPr>
          <w:p>
            <w:pPr>
              <w:spacing w:after="0"/>
              <w:rPr>
                <w:sz w:val="9"/>
                <w:szCs w:val="9"/>
                <w:color w:val="auto"/>
              </w:rPr>
            </w:pPr>
          </w:p>
        </w:tc>
        <w:tc>
          <w:tcPr>
            <w:tcW w:w="420" w:type="dxa"/>
            <w:vAlign w:val="bottom"/>
            <w:tcBorders>
              <w:top w:val="single" w:sz="8" w:color="auto"/>
            </w:tcBorders>
            <w:shd w:val="clear" w:color="auto" w:fill="DCE2EF"/>
          </w:tcPr>
          <w:p>
            <w:pPr>
              <w:spacing w:after="0"/>
              <w:rPr>
                <w:sz w:val="9"/>
                <w:szCs w:val="9"/>
                <w:color w:val="auto"/>
              </w:rPr>
            </w:pPr>
          </w:p>
        </w:tc>
        <w:tc>
          <w:tcPr>
            <w:tcW w:w="40" w:type="dxa"/>
            <w:vAlign w:val="bottom"/>
            <w:tcBorders>
              <w:top w:val="single" w:sz="8" w:color="auto"/>
            </w:tcBorders>
            <w:shd w:val="clear" w:color="auto" w:fill="DCE2EF"/>
          </w:tcPr>
          <w:p>
            <w:pPr>
              <w:spacing w:after="0"/>
              <w:rPr>
                <w:sz w:val="9"/>
                <w:szCs w:val="9"/>
                <w:color w:val="auto"/>
              </w:rPr>
            </w:pPr>
          </w:p>
        </w:tc>
        <w:tc>
          <w:tcPr>
            <w:tcW w:w="60" w:type="dxa"/>
            <w:vAlign w:val="bottom"/>
            <w:tcBorders>
              <w:top w:val="single" w:sz="8" w:color="auto"/>
            </w:tcBorders>
            <w:shd w:val="clear" w:color="auto" w:fill="DCE2EF"/>
          </w:tcPr>
          <w:p>
            <w:pPr>
              <w:spacing w:after="0"/>
              <w:rPr>
                <w:sz w:val="9"/>
                <w:szCs w:val="9"/>
                <w:color w:val="auto"/>
              </w:rPr>
            </w:pPr>
          </w:p>
        </w:tc>
        <w:tc>
          <w:tcPr>
            <w:tcW w:w="40" w:type="dxa"/>
            <w:vAlign w:val="bottom"/>
            <w:tcBorders>
              <w:top w:val="single" w:sz="8" w:color="auto"/>
            </w:tcBorders>
            <w:shd w:val="clear" w:color="auto" w:fill="DCE2EF"/>
          </w:tcPr>
          <w:p>
            <w:pPr>
              <w:spacing w:after="0"/>
              <w:rPr>
                <w:sz w:val="9"/>
                <w:szCs w:val="9"/>
                <w:color w:val="auto"/>
              </w:rPr>
            </w:pPr>
          </w:p>
        </w:tc>
        <w:tc>
          <w:tcPr>
            <w:tcW w:w="100" w:type="dxa"/>
            <w:vAlign w:val="bottom"/>
            <w:tcBorders>
              <w:top w:val="single" w:sz="8" w:color="auto"/>
            </w:tcBorders>
            <w:shd w:val="clear" w:color="auto" w:fill="DCE2EF"/>
          </w:tcPr>
          <w:p>
            <w:pPr>
              <w:spacing w:after="0"/>
              <w:rPr>
                <w:sz w:val="9"/>
                <w:szCs w:val="9"/>
                <w:color w:val="auto"/>
              </w:rPr>
            </w:pPr>
          </w:p>
        </w:tc>
        <w:tc>
          <w:tcPr>
            <w:tcW w:w="560" w:type="dxa"/>
            <w:vAlign w:val="bottom"/>
            <w:tcBorders>
              <w:top w:val="single" w:sz="8" w:color="auto"/>
            </w:tcBorders>
            <w:shd w:val="clear" w:color="auto" w:fill="DCE2EF"/>
          </w:tcPr>
          <w:p>
            <w:pPr>
              <w:spacing w:after="0"/>
              <w:rPr>
                <w:sz w:val="9"/>
                <w:szCs w:val="9"/>
                <w:color w:val="auto"/>
              </w:rPr>
            </w:pPr>
          </w:p>
        </w:tc>
        <w:tc>
          <w:tcPr>
            <w:tcW w:w="40" w:type="dxa"/>
            <w:vAlign w:val="bottom"/>
            <w:tcBorders>
              <w:top w:val="single" w:sz="8" w:color="auto"/>
            </w:tcBorders>
            <w:shd w:val="clear" w:color="auto" w:fill="DCE2EF"/>
          </w:tcPr>
          <w:p>
            <w:pPr>
              <w:spacing w:after="0"/>
              <w:rPr>
                <w:sz w:val="9"/>
                <w:szCs w:val="9"/>
                <w:color w:val="auto"/>
              </w:rPr>
            </w:pPr>
          </w:p>
        </w:tc>
        <w:tc>
          <w:tcPr>
            <w:tcW w:w="40" w:type="dxa"/>
            <w:vAlign w:val="bottom"/>
            <w:tcBorders>
              <w:top w:val="single" w:sz="8" w:color="DCE2EF"/>
            </w:tcBorders>
            <w:shd w:val="clear" w:color="auto" w:fill="DCE2EF"/>
          </w:tcPr>
          <w:p>
            <w:pPr>
              <w:spacing w:after="0"/>
              <w:rPr>
                <w:sz w:val="9"/>
                <w:szCs w:val="9"/>
                <w:color w:val="auto"/>
              </w:rPr>
            </w:pPr>
          </w:p>
        </w:tc>
        <w:tc>
          <w:tcPr>
            <w:tcW w:w="40" w:type="dxa"/>
            <w:vAlign w:val="bottom"/>
            <w:tcBorders>
              <w:top w:val="single" w:sz="8" w:color="DCE2EF"/>
            </w:tcBorders>
            <w:shd w:val="clear" w:color="auto" w:fill="DCE2EF"/>
          </w:tcPr>
          <w:p>
            <w:pPr>
              <w:spacing w:after="0"/>
              <w:rPr>
                <w:sz w:val="9"/>
                <w:szCs w:val="9"/>
                <w:color w:val="auto"/>
              </w:rPr>
            </w:pPr>
          </w:p>
        </w:tc>
        <w:tc>
          <w:tcPr>
            <w:tcW w:w="100" w:type="dxa"/>
            <w:vAlign w:val="bottom"/>
            <w:tcBorders>
              <w:top w:val="single" w:sz="8" w:color="auto"/>
            </w:tcBorders>
            <w:shd w:val="clear" w:color="auto" w:fill="DCE2EF"/>
          </w:tcPr>
          <w:p>
            <w:pPr>
              <w:spacing w:after="0"/>
              <w:rPr>
                <w:sz w:val="9"/>
                <w:szCs w:val="9"/>
                <w:color w:val="auto"/>
              </w:rPr>
            </w:pPr>
          </w:p>
        </w:tc>
        <w:tc>
          <w:tcPr>
            <w:tcW w:w="680" w:type="dxa"/>
            <w:vAlign w:val="bottom"/>
            <w:tcBorders>
              <w:top w:val="single" w:sz="8" w:color="auto"/>
            </w:tcBorders>
            <w:shd w:val="clear" w:color="auto" w:fill="DCE2EF"/>
          </w:tcPr>
          <w:p>
            <w:pPr>
              <w:spacing w:after="0"/>
              <w:rPr>
                <w:sz w:val="9"/>
                <w:szCs w:val="9"/>
                <w:color w:val="auto"/>
              </w:rPr>
            </w:pPr>
          </w:p>
        </w:tc>
        <w:tc>
          <w:tcPr>
            <w:tcW w:w="40" w:type="dxa"/>
            <w:vAlign w:val="bottom"/>
            <w:tcBorders>
              <w:top w:val="single" w:sz="8" w:color="auto"/>
            </w:tcBorders>
            <w:shd w:val="clear" w:color="auto" w:fill="DCE2EF"/>
          </w:tcPr>
          <w:p>
            <w:pPr>
              <w:spacing w:after="0"/>
              <w:rPr>
                <w:sz w:val="9"/>
                <w:szCs w:val="9"/>
                <w:color w:val="auto"/>
              </w:rPr>
            </w:pPr>
          </w:p>
        </w:tc>
        <w:tc>
          <w:tcPr>
            <w:tcW w:w="60" w:type="dxa"/>
            <w:vAlign w:val="bottom"/>
            <w:tcBorders>
              <w:top w:val="single" w:sz="8" w:color="auto"/>
            </w:tcBorders>
            <w:shd w:val="clear" w:color="auto" w:fill="DCE2EF"/>
          </w:tcPr>
          <w:p>
            <w:pPr>
              <w:spacing w:after="0"/>
              <w:rPr>
                <w:sz w:val="9"/>
                <w:szCs w:val="9"/>
                <w:color w:val="auto"/>
              </w:rPr>
            </w:pPr>
          </w:p>
        </w:tc>
        <w:tc>
          <w:tcPr>
            <w:tcW w:w="20" w:type="dxa"/>
            <w:vAlign w:val="bottom"/>
            <w:tcBorders>
              <w:top w:val="single" w:sz="8" w:color="auto"/>
            </w:tcBorders>
            <w:shd w:val="clear" w:color="auto" w:fill="DCE2EF"/>
          </w:tcPr>
          <w:p>
            <w:pPr>
              <w:spacing w:after="0"/>
              <w:rPr>
                <w:sz w:val="9"/>
                <w:szCs w:val="9"/>
                <w:color w:val="auto"/>
              </w:rPr>
            </w:pPr>
          </w:p>
        </w:tc>
        <w:tc>
          <w:tcPr>
            <w:tcW w:w="100" w:type="dxa"/>
            <w:vAlign w:val="bottom"/>
            <w:tcBorders>
              <w:top w:val="single" w:sz="8" w:color="auto"/>
            </w:tcBorders>
            <w:shd w:val="clear" w:color="auto" w:fill="DCE2EF"/>
          </w:tcPr>
          <w:p>
            <w:pPr>
              <w:spacing w:after="0"/>
              <w:rPr>
                <w:sz w:val="9"/>
                <w:szCs w:val="9"/>
                <w:color w:val="auto"/>
              </w:rPr>
            </w:pPr>
          </w:p>
        </w:tc>
        <w:tc>
          <w:tcPr>
            <w:tcW w:w="680" w:type="dxa"/>
            <w:vAlign w:val="bottom"/>
            <w:tcBorders>
              <w:top w:val="single" w:sz="8" w:color="auto"/>
            </w:tcBorders>
            <w:shd w:val="clear" w:color="auto" w:fill="DCE2EF"/>
          </w:tcPr>
          <w:p>
            <w:pPr>
              <w:spacing w:after="0"/>
              <w:rPr>
                <w:sz w:val="9"/>
                <w:szCs w:val="9"/>
                <w:color w:val="auto"/>
              </w:rPr>
            </w:pPr>
          </w:p>
        </w:tc>
        <w:tc>
          <w:tcPr>
            <w:tcW w:w="40" w:type="dxa"/>
            <w:vAlign w:val="bottom"/>
            <w:tcBorders>
              <w:top w:val="single" w:sz="8" w:color="auto"/>
            </w:tcBorders>
            <w:shd w:val="clear" w:color="auto" w:fill="DCE2EF"/>
          </w:tcPr>
          <w:p>
            <w:pPr>
              <w:spacing w:after="0"/>
              <w:rPr>
                <w:sz w:val="9"/>
                <w:szCs w:val="9"/>
                <w:color w:val="auto"/>
              </w:rPr>
            </w:pPr>
          </w:p>
        </w:tc>
        <w:tc>
          <w:tcPr>
            <w:tcW w:w="60" w:type="dxa"/>
            <w:vAlign w:val="bottom"/>
            <w:tcBorders>
              <w:top w:val="single" w:sz="8" w:color="auto"/>
            </w:tcBorders>
            <w:shd w:val="clear" w:color="auto" w:fill="DCE2EF"/>
          </w:tcPr>
          <w:p>
            <w:pPr>
              <w:spacing w:after="0"/>
              <w:rPr>
                <w:sz w:val="9"/>
                <w:szCs w:val="9"/>
                <w:color w:val="auto"/>
              </w:rPr>
            </w:pPr>
          </w:p>
        </w:tc>
        <w:tc>
          <w:tcPr>
            <w:tcW w:w="20" w:type="dxa"/>
            <w:vAlign w:val="bottom"/>
            <w:tcBorders>
              <w:top w:val="single" w:sz="8" w:color="auto"/>
            </w:tcBorders>
            <w:shd w:val="clear" w:color="auto" w:fill="DCE2EF"/>
          </w:tcPr>
          <w:p>
            <w:pPr>
              <w:spacing w:after="0"/>
              <w:rPr>
                <w:sz w:val="9"/>
                <w:szCs w:val="9"/>
                <w:color w:val="auto"/>
              </w:rPr>
            </w:pPr>
          </w:p>
        </w:tc>
        <w:tc>
          <w:tcPr>
            <w:tcW w:w="140" w:type="dxa"/>
            <w:vAlign w:val="bottom"/>
            <w:tcBorders>
              <w:top w:val="single" w:sz="8" w:color="auto"/>
            </w:tcBorders>
            <w:shd w:val="clear" w:color="auto" w:fill="DCE2EF"/>
          </w:tcPr>
          <w:p>
            <w:pPr>
              <w:spacing w:after="0"/>
              <w:rPr>
                <w:sz w:val="9"/>
                <w:szCs w:val="9"/>
                <w:color w:val="auto"/>
              </w:rPr>
            </w:pPr>
          </w:p>
        </w:tc>
        <w:tc>
          <w:tcPr>
            <w:tcW w:w="560" w:type="dxa"/>
            <w:vAlign w:val="bottom"/>
            <w:tcBorders>
              <w:top w:val="single" w:sz="8" w:color="auto"/>
            </w:tcBorders>
            <w:shd w:val="clear" w:color="auto" w:fill="DCE2EF"/>
          </w:tcPr>
          <w:p>
            <w:pPr>
              <w:spacing w:after="0"/>
              <w:rPr>
                <w:sz w:val="9"/>
                <w:szCs w:val="9"/>
                <w:color w:val="auto"/>
              </w:rPr>
            </w:pPr>
          </w:p>
        </w:tc>
        <w:tc>
          <w:tcPr>
            <w:tcW w:w="20" w:type="dxa"/>
            <w:vAlign w:val="bottom"/>
            <w:tcBorders>
              <w:top w:val="single" w:sz="8" w:color="auto"/>
            </w:tcBorders>
            <w:shd w:val="clear" w:color="auto" w:fill="DCE2EF"/>
          </w:tcPr>
          <w:p>
            <w:pPr>
              <w:spacing w:after="0"/>
              <w:rPr>
                <w:sz w:val="9"/>
                <w:szCs w:val="9"/>
                <w:color w:val="auto"/>
              </w:rPr>
            </w:pPr>
          </w:p>
        </w:tc>
        <w:tc>
          <w:tcPr>
            <w:tcW w:w="60" w:type="dxa"/>
            <w:vAlign w:val="bottom"/>
            <w:tcBorders>
              <w:top w:val="single" w:sz="8" w:color="DCE2EF"/>
            </w:tcBorders>
            <w:shd w:val="clear" w:color="auto" w:fill="DCE2EF"/>
          </w:tcPr>
          <w:p>
            <w:pPr>
              <w:spacing w:after="0"/>
              <w:rPr>
                <w:sz w:val="9"/>
                <w:szCs w:val="9"/>
                <w:color w:val="auto"/>
              </w:rPr>
            </w:pPr>
          </w:p>
        </w:tc>
        <w:tc>
          <w:tcPr>
            <w:tcW w:w="40" w:type="dxa"/>
            <w:vAlign w:val="bottom"/>
            <w:tcBorders>
              <w:top w:val="single" w:sz="8" w:color="DCE2EF"/>
            </w:tcBorders>
            <w:shd w:val="clear" w:color="auto" w:fill="DCE2EF"/>
          </w:tcPr>
          <w:p>
            <w:pPr>
              <w:spacing w:after="0"/>
              <w:rPr>
                <w:sz w:val="9"/>
                <w:szCs w:val="9"/>
                <w:color w:val="auto"/>
              </w:rPr>
            </w:pPr>
          </w:p>
        </w:tc>
        <w:tc>
          <w:tcPr>
            <w:tcW w:w="140" w:type="dxa"/>
            <w:vAlign w:val="bottom"/>
            <w:tcBorders>
              <w:top w:val="single" w:sz="8" w:color="auto"/>
            </w:tcBorders>
            <w:shd w:val="clear" w:color="auto" w:fill="DCE2EF"/>
          </w:tcPr>
          <w:p>
            <w:pPr>
              <w:spacing w:after="0"/>
              <w:rPr>
                <w:sz w:val="9"/>
                <w:szCs w:val="9"/>
                <w:color w:val="auto"/>
              </w:rPr>
            </w:pPr>
          </w:p>
        </w:tc>
        <w:tc>
          <w:tcPr>
            <w:tcW w:w="560" w:type="dxa"/>
            <w:vAlign w:val="bottom"/>
            <w:tcBorders>
              <w:top w:val="single" w:sz="8" w:color="auto"/>
            </w:tcBorders>
            <w:shd w:val="clear" w:color="auto" w:fill="DCE2EF"/>
          </w:tcPr>
          <w:p>
            <w:pPr>
              <w:spacing w:after="0"/>
              <w:rPr>
                <w:sz w:val="9"/>
                <w:szCs w:val="9"/>
                <w:color w:val="auto"/>
              </w:rPr>
            </w:pPr>
          </w:p>
        </w:tc>
        <w:tc>
          <w:tcPr>
            <w:tcW w:w="80" w:type="dxa"/>
            <w:vAlign w:val="bottom"/>
            <w:tcBorders>
              <w:top w:val="single" w:sz="8" w:color="auto"/>
            </w:tcBorders>
            <w:shd w:val="clear" w:color="auto" w:fill="DCE2EF"/>
          </w:tcPr>
          <w:p>
            <w:pPr>
              <w:spacing w:after="0"/>
              <w:rPr>
                <w:sz w:val="9"/>
                <w:szCs w:val="9"/>
                <w:color w:val="auto"/>
              </w:rPr>
            </w:pPr>
          </w:p>
        </w:tc>
        <w:tc>
          <w:tcPr>
            <w:tcW w:w="20" w:type="dxa"/>
            <w:vAlign w:val="bottom"/>
            <w:tcBorders>
              <w:top w:val="single" w:sz="8" w:color="auto"/>
            </w:tcBorders>
            <w:shd w:val="clear" w:color="auto" w:fill="DCE2EF"/>
          </w:tcPr>
          <w:p>
            <w:pPr>
              <w:spacing w:after="0"/>
              <w:rPr>
                <w:sz w:val="9"/>
                <w:szCs w:val="9"/>
                <w:color w:val="auto"/>
              </w:rPr>
            </w:pPr>
          </w:p>
        </w:tc>
        <w:tc>
          <w:tcPr>
            <w:tcW w:w="120" w:type="dxa"/>
            <w:vAlign w:val="bottom"/>
            <w:tcBorders>
              <w:top w:val="single" w:sz="8" w:color="auto"/>
            </w:tcBorders>
            <w:shd w:val="clear" w:color="auto" w:fill="DCE2EF"/>
          </w:tcPr>
          <w:p>
            <w:pPr>
              <w:spacing w:after="0"/>
              <w:rPr>
                <w:sz w:val="9"/>
                <w:szCs w:val="9"/>
                <w:color w:val="auto"/>
              </w:rPr>
            </w:pPr>
          </w:p>
        </w:tc>
        <w:tc>
          <w:tcPr>
            <w:tcW w:w="440" w:type="dxa"/>
            <w:vAlign w:val="bottom"/>
            <w:tcBorders>
              <w:top w:val="single" w:sz="8" w:color="auto"/>
            </w:tcBorders>
            <w:shd w:val="clear" w:color="auto" w:fill="DCE2EF"/>
          </w:tcPr>
          <w:p>
            <w:pPr>
              <w:spacing w:after="0"/>
              <w:rPr>
                <w:sz w:val="9"/>
                <w:szCs w:val="9"/>
                <w:color w:val="auto"/>
              </w:rPr>
            </w:pPr>
          </w:p>
        </w:tc>
        <w:tc>
          <w:tcPr>
            <w:tcW w:w="20" w:type="dxa"/>
            <w:vAlign w:val="bottom"/>
            <w:tcBorders>
              <w:top w:val="single" w:sz="8" w:color="auto"/>
            </w:tcBorders>
            <w:shd w:val="clear" w:color="auto" w:fill="DCE2EF"/>
          </w:tcPr>
          <w:p>
            <w:pPr>
              <w:spacing w:after="0"/>
              <w:rPr>
                <w:sz w:val="9"/>
                <w:szCs w:val="9"/>
                <w:color w:val="auto"/>
              </w:rPr>
            </w:pPr>
          </w:p>
        </w:tc>
        <w:tc>
          <w:tcPr>
            <w:tcW w:w="80" w:type="dxa"/>
            <w:vAlign w:val="bottom"/>
            <w:tcBorders>
              <w:top w:val="single" w:sz="8" w:color="auto"/>
            </w:tcBorders>
            <w:shd w:val="clear" w:color="auto" w:fill="DCE2EF"/>
          </w:tcPr>
          <w:p>
            <w:pPr>
              <w:spacing w:after="0"/>
              <w:rPr>
                <w:sz w:val="9"/>
                <w:szCs w:val="9"/>
                <w:color w:val="auto"/>
              </w:rPr>
            </w:pPr>
          </w:p>
        </w:tc>
        <w:tc>
          <w:tcPr>
            <w:tcW w:w="20" w:type="dxa"/>
            <w:vAlign w:val="bottom"/>
            <w:tcBorders>
              <w:top w:val="single" w:sz="8" w:color="auto"/>
            </w:tcBorders>
            <w:shd w:val="clear" w:color="auto" w:fill="DCE2EF"/>
          </w:tcPr>
          <w:p>
            <w:pPr>
              <w:spacing w:after="0"/>
              <w:rPr>
                <w:sz w:val="9"/>
                <w:szCs w:val="9"/>
                <w:color w:val="auto"/>
              </w:rPr>
            </w:pPr>
          </w:p>
        </w:tc>
        <w:tc>
          <w:tcPr>
            <w:tcW w:w="80" w:type="dxa"/>
            <w:vAlign w:val="bottom"/>
            <w:tcBorders>
              <w:top w:val="single" w:sz="8" w:color="auto"/>
            </w:tcBorders>
            <w:shd w:val="clear" w:color="auto" w:fill="DCE2EF"/>
          </w:tcPr>
          <w:p>
            <w:pPr>
              <w:spacing w:after="0"/>
              <w:rPr>
                <w:sz w:val="9"/>
                <w:szCs w:val="9"/>
                <w:color w:val="auto"/>
              </w:rPr>
            </w:pPr>
          </w:p>
        </w:tc>
        <w:tc>
          <w:tcPr>
            <w:tcW w:w="620" w:type="dxa"/>
            <w:vAlign w:val="bottom"/>
            <w:tcBorders>
              <w:top w:val="single" w:sz="8" w:color="auto"/>
            </w:tcBorders>
            <w:shd w:val="clear" w:color="auto" w:fill="DCE2EF"/>
          </w:tcPr>
          <w:p>
            <w:pPr>
              <w:spacing w:after="0"/>
              <w:rPr>
                <w:sz w:val="9"/>
                <w:szCs w:val="9"/>
                <w:color w:val="auto"/>
              </w:rPr>
            </w:pPr>
          </w:p>
        </w:tc>
        <w:tc>
          <w:tcPr>
            <w:tcW w:w="80" w:type="dxa"/>
            <w:vAlign w:val="bottom"/>
            <w:tcBorders>
              <w:top w:val="single" w:sz="8" w:color="DCE2EF"/>
            </w:tcBorders>
            <w:shd w:val="clear" w:color="auto" w:fill="DCE2EF"/>
          </w:tcPr>
          <w:p>
            <w:pPr>
              <w:spacing w:after="0"/>
              <w:rPr>
                <w:sz w:val="9"/>
                <w:szCs w:val="9"/>
                <w:color w:val="auto"/>
              </w:rPr>
            </w:pPr>
          </w:p>
        </w:tc>
        <w:tc>
          <w:tcPr>
            <w:tcW w:w="120" w:type="dxa"/>
            <w:vAlign w:val="bottom"/>
            <w:tcBorders>
              <w:top w:val="single" w:sz="8" w:color="auto"/>
            </w:tcBorders>
            <w:shd w:val="clear" w:color="auto" w:fill="DCE2EF"/>
          </w:tcPr>
          <w:p>
            <w:pPr>
              <w:spacing w:after="0"/>
              <w:rPr>
                <w:sz w:val="9"/>
                <w:szCs w:val="9"/>
                <w:color w:val="auto"/>
              </w:rPr>
            </w:pPr>
          </w:p>
        </w:tc>
        <w:tc>
          <w:tcPr>
            <w:tcW w:w="760" w:type="dxa"/>
            <w:vAlign w:val="bottom"/>
            <w:tcBorders>
              <w:top w:val="single" w:sz="8" w:color="auto"/>
            </w:tcBorders>
            <w:shd w:val="clear" w:color="auto" w:fill="DCE2EF"/>
          </w:tcPr>
          <w:p>
            <w:pPr>
              <w:spacing w:after="0"/>
              <w:rPr>
                <w:sz w:val="9"/>
                <w:szCs w:val="9"/>
                <w:color w:val="auto"/>
              </w:rPr>
            </w:pPr>
          </w:p>
        </w:tc>
        <w:tc>
          <w:tcPr>
            <w:tcW w:w="100" w:type="dxa"/>
            <w:vAlign w:val="bottom"/>
            <w:tcBorders>
              <w:top w:val="single" w:sz="8" w:color="auto"/>
            </w:tcBorders>
            <w:shd w:val="clear" w:color="auto" w:fill="DCE2EF"/>
          </w:tcPr>
          <w:p>
            <w:pPr>
              <w:spacing w:after="0"/>
              <w:rPr>
                <w:sz w:val="9"/>
                <w:szCs w:val="9"/>
                <w:color w:val="auto"/>
              </w:rPr>
            </w:pPr>
          </w:p>
        </w:tc>
        <w:tc>
          <w:tcPr>
            <w:tcW w:w="120" w:type="dxa"/>
            <w:vAlign w:val="bottom"/>
            <w:tcBorders>
              <w:top w:val="single" w:sz="8" w:color="auto"/>
            </w:tcBorders>
            <w:shd w:val="clear" w:color="auto" w:fill="DCE2EF"/>
          </w:tcPr>
          <w:p>
            <w:pPr>
              <w:spacing w:after="0"/>
              <w:rPr>
                <w:sz w:val="9"/>
                <w:szCs w:val="9"/>
                <w:color w:val="auto"/>
              </w:rPr>
            </w:pPr>
          </w:p>
        </w:tc>
        <w:tc>
          <w:tcPr>
            <w:tcW w:w="760" w:type="dxa"/>
            <w:vAlign w:val="bottom"/>
            <w:tcBorders>
              <w:top w:val="single" w:sz="8" w:color="auto"/>
            </w:tcBorders>
            <w:shd w:val="clear" w:color="auto" w:fill="DCE2EF"/>
          </w:tcPr>
          <w:p>
            <w:pPr>
              <w:spacing w:after="0"/>
              <w:rPr>
                <w:sz w:val="9"/>
                <w:szCs w:val="9"/>
                <w:color w:val="auto"/>
              </w:rPr>
            </w:pPr>
          </w:p>
        </w:tc>
        <w:tc>
          <w:tcPr>
            <w:tcW w:w="100" w:type="dxa"/>
            <w:vAlign w:val="bottom"/>
            <w:tcBorders>
              <w:top w:val="single" w:sz="8" w:color="auto"/>
            </w:tcBorders>
            <w:shd w:val="clear" w:color="auto" w:fill="DCE2EF"/>
          </w:tcPr>
          <w:p>
            <w:pPr>
              <w:spacing w:after="0"/>
              <w:rPr>
                <w:sz w:val="9"/>
                <w:szCs w:val="9"/>
                <w:color w:val="auto"/>
              </w:rPr>
            </w:pPr>
          </w:p>
        </w:tc>
        <w:tc>
          <w:tcPr>
            <w:tcW w:w="140" w:type="dxa"/>
            <w:vAlign w:val="bottom"/>
            <w:tcBorders>
              <w:top w:val="single" w:sz="8" w:color="auto"/>
            </w:tcBorders>
            <w:shd w:val="clear" w:color="auto" w:fill="DCE2EF"/>
          </w:tcPr>
          <w:p>
            <w:pPr>
              <w:spacing w:after="0"/>
              <w:rPr>
                <w:sz w:val="9"/>
                <w:szCs w:val="9"/>
                <w:color w:val="auto"/>
              </w:rPr>
            </w:pPr>
          </w:p>
        </w:tc>
        <w:tc>
          <w:tcPr>
            <w:tcW w:w="580" w:type="dxa"/>
            <w:vAlign w:val="bottom"/>
            <w:tcBorders>
              <w:top w:val="single" w:sz="8" w:color="auto"/>
            </w:tcBorders>
            <w:shd w:val="clear" w:color="auto" w:fill="DCE2EF"/>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shd w:val="clear" w:color="auto" w:fill="DCE2EF"/>
          </w:tcPr>
          <w:p>
            <w:pPr>
              <w:spacing w:after="0"/>
              <w:rPr>
                <w:sz w:val="11"/>
                <w:szCs w:val="11"/>
                <w:color w:val="auto"/>
              </w:rPr>
            </w:pPr>
          </w:p>
        </w:tc>
        <w:tc>
          <w:tcPr>
            <w:tcW w:w="1420" w:type="dxa"/>
            <w:vAlign w:val="bottom"/>
            <w:gridSpan w:val="2"/>
            <w:shd w:val="clear" w:color="auto" w:fill="DCE2EF"/>
          </w:tcPr>
          <w:p>
            <w:pPr>
              <w:ind w:left="120"/>
              <w:spacing w:after="0" w:line="135" w:lineRule="exact"/>
              <w:rPr>
                <w:sz w:val="20"/>
                <w:szCs w:val="20"/>
                <w:color w:val="auto"/>
              </w:rPr>
            </w:pPr>
            <w:r>
              <w:rPr>
                <w:rFonts w:ascii="Arial" w:cs="Arial" w:eastAsia="Arial" w:hAnsi="Arial"/>
                <w:sz w:val="14"/>
                <w:szCs w:val="14"/>
                <w:b w:val="1"/>
                <w:bCs w:val="1"/>
                <w:color w:val="auto"/>
              </w:rPr>
              <w:t>Infrastructure</w:t>
            </w:r>
          </w:p>
        </w:tc>
        <w:tc>
          <w:tcPr>
            <w:tcW w:w="14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202.7</w:t>
            </w:r>
          </w:p>
        </w:tc>
        <w:tc>
          <w:tcPr>
            <w:tcW w:w="40" w:type="dxa"/>
            <w:vAlign w:val="bottom"/>
            <w:shd w:val="clear" w:color="auto" w:fill="DCE2EF"/>
          </w:tcPr>
          <w:p>
            <w:pPr>
              <w:spacing w:after="0"/>
              <w:rPr>
                <w:sz w:val="11"/>
                <w:szCs w:val="11"/>
                <w:color w:val="auto"/>
              </w:rPr>
            </w:pPr>
          </w:p>
        </w:tc>
        <w:tc>
          <w:tcPr>
            <w:tcW w:w="200" w:type="dxa"/>
            <w:vAlign w:val="bottom"/>
            <w:gridSpan w:val="3"/>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46.7</w:t>
            </w:r>
          </w:p>
        </w:tc>
        <w:tc>
          <w:tcPr>
            <w:tcW w:w="40" w:type="dxa"/>
            <w:vAlign w:val="bottom"/>
            <w:shd w:val="clear" w:color="auto" w:fill="DCE2EF"/>
          </w:tcPr>
          <w:p>
            <w:pPr>
              <w:spacing w:after="0"/>
              <w:rPr>
                <w:sz w:val="11"/>
                <w:szCs w:val="11"/>
                <w:color w:val="auto"/>
              </w:rPr>
            </w:pPr>
          </w:p>
        </w:tc>
        <w:tc>
          <w:tcPr>
            <w:tcW w:w="200" w:type="dxa"/>
            <w:vAlign w:val="bottom"/>
            <w:gridSpan w:val="3"/>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13.2</w:t>
            </w:r>
          </w:p>
        </w:tc>
        <w:tc>
          <w:tcPr>
            <w:tcW w:w="40" w:type="dxa"/>
            <w:vAlign w:val="bottom"/>
            <w:shd w:val="clear" w:color="auto" w:fill="DCE2EF"/>
          </w:tcPr>
          <w:p>
            <w:pPr>
              <w:spacing w:after="0"/>
              <w:rPr>
                <w:sz w:val="11"/>
                <w:szCs w:val="11"/>
                <w:color w:val="auto"/>
              </w:rPr>
            </w:pPr>
          </w:p>
        </w:tc>
        <w:tc>
          <w:tcPr>
            <w:tcW w:w="180" w:type="dxa"/>
            <w:vAlign w:val="bottom"/>
            <w:gridSpan w:val="3"/>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29.8</w:t>
            </w:r>
          </w:p>
        </w:tc>
        <w:tc>
          <w:tcPr>
            <w:tcW w:w="40" w:type="dxa"/>
            <w:vAlign w:val="bottom"/>
            <w:shd w:val="clear" w:color="auto" w:fill="DCE2EF"/>
          </w:tcPr>
          <w:p>
            <w:pPr>
              <w:spacing w:after="0"/>
              <w:rPr>
                <w:sz w:val="11"/>
                <w:szCs w:val="11"/>
                <w:color w:val="auto"/>
              </w:rPr>
            </w:pPr>
          </w:p>
        </w:tc>
        <w:tc>
          <w:tcPr>
            <w:tcW w:w="180" w:type="dxa"/>
            <w:vAlign w:val="bottom"/>
            <w:gridSpan w:val="3"/>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210.2</w:t>
            </w:r>
          </w:p>
        </w:tc>
        <w:tc>
          <w:tcPr>
            <w:tcW w:w="40" w:type="dxa"/>
            <w:vAlign w:val="bottom"/>
            <w:shd w:val="clear" w:color="auto" w:fill="DCE2EF"/>
          </w:tcPr>
          <w:p>
            <w:pPr>
              <w:spacing w:after="0"/>
              <w:rPr>
                <w:sz w:val="11"/>
                <w:szCs w:val="11"/>
                <w:color w:val="auto"/>
              </w:rPr>
            </w:pPr>
          </w:p>
        </w:tc>
        <w:tc>
          <w:tcPr>
            <w:tcW w:w="220" w:type="dxa"/>
            <w:vAlign w:val="bottom"/>
            <w:gridSpan w:val="3"/>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502.5</w:t>
            </w:r>
          </w:p>
        </w:tc>
        <w:tc>
          <w:tcPr>
            <w:tcW w:w="20" w:type="dxa"/>
            <w:vAlign w:val="bottom"/>
            <w:shd w:val="clear" w:color="auto" w:fill="DCE2EF"/>
          </w:tcPr>
          <w:p>
            <w:pPr>
              <w:spacing w:after="0"/>
              <w:rPr>
                <w:sz w:val="11"/>
                <w:szCs w:val="11"/>
                <w:color w:val="auto"/>
              </w:rPr>
            </w:pPr>
          </w:p>
        </w:tc>
        <w:tc>
          <w:tcPr>
            <w:tcW w:w="240" w:type="dxa"/>
            <w:vAlign w:val="bottom"/>
            <w:gridSpan w:val="3"/>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423.4</w:t>
            </w:r>
          </w:p>
        </w:tc>
        <w:tc>
          <w:tcPr>
            <w:tcW w:w="8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12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99.4</w:t>
            </w:r>
          </w:p>
        </w:tc>
        <w:tc>
          <w:tcPr>
            <w:tcW w:w="20" w:type="dxa"/>
            <w:vAlign w:val="bottom"/>
            <w:shd w:val="clear" w:color="auto" w:fill="DCE2EF"/>
          </w:tcPr>
          <w:p>
            <w:pPr>
              <w:spacing w:after="0"/>
              <w:rPr>
                <w:sz w:val="11"/>
                <w:szCs w:val="11"/>
                <w:color w:val="auto"/>
              </w:rPr>
            </w:pPr>
          </w:p>
        </w:tc>
        <w:tc>
          <w:tcPr>
            <w:tcW w:w="180" w:type="dxa"/>
            <w:vAlign w:val="bottom"/>
            <w:gridSpan w:val="3"/>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DCE2EF"/>
          </w:tcPr>
          <w:p>
            <w:pPr>
              <w:jc w:val="right"/>
              <w:ind w:right="13"/>
              <w:spacing w:after="0"/>
              <w:rPr>
                <w:sz w:val="20"/>
                <w:szCs w:val="20"/>
                <w:color w:val="auto"/>
              </w:rPr>
            </w:pPr>
            <w:r>
              <w:rPr>
                <w:rFonts w:ascii="Arial" w:cs="Arial" w:eastAsia="Arial" w:hAnsi="Arial"/>
                <w:sz w:val="14"/>
                <w:szCs w:val="14"/>
                <w:b w:val="1"/>
                <w:bCs w:val="1"/>
                <w:color w:val="auto"/>
              </w:rPr>
              <w:t>26.3</w:t>
            </w:r>
          </w:p>
        </w:tc>
        <w:tc>
          <w:tcPr>
            <w:tcW w:w="80" w:type="dxa"/>
            <w:vAlign w:val="bottom"/>
            <w:shd w:val="clear" w:color="auto" w:fill="DCE2EF"/>
          </w:tcPr>
          <w:p>
            <w:pPr>
              <w:spacing w:after="0"/>
              <w:rPr>
                <w:sz w:val="11"/>
                <w:szCs w:val="11"/>
                <w:color w:val="auto"/>
              </w:rPr>
            </w:pPr>
          </w:p>
        </w:tc>
        <w:tc>
          <w:tcPr>
            <w:tcW w:w="12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58.5</w:t>
            </w:r>
          </w:p>
        </w:tc>
        <w:tc>
          <w:tcPr>
            <w:tcW w:w="100" w:type="dxa"/>
            <w:vAlign w:val="bottom"/>
            <w:shd w:val="clear" w:color="auto" w:fill="DCE2EF"/>
          </w:tcPr>
          <w:p>
            <w:pPr>
              <w:spacing w:after="0"/>
              <w:rPr>
                <w:sz w:val="11"/>
                <w:szCs w:val="11"/>
                <w:color w:val="auto"/>
              </w:rPr>
            </w:pPr>
          </w:p>
        </w:tc>
        <w:tc>
          <w:tcPr>
            <w:tcW w:w="12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412.4</w:t>
            </w:r>
          </w:p>
        </w:tc>
        <w:tc>
          <w:tcPr>
            <w:tcW w:w="100" w:type="dxa"/>
            <w:vAlign w:val="bottom"/>
            <w:shd w:val="clear" w:color="auto" w:fill="DCE2EF"/>
          </w:tcPr>
          <w:p>
            <w:pPr>
              <w:spacing w:after="0"/>
              <w:rPr>
                <w:sz w:val="11"/>
                <w:szCs w:val="11"/>
                <w:color w:val="auto"/>
              </w:rPr>
            </w:pPr>
          </w:p>
        </w:tc>
        <w:tc>
          <w:tcPr>
            <w:tcW w:w="14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1,020.1</w:t>
            </w:r>
          </w:p>
        </w:tc>
        <w:tc>
          <w:tcPr>
            <w:tcW w:w="0" w:type="dxa"/>
            <w:vAlign w:val="bottom"/>
          </w:tcPr>
          <w:p>
            <w:pPr>
              <w:spacing w:after="0"/>
              <w:rPr>
                <w:sz w:val="1"/>
                <w:szCs w:val="1"/>
                <w:color w:val="auto"/>
              </w:rPr>
            </w:pPr>
          </w:p>
        </w:tc>
      </w:tr>
      <w:tr>
        <w:trPr>
          <w:trHeight w:val="188"/>
        </w:trPr>
        <w:tc>
          <w:tcPr>
            <w:tcW w:w="20" w:type="dxa"/>
            <w:vAlign w:val="bottom"/>
            <w:shd w:val="clear" w:color="auto" w:fill="DCE2EF"/>
          </w:tcPr>
          <w:p>
            <w:pPr>
              <w:spacing w:after="0"/>
              <w:rPr>
                <w:sz w:val="16"/>
                <w:szCs w:val="16"/>
                <w:color w:val="auto"/>
              </w:rPr>
            </w:pPr>
          </w:p>
        </w:tc>
        <w:tc>
          <w:tcPr>
            <w:tcW w:w="1420" w:type="dxa"/>
            <w:vAlign w:val="bottom"/>
            <w:gridSpan w:val="2"/>
            <w:shd w:val="clear" w:color="auto" w:fill="DCE2EF"/>
          </w:tcPr>
          <w:p>
            <w:pPr>
              <w:ind w:left="120"/>
              <w:spacing w:after="0"/>
              <w:rPr>
                <w:sz w:val="20"/>
                <w:szCs w:val="20"/>
                <w:color w:val="auto"/>
              </w:rPr>
            </w:pPr>
            <w:r>
              <w:rPr>
                <w:rFonts w:ascii="Arial" w:cs="Arial" w:eastAsia="Arial" w:hAnsi="Arial"/>
                <w:sz w:val="14"/>
                <w:szCs w:val="14"/>
                <w:b w:val="1"/>
                <w:bCs w:val="1"/>
                <w:color w:val="auto"/>
              </w:rPr>
              <w:t>Solutions</w:t>
            </w:r>
          </w:p>
        </w:tc>
        <w:tc>
          <w:tcPr>
            <w:tcW w:w="140" w:type="dxa"/>
            <w:vAlign w:val="bottom"/>
            <w:vMerge w:val="continue"/>
            <w:shd w:val="clear" w:color="auto" w:fill="DCE2EF"/>
          </w:tcPr>
          <w:p>
            <w:pPr>
              <w:spacing w:after="0"/>
              <w:rPr>
                <w:sz w:val="16"/>
                <w:szCs w:val="16"/>
                <w:color w:val="auto"/>
              </w:rPr>
            </w:pPr>
          </w:p>
        </w:tc>
        <w:tc>
          <w:tcPr>
            <w:tcW w:w="520" w:type="dxa"/>
            <w:vAlign w:val="bottom"/>
            <w:vMerge w:val="continue"/>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200" w:type="dxa"/>
            <w:vAlign w:val="bottom"/>
            <w:gridSpan w:val="3"/>
            <w:vMerge w:val="continue"/>
            <w:shd w:val="clear" w:color="auto" w:fill="DCE2EF"/>
          </w:tcPr>
          <w:p>
            <w:pPr>
              <w:spacing w:after="0"/>
              <w:rPr>
                <w:sz w:val="16"/>
                <w:szCs w:val="16"/>
                <w:color w:val="auto"/>
              </w:rPr>
            </w:pPr>
          </w:p>
        </w:tc>
        <w:tc>
          <w:tcPr>
            <w:tcW w:w="420" w:type="dxa"/>
            <w:vAlign w:val="bottom"/>
            <w:vMerge w:val="continue"/>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200" w:type="dxa"/>
            <w:vAlign w:val="bottom"/>
            <w:gridSpan w:val="3"/>
            <w:vMerge w:val="continue"/>
            <w:shd w:val="clear" w:color="auto" w:fill="DCE2EF"/>
          </w:tcPr>
          <w:p>
            <w:pPr>
              <w:spacing w:after="0"/>
              <w:rPr>
                <w:sz w:val="16"/>
                <w:szCs w:val="16"/>
                <w:color w:val="auto"/>
              </w:rPr>
            </w:pPr>
          </w:p>
        </w:tc>
        <w:tc>
          <w:tcPr>
            <w:tcW w:w="560" w:type="dxa"/>
            <w:vAlign w:val="bottom"/>
            <w:vMerge w:val="continue"/>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180" w:type="dxa"/>
            <w:vAlign w:val="bottom"/>
            <w:gridSpan w:val="3"/>
            <w:vMerge w:val="continue"/>
            <w:shd w:val="clear" w:color="auto" w:fill="DCE2EF"/>
          </w:tcPr>
          <w:p>
            <w:pPr>
              <w:spacing w:after="0"/>
              <w:rPr>
                <w:sz w:val="16"/>
                <w:szCs w:val="16"/>
                <w:color w:val="auto"/>
              </w:rPr>
            </w:pPr>
          </w:p>
        </w:tc>
        <w:tc>
          <w:tcPr>
            <w:tcW w:w="680" w:type="dxa"/>
            <w:vAlign w:val="bottom"/>
            <w:vMerge w:val="continue"/>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180" w:type="dxa"/>
            <w:vAlign w:val="bottom"/>
            <w:gridSpan w:val="3"/>
            <w:vMerge w:val="continue"/>
            <w:shd w:val="clear" w:color="auto" w:fill="DCE2EF"/>
          </w:tcPr>
          <w:p>
            <w:pPr>
              <w:spacing w:after="0"/>
              <w:rPr>
                <w:sz w:val="16"/>
                <w:szCs w:val="16"/>
                <w:color w:val="auto"/>
              </w:rPr>
            </w:pPr>
          </w:p>
        </w:tc>
        <w:tc>
          <w:tcPr>
            <w:tcW w:w="680" w:type="dxa"/>
            <w:vAlign w:val="bottom"/>
            <w:vMerge w:val="continue"/>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220" w:type="dxa"/>
            <w:vAlign w:val="bottom"/>
            <w:gridSpan w:val="3"/>
            <w:vMerge w:val="continue"/>
            <w:shd w:val="clear" w:color="auto" w:fill="DCE2EF"/>
          </w:tcPr>
          <w:p>
            <w:pPr>
              <w:spacing w:after="0"/>
              <w:rPr>
                <w:sz w:val="16"/>
                <w:szCs w:val="16"/>
                <w:color w:val="auto"/>
              </w:rPr>
            </w:pPr>
          </w:p>
        </w:tc>
        <w:tc>
          <w:tcPr>
            <w:tcW w:w="560" w:type="dxa"/>
            <w:vAlign w:val="bottom"/>
            <w:vMerge w:val="continue"/>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240" w:type="dxa"/>
            <w:vAlign w:val="bottom"/>
            <w:gridSpan w:val="3"/>
            <w:vMerge w:val="continue"/>
            <w:shd w:val="clear" w:color="auto" w:fill="DCE2EF"/>
          </w:tcPr>
          <w:p>
            <w:pPr>
              <w:spacing w:after="0"/>
              <w:rPr>
                <w:sz w:val="16"/>
                <w:szCs w:val="16"/>
                <w:color w:val="auto"/>
              </w:rPr>
            </w:pPr>
          </w:p>
        </w:tc>
        <w:tc>
          <w:tcPr>
            <w:tcW w:w="560" w:type="dxa"/>
            <w:vAlign w:val="bottom"/>
            <w:vMerge w:val="continue"/>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120" w:type="dxa"/>
            <w:vAlign w:val="bottom"/>
            <w:vMerge w:val="continue"/>
            <w:shd w:val="clear" w:color="auto" w:fill="DCE2EF"/>
          </w:tcPr>
          <w:p>
            <w:pPr>
              <w:spacing w:after="0"/>
              <w:rPr>
                <w:sz w:val="16"/>
                <w:szCs w:val="16"/>
                <w:color w:val="auto"/>
              </w:rPr>
            </w:pPr>
          </w:p>
        </w:tc>
        <w:tc>
          <w:tcPr>
            <w:tcW w:w="440" w:type="dxa"/>
            <w:vAlign w:val="bottom"/>
            <w:vMerge w:val="continue"/>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180" w:type="dxa"/>
            <w:vAlign w:val="bottom"/>
            <w:gridSpan w:val="3"/>
            <w:vMerge w:val="continue"/>
            <w:shd w:val="clear" w:color="auto" w:fill="DCE2EF"/>
          </w:tcPr>
          <w:p>
            <w:pPr>
              <w:spacing w:after="0"/>
              <w:rPr>
                <w:sz w:val="16"/>
                <w:szCs w:val="16"/>
                <w:color w:val="auto"/>
              </w:rPr>
            </w:pPr>
          </w:p>
        </w:tc>
        <w:tc>
          <w:tcPr>
            <w:tcW w:w="620" w:type="dxa"/>
            <w:vAlign w:val="bottom"/>
            <w:vMerge w:val="continue"/>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20" w:type="dxa"/>
            <w:vAlign w:val="bottom"/>
            <w:vMerge w:val="continue"/>
            <w:shd w:val="clear" w:color="auto" w:fill="DCE2EF"/>
          </w:tcPr>
          <w:p>
            <w:pPr>
              <w:spacing w:after="0"/>
              <w:rPr>
                <w:sz w:val="16"/>
                <w:szCs w:val="16"/>
                <w:color w:val="auto"/>
              </w:rPr>
            </w:pPr>
          </w:p>
        </w:tc>
        <w:tc>
          <w:tcPr>
            <w:tcW w:w="760" w:type="dxa"/>
            <w:vAlign w:val="bottom"/>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20" w:type="dxa"/>
            <w:vAlign w:val="bottom"/>
            <w:vMerge w:val="continue"/>
            <w:shd w:val="clear" w:color="auto" w:fill="DCE2EF"/>
          </w:tcPr>
          <w:p>
            <w:pPr>
              <w:spacing w:after="0"/>
              <w:rPr>
                <w:sz w:val="16"/>
                <w:szCs w:val="16"/>
                <w:color w:val="auto"/>
              </w:rPr>
            </w:pPr>
          </w:p>
        </w:tc>
        <w:tc>
          <w:tcPr>
            <w:tcW w:w="760" w:type="dxa"/>
            <w:vAlign w:val="bottom"/>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40" w:type="dxa"/>
            <w:vAlign w:val="bottom"/>
            <w:vMerge w:val="continue"/>
            <w:shd w:val="clear" w:color="auto" w:fill="DCE2EF"/>
          </w:tcPr>
          <w:p>
            <w:pPr>
              <w:spacing w:after="0"/>
              <w:rPr>
                <w:sz w:val="16"/>
                <w:szCs w:val="16"/>
                <w:color w:val="auto"/>
              </w:rPr>
            </w:pPr>
          </w:p>
        </w:tc>
        <w:tc>
          <w:tcPr>
            <w:tcW w:w="580" w:type="dxa"/>
            <w:vAlign w:val="bottom"/>
            <w:vMerge w:val="continue"/>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DCE2EF"/>
            </w:tcBorders>
            <w:shd w:val="clear" w:color="auto" w:fill="DCE2EF"/>
          </w:tcPr>
          <w:p>
            <w:pPr>
              <w:spacing w:after="0"/>
              <w:rPr>
                <w:sz w:val="18"/>
                <w:szCs w:val="18"/>
                <w:color w:val="auto"/>
              </w:rPr>
            </w:pPr>
          </w:p>
        </w:tc>
        <w:tc>
          <w:tcPr>
            <w:tcW w:w="142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rPr>
              <w:t>1,015.5</w:t>
            </w:r>
          </w:p>
        </w:tc>
        <w:tc>
          <w:tcPr>
            <w:tcW w:w="40" w:type="dxa"/>
            <w:vAlign w:val="bottom"/>
            <w:tcBorders>
              <w:bottom w:val="single" w:sz="8" w:color="auto"/>
            </w:tcBorders>
            <w:shd w:val="clear" w:color="auto" w:fill="DCE2EF"/>
          </w:tcPr>
          <w:p>
            <w:pPr>
              <w:spacing w:after="0"/>
              <w:rPr>
                <w:sz w:val="18"/>
                <w:szCs w:val="18"/>
                <w:color w:val="auto"/>
              </w:rPr>
            </w:pPr>
          </w:p>
        </w:tc>
        <w:tc>
          <w:tcPr>
            <w:tcW w:w="100" w:type="dxa"/>
            <w:vAlign w:val="bottom"/>
            <w:tcBorders>
              <w:bottom w:val="single" w:sz="8" w:color="DCE2EF"/>
            </w:tcBorders>
            <w:gridSpan w:val="2"/>
            <w:shd w:val="clear" w:color="auto" w:fill="DCE2EF"/>
          </w:tcPr>
          <w:p>
            <w:pPr>
              <w:spacing w:after="0"/>
              <w:rPr>
                <w:sz w:val="18"/>
                <w:szCs w:val="18"/>
                <w:color w:val="auto"/>
              </w:rPr>
            </w:pPr>
          </w:p>
        </w:tc>
        <w:tc>
          <w:tcPr>
            <w:tcW w:w="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rPr>
              <w:t>398.1</w:t>
            </w:r>
          </w:p>
        </w:tc>
        <w:tc>
          <w:tcPr>
            <w:tcW w:w="40" w:type="dxa"/>
            <w:vAlign w:val="bottom"/>
            <w:tcBorders>
              <w:bottom w:val="single" w:sz="8" w:color="auto"/>
            </w:tcBorders>
            <w:shd w:val="clear" w:color="auto" w:fill="DCE2EF"/>
          </w:tcPr>
          <w:p>
            <w:pPr>
              <w:spacing w:after="0"/>
              <w:rPr>
                <w:sz w:val="18"/>
                <w:szCs w:val="18"/>
                <w:color w:val="auto"/>
              </w:rPr>
            </w:pPr>
          </w:p>
        </w:tc>
        <w:tc>
          <w:tcPr>
            <w:tcW w:w="100" w:type="dxa"/>
            <w:vAlign w:val="bottom"/>
            <w:tcBorders>
              <w:bottom w:val="single" w:sz="8" w:color="DCE2EF"/>
            </w:tcBorders>
            <w:gridSpan w:val="2"/>
            <w:shd w:val="clear" w:color="auto" w:fill="DCE2EF"/>
          </w:tcPr>
          <w:p>
            <w:pPr>
              <w:spacing w:after="0"/>
              <w:rPr>
                <w:sz w:val="18"/>
                <w:szCs w:val="18"/>
                <w:color w:val="auto"/>
              </w:rPr>
            </w:pPr>
          </w:p>
        </w:tc>
        <w:tc>
          <w:tcPr>
            <w:tcW w:w="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rPr>
              <w:t>260.1</w:t>
            </w:r>
          </w:p>
        </w:tc>
        <w:tc>
          <w:tcPr>
            <w:tcW w:w="40" w:type="dxa"/>
            <w:vAlign w:val="bottom"/>
            <w:tcBorders>
              <w:bottom w:val="single" w:sz="8" w:color="auto"/>
            </w:tcBorders>
            <w:shd w:val="clear" w:color="auto" w:fill="DCE2EF"/>
          </w:tcPr>
          <w:p>
            <w:pPr>
              <w:spacing w:after="0"/>
              <w:rPr>
                <w:sz w:val="18"/>
                <w:szCs w:val="18"/>
                <w:color w:val="auto"/>
              </w:rPr>
            </w:pPr>
          </w:p>
        </w:tc>
        <w:tc>
          <w:tcPr>
            <w:tcW w:w="80" w:type="dxa"/>
            <w:vAlign w:val="bottom"/>
            <w:tcBorders>
              <w:bottom w:val="single" w:sz="8" w:color="DCE2EF"/>
            </w:tcBorders>
            <w:gridSpan w:val="2"/>
            <w:shd w:val="clear" w:color="auto" w:fill="DCE2EF"/>
          </w:tcPr>
          <w:p>
            <w:pPr>
              <w:spacing w:after="0"/>
              <w:rPr>
                <w:sz w:val="18"/>
                <w:szCs w:val="18"/>
                <w:color w:val="auto"/>
              </w:rPr>
            </w:pPr>
          </w:p>
        </w:tc>
        <w:tc>
          <w:tcPr>
            <w:tcW w:w="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rPr>
              <w:t>227.8</w:t>
            </w:r>
          </w:p>
        </w:tc>
        <w:tc>
          <w:tcPr>
            <w:tcW w:w="40" w:type="dxa"/>
            <w:vAlign w:val="bottom"/>
            <w:tcBorders>
              <w:bottom w:val="single" w:sz="8" w:color="auto"/>
            </w:tcBorders>
            <w:shd w:val="clear" w:color="auto" w:fill="DCE2EF"/>
          </w:tcPr>
          <w:p>
            <w:pPr>
              <w:spacing w:after="0"/>
              <w:rPr>
                <w:sz w:val="18"/>
                <w:szCs w:val="18"/>
                <w:color w:val="auto"/>
              </w:rPr>
            </w:pPr>
          </w:p>
        </w:tc>
        <w:tc>
          <w:tcPr>
            <w:tcW w:w="80" w:type="dxa"/>
            <w:vAlign w:val="bottom"/>
            <w:tcBorders>
              <w:bottom w:val="single" w:sz="8" w:color="DCE2EF"/>
            </w:tcBorders>
            <w:gridSpan w:val="2"/>
            <w:shd w:val="clear" w:color="auto" w:fill="DCE2EF"/>
          </w:tcPr>
          <w:p>
            <w:pPr>
              <w:spacing w:after="0"/>
              <w:rPr>
                <w:sz w:val="18"/>
                <w:szCs w:val="18"/>
                <w:color w:val="auto"/>
              </w:rPr>
            </w:pPr>
          </w:p>
        </w:tc>
        <w:tc>
          <w:tcPr>
            <w:tcW w:w="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rPr>
              <w:t>210.2</w:t>
            </w:r>
          </w:p>
        </w:tc>
        <w:tc>
          <w:tcPr>
            <w:tcW w:w="40" w:type="dxa"/>
            <w:vAlign w:val="bottom"/>
            <w:tcBorders>
              <w:bottom w:val="single" w:sz="8" w:color="auto"/>
            </w:tcBorders>
            <w:shd w:val="clear" w:color="auto" w:fill="DCE2EF"/>
          </w:tcPr>
          <w:p>
            <w:pPr>
              <w:spacing w:after="0"/>
              <w:rPr>
                <w:sz w:val="18"/>
                <w:szCs w:val="18"/>
                <w:color w:val="auto"/>
              </w:rPr>
            </w:pPr>
          </w:p>
        </w:tc>
        <w:tc>
          <w:tcPr>
            <w:tcW w:w="80" w:type="dxa"/>
            <w:vAlign w:val="bottom"/>
            <w:tcBorders>
              <w:bottom w:val="single" w:sz="8" w:color="DCE2EF"/>
            </w:tcBorders>
            <w:gridSpan w:val="2"/>
            <w:shd w:val="clear" w:color="auto" w:fill="DCE2EF"/>
          </w:tcPr>
          <w:p>
            <w:pPr>
              <w:spacing w:after="0"/>
              <w:rPr>
                <w:sz w:val="18"/>
                <w:szCs w:val="18"/>
                <w:color w:val="auto"/>
              </w:rPr>
            </w:pP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rPr>
              <w:t>2,111.7</w:t>
            </w:r>
          </w:p>
        </w:tc>
        <w:tc>
          <w:tcPr>
            <w:tcW w:w="20" w:type="dxa"/>
            <w:vAlign w:val="bottom"/>
            <w:tcBorders>
              <w:bottom w:val="single" w:sz="8" w:color="auto"/>
            </w:tcBorders>
            <w:shd w:val="clear" w:color="auto" w:fill="DCE2EF"/>
          </w:tcPr>
          <w:p>
            <w:pPr>
              <w:spacing w:after="0"/>
              <w:rPr>
                <w:sz w:val="18"/>
                <w:szCs w:val="18"/>
                <w:color w:val="auto"/>
              </w:rPr>
            </w:pPr>
          </w:p>
        </w:tc>
        <w:tc>
          <w:tcPr>
            <w:tcW w:w="100" w:type="dxa"/>
            <w:vAlign w:val="bottom"/>
            <w:tcBorders>
              <w:bottom w:val="single" w:sz="8" w:color="DCE2EF"/>
            </w:tcBorders>
            <w:gridSpan w:val="2"/>
            <w:shd w:val="clear" w:color="auto" w:fill="DCE2EF"/>
          </w:tcPr>
          <w:p>
            <w:pPr>
              <w:spacing w:after="0"/>
              <w:rPr>
                <w:sz w:val="18"/>
                <w:szCs w:val="18"/>
                <w:color w:val="auto"/>
              </w:rPr>
            </w:pP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rPr>
              <w:t>2,038.4</w:t>
            </w:r>
          </w:p>
        </w:tc>
        <w:tc>
          <w:tcPr>
            <w:tcW w:w="80" w:type="dxa"/>
            <w:vAlign w:val="bottom"/>
            <w:tcBorders>
              <w:bottom w:val="single" w:sz="8" w:color="DCE2EF"/>
            </w:tcBorders>
            <w:shd w:val="clear" w:color="auto" w:fill="DCE2EF"/>
          </w:tcPr>
          <w:p>
            <w:pPr>
              <w:spacing w:after="0"/>
              <w:rPr>
                <w:sz w:val="18"/>
                <w:szCs w:val="18"/>
                <w:color w:val="auto"/>
              </w:rPr>
            </w:pPr>
          </w:p>
        </w:tc>
        <w:tc>
          <w:tcPr>
            <w:tcW w:w="20" w:type="dxa"/>
            <w:vAlign w:val="bottom"/>
            <w:tcBorders>
              <w:bottom w:val="single" w:sz="8" w:color="DCE2EF"/>
            </w:tcBorders>
            <w:shd w:val="clear" w:color="auto" w:fill="DCE2EF"/>
          </w:tcPr>
          <w:p>
            <w:pPr>
              <w:spacing w:after="0"/>
              <w:rPr>
                <w:sz w:val="18"/>
                <w:szCs w:val="18"/>
                <w:color w:val="auto"/>
              </w:rPr>
            </w:pPr>
          </w:p>
        </w:tc>
        <w:tc>
          <w:tcPr>
            <w:tcW w:w="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rPr>
              <w:t>792.4</w:t>
            </w:r>
          </w:p>
        </w:tc>
        <w:tc>
          <w:tcPr>
            <w:tcW w:w="20" w:type="dxa"/>
            <w:vAlign w:val="bottom"/>
            <w:tcBorders>
              <w:bottom w:val="single" w:sz="8" w:color="auto"/>
            </w:tcBorders>
            <w:shd w:val="clear" w:color="auto" w:fill="DCE2EF"/>
          </w:tcPr>
          <w:p>
            <w:pPr>
              <w:spacing w:after="0"/>
              <w:rPr>
                <w:sz w:val="18"/>
                <w:szCs w:val="18"/>
                <w:color w:val="auto"/>
              </w:rPr>
            </w:pPr>
          </w:p>
        </w:tc>
        <w:tc>
          <w:tcPr>
            <w:tcW w:w="100" w:type="dxa"/>
            <w:vAlign w:val="bottom"/>
            <w:tcBorders>
              <w:bottom w:val="single" w:sz="8" w:color="DCE2EF"/>
            </w:tcBorders>
            <w:gridSpan w:val="2"/>
            <w:shd w:val="clear" w:color="auto" w:fill="DCE2EF"/>
          </w:tcPr>
          <w:p>
            <w:pPr>
              <w:spacing w:after="0"/>
              <w:rPr>
                <w:sz w:val="18"/>
                <w:szCs w:val="18"/>
                <w:color w:val="auto"/>
              </w:rPr>
            </w:pPr>
          </w:p>
        </w:tc>
        <w:tc>
          <w:tcPr>
            <w:tcW w:w="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auto"/>
            </w:tcBorders>
            <w:shd w:val="clear" w:color="auto" w:fill="DCE2EF"/>
          </w:tcPr>
          <w:p>
            <w:pPr>
              <w:jc w:val="right"/>
              <w:ind w:right="13"/>
              <w:spacing w:after="0"/>
              <w:rPr>
                <w:sz w:val="20"/>
                <w:szCs w:val="20"/>
                <w:color w:val="auto"/>
              </w:rPr>
            </w:pPr>
            <w:r>
              <w:rPr>
                <w:rFonts w:ascii="Arial" w:cs="Arial" w:eastAsia="Arial" w:hAnsi="Arial"/>
                <w:sz w:val="14"/>
                <w:szCs w:val="14"/>
                <w:b w:val="1"/>
                <w:bCs w:val="1"/>
                <w:color w:val="auto"/>
              </w:rPr>
              <w:t>530.2</w:t>
            </w:r>
          </w:p>
        </w:tc>
        <w:tc>
          <w:tcPr>
            <w:tcW w:w="80" w:type="dxa"/>
            <w:vAlign w:val="bottom"/>
            <w:tcBorders>
              <w:bottom w:val="single" w:sz="8" w:color="DCE2EF"/>
            </w:tcBorders>
            <w:shd w:val="clear" w:color="auto" w:fill="DCE2EF"/>
          </w:tcPr>
          <w:p>
            <w:pPr>
              <w:spacing w:after="0"/>
              <w:rPr>
                <w:sz w:val="18"/>
                <w:szCs w:val="18"/>
                <w:color w:val="auto"/>
              </w:rPr>
            </w:pPr>
          </w:p>
        </w:tc>
        <w:tc>
          <w:tcPr>
            <w:tcW w:w="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rPr>
              <w:t>453.2</w:t>
            </w:r>
          </w:p>
        </w:tc>
        <w:tc>
          <w:tcPr>
            <w:tcW w:w="100" w:type="dxa"/>
            <w:vAlign w:val="bottom"/>
            <w:tcBorders>
              <w:bottom w:val="single" w:sz="8" w:color="DCE2EF"/>
            </w:tcBorders>
            <w:shd w:val="clear" w:color="auto" w:fill="DCE2EF"/>
          </w:tcPr>
          <w:p>
            <w:pPr>
              <w:spacing w:after="0"/>
              <w:rPr>
                <w:sz w:val="18"/>
                <w:szCs w:val="18"/>
                <w:color w:val="auto"/>
              </w:rPr>
            </w:pPr>
          </w:p>
        </w:tc>
        <w:tc>
          <w:tcPr>
            <w:tcW w:w="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rPr>
              <w:t>412.4</w:t>
            </w:r>
          </w:p>
        </w:tc>
        <w:tc>
          <w:tcPr>
            <w:tcW w:w="100" w:type="dxa"/>
            <w:vAlign w:val="bottom"/>
            <w:tcBorders>
              <w:bottom w:val="single" w:sz="8" w:color="DCE2EF"/>
            </w:tcBorders>
            <w:shd w:val="clear" w:color="auto" w:fill="DCE2EF"/>
          </w:tcPr>
          <w:p>
            <w:pPr>
              <w:spacing w:after="0"/>
              <w:rPr>
                <w:sz w:val="18"/>
                <w:szCs w:val="18"/>
                <w:color w:val="auto"/>
              </w:rPr>
            </w:pP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rPr>
              <w:t>4,226.6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7"/>
          </w:tcPr>
          <w:p>
            <w:pPr>
              <w:ind w:left="340"/>
              <w:spacing w:after="0"/>
              <w:rPr>
                <w:sz w:val="20"/>
                <w:szCs w:val="20"/>
                <w:color w:val="auto"/>
              </w:rPr>
            </w:pPr>
            <w:r>
              <w:rPr>
                <w:rFonts w:ascii="Arial" w:cs="Arial" w:eastAsia="Arial" w:hAnsi="Arial"/>
                <w:sz w:val="14"/>
                <w:szCs w:val="14"/>
                <w:b w:val="1"/>
                <w:bCs w:val="1"/>
                <w:color w:val="auto"/>
              </w:rPr>
              <w:t>Three Months Ended April 30, 2024</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1"/>
          </w:tcPr>
          <w:p>
            <w:pPr>
              <w:ind w:left="20"/>
              <w:spacing w:after="0"/>
              <w:rPr>
                <w:sz w:val="20"/>
                <w:szCs w:val="20"/>
                <w:color w:val="auto"/>
              </w:rPr>
            </w:pPr>
            <w:r>
              <w:rPr>
                <w:rFonts w:ascii="Arial" w:cs="Arial" w:eastAsia="Arial" w:hAnsi="Arial"/>
                <w:sz w:val="14"/>
                <w:szCs w:val="14"/>
                <w:b w:val="1"/>
                <w:bCs w:val="1"/>
                <w:color w:val="auto"/>
              </w:rPr>
              <w:t>Six Months Ended April 30, 2024</w:t>
            </w: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11"/>
                <w:szCs w:val="11"/>
                <w:color w:val="auto"/>
              </w:rPr>
            </w:pPr>
          </w:p>
        </w:tc>
        <w:tc>
          <w:tcPr>
            <w:tcW w:w="5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B&amp;I</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M&amp;D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Aviation</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Education</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Technical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B&amp;I</w:t>
            </w:r>
          </w:p>
        </w:tc>
        <w:tc>
          <w:tcPr>
            <w:tcW w:w="120" w:type="dxa"/>
            <w:vAlign w:val="bottom"/>
          </w:tcPr>
          <w:p>
            <w:pPr>
              <w:spacing w:after="0"/>
              <w:rPr>
                <w:sz w:val="11"/>
                <w:szCs w:val="11"/>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M&amp;D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Aviation</w:t>
            </w: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Education</w:t>
            </w:r>
          </w:p>
        </w:tc>
        <w:tc>
          <w:tcPr>
            <w:tcW w:w="120" w:type="dxa"/>
            <w:vAlign w:val="bottom"/>
          </w:tcPr>
          <w:p>
            <w:pPr>
              <w:spacing w:after="0"/>
              <w:rPr>
                <w:sz w:val="11"/>
                <w:szCs w:val="11"/>
                <w:color w:val="auto"/>
              </w:rPr>
            </w:pPr>
          </w:p>
        </w:tc>
        <w:tc>
          <w:tcPr>
            <w:tcW w:w="860" w:type="dxa"/>
            <w:vAlign w:val="bottom"/>
            <w:gridSpan w:val="2"/>
          </w:tcPr>
          <w:p>
            <w:pPr>
              <w:ind w:left="20"/>
              <w:spacing w:after="0" w:line="130" w:lineRule="exact"/>
              <w:rPr>
                <w:sz w:val="20"/>
                <w:szCs w:val="20"/>
                <w:color w:val="auto"/>
              </w:rPr>
            </w:pPr>
            <w:r>
              <w:rPr>
                <w:rFonts w:ascii="Arial" w:cs="Arial" w:eastAsia="Arial" w:hAnsi="Arial"/>
                <w:sz w:val="13"/>
                <w:szCs w:val="13"/>
                <w:b w:val="1"/>
                <w:bCs w:val="1"/>
                <w:color w:val="auto"/>
              </w:rPr>
              <w:t>Technical</w:t>
            </w:r>
          </w:p>
        </w:tc>
        <w:tc>
          <w:tcPr>
            <w:tcW w:w="140" w:type="dxa"/>
            <w:vAlign w:val="bottom"/>
          </w:tcPr>
          <w:p>
            <w:pPr>
              <w:spacing w:after="0"/>
              <w:rPr>
                <w:sz w:val="11"/>
                <w:szCs w:val="11"/>
                <w:color w:val="auto"/>
              </w:rPr>
            </w:pPr>
          </w:p>
        </w:tc>
        <w:tc>
          <w:tcPr>
            <w:tcW w:w="58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tcPr>
          <w:p>
            <w:pPr>
              <w:ind w:left="100"/>
              <w:spacing w:after="0" w:line="114" w:lineRule="exact"/>
              <w:rPr>
                <w:sz w:val="20"/>
                <w:szCs w:val="20"/>
                <w:color w:val="auto"/>
              </w:rPr>
            </w:pPr>
            <w:r>
              <w:rPr>
                <w:rFonts w:ascii="Arial" w:cs="Arial" w:eastAsia="Arial" w:hAnsi="Arial"/>
                <w:sz w:val="13"/>
                <w:szCs w:val="13"/>
                <w:b w:val="1"/>
                <w:bCs w:val="1"/>
                <w:color w:val="auto"/>
              </w:rPr>
              <w:t>Solutions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ind w:left="20"/>
              <w:spacing w:after="0" w:line="114" w:lineRule="exact"/>
              <w:rPr>
                <w:sz w:val="20"/>
                <w:szCs w:val="20"/>
                <w:color w:val="auto"/>
              </w:rPr>
            </w:pPr>
            <w:r>
              <w:rPr>
                <w:rFonts w:ascii="Arial" w:cs="Arial" w:eastAsia="Arial" w:hAnsi="Arial"/>
                <w:sz w:val="13"/>
                <w:szCs w:val="13"/>
                <w:b w:val="1"/>
                <w:bCs w:val="1"/>
                <w:color w:val="auto"/>
              </w:rPr>
              <w:t>Solutions</w:t>
            </w: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top w:val="single" w:sz="8" w:color="auto"/>
              <w:bottom w:val="single" w:sz="8" w:color="DCE2EF"/>
            </w:tcBorders>
          </w:tcPr>
          <w:p>
            <w:pPr>
              <w:spacing w:after="0" w:line="20" w:lineRule="exact"/>
              <w:rPr>
                <w:sz w:val="1"/>
                <w:szCs w:val="1"/>
                <w:color w:val="auto"/>
              </w:rPr>
            </w:pPr>
          </w:p>
        </w:tc>
        <w:tc>
          <w:tcPr>
            <w:tcW w:w="74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DCE2EF"/>
          </w:tcPr>
          <w:p>
            <w:pPr>
              <w:spacing w:after="0"/>
              <w:rPr>
                <w:sz w:val="14"/>
                <w:szCs w:val="14"/>
                <w:color w:val="auto"/>
              </w:rPr>
            </w:pPr>
          </w:p>
        </w:tc>
        <w:tc>
          <w:tcPr>
            <w:tcW w:w="142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Major Service Line</w:t>
            </w:r>
          </w:p>
        </w:tc>
        <w:tc>
          <w:tcPr>
            <w:tcW w:w="140" w:type="dxa"/>
            <w:vAlign w:val="bottom"/>
            <w:shd w:val="clear" w:color="auto" w:fill="DCE2EF"/>
          </w:tcPr>
          <w:p>
            <w:pPr>
              <w:spacing w:after="0"/>
              <w:rPr>
                <w:sz w:val="14"/>
                <w:szCs w:val="14"/>
                <w:color w:val="auto"/>
              </w:rPr>
            </w:pPr>
          </w:p>
        </w:tc>
        <w:tc>
          <w:tcPr>
            <w:tcW w:w="520" w:type="dxa"/>
            <w:vAlign w:val="bottom"/>
            <w:shd w:val="clear" w:color="auto" w:fill="DCE2EF"/>
          </w:tcPr>
          <w:p>
            <w:pPr>
              <w:spacing w:after="0"/>
              <w:rPr>
                <w:sz w:val="14"/>
                <w:szCs w:val="14"/>
                <w:color w:val="auto"/>
              </w:rPr>
            </w:pPr>
          </w:p>
        </w:tc>
        <w:tc>
          <w:tcPr>
            <w:tcW w:w="40" w:type="dxa"/>
            <w:vAlign w:val="bottom"/>
            <w:shd w:val="clear" w:color="auto" w:fill="DCE2EF"/>
          </w:tcPr>
          <w:p>
            <w:pPr>
              <w:spacing w:after="0"/>
              <w:rPr>
                <w:sz w:val="14"/>
                <w:szCs w:val="14"/>
                <w:color w:val="auto"/>
              </w:rPr>
            </w:pPr>
          </w:p>
        </w:tc>
        <w:tc>
          <w:tcPr>
            <w:tcW w:w="60" w:type="dxa"/>
            <w:vAlign w:val="bottom"/>
            <w:shd w:val="clear" w:color="auto" w:fill="DCE2EF"/>
          </w:tcPr>
          <w:p>
            <w:pPr>
              <w:spacing w:after="0"/>
              <w:rPr>
                <w:sz w:val="14"/>
                <w:szCs w:val="14"/>
                <w:color w:val="auto"/>
              </w:rPr>
            </w:pPr>
          </w:p>
        </w:tc>
        <w:tc>
          <w:tcPr>
            <w:tcW w:w="4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420" w:type="dxa"/>
            <w:vAlign w:val="bottom"/>
            <w:shd w:val="clear" w:color="auto" w:fill="DCE2EF"/>
          </w:tcPr>
          <w:p>
            <w:pPr>
              <w:spacing w:after="0"/>
              <w:rPr>
                <w:sz w:val="14"/>
                <w:szCs w:val="14"/>
                <w:color w:val="auto"/>
              </w:rPr>
            </w:pPr>
          </w:p>
        </w:tc>
        <w:tc>
          <w:tcPr>
            <w:tcW w:w="40" w:type="dxa"/>
            <w:vAlign w:val="bottom"/>
            <w:shd w:val="clear" w:color="auto" w:fill="DCE2EF"/>
          </w:tcPr>
          <w:p>
            <w:pPr>
              <w:spacing w:after="0"/>
              <w:rPr>
                <w:sz w:val="14"/>
                <w:szCs w:val="14"/>
                <w:color w:val="auto"/>
              </w:rPr>
            </w:pPr>
          </w:p>
        </w:tc>
        <w:tc>
          <w:tcPr>
            <w:tcW w:w="60" w:type="dxa"/>
            <w:vAlign w:val="bottom"/>
            <w:shd w:val="clear" w:color="auto" w:fill="DCE2EF"/>
          </w:tcPr>
          <w:p>
            <w:pPr>
              <w:spacing w:after="0"/>
              <w:rPr>
                <w:sz w:val="14"/>
                <w:szCs w:val="14"/>
                <w:color w:val="auto"/>
              </w:rPr>
            </w:pPr>
          </w:p>
        </w:tc>
        <w:tc>
          <w:tcPr>
            <w:tcW w:w="4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560" w:type="dxa"/>
            <w:vAlign w:val="bottom"/>
            <w:shd w:val="clear" w:color="auto" w:fill="DCE2EF"/>
          </w:tcPr>
          <w:p>
            <w:pPr>
              <w:spacing w:after="0"/>
              <w:rPr>
                <w:sz w:val="14"/>
                <w:szCs w:val="14"/>
                <w:color w:val="auto"/>
              </w:rPr>
            </w:pPr>
          </w:p>
        </w:tc>
        <w:tc>
          <w:tcPr>
            <w:tcW w:w="40" w:type="dxa"/>
            <w:vAlign w:val="bottom"/>
            <w:shd w:val="clear" w:color="auto" w:fill="DCE2EF"/>
          </w:tcPr>
          <w:p>
            <w:pPr>
              <w:spacing w:after="0"/>
              <w:rPr>
                <w:sz w:val="14"/>
                <w:szCs w:val="14"/>
                <w:color w:val="auto"/>
              </w:rPr>
            </w:pPr>
          </w:p>
        </w:tc>
        <w:tc>
          <w:tcPr>
            <w:tcW w:w="40" w:type="dxa"/>
            <w:vAlign w:val="bottom"/>
            <w:shd w:val="clear" w:color="auto" w:fill="DCE2EF"/>
          </w:tcPr>
          <w:p>
            <w:pPr>
              <w:spacing w:after="0"/>
              <w:rPr>
                <w:sz w:val="14"/>
                <w:szCs w:val="14"/>
                <w:color w:val="auto"/>
              </w:rPr>
            </w:pPr>
          </w:p>
        </w:tc>
        <w:tc>
          <w:tcPr>
            <w:tcW w:w="4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680" w:type="dxa"/>
            <w:vAlign w:val="bottom"/>
            <w:shd w:val="clear" w:color="auto" w:fill="DCE2EF"/>
          </w:tcPr>
          <w:p>
            <w:pPr>
              <w:spacing w:after="0"/>
              <w:rPr>
                <w:sz w:val="14"/>
                <w:szCs w:val="14"/>
                <w:color w:val="auto"/>
              </w:rPr>
            </w:pPr>
          </w:p>
        </w:tc>
        <w:tc>
          <w:tcPr>
            <w:tcW w:w="40" w:type="dxa"/>
            <w:vAlign w:val="bottom"/>
            <w:shd w:val="clear" w:color="auto" w:fill="DCE2EF"/>
          </w:tcPr>
          <w:p>
            <w:pPr>
              <w:spacing w:after="0"/>
              <w:rPr>
                <w:sz w:val="14"/>
                <w:szCs w:val="14"/>
                <w:color w:val="auto"/>
              </w:rPr>
            </w:pPr>
          </w:p>
        </w:tc>
        <w:tc>
          <w:tcPr>
            <w:tcW w:w="60" w:type="dxa"/>
            <w:vAlign w:val="bottom"/>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680" w:type="dxa"/>
            <w:vAlign w:val="bottom"/>
            <w:shd w:val="clear" w:color="auto" w:fill="DCE2EF"/>
          </w:tcPr>
          <w:p>
            <w:pPr>
              <w:spacing w:after="0"/>
              <w:rPr>
                <w:sz w:val="14"/>
                <w:szCs w:val="14"/>
                <w:color w:val="auto"/>
              </w:rPr>
            </w:pPr>
          </w:p>
        </w:tc>
        <w:tc>
          <w:tcPr>
            <w:tcW w:w="40" w:type="dxa"/>
            <w:vAlign w:val="bottom"/>
            <w:shd w:val="clear" w:color="auto" w:fill="DCE2EF"/>
          </w:tcPr>
          <w:p>
            <w:pPr>
              <w:spacing w:after="0"/>
              <w:rPr>
                <w:sz w:val="14"/>
                <w:szCs w:val="14"/>
                <w:color w:val="auto"/>
              </w:rPr>
            </w:pPr>
          </w:p>
        </w:tc>
        <w:tc>
          <w:tcPr>
            <w:tcW w:w="60" w:type="dxa"/>
            <w:vAlign w:val="bottom"/>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140" w:type="dxa"/>
            <w:vAlign w:val="bottom"/>
            <w:shd w:val="clear" w:color="auto" w:fill="DCE2EF"/>
          </w:tcPr>
          <w:p>
            <w:pPr>
              <w:spacing w:after="0"/>
              <w:rPr>
                <w:sz w:val="14"/>
                <w:szCs w:val="14"/>
                <w:color w:val="auto"/>
              </w:rPr>
            </w:pPr>
          </w:p>
        </w:tc>
        <w:tc>
          <w:tcPr>
            <w:tcW w:w="560" w:type="dxa"/>
            <w:vAlign w:val="bottom"/>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60" w:type="dxa"/>
            <w:vAlign w:val="bottom"/>
            <w:shd w:val="clear" w:color="auto" w:fill="DCE2EF"/>
          </w:tcPr>
          <w:p>
            <w:pPr>
              <w:spacing w:after="0"/>
              <w:rPr>
                <w:sz w:val="14"/>
                <w:szCs w:val="14"/>
                <w:color w:val="auto"/>
              </w:rPr>
            </w:pPr>
          </w:p>
        </w:tc>
        <w:tc>
          <w:tcPr>
            <w:tcW w:w="40" w:type="dxa"/>
            <w:vAlign w:val="bottom"/>
            <w:shd w:val="clear" w:color="auto" w:fill="DCE2EF"/>
          </w:tcPr>
          <w:p>
            <w:pPr>
              <w:spacing w:after="0"/>
              <w:rPr>
                <w:sz w:val="14"/>
                <w:szCs w:val="14"/>
                <w:color w:val="auto"/>
              </w:rPr>
            </w:pPr>
          </w:p>
        </w:tc>
        <w:tc>
          <w:tcPr>
            <w:tcW w:w="140" w:type="dxa"/>
            <w:vAlign w:val="bottom"/>
            <w:shd w:val="clear" w:color="auto" w:fill="DCE2EF"/>
          </w:tcPr>
          <w:p>
            <w:pPr>
              <w:spacing w:after="0"/>
              <w:rPr>
                <w:sz w:val="14"/>
                <w:szCs w:val="14"/>
                <w:color w:val="auto"/>
              </w:rPr>
            </w:pPr>
          </w:p>
        </w:tc>
        <w:tc>
          <w:tcPr>
            <w:tcW w:w="56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440" w:type="dxa"/>
            <w:vAlign w:val="bottom"/>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62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76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76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40" w:type="dxa"/>
            <w:vAlign w:val="bottom"/>
            <w:shd w:val="clear" w:color="auto" w:fill="DCE2EF"/>
          </w:tcPr>
          <w:p>
            <w:pPr>
              <w:spacing w:after="0"/>
              <w:rPr>
                <w:sz w:val="14"/>
                <w:szCs w:val="14"/>
                <w:color w:val="auto"/>
              </w:rPr>
            </w:pPr>
          </w:p>
        </w:tc>
        <w:tc>
          <w:tcPr>
            <w:tcW w:w="580" w:type="dxa"/>
            <w:vAlign w:val="bottom"/>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20" w:type="dxa"/>
            <w:vAlign w:val="bottom"/>
            <w:gridSpan w:val="2"/>
          </w:tcPr>
          <w:p>
            <w:pPr>
              <w:ind w:left="120"/>
              <w:spacing w:after="0" w:line="188" w:lineRule="exact"/>
              <w:rPr>
                <w:sz w:val="20"/>
                <w:szCs w:val="20"/>
                <w:color w:val="auto"/>
              </w:rPr>
            </w:pPr>
            <w:r>
              <w:rPr>
                <w:rFonts w:ascii="Arial" w:cs="Arial" w:eastAsia="Arial" w:hAnsi="Arial"/>
                <w:sz w:val="14"/>
                <w:szCs w:val="14"/>
                <w:color w:val="auto"/>
              </w:rPr>
              <w:t>Janitorial</w:t>
            </w:r>
            <w:r>
              <w:rPr>
                <w:rFonts w:ascii="Arial" w:cs="Arial" w:eastAsia="Arial" w:hAnsi="Arial"/>
                <w:sz w:val="17"/>
                <w:szCs w:val="17"/>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681.5</w:t>
            </w:r>
          </w:p>
        </w:tc>
        <w:tc>
          <w:tcPr>
            <w:tcW w:w="4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96"/>
              </w:rPr>
              <w:t>338.2</w:t>
            </w:r>
          </w:p>
        </w:tc>
        <w:tc>
          <w:tcPr>
            <w:tcW w:w="4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41.9</w:t>
            </w:r>
          </w:p>
        </w:tc>
        <w:tc>
          <w:tcPr>
            <w:tcW w:w="40" w:type="dxa"/>
            <w:vAlign w:val="bottom"/>
          </w:tcPr>
          <w:p>
            <w:pPr>
              <w:spacing w:after="0"/>
              <w:rPr>
                <w:sz w:val="16"/>
                <w:szCs w:val="16"/>
                <w:color w:val="auto"/>
              </w:rPr>
            </w:pP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199.7</w:t>
            </w:r>
          </w:p>
        </w:tc>
        <w:tc>
          <w:tcPr>
            <w:tcW w:w="40" w:type="dxa"/>
            <w:vAlign w:val="bottom"/>
          </w:tcPr>
          <w:p>
            <w:pPr>
              <w:spacing w:after="0"/>
              <w:rPr>
                <w:sz w:val="16"/>
                <w:szCs w:val="16"/>
                <w:color w:val="auto"/>
              </w:rPr>
            </w:pP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1,261.3</w:t>
            </w:r>
          </w:p>
        </w:tc>
        <w:tc>
          <w:tcPr>
            <w:tcW w:w="20" w:type="dxa"/>
            <w:vAlign w:val="bottom"/>
          </w:tcPr>
          <w:p>
            <w:pPr>
              <w:spacing w:after="0"/>
              <w:rPr>
                <w:sz w:val="16"/>
                <w:szCs w:val="16"/>
                <w:color w:val="auto"/>
              </w:rPr>
            </w:pPr>
          </w:p>
        </w:tc>
        <w:tc>
          <w:tcPr>
            <w:tcW w:w="240" w:type="dxa"/>
            <w:vAlign w:val="bottom"/>
            <w:gridSpan w:val="3"/>
          </w:tcPr>
          <w:p>
            <w:pPr>
              <w:jc w:val="right"/>
              <w:ind w:right="12"/>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3"/>
              <w:spacing w:after="0"/>
              <w:rPr>
                <w:sz w:val="20"/>
                <w:szCs w:val="20"/>
                <w:color w:val="auto"/>
              </w:rPr>
            </w:pPr>
            <w:r>
              <w:rPr>
                <w:rFonts w:ascii="Arial" w:cs="Arial" w:eastAsia="Arial" w:hAnsi="Arial"/>
                <w:sz w:val="14"/>
                <w:szCs w:val="14"/>
                <w:color w:val="auto"/>
                <w:w w:val="98"/>
              </w:rPr>
              <w:t>1,374.7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687.1</w:t>
            </w:r>
          </w:p>
        </w:tc>
        <w:tc>
          <w:tcPr>
            <w:tcW w:w="20" w:type="dxa"/>
            <w:vAlign w:val="bottom"/>
          </w:tcPr>
          <w:p>
            <w:pPr>
              <w:spacing w:after="0"/>
              <w:rPr>
                <w:sz w:val="16"/>
                <w:szCs w:val="16"/>
                <w:color w:val="auto"/>
              </w:rPr>
            </w:pP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3"/>
              <w:spacing w:after="0"/>
              <w:rPr>
                <w:sz w:val="20"/>
                <w:szCs w:val="20"/>
                <w:color w:val="auto"/>
              </w:rPr>
            </w:pPr>
            <w:r>
              <w:rPr>
                <w:rFonts w:ascii="Arial" w:cs="Arial" w:eastAsia="Arial" w:hAnsi="Arial"/>
                <w:sz w:val="14"/>
                <w:szCs w:val="14"/>
                <w:color w:val="auto"/>
              </w:rPr>
              <w:t>78.4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397.7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2,537.9</w:t>
            </w:r>
          </w:p>
        </w:tc>
        <w:tc>
          <w:tcPr>
            <w:tcW w:w="0" w:type="dxa"/>
            <w:vAlign w:val="bottom"/>
          </w:tcPr>
          <w:p>
            <w:pPr>
              <w:spacing w:after="0"/>
              <w:rPr>
                <w:sz w:val="1"/>
                <w:szCs w:val="1"/>
                <w:color w:val="auto"/>
              </w:rPr>
            </w:pPr>
          </w:p>
        </w:tc>
      </w:tr>
      <w:tr>
        <w:trPr>
          <w:trHeight w:val="188"/>
        </w:trPr>
        <w:tc>
          <w:tcPr>
            <w:tcW w:w="20" w:type="dxa"/>
            <w:vAlign w:val="bottom"/>
            <w:shd w:val="clear" w:color="auto" w:fill="DCE2EF"/>
          </w:tcPr>
          <w:p>
            <w:pPr>
              <w:spacing w:after="0"/>
              <w:rPr>
                <w:sz w:val="16"/>
                <w:szCs w:val="16"/>
                <w:color w:val="auto"/>
              </w:rPr>
            </w:pPr>
          </w:p>
        </w:tc>
        <w:tc>
          <w:tcPr>
            <w:tcW w:w="1420" w:type="dxa"/>
            <w:vAlign w:val="bottom"/>
            <w:gridSpan w:val="2"/>
            <w:shd w:val="clear" w:color="auto" w:fill="DCE2EF"/>
          </w:tcPr>
          <w:p>
            <w:pPr>
              <w:ind w:left="120"/>
              <w:spacing w:after="0" w:line="188" w:lineRule="exact"/>
              <w:rPr>
                <w:sz w:val="20"/>
                <w:szCs w:val="20"/>
                <w:color w:val="auto"/>
              </w:rPr>
            </w:pPr>
            <w:r>
              <w:rPr>
                <w:rFonts w:ascii="Arial" w:cs="Arial" w:eastAsia="Arial" w:hAnsi="Arial"/>
                <w:sz w:val="14"/>
                <w:szCs w:val="14"/>
                <w:color w:val="auto"/>
              </w:rPr>
              <w:t>Aviation Services</w:t>
            </w:r>
            <w:r>
              <w:rPr>
                <w:rFonts w:ascii="Arial" w:cs="Arial" w:eastAsia="Arial" w:hAnsi="Arial"/>
                <w:sz w:val="17"/>
                <w:szCs w:val="17"/>
                <w:color w:val="auto"/>
                <w:vertAlign w:val="superscript"/>
              </w:rPr>
              <w:t>(2)</w:t>
            </w:r>
          </w:p>
        </w:tc>
        <w:tc>
          <w:tcPr>
            <w:tcW w:w="140" w:type="dxa"/>
            <w:vAlign w:val="bottom"/>
            <w:shd w:val="clear" w:color="auto" w:fill="DCE2EF"/>
          </w:tcPr>
          <w:p>
            <w:pPr>
              <w:spacing w:after="0"/>
              <w:rPr>
                <w:sz w:val="16"/>
                <w:szCs w:val="16"/>
                <w:color w:val="auto"/>
              </w:rPr>
            </w:pPr>
          </w:p>
        </w:tc>
        <w:tc>
          <w:tcPr>
            <w:tcW w:w="560" w:type="dxa"/>
            <w:vAlign w:val="bottom"/>
            <w:gridSpan w:val="2"/>
            <w:shd w:val="clear" w:color="auto" w:fill="DCE2E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460" w:type="dxa"/>
            <w:vAlign w:val="bottom"/>
            <w:gridSpan w:val="2"/>
            <w:shd w:val="clear" w:color="auto" w:fill="DCE2E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105.1</w:t>
            </w:r>
          </w:p>
        </w:tc>
        <w:tc>
          <w:tcPr>
            <w:tcW w:w="4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720" w:type="dxa"/>
            <w:vAlign w:val="bottom"/>
            <w:gridSpan w:val="2"/>
            <w:shd w:val="clear" w:color="auto" w:fill="DCE2E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720" w:type="dxa"/>
            <w:vAlign w:val="bottom"/>
            <w:gridSpan w:val="2"/>
            <w:shd w:val="clear" w:color="auto" w:fill="DCE2E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105.1</w:t>
            </w:r>
          </w:p>
        </w:tc>
        <w:tc>
          <w:tcPr>
            <w:tcW w:w="2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660" w:type="dxa"/>
            <w:vAlign w:val="bottom"/>
            <w:gridSpan w:val="3"/>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DCE2EF"/>
          </w:tcPr>
          <w:p>
            <w:pPr>
              <w:spacing w:after="0"/>
              <w:rPr>
                <w:sz w:val="16"/>
                <w:szCs w:val="16"/>
                <w:color w:val="auto"/>
              </w:rPr>
            </w:pPr>
          </w:p>
        </w:tc>
        <w:tc>
          <w:tcPr>
            <w:tcW w:w="460" w:type="dxa"/>
            <w:vAlign w:val="bottom"/>
            <w:gridSpan w:val="2"/>
            <w:shd w:val="clear" w:color="auto" w:fill="DCE2E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620" w:type="dxa"/>
            <w:vAlign w:val="bottom"/>
            <w:shd w:val="clear" w:color="auto" w:fill="DCE2EF"/>
          </w:tcPr>
          <w:p>
            <w:pPr>
              <w:jc w:val="right"/>
              <w:ind w:right="13"/>
              <w:spacing w:after="0"/>
              <w:rPr>
                <w:sz w:val="20"/>
                <w:szCs w:val="20"/>
                <w:color w:val="auto"/>
              </w:rPr>
            </w:pPr>
            <w:r>
              <w:rPr>
                <w:rFonts w:ascii="Arial" w:cs="Arial" w:eastAsia="Arial" w:hAnsi="Arial"/>
                <w:sz w:val="14"/>
                <w:szCs w:val="14"/>
                <w:color w:val="auto"/>
              </w:rPr>
              <w:t>222.5</w:t>
            </w:r>
          </w:p>
        </w:tc>
        <w:tc>
          <w:tcPr>
            <w:tcW w:w="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86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DCE2EF"/>
          </w:tcPr>
          <w:p>
            <w:pPr>
              <w:spacing w:after="0"/>
              <w:rPr>
                <w:sz w:val="16"/>
                <w:szCs w:val="16"/>
                <w:color w:val="auto"/>
              </w:rPr>
            </w:pPr>
          </w:p>
        </w:tc>
        <w:tc>
          <w:tcPr>
            <w:tcW w:w="86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DCE2EF"/>
          </w:tcPr>
          <w:p>
            <w:pPr>
              <w:spacing w:after="0"/>
              <w:rPr>
                <w:sz w:val="16"/>
                <w:szCs w:val="16"/>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222.5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2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Parking and</w:t>
            </w:r>
          </w:p>
        </w:tc>
        <w:tc>
          <w:tcPr>
            <w:tcW w:w="14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102.5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12.1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80.1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194.8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205.7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25.1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ind w:right="13"/>
              <w:spacing w:after="0"/>
              <w:rPr>
                <w:sz w:val="20"/>
                <w:szCs w:val="20"/>
                <w:color w:val="auto"/>
              </w:rPr>
            </w:pPr>
            <w:r>
              <w:rPr>
                <w:rFonts w:ascii="Arial" w:cs="Arial" w:eastAsia="Arial" w:hAnsi="Arial"/>
                <w:sz w:val="14"/>
                <w:szCs w:val="14"/>
                <w:color w:val="auto"/>
              </w:rPr>
              <w:t>162.8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393.9</w:t>
            </w:r>
          </w:p>
        </w:tc>
        <w:tc>
          <w:tcPr>
            <w:tcW w:w="0" w:type="dxa"/>
            <w:vAlign w:val="bottom"/>
          </w:tcPr>
          <w:p>
            <w:pPr>
              <w:spacing w:after="0"/>
              <w:rPr>
                <w:sz w:val="1"/>
                <w:szCs w:val="1"/>
                <w:color w:val="auto"/>
              </w:rPr>
            </w:pPr>
          </w:p>
        </w:tc>
      </w:tr>
      <w:tr>
        <w:trPr>
          <w:trHeight w:val="188"/>
        </w:trPr>
        <w:tc>
          <w:tcPr>
            <w:tcW w:w="20" w:type="dxa"/>
            <w:vAlign w:val="bottom"/>
            <w:tcBorders>
              <w:bottom w:val="single" w:sz="8" w:color="DCE2EF"/>
            </w:tcBorders>
          </w:tcPr>
          <w:p>
            <w:pPr>
              <w:spacing w:after="0"/>
              <w:rPr>
                <w:sz w:val="16"/>
                <w:szCs w:val="16"/>
                <w:color w:val="auto"/>
              </w:rPr>
            </w:pPr>
          </w:p>
        </w:tc>
        <w:tc>
          <w:tcPr>
            <w:tcW w:w="1420" w:type="dxa"/>
            <w:vAlign w:val="bottom"/>
            <w:tcBorders>
              <w:bottom w:val="single" w:sz="8" w:color="DCE2EF"/>
            </w:tcBorders>
            <w:gridSpan w:val="2"/>
          </w:tcPr>
          <w:p>
            <w:pPr>
              <w:ind w:left="120"/>
              <w:spacing w:after="0" w:line="188" w:lineRule="exact"/>
              <w:rPr>
                <w:sz w:val="20"/>
                <w:szCs w:val="20"/>
                <w:color w:val="auto"/>
              </w:rPr>
            </w:pPr>
            <w:r>
              <w:rPr>
                <w:rFonts w:ascii="Arial" w:cs="Arial" w:eastAsia="Arial" w:hAnsi="Arial"/>
                <w:sz w:val="14"/>
                <w:szCs w:val="14"/>
                <w:color w:val="auto"/>
              </w:rPr>
              <w:t>Transportation</w:t>
            </w:r>
            <w:r>
              <w:rPr>
                <w:rFonts w:ascii="Arial" w:cs="Arial" w:eastAsia="Arial" w:hAnsi="Arial"/>
                <w:sz w:val="17"/>
                <w:szCs w:val="17"/>
                <w:color w:val="auto"/>
                <w:vertAlign w:val="superscript"/>
              </w:rPr>
              <w:t>(3)</w:t>
            </w: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DCE2EF"/>
            </w:tcBorders>
          </w:tcPr>
          <w:p>
            <w:pPr>
              <w:spacing w:after="0"/>
              <w:rPr>
                <w:sz w:val="16"/>
                <w:szCs w:val="16"/>
                <w:color w:val="auto"/>
              </w:rPr>
            </w:pPr>
          </w:p>
        </w:tc>
        <w:tc>
          <w:tcPr>
            <w:tcW w:w="40" w:type="dxa"/>
            <w:vAlign w:val="bottom"/>
            <w:tcBorders>
              <w:bottom w:val="single" w:sz="8" w:color="DCE2E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DCE2EF"/>
            </w:tcBorders>
          </w:tcPr>
          <w:p>
            <w:pPr>
              <w:spacing w:after="0"/>
              <w:rPr>
                <w:sz w:val="16"/>
                <w:szCs w:val="16"/>
                <w:color w:val="auto"/>
              </w:rPr>
            </w:pPr>
          </w:p>
        </w:tc>
        <w:tc>
          <w:tcPr>
            <w:tcW w:w="60" w:type="dxa"/>
            <w:vAlign w:val="bottom"/>
            <w:tcBorders>
              <w:bottom w:val="single" w:sz="8" w:color="DCE2E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CE2E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DCE2EF"/>
          </w:tcPr>
          <w:p>
            <w:pPr>
              <w:spacing w:after="0"/>
              <w:rPr>
                <w:sz w:val="15"/>
                <w:szCs w:val="15"/>
                <w:color w:val="auto"/>
              </w:rPr>
            </w:pPr>
          </w:p>
        </w:tc>
        <w:tc>
          <w:tcPr>
            <w:tcW w:w="1420" w:type="dxa"/>
            <w:vAlign w:val="bottom"/>
            <w:gridSpan w:val="2"/>
            <w:shd w:val="clear" w:color="auto" w:fill="DCE2EF"/>
          </w:tcPr>
          <w:p>
            <w:pPr>
              <w:ind w:left="120"/>
              <w:spacing w:after="0"/>
              <w:rPr>
                <w:sz w:val="20"/>
                <w:szCs w:val="20"/>
                <w:color w:val="auto"/>
              </w:rPr>
            </w:pPr>
            <w:r>
              <w:rPr>
                <w:rFonts w:ascii="Arial" w:cs="Arial" w:eastAsia="Arial" w:hAnsi="Arial"/>
                <w:sz w:val="14"/>
                <w:szCs w:val="14"/>
                <w:b w:val="1"/>
                <w:bCs w:val="1"/>
                <w:color w:val="auto"/>
              </w:rPr>
              <w:t>Facility Solutions</w:t>
            </w:r>
          </w:p>
        </w:tc>
        <w:tc>
          <w:tcPr>
            <w:tcW w:w="14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783.9</w:t>
            </w:r>
          </w:p>
        </w:tc>
        <w:tc>
          <w:tcPr>
            <w:tcW w:w="40" w:type="dxa"/>
            <w:vAlign w:val="bottom"/>
            <w:shd w:val="clear" w:color="auto" w:fill="DCE2EF"/>
          </w:tcPr>
          <w:p>
            <w:pPr>
              <w:spacing w:after="0"/>
              <w:rPr>
                <w:sz w:val="15"/>
                <w:szCs w:val="15"/>
                <w:color w:val="auto"/>
              </w:rPr>
            </w:pPr>
          </w:p>
        </w:tc>
        <w:tc>
          <w:tcPr>
            <w:tcW w:w="200" w:type="dxa"/>
            <w:vAlign w:val="bottom"/>
            <w:gridSpan w:val="3"/>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w w:val="96"/>
              </w:rPr>
              <w:t>350.3</w:t>
            </w:r>
          </w:p>
        </w:tc>
        <w:tc>
          <w:tcPr>
            <w:tcW w:w="40" w:type="dxa"/>
            <w:vAlign w:val="bottom"/>
            <w:shd w:val="clear" w:color="auto" w:fill="DCE2EF"/>
          </w:tcPr>
          <w:p>
            <w:pPr>
              <w:spacing w:after="0"/>
              <w:rPr>
                <w:sz w:val="15"/>
                <w:szCs w:val="15"/>
                <w:color w:val="auto"/>
              </w:rPr>
            </w:pPr>
          </w:p>
        </w:tc>
        <w:tc>
          <w:tcPr>
            <w:tcW w:w="200" w:type="dxa"/>
            <w:vAlign w:val="bottom"/>
            <w:gridSpan w:val="3"/>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227.1</w:t>
            </w:r>
          </w:p>
        </w:tc>
        <w:tc>
          <w:tcPr>
            <w:tcW w:w="40" w:type="dxa"/>
            <w:vAlign w:val="bottom"/>
            <w:shd w:val="clear" w:color="auto" w:fill="DCE2EF"/>
          </w:tcPr>
          <w:p>
            <w:pPr>
              <w:spacing w:after="0"/>
              <w:rPr>
                <w:sz w:val="15"/>
                <w:szCs w:val="15"/>
                <w:color w:val="auto"/>
              </w:rPr>
            </w:pPr>
          </w:p>
        </w:tc>
        <w:tc>
          <w:tcPr>
            <w:tcW w:w="40" w:type="dxa"/>
            <w:vAlign w:val="bottom"/>
            <w:shd w:val="clear" w:color="auto" w:fill="DCE2EF"/>
          </w:tcPr>
          <w:p>
            <w:pPr>
              <w:spacing w:after="0"/>
              <w:rPr>
                <w:sz w:val="15"/>
                <w:szCs w:val="15"/>
                <w:color w:val="auto"/>
              </w:rPr>
            </w:pPr>
          </w:p>
        </w:tc>
        <w:tc>
          <w:tcPr>
            <w:tcW w:w="140" w:type="dxa"/>
            <w:vAlign w:val="bottom"/>
            <w:gridSpan w:val="2"/>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199.8</w:t>
            </w:r>
          </w:p>
        </w:tc>
        <w:tc>
          <w:tcPr>
            <w:tcW w:w="40" w:type="dxa"/>
            <w:vAlign w:val="bottom"/>
            <w:shd w:val="clear" w:color="auto" w:fill="DCE2EF"/>
          </w:tcPr>
          <w:p>
            <w:pPr>
              <w:spacing w:after="0"/>
              <w:rPr>
                <w:sz w:val="15"/>
                <w:szCs w:val="15"/>
                <w:color w:val="auto"/>
              </w:rPr>
            </w:pPr>
          </w:p>
        </w:tc>
        <w:tc>
          <w:tcPr>
            <w:tcW w:w="180" w:type="dxa"/>
            <w:vAlign w:val="bottom"/>
            <w:gridSpan w:val="3"/>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DCE2EF"/>
          </w:tcPr>
          <w:p>
            <w:pPr>
              <w:jc w:val="right"/>
              <w:ind w:right="100"/>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3"/>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1,561.2</w:t>
            </w:r>
          </w:p>
        </w:tc>
        <w:tc>
          <w:tcPr>
            <w:tcW w:w="2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80" w:type="dxa"/>
            <w:vAlign w:val="bottom"/>
            <w:gridSpan w:val="2"/>
            <w:shd w:val="clear" w:color="auto" w:fill="DCE2EF"/>
          </w:tcPr>
          <w:p>
            <w:pPr>
              <w:jc w:val="right"/>
              <w:ind w:right="12"/>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DCE2EF"/>
          </w:tcPr>
          <w:p>
            <w:pPr>
              <w:jc w:val="right"/>
              <w:ind w:right="13"/>
              <w:spacing w:after="0"/>
              <w:rPr>
                <w:sz w:val="20"/>
                <w:szCs w:val="20"/>
                <w:color w:val="auto"/>
              </w:rPr>
            </w:pPr>
            <w:r>
              <w:rPr>
                <w:rFonts w:ascii="Arial" w:cs="Arial" w:eastAsia="Arial" w:hAnsi="Arial"/>
                <w:sz w:val="14"/>
                <w:szCs w:val="14"/>
                <w:b w:val="1"/>
                <w:bCs w:val="1"/>
                <w:color w:val="auto"/>
                <w:w w:val="98"/>
              </w:rPr>
              <w:t>1,580.4</w:t>
            </w: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w w:val="76"/>
              </w:rPr>
              <w:t>$</w:t>
            </w:r>
          </w:p>
        </w:tc>
        <w:tc>
          <w:tcPr>
            <w:tcW w:w="44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712.2</w:t>
            </w:r>
          </w:p>
        </w:tc>
        <w:tc>
          <w:tcPr>
            <w:tcW w:w="20" w:type="dxa"/>
            <w:vAlign w:val="bottom"/>
            <w:shd w:val="clear" w:color="auto" w:fill="DCE2EF"/>
          </w:tcPr>
          <w:p>
            <w:pPr>
              <w:spacing w:after="0"/>
              <w:rPr>
                <w:sz w:val="15"/>
                <w:szCs w:val="15"/>
                <w:color w:val="auto"/>
              </w:rPr>
            </w:pPr>
          </w:p>
        </w:tc>
        <w:tc>
          <w:tcPr>
            <w:tcW w:w="180" w:type="dxa"/>
            <w:vAlign w:val="bottom"/>
            <w:gridSpan w:val="3"/>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DCE2EF"/>
          </w:tcPr>
          <w:p>
            <w:pPr>
              <w:jc w:val="right"/>
              <w:ind w:right="13"/>
              <w:spacing w:after="0"/>
              <w:rPr>
                <w:sz w:val="20"/>
                <w:szCs w:val="20"/>
                <w:color w:val="auto"/>
              </w:rPr>
            </w:pPr>
            <w:r>
              <w:rPr>
                <w:rFonts w:ascii="Arial" w:cs="Arial" w:eastAsia="Arial" w:hAnsi="Arial"/>
                <w:sz w:val="14"/>
                <w:szCs w:val="14"/>
                <w:b w:val="1"/>
                <w:bCs w:val="1"/>
                <w:color w:val="auto"/>
              </w:rPr>
              <w:t>463.7</w:t>
            </w:r>
          </w:p>
        </w:tc>
        <w:tc>
          <w:tcPr>
            <w:tcW w:w="80" w:type="dxa"/>
            <w:vAlign w:val="bottom"/>
            <w:shd w:val="clear" w:color="auto" w:fill="DCE2EF"/>
          </w:tcPr>
          <w:p>
            <w:pPr>
              <w:spacing w:after="0"/>
              <w:rPr>
                <w:sz w:val="15"/>
                <w:szCs w:val="15"/>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397.9</w:t>
            </w:r>
          </w:p>
        </w:tc>
        <w:tc>
          <w:tcPr>
            <w:tcW w:w="100" w:type="dxa"/>
            <w:vAlign w:val="bottom"/>
            <w:shd w:val="clear" w:color="auto" w:fill="DCE2EF"/>
          </w:tcPr>
          <w:p>
            <w:pPr>
              <w:spacing w:after="0"/>
              <w:rPr>
                <w:sz w:val="15"/>
                <w:szCs w:val="15"/>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3,154.1</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420" w:type="dxa"/>
            <w:vAlign w:val="bottom"/>
            <w:gridSpan w:val="2"/>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4"/>
        </w:trPr>
        <w:tc>
          <w:tcPr>
            <w:tcW w:w="20" w:type="dxa"/>
            <w:vAlign w:val="bottom"/>
            <w:shd w:val="clear" w:color="auto" w:fill="DCE2EF"/>
          </w:tcPr>
          <w:p>
            <w:pPr>
              <w:spacing w:after="0"/>
              <w:rPr>
                <w:sz w:val="11"/>
                <w:szCs w:val="11"/>
                <w:color w:val="auto"/>
              </w:rPr>
            </w:pPr>
          </w:p>
        </w:tc>
        <w:tc>
          <w:tcPr>
            <w:tcW w:w="1420" w:type="dxa"/>
            <w:vAlign w:val="bottom"/>
            <w:gridSpan w:val="2"/>
            <w:shd w:val="clear" w:color="auto" w:fill="DCE2EF"/>
          </w:tcPr>
          <w:p>
            <w:pPr>
              <w:ind w:left="120"/>
              <w:spacing w:after="0" w:line="135" w:lineRule="exact"/>
              <w:rPr>
                <w:sz w:val="20"/>
                <w:szCs w:val="20"/>
                <w:color w:val="auto"/>
              </w:rPr>
            </w:pPr>
            <w:r>
              <w:rPr>
                <w:rFonts w:ascii="Arial" w:cs="Arial" w:eastAsia="Arial" w:hAnsi="Arial"/>
                <w:sz w:val="14"/>
                <w:szCs w:val="14"/>
                <w:color w:val="auto"/>
              </w:rPr>
              <w:t>Operations and</w:t>
            </w:r>
          </w:p>
        </w:tc>
        <w:tc>
          <w:tcPr>
            <w:tcW w:w="140" w:type="dxa"/>
            <w:vAlign w:val="bottom"/>
            <w:shd w:val="clear" w:color="auto" w:fill="DCE2EF"/>
          </w:tcPr>
          <w:p>
            <w:pPr>
              <w:spacing w:after="0"/>
              <w:rPr>
                <w:sz w:val="11"/>
                <w:szCs w:val="11"/>
                <w:color w:val="auto"/>
              </w:rPr>
            </w:pP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205.7</w:t>
            </w:r>
          </w:p>
        </w:tc>
        <w:tc>
          <w:tcPr>
            <w:tcW w:w="40" w:type="dxa"/>
            <w:vAlign w:val="bottom"/>
            <w:shd w:val="clear" w:color="auto" w:fill="DCE2EF"/>
          </w:tcPr>
          <w:p>
            <w:pPr>
              <w:spacing w:after="0"/>
              <w:rPr>
                <w:sz w:val="11"/>
                <w:szCs w:val="11"/>
                <w:color w:val="auto"/>
              </w:rPr>
            </w:pPr>
          </w:p>
        </w:tc>
        <w:tc>
          <w:tcPr>
            <w:tcW w:w="60" w:type="dxa"/>
            <w:vAlign w:val="bottom"/>
            <w:shd w:val="clear" w:color="auto" w:fill="DCE2EF"/>
          </w:tcPr>
          <w:p>
            <w:pPr>
              <w:spacing w:after="0"/>
              <w:rPr>
                <w:sz w:val="11"/>
                <w:szCs w:val="11"/>
                <w:color w:val="auto"/>
              </w:rPr>
            </w:pPr>
          </w:p>
        </w:tc>
        <w:tc>
          <w:tcPr>
            <w:tcW w:w="4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42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38.3</w:t>
            </w:r>
          </w:p>
        </w:tc>
        <w:tc>
          <w:tcPr>
            <w:tcW w:w="40" w:type="dxa"/>
            <w:vAlign w:val="bottom"/>
            <w:shd w:val="clear" w:color="auto" w:fill="DCE2EF"/>
          </w:tcPr>
          <w:p>
            <w:pPr>
              <w:spacing w:after="0"/>
              <w:rPr>
                <w:sz w:val="11"/>
                <w:szCs w:val="11"/>
                <w:color w:val="auto"/>
              </w:rPr>
            </w:pPr>
          </w:p>
        </w:tc>
        <w:tc>
          <w:tcPr>
            <w:tcW w:w="60" w:type="dxa"/>
            <w:vAlign w:val="bottom"/>
            <w:shd w:val="clear" w:color="auto" w:fill="DCE2EF"/>
          </w:tcPr>
          <w:p>
            <w:pPr>
              <w:spacing w:after="0"/>
              <w:rPr>
                <w:sz w:val="11"/>
                <w:szCs w:val="11"/>
                <w:color w:val="auto"/>
              </w:rPr>
            </w:pPr>
          </w:p>
        </w:tc>
        <w:tc>
          <w:tcPr>
            <w:tcW w:w="4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56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11.1</w:t>
            </w:r>
          </w:p>
        </w:tc>
        <w:tc>
          <w:tcPr>
            <w:tcW w:w="40" w:type="dxa"/>
            <w:vAlign w:val="bottom"/>
            <w:shd w:val="clear" w:color="auto" w:fill="DCE2EF"/>
          </w:tcPr>
          <w:p>
            <w:pPr>
              <w:spacing w:after="0"/>
              <w:rPr>
                <w:sz w:val="11"/>
                <w:szCs w:val="11"/>
                <w:color w:val="auto"/>
              </w:rPr>
            </w:pPr>
          </w:p>
        </w:tc>
        <w:tc>
          <w:tcPr>
            <w:tcW w:w="40" w:type="dxa"/>
            <w:vAlign w:val="bottom"/>
            <w:shd w:val="clear" w:color="auto" w:fill="DCE2EF"/>
          </w:tcPr>
          <w:p>
            <w:pPr>
              <w:spacing w:after="0"/>
              <w:rPr>
                <w:sz w:val="11"/>
                <w:szCs w:val="11"/>
                <w:color w:val="auto"/>
              </w:rPr>
            </w:pPr>
          </w:p>
        </w:tc>
        <w:tc>
          <w:tcPr>
            <w:tcW w:w="4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68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25.8</w:t>
            </w:r>
          </w:p>
        </w:tc>
        <w:tc>
          <w:tcPr>
            <w:tcW w:w="40" w:type="dxa"/>
            <w:vAlign w:val="bottom"/>
            <w:shd w:val="clear" w:color="auto" w:fill="DCE2EF"/>
          </w:tcPr>
          <w:p>
            <w:pPr>
              <w:spacing w:after="0"/>
              <w:rPr>
                <w:sz w:val="11"/>
                <w:szCs w:val="11"/>
                <w:color w:val="auto"/>
              </w:rPr>
            </w:pPr>
          </w:p>
        </w:tc>
        <w:tc>
          <w:tcPr>
            <w:tcW w:w="6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720" w:type="dxa"/>
            <w:vAlign w:val="bottom"/>
            <w:gridSpan w:val="2"/>
            <w:vMerge w:val="restart"/>
            <w:shd w:val="clear" w:color="auto" w:fill="DCE2E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140" w:type="dxa"/>
            <w:vAlign w:val="bottom"/>
            <w:shd w:val="clear" w:color="auto" w:fill="DCE2EF"/>
          </w:tcPr>
          <w:p>
            <w:pPr>
              <w:spacing w:after="0"/>
              <w:rPr>
                <w:sz w:val="11"/>
                <w:szCs w:val="11"/>
                <w:color w:val="auto"/>
              </w:rPr>
            </w:pPr>
          </w:p>
        </w:tc>
        <w:tc>
          <w:tcPr>
            <w:tcW w:w="56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280.8</w:t>
            </w:r>
          </w:p>
        </w:tc>
        <w:tc>
          <w:tcPr>
            <w:tcW w:w="20" w:type="dxa"/>
            <w:vAlign w:val="bottom"/>
            <w:shd w:val="clear" w:color="auto" w:fill="DCE2EF"/>
          </w:tcPr>
          <w:p>
            <w:pPr>
              <w:spacing w:after="0"/>
              <w:rPr>
                <w:sz w:val="11"/>
                <w:szCs w:val="11"/>
                <w:color w:val="auto"/>
              </w:rPr>
            </w:pPr>
          </w:p>
        </w:tc>
        <w:tc>
          <w:tcPr>
            <w:tcW w:w="60" w:type="dxa"/>
            <w:vAlign w:val="bottom"/>
            <w:shd w:val="clear" w:color="auto" w:fill="DCE2EF"/>
          </w:tcPr>
          <w:p>
            <w:pPr>
              <w:spacing w:after="0"/>
              <w:rPr>
                <w:sz w:val="11"/>
                <w:szCs w:val="11"/>
                <w:color w:val="auto"/>
              </w:rPr>
            </w:pPr>
          </w:p>
        </w:tc>
        <w:tc>
          <w:tcPr>
            <w:tcW w:w="40" w:type="dxa"/>
            <w:vAlign w:val="bottom"/>
            <w:shd w:val="clear" w:color="auto" w:fill="DCE2EF"/>
          </w:tcPr>
          <w:p>
            <w:pPr>
              <w:spacing w:after="0"/>
              <w:rPr>
                <w:sz w:val="11"/>
                <w:szCs w:val="11"/>
                <w:color w:val="auto"/>
              </w:rPr>
            </w:pPr>
          </w:p>
        </w:tc>
        <w:tc>
          <w:tcPr>
            <w:tcW w:w="140" w:type="dxa"/>
            <w:vAlign w:val="bottom"/>
            <w:shd w:val="clear" w:color="auto" w:fill="DCE2EF"/>
          </w:tcPr>
          <w:p>
            <w:pPr>
              <w:spacing w:after="0"/>
              <w:rPr>
                <w:sz w:val="11"/>
                <w:szCs w:val="11"/>
                <w:color w:val="auto"/>
              </w:rPr>
            </w:pPr>
          </w:p>
        </w:tc>
        <w:tc>
          <w:tcPr>
            <w:tcW w:w="56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442.3</w:t>
            </w:r>
          </w:p>
        </w:tc>
        <w:tc>
          <w:tcPr>
            <w:tcW w:w="8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44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77.3</w:t>
            </w:r>
          </w:p>
        </w:tc>
        <w:tc>
          <w:tcPr>
            <w:tcW w:w="2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2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620" w:type="dxa"/>
            <w:vAlign w:val="bottom"/>
            <w:vMerge w:val="restart"/>
            <w:shd w:val="clear" w:color="auto" w:fill="DCE2EF"/>
          </w:tcPr>
          <w:p>
            <w:pPr>
              <w:jc w:val="right"/>
              <w:ind w:right="13"/>
              <w:spacing w:after="0"/>
              <w:rPr>
                <w:sz w:val="20"/>
                <w:szCs w:val="20"/>
                <w:color w:val="auto"/>
              </w:rPr>
            </w:pPr>
            <w:r>
              <w:rPr>
                <w:rFonts w:ascii="Arial" w:cs="Arial" w:eastAsia="Arial" w:hAnsi="Arial"/>
                <w:sz w:val="14"/>
                <w:szCs w:val="14"/>
                <w:color w:val="auto"/>
              </w:rPr>
              <w:t>24.1</w:t>
            </w:r>
          </w:p>
        </w:tc>
        <w:tc>
          <w:tcPr>
            <w:tcW w:w="8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76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47.8</w:t>
            </w:r>
          </w:p>
        </w:tc>
        <w:tc>
          <w:tcPr>
            <w:tcW w:w="10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860" w:type="dxa"/>
            <w:vAlign w:val="bottom"/>
            <w:gridSpan w:val="2"/>
            <w:vMerge w:val="restart"/>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DCE2EF"/>
          </w:tcPr>
          <w:p>
            <w:pPr>
              <w:spacing w:after="0"/>
              <w:rPr>
                <w:sz w:val="11"/>
                <w:szCs w:val="11"/>
                <w:color w:val="auto"/>
              </w:rPr>
            </w:pPr>
          </w:p>
        </w:tc>
        <w:tc>
          <w:tcPr>
            <w:tcW w:w="58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591.4</w:t>
            </w:r>
          </w:p>
        </w:tc>
        <w:tc>
          <w:tcPr>
            <w:tcW w:w="0" w:type="dxa"/>
            <w:vAlign w:val="bottom"/>
          </w:tcPr>
          <w:p>
            <w:pPr>
              <w:spacing w:after="0"/>
              <w:rPr>
                <w:sz w:val="1"/>
                <w:szCs w:val="1"/>
                <w:color w:val="auto"/>
              </w:rPr>
            </w:pPr>
          </w:p>
        </w:tc>
      </w:tr>
      <w:tr>
        <w:trPr>
          <w:trHeight w:val="188"/>
        </w:trPr>
        <w:tc>
          <w:tcPr>
            <w:tcW w:w="20" w:type="dxa"/>
            <w:vAlign w:val="bottom"/>
            <w:shd w:val="clear" w:color="auto" w:fill="DCE2EF"/>
          </w:tcPr>
          <w:p>
            <w:pPr>
              <w:spacing w:after="0"/>
              <w:rPr>
                <w:sz w:val="16"/>
                <w:szCs w:val="16"/>
                <w:color w:val="auto"/>
              </w:rPr>
            </w:pPr>
          </w:p>
        </w:tc>
        <w:tc>
          <w:tcPr>
            <w:tcW w:w="1420" w:type="dxa"/>
            <w:vAlign w:val="bottom"/>
            <w:gridSpan w:val="2"/>
            <w:shd w:val="clear" w:color="auto" w:fill="DCE2EF"/>
          </w:tcPr>
          <w:p>
            <w:pPr>
              <w:ind w:left="120"/>
              <w:spacing w:after="0" w:line="188" w:lineRule="exact"/>
              <w:rPr>
                <w:sz w:val="20"/>
                <w:szCs w:val="20"/>
                <w:color w:val="auto"/>
              </w:rPr>
            </w:pPr>
            <w:r>
              <w:rPr>
                <w:rFonts w:ascii="Arial" w:cs="Arial" w:eastAsia="Arial" w:hAnsi="Arial"/>
                <w:sz w:val="14"/>
                <w:szCs w:val="14"/>
                <w:color w:val="auto"/>
              </w:rPr>
              <w:t>Maintenance</w:t>
            </w:r>
            <w:r>
              <w:rPr>
                <w:rFonts w:ascii="Arial" w:cs="Arial" w:eastAsia="Arial" w:hAnsi="Arial"/>
                <w:sz w:val="17"/>
                <w:szCs w:val="17"/>
                <w:color w:val="auto"/>
                <w:vertAlign w:val="superscript"/>
              </w:rPr>
              <w:t>(4)</w:t>
            </w:r>
          </w:p>
        </w:tc>
        <w:tc>
          <w:tcPr>
            <w:tcW w:w="140" w:type="dxa"/>
            <w:vAlign w:val="bottom"/>
            <w:shd w:val="clear" w:color="auto" w:fill="DCE2EF"/>
          </w:tcPr>
          <w:p>
            <w:pPr>
              <w:spacing w:after="0"/>
              <w:rPr>
                <w:sz w:val="16"/>
                <w:szCs w:val="16"/>
                <w:color w:val="auto"/>
              </w:rPr>
            </w:pPr>
          </w:p>
        </w:tc>
        <w:tc>
          <w:tcPr>
            <w:tcW w:w="520" w:type="dxa"/>
            <w:vAlign w:val="bottom"/>
            <w:vMerge w:val="continue"/>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420" w:type="dxa"/>
            <w:vAlign w:val="bottom"/>
            <w:vMerge w:val="continue"/>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560" w:type="dxa"/>
            <w:vAlign w:val="bottom"/>
            <w:vMerge w:val="continue"/>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680" w:type="dxa"/>
            <w:vAlign w:val="bottom"/>
            <w:vMerge w:val="continue"/>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720" w:type="dxa"/>
            <w:vAlign w:val="bottom"/>
            <w:gridSpan w:val="2"/>
            <w:vMerge w:val="continue"/>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560" w:type="dxa"/>
            <w:vAlign w:val="bottom"/>
            <w:vMerge w:val="continue"/>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560" w:type="dxa"/>
            <w:vAlign w:val="bottom"/>
            <w:vMerge w:val="continue"/>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440" w:type="dxa"/>
            <w:vAlign w:val="bottom"/>
            <w:vMerge w:val="continue"/>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620" w:type="dxa"/>
            <w:vAlign w:val="bottom"/>
            <w:vMerge w:val="continue"/>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760" w:type="dxa"/>
            <w:vAlign w:val="bottom"/>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860" w:type="dxa"/>
            <w:vAlign w:val="bottom"/>
            <w:gridSpan w:val="2"/>
            <w:vMerge w:val="continue"/>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580" w:type="dxa"/>
            <w:vAlign w:val="bottom"/>
            <w:vMerge w:val="continue"/>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2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Building &amp; Energy</w:t>
            </w:r>
          </w:p>
        </w:tc>
        <w:tc>
          <w:tcPr>
            <w:tcW w:w="140" w:type="dxa"/>
            <w:vAlign w:val="bottom"/>
          </w:tcPr>
          <w:p>
            <w:pPr>
              <w:spacing w:after="0"/>
              <w:rPr>
                <w:sz w:val="11"/>
                <w:szCs w:val="11"/>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176.2</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176.2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342.1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342.1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20" w:type="dxa"/>
            <w:vAlign w:val="bottom"/>
            <w:gridSpan w:val="2"/>
          </w:tcPr>
          <w:p>
            <w:pPr>
              <w:ind w:left="120"/>
              <w:spacing w:after="0" w:line="188" w:lineRule="exact"/>
              <w:rPr>
                <w:sz w:val="20"/>
                <w:szCs w:val="20"/>
                <w:color w:val="auto"/>
              </w:rPr>
            </w:pPr>
            <w:r>
              <w:rPr>
                <w:rFonts w:ascii="Arial" w:cs="Arial" w:eastAsia="Arial" w:hAnsi="Arial"/>
                <w:sz w:val="14"/>
                <w:szCs w:val="14"/>
                <w:color w:val="auto"/>
              </w:rPr>
              <w:t>Solutions</w:t>
            </w:r>
            <w:r>
              <w:rPr>
                <w:rFonts w:ascii="Arial" w:cs="Arial" w:eastAsia="Arial" w:hAnsi="Arial"/>
                <w:sz w:val="17"/>
                <w:szCs w:val="17"/>
                <w:color w:val="auto"/>
                <w:vertAlign w:val="superscript"/>
              </w:rPr>
              <w:t>(5)</w:t>
            </w:r>
          </w:p>
        </w:tc>
        <w:tc>
          <w:tcPr>
            <w:tcW w:w="1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0" w:type="dxa"/>
            <w:vAlign w:val="bottom"/>
            <w:tcBorders>
              <w:top w:val="single" w:sz="8" w:color="DCE2EF"/>
            </w:tcBorders>
            <w:shd w:val="clear" w:color="auto" w:fill="DCE2EF"/>
          </w:tcPr>
          <w:p>
            <w:pPr>
              <w:spacing w:after="0"/>
              <w:rPr>
                <w:sz w:val="9"/>
                <w:szCs w:val="9"/>
                <w:color w:val="auto"/>
              </w:rPr>
            </w:pPr>
          </w:p>
        </w:tc>
        <w:tc>
          <w:tcPr>
            <w:tcW w:w="1420" w:type="dxa"/>
            <w:vAlign w:val="bottom"/>
            <w:tcBorders>
              <w:top w:val="single" w:sz="8" w:color="DCE2EF"/>
            </w:tcBorders>
            <w:gridSpan w:val="2"/>
            <w:shd w:val="clear" w:color="auto" w:fill="DCE2EF"/>
          </w:tcPr>
          <w:p>
            <w:pPr>
              <w:ind w:left="120"/>
              <w:spacing w:after="0" w:line="114" w:lineRule="exact"/>
              <w:rPr>
                <w:sz w:val="20"/>
                <w:szCs w:val="20"/>
                <w:color w:val="auto"/>
              </w:rPr>
            </w:pPr>
            <w:r>
              <w:rPr>
                <w:rFonts w:ascii="Arial" w:cs="Arial" w:eastAsia="Arial" w:hAnsi="Arial"/>
                <w:sz w:val="12"/>
                <w:szCs w:val="12"/>
                <w:b w:val="1"/>
                <w:bCs w:val="1"/>
                <w:color w:val="auto"/>
              </w:rPr>
              <w:t>Engineering and</w:t>
            </w:r>
          </w:p>
        </w:tc>
        <w:tc>
          <w:tcPr>
            <w:tcW w:w="140" w:type="dxa"/>
            <w:vAlign w:val="bottom"/>
            <w:tcBorders>
              <w:top w:val="single" w:sz="8" w:color="auto"/>
            </w:tcBorders>
            <w:shd w:val="clear" w:color="auto" w:fill="DCE2EF"/>
          </w:tcPr>
          <w:p>
            <w:pPr>
              <w:spacing w:after="0"/>
              <w:rPr>
                <w:sz w:val="9"/>
                <w:szCs w:val="9"/>
                <w:color w:val="auto"/>
              </w:rPr>
            </w:pPr>
          </w:p>
        </w:tc>
        <w:tc>
          <w:tcPr>
            <w:tcW w:w="520" w:type="dxa"/>
            <w:vAlign w:val="bottom"/>
            <w:tcBorders>
              <w:top w:val="single" w:sz="8" w:color="auto"/>
            </w:tcBorders>
            <w:shd w:val="clear" w:color="auto" w:fill="DCE2EF"/>
          </w:tcPr>
          <w:p>
            <w:pPr>
              <w:spacing w:after="0"/>
              <w:rPr>
                <w:sz w:val="9"/>
                <w:szCs w:val="9"/>
                <w:color w:val="auto"/>
              </w:rPr>
            </w:pPr>
          </w:p>
        </w:tc>
        <w:tc>
          <w:tcPr>
            <w:tcW w:w="40" w:type="dxa"/>
            <w:vAlign w:val="bottom"/>
            <w:tcBorders>
              <w:top w:val="single" w:sz="8" w:color="auto"/>
            </w:tcBorders>
            <w:shd w:val="clear" w:color="auto" w:fill="DCE2EF"/>
          </w:tcPr>
          <w:p>
            <w:pPr>
              <w:spacing w:after="0"/>
              <w:rPr>
                <w:sz w:val="9"/>
                <w:szCs w:val="9"/>
                <w:color w:val="auto"/>
              </w:rPr>
            </w:pPr>
          </w:p>
        </w:tc>
        <w:tc>
          <w:tcPr>
            <w:tcW w:w="60" w:type="dxa"/>
            <w:vAlign w:val="bottom"/>
            <w:tcBorders>
              <w:top w:val="single" w:sz="8" w:color="auto"/>
            </w:tcBorders>
            <w:shd w:val="clear" w:color="auto" w:fill="DCE2EF"/>
          </w:tcPr>
          <w:p>
            <w:pPr>
              <w:spacing w:after="0"/>
              <w:rPr>
                <w:sz w:val="9"/>
                <w:szCs w:val="9"/>
                <w:color w:val="auto"/>
              </w:rPr>
            </w:pPr>
          </w:p>
        </w:tc>
        <w:tc>
          <w:tcPr>
            <w:tcW w:w="40" w:type="dxa"/>
            <w:vAlign w:val="bottom"/>
            <w:tcBorders>
              <w:top w:val="single" w:sz="8" w:color="auto"/>
            </w:tcBorders>
            <w:shd w:val="clear" w:color="auto" w:fill="DCE2EF"/>
          </w:tcPr>
          <w:p>
            <w:pPr>
              <w:spacing w:after="0"/>
              <w:rPr>
                <w:sz w:val="9"/>
                <w:szCs w:val="9"/>
                <w:color w:val="auto"/>
              </w:rPr>
            </w:pPr>
          </w:p>
        </w:tc>
        <w:tc>
          <w:tcPr>
            <w:tcW w:w="100" w:type="dxa"/>
            <w:vAlign w:val="bottom"/>
            <w:tcBorders>
              <w:top w:val="single" w:sz="8" w:color="auto"/>
            </w:tcBorders>
            <w:shd w:val="clear" w:color="auto" w:fill="DCE2EF"/>
          </w:tcPr>
          <w:p>
            <w:pPr>
              <w:spacing w:after="0"/>
              <w:rPr>
                <w:sz w:val="9"/>
                <w:szCs w:val="9"/>
                <w:color w:val="auto"/>
              </w:rPr>
            </w:pPr>
          </w:p>
        </w:tc>
        <w:tc>
          <w:tcPr>
            <w:tcW w:w="420" w:type="dxa"/>
            <w:vAlign w:val="bottom"/>
            <w:tcBorders>
              <w:top w:val="single" w:sz="8" w:color="auto"/>
            </w:tcBorders>
            <w:shd w:val="clear" w:color="auto" w:fill="DCE2EF"/>
          </w:tcPr>
          <w:p>
            <w:pPr>
              <w:spacing w:after="0"/>
              <w:rPr>
                <w:sz w:val="9"/>
                <w:szCs w:val="9"/>
                <w:color w:val="auto"/>
              </w:rPr>
            </w:pPr>
          </w:p>
        </w:tc>
        <w:tc>
          <w:tcPr>
            <w:tcW w:w="40" w:type="dxa"/>
            <w:vAlign w:val="bottom"/>
            <w:tcBorders>
              <w:top w:val="single" w:sz="8" w:color="auto"/>
            </w:tcBorders>
            <w:shd w:val="clear" w:color="auto" w:fill="DCE2EF"/>
          </w:tcPr>
          <w:p>
            <w:pPr>
              <w:spacing w:after="0"/>
              <w:rPr>
                <w:sz w:val="9"/>
                <w:szCs w:val="9"/>
                <w:color w:val="auto"/>
              </w:rPr>
            </w:pPr>
          </w:p>
        </w:tc>
        <w:tc>
          <w:tcPr>
            <w:tcW w:w="60" w:type="dxa"/>
            <w:vAlign w:val="bottom"/>
            <w:tcBorders>
              <w:top w:val="single" w:sz="8" w:color="auto"/>
            </w:tcBorders>
            <w:shd w:val="clear" w:color="auto" w:fill="DCE2EF"/>
          </w:tcPr>
          <w:p>
            <w:pPr>
              <w:spacing w:after="0"/>
              <w:rPr>
                <w:sz w:val="9"/>
                <w:szCs w:val="9"/>
                <w:color w:val="auto"/>
              </w:rPr>
            </w:pPr>
          </w:p>
        </w:tc>
        <w:tc>
          <w:tcPr>
            <w:tcW w:w="40" w:type="dxa"/>
            <w:vAlign w:val="bottom"/>
            <w:tcBorders>
              <w:top w:val="single" w:sz="8" w:color="auto"/>
            </w:tcBorders>
            <w:shd w:val="clear" w:color="auto" w:fill="DCE2EF"/>
          </w:tcPr>
          <w:p>
            <w:pPr>
              <w:spacing w:after="0"/>
              <w:rPr>
                <w:sz w:val="9"/>
                <w:szCs w:val="9"/>
                <w:color w:val="auto"/>
              </w:rPr>
            </w:pPr>
          </w:p>
        </w:tc>
        <w:tc>
          <w:tcPr>
            <w:tcW w:w="100" w:type="dxa"/>
            <w:vAlign w:val="bottom"/>
            <w:tcBorders>
              <w:top w:val="single" w:sz="8" w:color="auto"/>
            </w:tcBorders>
            <w:shd w:val="clear" w:color="auto" w:fill="DCE2EF"/>
          </w:tcPr>
          <w:p>
            <w:pPr>
              <w:spacing w:after="0"/>
              <w:rPr>
                <w:sz w:val="9"/>
                <w:szCs w:val="9"/>
                <w:color w:val="auto"/>
              </w:rPr>
            </w:pPr>
          </w:p>
        </w:tc>
        <w:tc>
          <w:tcPr>
            <w:tcW w:w="560" w:type="dxa"/>
            <w:vAlign w:val="bottom"/>
            <w:tcBorders>
              <w:top w:val="single" w:sz="8" w:color="auto"/>
            </w:tcBorders>
            <w:shd w:val="clear" w:color="auto" w:fill="DCE2EF"/>
          </w:tcPr>
          <w:p>
            <w:pPr>
              <w:spacing w:after="0"/>
              <w:rPr>
                <w:sz w:val="9"/>
                <w:szCs w:val="9"/>
                <w:color w:val="auto"/>
              </w:rPr>
            </w:pPr>
          </w:p>
        </w:tc>
        <w:tc>
          <w:tcPr>
            <w:tcW w:w="40" w:type="dxa"/>
            <w:vAlign w:val="bottom"/>
            <w:tcBorders>
              <w:top w:val="single" w:sz="8" w:color="DCE2EF"/>
            </w:tcBorders>
            <w:shd w:val="clear" w:color="auto" w:fill="DCE2EF"/>
          </w:tcPr>
          <w:p>
            <w:pPr>
              <w:spacing w:after="0"/>
              <w:rPr>
                <w:sz w:val="9"/>
                <w:szCs w:val="9"/>
                <w:color w:val="auto"/>
              </w:rPr>
            </w:pPr>
          </w:p>
        </w:tc>
        <w:tc>
          <w:tcPr>
            <w:tcW w:w="40" w:type="dxa"/>
            <w:vAlign w:val="bottom"/>
            <w:tcBorders>
              <w:top w:val="single" w:sz="8" w:color="DCE2EF"/>
            </w:tcBorders>
            <w:shd w:val="clear" w:color="auto" w:fill="DCE2EF"/>
          </w:tcPr>
          <w:p>
            <w:pPr>
              <w:spacing w:after="0"/>
              <w:rPr>
                <w:sz w:val="9"/>
                <w:szCs w:val="9"/>
                <w:color w:val="auto"/>
              </w:rPr>
            </w:pPr>
          </w:p>
        </w:tc>
        <w:tc>
          <w:tcPr>
            <w:tcW w:w="40" w:type="dxa"/>
            <w:vAlign w:val="bottom"/>
            <w:tcBorders>
              <w:top w:val="single" w:sz="8" w:color="auto"/>
            </w:tcBorders>
            <w:shd w:val="clear" w:color="auto" w:fill="DCE2EF"/>
          </w:tcPr>
          <w:p>
            <w:pPr>
              <w:spacing w:after="0"/>
              <w:rPr>
                <w:sz w:val="9"/>
                <w:szCs w:val="9"/>
                <w:color w:val="auto"/>
              </w:rPr>
            </w:pPr>
          </w:p>
        </w:tc>
        <w:tc>
          <w:tcPr>
            <w:tcW w:w="100" w:type="dxa"/>
            <w:vAlign w:val="bottom"/>
            <w:tcBorders>
              <w:top w:val="single" w:sz="8" w:color="auto"/>
            </w:tcBorders>
            <w:shd w:val="clear" w:color="auto" w:fill="DCE2EF"/>
          </w:tcPr>
          <w:p>
            <w:pPr>
              <w:spacing w:after="0"/>
              <w:rPr>
                <w:sz w:val="9"/>
                <w:szCs w:val="9"/>
                <w:color w:val="auto"/>
              </w:rPr>
            </w:pPr>
          </w:p>
        </w:tc>
        <w:tc>
          <w:tcPr>
            <w:tcW w:w="680" w:type="dxa"/>
            <w:vAlign w:val="bottom"/>
            <w:tcBorders>
              <w:top w:val="single" w:sz="8" w:color="auto"/>
            </w:tcBorders>
            <w:shd w:val="clear" w:color="auto" w:fill="DCE2EF"/>
          </w:tcPr>
          <w:p>
            <w:pPr>
              <w:spacing w:after="0"/>
              <w:rPr>
                <w:sz w:val="9"/>
                <w:szCs w:val="9"/>
                <w:color w:val="auto"/>
              </w:rPr>
            </w:pPr>
          </w:p>
        </w:tc>
        <w:tc>
          <w:tcPr>
            <w:tcW w:w="40" w:type="dxa"/>
            <w:vAlign w:val="bottom"/>
            <w:tcBorders>
              <w:top w:val="single" w:sz="8" w:color="auto"/>
            </w:tcBorders>
            <w:shd w:val="clear" w:color="auto" w:fill="DCE2EF"/>
          </w:tcPr>
          <w:p>
            <w:pPr>
              <w:spacing w:after="0"/>
              <w:rPr>
                <w:sz w:val="9"/>
                <w:szCs w:val="9"/>
                <w:color w:val="auto"/>
              </w:rPr>
            </w:pPr>
          </w:p>
        </w:tc>
        <w:tc>
          <w:tcPr>
            <w:tcW w:w="60" w:type="dxa"/>
            <w:vAlign w:val="bottom"/>
            <w:tcBorders>
              <w:top w:val="single" w:sz="8" w:color="auto"/>
            </w:tcBorders>
            <w:shd w:val="clear" w:color="auto" w:fill="DCE2EF"/>
          </w:tcPr>
          <w:p>
            <w:pPr>
              <w:spacing w:after="0"/>
              <w:rPr>
                <w:sz w:val="9"/>
                <w:szCs w:val="9"/>
                <w:color w:val="auto"/>
              </w:rPr>
            </w:pPr>
          </w:p>
        </w:tc>
        <w:tc>
          <w:tcPr>
            <w:tcW w:w="20" w:type="dxa"/>
            <w:vAlign w:val="bottom"/>
            <w:tcBorders>
              <w:top w:val="single" w:sz="8" w:color="auto"/>
            </w:tcBorders>
            <w:shd w:val="clear" w:color="auto" w:fill="DCE2EF"/>
          </w:tcPr>
          <w:p>
            <w:pPr>
              <w:spacing w:after="0"/>
              <w:rPr>
                <w:sz w:val="9"/>
                <w:szCs w:val="9"/>
                <w:color w:val="auto"/>
              </w:rPr>
            </w:pPr>
          </w:p>
        </w:tc>
        <w:tc>
          <w:tcPr>
            <w:tcW w:w="100" w:type="dxa"/>
            <w:vAlign w:val="bottom"/>
            <w:tcBorders>
              <w:top w:val="single" w:sz="8" w:color="auto"/>
            </w:tcBorders>
            <w:shd w:val="clear" w:color="auto" w:fill="DCE2EF"/>
          </w:tcPr>
          <w:p>
            <w:pPr>
              <w:spacing w:after="0"/>
              <w:rPr>
                <w:sz w:val="9"/>
                <w:szCs w:val="9"/>
                <w:color w:val="auto"/>
              </w:rPr>
            </w:pPr>
          </w:p>
        </w:tc>
        <w:tc>
          <w:tcPr>
            <w:tcW w:w="680" w:type="dxa"/>
            <w:vAlign w:val="bottom"/>
            <w:tcBorders>
              <w:top w:val="single" w:sz="8" w:color="auto"/>
            </w:tcBorders>
            <w:shd w:val="clear" w:color="auto" w:fill="DCE2EF"/>
          </w:tcPr>
          <w:p>
            <w:pPr>
              <w:spacing w:after="0"/>
              <w:rPr>
                <w:sz w:val="9"/>
                <w:szCs w:val="9"/>
                <w:color w:val="auto"/>
              </w:rPr>
            </w:pPr>
          </w:p>
        </w:tc>
        <w:tc>
          <w:tcPr>
            <w:tcW w:w="40" w:type="dxa"/>
            <w:vAlign w:val="bottom"/>
            <w:tcBorders>
              <w:top w:val="single" w:sz="8" w:color="auto"/>
            </w:tcBorders>
            <w:shd w:val="clear" w:color="auto" w:fill="DCE2EF"/>
          </w:tcPr>
          <w:p>
            <w:pPr>
              <w:spacing w:after="0"/>
              <w:rPr>
                <w:sz w:val="9"/>
                <w:szCs w:val="9"/>
                <w:color w:val="auto"/>
              </w:rPr>
            </w:pPr>
          </w:p>
        </w:tc>
        <w:tc>
          <w:tcPr>
            <w:tcW w:w="60" w:type="dxa"/>
            <w:vAlign w:val="bottom"/>
            <w:tcBorders>
              <w:top w:val="single" w:sz="8" w:color="auto"/>
            </w:tcBorders>
            <w:shd w:val="clear" w:color="auto" w:fill="DCE2EF"/>
          </w:tcPr>
          <w:p>
            <w:pPr>
              <w:spacing w:after="0"/>
              <w:rPr>
                <w:sz w:val="9"/>
                <w:szCs w:val="9"/>
                <w:color w:val="auto"/>
              </w:rPr>
            </w:pPr>
          </w:p>
        </w:tc>
        <w:tc>
          <w:tcPr>
            <w:tcW w:w="20" w:type="dxa"/>
            <w:vAlign w:val="bottom"/>
            <w:tcBorders>
              <w:top w:val="single" w:sz="8" w:color="auto"/>
            </w:tcBorders>
            <w:shd w:val="clear" w:color="auto" w:fill="DCE2EF"/>
          </w:tcPr>
          <w:p>
            <w:pPr>
              <w:spacing w:after="0"/>
              <w:rPr>
                <w:sz w:val="9"/>
                <w:szCs w:val="9"/>
                <w:color w:val="auto"/>
              </w:rPr>
            </w:pPr>
          </w:p>
        </w:tc>
        <w:tc>
          <w:tcPr>
            <w:tcW w:w="140" w:type="dxa"/>
            <w:vAlign w:val="bottom"/>
            <w:tcBorders>
              <w:top w:val="single" w:sz="8" w:color="auto"/>
            </w:tcBorders>
            <w:shd w:val="clear" w:color="auto" w:fill="DCE2EF"/>
          </w:tcPr>
          <w:p>
            <w:pPr>
              <w:spacing w:after="0"/>
              <w:rPr>
                <w:sz w:val="9"/>
                <w:szCs w:val="9"/>
                <w:color w:val="auto"/>
              </w:rPr>
            </w:pPr>
          </w:p>
        </w:tc>
        <w:tc>
          <w:tcPr>
            <w:tcW w:w="560" w:type="dxa"/>
            <w:vAlign w:val="bottom"/>
            <w:tcBorders>
              <w:top w:val="single" w:sz="8" w:color="auto"/>
            </w:tcBorders>
            <w:shd w:val="clear" w:color="auto" w:fill="DCE2EF"/>
          </w:tcPr>
          <w:p>
            <w:pPr>
              <w:spacing w:after="0"/>
              <w:rPr>
                <w:sz w:val="9"/>
                <w:szCs w:val="9"/>
                <w:color w:val="auto"/>
              </w:rPr>
            </w:pPr>
          </w:p>
        </w:tc>
        <w:tc>
          <w:tcPr>
            <w:tcW w:w="20" w:type="dxa"/>
            <w:vAlign w:val="bottom"/>
            <w:tcBorders>
              <w:top w:val="single" w:sz="8" w:color="DCE2EF"/>
            </w:tcBorders>
            <w:shd w:val="clear" w:color="auto" w:fill="DCE2EF"/>
          </w:tcPr>
          <w:p>
            <w:pPr>
              <w:spacing w:after="0"/>
              <w:rPr>
                <w:sz w:val="9"/>
                <w:szCs w:val="9"/>
                <w:color w:val="auto"/>
              </w:rPr>
            </w:pPr>
          </w:p>
        </w:tc>
        <w:tc>
          <w:tcPr>
            <w:tcW w:w="60" w:type="dxa"/>
            <w:vAlign w:val="bottom"/>
            <w:tcBorders>
              <w:top w:val="single" w:sz="8" w:color="DCE2EF"/>
            </w:tcBorders>
            <w:shd w:val="clear" w:color="auto" w:fill="DCE2EF"/>
          </w:tcPr>
          <w:p>
            <w:pPr>
              <w:spacing w:after="0"/>
              <w:rPr>
                <w:sz w:val="9"/>
                <w:szCs w:val="9"/>
                <w:color w:val="auto"/>
              </w:rPr>
            </w:pPr>
          </w:p>
        </w:tc>
        <w:tc>
          <w:tcPr>
            <w:tcW w:w="40" w:type="dxa"/>
            <w:vAlign w:val="bottom"/>
            <w:tcBorders>
              <w:top w:val="single" w:sz="8" w:color="auto"/>
            </w:tcBorders>
            <w:shd w:val="clear" w:color="auto" w:fill="DCE2EF"/>
          </w:tcPr>
          <w:p>
            <w:pPr>
              <w:spacing w:after="0"/>
              <w:rPr>
                <w:sz w:val="9"/>
                <w:szCs w:val="9"/>
                <w:color w:val="auto"/>
              </w:rPr>
            </w:pPr>
          </w:p>
        </w:tc>
        <w:tc>
          <w:tcPr>
            <w:tcW w:w="140" w:type="dxa"/>
            <w:vAlign w:val="bottom"/>
            <w:tcBorders>
              <w:top w:val="single" w:sz="8" w:color="auto"/>
            </w:tcBorders>
            <w:shd w:val="clear" w:color="auto" w:fill="DCE2EF"/>
          </w:tcPr>
          <w:p>
            <w:pPr>
              <w:spacing w:after="0"/>
              <w:rPr>
                <w:sz w:val="9"/>
                <w:szCs w:val="9"/>
                <w:color w:val="auto"/>
              </w:rPr>
            </w:pPr>
          </w:p>
        </w:tc>
        <w:tc>
          <w:tcPr>
            <w:tcW w:w="560" w:type="dxa"/>
            <w:vAlign w:val="bottom"/>
            <w:tcBorders>
              <w:top w:val="single" w:sz="8" w:color="auto"/>
            </w:tcBorders>
            <w:shd w:val="clear" w:color="auto" w:fill="DCE2EF"/>
          </w:tcPr>
          <w:p>
            <w:pPr>
              <w:spacing w:after="0"/>
              <w:rPr>
                <w:sz w:val="9"/>
                <w:szCs w:val="9"/>
                <w:color w:val="auto"/>
              </w:rPr>
            </w:pPr>
          </w:p>
        </w:tc>
        <w:tc>
          <w:tcPr>
            <w:tcW w:w="80" w:type="dxa"/>
            <w:vAlign w:val="bottom"/>
            <w:tcBorders>
              <w:top w:val="single" w:sz="8" w:color="auto"/>
            </w:tcBorders>
            <w:shd w:val="clear" w:color="auto" w:fill="DCE2EF"/>
          </w:tcPr>
          <w:p>
            <w:pPr>
              <w:spacing w:after="0"/>
              <w:rPr>
                <w:sz w:val="9"/>
                <w:szCs w:val="9"/>
                <w:color w:val="auto"/>
              </w:rPr>
            </w:pPr>
          </w:p>
        </w:tc>
        <w:tc>
          <w:tcPr>
            <w:tcW w:w="20" w:type="dxa"/>
            <w:vAlign w:val="bottom"/>
            <w:tcBorders>
              <w:top w:val="single" w:sz="8" w:color="auto"/>
            </w:tcBorders>
            <w:shd w:val="clear" w:color="auto" w:fill="DCE2EF"/>
          </w:tcPr>
          <w:p>
            <w:pPr>
              <w:spacing w:after="0"/>
              <w:rPr>
                <w:sz w:val="9"/>
                <w:szCs w:val="9"/>
                <w:color w:val="auto"/>
              </w:rPr>
            </w:pPr>
          </w:p>
        </w:tc>
        <w:tc>
          <w:tcPr>
            <w:tcW w:w="120" w:type="dxa"/>
            <w:vAlign w:val="bottom"/>
            <w:tcBorders>
              <w:top w:val="single" w:sz="8" w:color="auto"/>
            </w:tcBorders>
            <w:shd w:val="clear" w:color="auto" w:fill="DCE2EF"/>
          </w:tcPr>
          <w:p>
            <w:pPr>
              <w:spacing w:after="0"/>
              <w:rPr>
                <w:sz w:val="9"/>
                <w:szCs w:val="9"/>
                <w:color w:val="auto"/>
              </w:rPr>
            </w:pPr>
          </w:p>
        </w:tc>
        <w:tc>
          <w:tcPr>
            <w:tcW w:w="440" w:type="dxa"/>
            <w:vAlign w:val="bottom"/>
            <w:tcBorders>
              <w:top w:val="single" w:sz="8" w:color="auto"/>
            </w:tcBorders>
            <w:shd w:val="clear" w:color="auto" w:fill="DCE2EF"/>
          </w:tcPr>
          <w:p>
            <w:pPr>
              <w:spacing w:after="0"/>
              <w:rPr>
                <w:sz w:val="9"/>
                <w:szCs w:val="9"/>
                <w:color w:val="auto"/>
              </w:rPr>
            </w:pPr>
          </w:p>
        </w:tc>
        <w:tc>
          <w:tcPr>
            <w:tcW w:w="20" w:type="dxa"/>
            <w:vAlign w:val="bottom"/>
            <w:tcBorders>
              <w:top w:val="single" w:sz="8" w:color="auto"/>
            </w:tcBorders>
            <w:shd w:val="clear" w:color="auto" w:fill="DCE2EF"/>
          </w:tcPr>
          <w:p>
            <w:pPr>
              <w:spacing w:after="0"/>
              <w:rPr>
                <w:sz w:val="9"/>
                <w:szCs w:val="9"/>
                <w:color w:val="auto"/>
              </w:rPr>
            </w:pPr>
          </w:p>
        </w:tc>
        <w:tc>
          <w:tcPr>
            <w:tcW w:w="80" w:type="dxa"/>
            <w:vAlign w:val="bottom"/>
            <w:tcBorders>
              <w:top w:val="single" w:sz="8" w:color="auto"/>
            </w:tcBorders>
            <w:shd w:val="clear" w:color="auto" w:fill="DCE2EF"/>
          </w:tcPr>
          <w:p>
            <w:pPr>
              <w:spacing w:after="0"/>
              <w:rPr>
                <w:sz w:val="9"/>
                <w:szCs w:val="9"/>
                <w:color w:val="auto"/>
              </w:rPr>
            </w:pPr>
          </w:p>
        </w:tc>
        <w:tc>
          <w:tcPr>
            <w:tcW w:w="20" w:type="dxa"/>
            <w:vAlign w:val="bottom"/>
            <w:tcBorders>
              <w:top w:val="single" w:sz="8" w:color="auto"/>
            </w:tcBorders>
            <w:shd w:val="clear" w:color="auto" w:fill="DCE2EF"/>
          </w:tcPr>
          <w:p>
            <w:pPr>
              <w:spacing w:after="0"/>
              <w:rPr>
                <w:sz w:val="9"/>
                <w:szCs w:val="9"/>
                <w:color w:val="auto"/>
              </w:rPr>
            </w:pPr>
          </w:p>
        </w:tc>
        <w:tc>
          <w:tcPr>
            <w:tcW w:w="80" w:type="dxa"/>
            <w:vAlign w:val="bottom"/>
            <w:tcBorders>
              <w:top w:val="single" w:sz="8" w:color="auto"/>
            </w:tcBorders>
            <w:shd w:val="clear" w:color="auto" w:fill="DCE2EF"/>
          </w:tcPr>
          <w:p>
            <w:pPr>
              <w:spacing w:after="0"/>
              <w:rPr>
                <w:sz w:val="9"/>
                <w:szCs w:val="9"/>
                <w:color w:val="auto"/>
              </w:rPr>
            </w:pPr>
          </w:p>
        </w:tc>
        <w:tc>
          <w:tcPr>
            <w:tcW w:w="620" w:type="dxa"/>
            <w:vAlign w:val="bottom"/>
            <w:tcBorders>
              <w:top w:val="single" w:sz="8" w:color="auto"/>
            </w:tcBorders>
            <w:shd w:val="clear" w:color="auto" w:fill="DCE2EF"/>
          </w:tcPr>
          <w:p>
            <w:pPr>
              <w:spacing w:after="0"/>
              <w:rPr>
                <w:sz w:val="9"/>
                <w:szCs w:val="9"/>
                <w:color w:val="auto"/>
              </w:rPr>
            </w:pPr>
          </w:p>
        </w:tc>
        <w:tc>
          <w:tcPr>
            <w:tcW w:w="80" w:type="dxa"/>
            <w:vAlign w:val="bottom"/>
            <w:tcBorders>
              <w:top w:val="single" w:sz="8" w:color="DCE2EF"/>
            </w:tcBorders>
            <w:shd w:val="clear" w:color="auto" w:fill="DCE2EF"/>
          </w:tcPr>
          <w:p>
            <w:pPr>
              <w:spacing w:after="0"/>
              <w:rPr>
                <w:sz w:val="9"/>
                <w:szCs w:val="9"/>
                <w:color w:val="auto"/>
              </w:rPr>
            </w:pPr>
          </w:p>
        </w:tc>
        <w:tc>
          <w:tcPr>
            <w:tcW w:w="120" w:type="dxa"/>
            <w:vAlign w:val="bottom"/>
            <w:tcBorders>
              <w:top w:val="single" w:sz="8" w:color="auto"/>
            </w:tcBorders>
            <w:shd w:val="clear" w:color="auto" w:fill="DCE2EF"/>
          </w:tcPr>
          <w:p>
            <w:pPr>
              <w:spacing w:after="0"/>
              <w:rPr>
                <w:sz w:val="9"/>
                <w:szCs w:val="9"/>
                <w:color w:val="auto"/>
              </w:rPr>
            </w:pPr>
          </w:p>
        </w:tc>
        <w:tc>
          <w:tcPr>
            <w:tcW w:w="760" w:type="dxa"/>
            <w:vAlign w:val="bottom"/>
            <w:tcBorders>
              <w:top w:val="single" w:sz="8" w:color="auto"/>
            </w:tcBorders>
            <w:shd w:val="clear" w:color="auto" w:fill="DCE2EF"/>
          </w:tcPr>
          <w:p>
            <w:pPr>
              <w:spacing w:after="0"/>
              <w:rPr>
                <w:sz w:val="9"/>
                <w:szCs w:val="9"/>
                <w:color w:val="auto"/>
              </w:rPr>
            </w:pPr>
          </w:p>
        </w:tc>
        <w:tc>
          <w:tcPr>
            <w:tcW w:w="100" w:type="dxa"/>
            <w:vAlign w:val="bottom"/>
            <w:tcBorders>
              <w:top w:val="single" w:sz="8" w:color="auto"/>
            </w:tcBorders>
            <w:shd w:val="clear" w:color="auto" w:fill="DCE2EF"/>
          </w:tcPr>
          <w:p>
            <w:pPr>
              <w:spacing w:after="0"/>
              <w:rPr>
                <w:sz w:val="9"/>
                <w:szCs w:val="9"/>
                <w:color w:val="auto"/>
              </w:rPr>
            </w:pPr>
          </w:p>
        </w:tc>
        <w:tc>
          <w:tcPr>
            <w:tcW w:w="120" w:type="dxa"/>
            <w:vAlign w:val="bottom"/>
            <w:tcBorders>
              <w:top w:val="single" w:sz="8" w:color="auto"/>
            </w:tcBorders>
            <w:shd w:val="clear" w:color="auto" w:fill="DCE2EF"/>
          </w:tcPr>
          <w:p>
            <w:pPr>
              <w:spacing w:after="0"/>
              <w:rPr>
                <w:sz w:val="9"/>
                <w:szCs w:val="9"/>
                <w:color w:val="auto"/>
              </w:rPr>
            </w:pPr>
          </w:p>
        </w:tc>
        <w:tc>
          <w:tcPr>
            <w:tcW w:w="760" w:type="dxa"/>
            <w:vAlign w:val="bottom"/>
            <w:tcBorders>
              <w:top w:val="single" w:sz="8" w:color="auto"/>
            </w:tcBorders>
            <w:shd w:val="clear" w:color="auto" w:fill="DCE2EF"/>
          </w:tcPr>
          <w:p>
            <w:pPr>
              <w:spacing w:after="0"/>
              <w:rPr>
                <w:sz w:val="9"/>
                <w:szCs w:val="9"/>
                <w:color w:val="auto"/>
              </w:rPr>
            </w:pPr>
          </w:p>
        </w:tc>
        <w:tc>
          <w:tcPr>
            <w:tcW w:w="100" w:type="dxa"/>
            <w:vAlign w:val="bottom"/>
            <w:tcBorders>
              <w:top w:val="single" w:sz="8" w:color="auto"/>
            </w:tcBorders>
            <w:shd w:val="clear" w:color="auto" w:fill="DCE2EF"/>
          </w:tcPr>
          <w:p>
            <w:pPr>
              <w:spacing w:after="0"/>
              <w:rPr>
                <w:sz w:val="9"/>
                <w:szCs w:val="9"/>
                <w:color w:val="auto"/>
              </w:rPr>
            </w:pPr>
          </w:p>
        </w:tc>
        <w:tc>
          <w:tcPr>
            <w:tcW w:w="140" w:type="dxa"/>
            <w:vAlign w:val="bottom"/>
            <w:tcBorders>
              <w:top w:val="single" w:sz="8" w:color="auto"/>
            </w:tcBorders>
            <w:shd w:val="clear" w:color="auto" w:fill="DCE2EF"/>
          </w:tcPr>
          <w:p>
            <w:pPr>
              <w:spacing w:after="0"/>
              <w:rPr>
                <w:sz w:val="9"/>
                <w:szCs w:val="9"/>
                <w:color w:val="auto"/>
              </w:rPr>
            </w:pPr>
          </w:p>
        </w:tc>
        <w:tc>
          <w:tcPr>
            <w:tcW w:w="580" w:type="dxa"/>
            <w:vAlign w:val="bottom"/>
            <w:tcBorders>
              <w:top w:val="single" w:sz="8" w:color="auto"/>
            </w:tcBorders>
            <w:shd w:val="clear" w:color="auto" w:fill="DCE2EF"/>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shd w:val="clear" w:color="auto" w:fill="DCE2EF"/>
          </w:tcPr>
          <w:p>
            <w:pPr>
              <w:spacing w:after="0"/>
              <w:rPr>
                <w:sz w:val="12"/>
                <w:szCs w:val="12"/>
                <w:color w:val="auto"/>
              </w:rPr>
            </w:pPr>
          </w:p>
        </w:tc>
        <w:tc>
          <w:tcPr>
            <w:tcW w:w="1420" w:type="dxa"/>
            <w:vAlign w:val="bottom"/>
            <w:gridSpan w:val="2"/>
            <w:shd w:val="clear" w:color="auto" w:fill="DCE2EF"/>
          </w:tcPr>
          <w:p>
            <w:pPr>
              <w:ind w:left="120"/>
              <w:spacing w:after="0" w:line="145" w:lineRule="exact"/>
              <w:rPr>
                <w:sz w:val="20"/>
                <w:szCs w:val="20"/>
                <w:color w:val="auto"/>
              </w:rPr>
            </w:pPr>
            <w:r>
              <w:rPr>
                <w:rFonts w:ascii="Arial" w:cs="Arial" w:eastAsia="Arial" w:hAnsi="Arial"/>
                <w:sz w:val="14"/>
                <w:szCs w:val="14"/>
                <w:b w:val="1"/>
                <w:bCs w:val="1"/>
                <w:color w:val="auto"/>
              </w:rPr>
              <w:t>Infrastructure</w:t>
            </w:r>
          </w:p>
        </w:tc>
        <w:tc>
          <w:tcPr>
            <w:tcW w:w="14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205.7</w:t>
            </w:r>
          </w:p>
        </w:tc>
        <w:tc>
          <w:tcPr>
            <w:tcW w:w="40" w:type="dxa"/>
            <w:vAlign w:val="bottom"/>
            <w:shd w:val="clear" w:color="auto" w:fill="DCE2EF"/>
          </w:tcPr>
          <w:p>
            <w:pPr>
              <w:spacing w:after="0"/>
              <w:rPr>
                <w:sz w:val="12"/>
                <w:szCs w:val="12"/>
                <w:color w:val="auto"/>
              </w:rPr>
            </w:pPr>
          </w:p>
        </w:tc>
        <w:tc>
          <w:tcPr>
            <w:tcW w:w="200" w:type="dxa"/>
            <w:vAlign w:val="bottom"/>
            <w:gridSpan w:val="3"/>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38.3</w:t>
            </w:r>
          </w:p>
        </w:tc>
        <w:tc>
          <w:tcPr>
            <w:tcW w:w="40" w:type="dxa"/>
            <w:vAlign w:val="bottom"/>
            <w:shd w:val="clear" w:color="auto" w:fill="DCE2EF"/>
          </w:tcPr>
          <w:p>
            <w:pPr>
              <w:spacing w:after="0"/>
              <w:rPr>
                <w:sz w:val="12"/>
                <w:szCs w:val="12"/>
                <w:color w:val="auto"/>
              </w:rPr>
            </w:pPr>
          </w:p>
        </w:tc>
        <w:tc>
          <w:tcPr>
            <w:tcW w:w="200" w:type="dxa"/>
            <w:vAlign w:val="bottom"/>
            <w:gridSpan w:val="3"/>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11.1</w:t>
            </w:r>
          </w:p>
        </w:tc>
        <w:tc>
          <w:tcPr>
            <w:tcW w:w="40" w:type="dxa"/>
            <w:vAlign w:val="bottom"/>
            <w:shd w:val="clear" w:color="auto" w:fill="DCE2EF"/>
          </w:tcPr>
          <w:p>
            <w:pPr>
              <w:spacing w:after="0"/>
              <w:rPr>
                <w:sz w:val="12"/>
                <w:szCs w:val="12"/>
                <w:color w:val="auto"/>
              </w:rPr>
            </w:pPr>
          </w:p>
        </w:tc>
        <w:tc>
          <w:tcPr>
            <w:tcW w:w="180" w:type="dxa"/>
            <w:vAlign w:val="bottom"/>
            <w:gridSpan w:val="3"/>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25.8</w:t>
            </w:r>
          </w:p>
        </w:tc>
        <w:tc>
          <w:tcPr>
            <w:tcW w:w="40" w:type="dxa"/>
            <w:vAlign w:val="bottom"/>
            <w:shd w:val="clear" w:color="auto" w:fill="DCE2EF"/>
          </w:tcPr>
          <w:p>
            <w:pPr>
              <w:spacing w:after="0"/>
              <w:rPr>
                <w:sz w:val="12"/>
                <w:szCs w:val="12"/>
                <w:color w:val="auto"/>
              </w:rPr>
            </w:pPr>
          </w:p>
        </w:tc>
        <w:tc>
          <w:tcPr>
            <w:tcW w:w="180" w:type="dxa"/>
            <w:vAlign w:val="bottom"/>
            <w:gridSpan w:val="3"/>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176.2</w:t>
            </w:r>
          </w:p>
        </w:tc>
        <w:tc>
          <w:tcPr>
            <w:tcW w:w="40" w:type="dxa"/>
            <w:vAlign w:val="bottom"/>
            <w:shd w:val="clear" w:color="auto" w:fill="DCE2EF"/>
          </w:tcPr>
          <w:p>
            <w:pPr>
              <w:spacing w:after="0"/>
              <w:rPr>
                <w:sz w:val="12"/>
                <w:szCs w:val="12"/>
                <w:color w:val="auto"/>
              </w:rPr>
            </w:pPr>
          </w:p>
        </w:tc>
        <w:tc>
          <w:tcPr>
            <w:tcW w:w="220" w:type="dxa"/>
            <w:vAlign w:val="bottom"/>
            <w:gridSpan w:val="3"/>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457.0</w:t>
            </w:r>
          </w:p>
        </w:tc>
        <w:tc>
          <w:tcPr>
            <w:tcW w:w="20" w:type="dxa"/>
            <w:vAlign w:val="bottom"/>
            <w:shd w:val="clear" w:color="auto" w:fill="DCE2EF"/>
          </w:tcPr>
          <w:p>
            <w:pPr>
              <w:spacing w:after="0"/>
              <w:rPr>
                <w:sz w:val="12"/>
                <w:szCs w:val="12"/>
                <w:color w:val="auto"/>
              </w:rPr>
            </w:pPr>
          </w:p>
        </w:tc>
        <w:tc>
          <w:tcPr>
            <w:tcW w:w="240" w:type="dxa"/>
            <w:vAlign w:val="bottom"/>
            <w:gridSpan w:val="3"/>
            <w:vMerge w:val="restart"/>
            <w:shd w:val="clear" w:color="auto" w:fill="DCE2EF"/>
          </w:tcPr>
          <w:p>
            <w:pPr>
              <w:jc w:val="right"/>
              <w:ind w:right="12"/>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442.3</w:t>
            </w:r>
          </w:p>
        </w:tc>
        <w:tc>
          <w:tcPr>
            <w:tcW w:w="80" w:type="dxa"/>
            <w:vAlign w:val="bottom"/>
            <w:shd w:val="clear" w:color="auto" w:fill="DCE2EF"/>
          </w:tcPr>
          <w:p>
            <w:pPr>
              <w:spacing w:after="0"/>
              <w:rPr>
                <w:sz w:val="12"/>
                <w:szCs w:val="12"/>
                <w:color w:val="auto"/>
              </w:rPr>
            </w:pPr>
          </w:p>
        </w:tc>
        <w:tc>
          <w:tcPr>
            <w:tcW w:w="20" w:type="dxa"/>
            <w:vAlign w:val="bottom"/>
            <w:shd w:val="clear" w:color="auto" w:fill="DCE2EF"/>
          </w:tcPr>
          <w:p>
            <w:pPr>
              <w:spacing w:after="0"/>
              <w:rPr>
                <w:sz w:val="12"/>
                <w:szCs w:val="12"/>
                <w:color w:val="auto"/>
              </w:rPr>
            </w:pPr>
          </w:p>
        </w:tc>
        <w:tc>
          <w:tcPr>
            <w:tcW w:w="12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w w:val="76"/>
              </w:rPr>
              <w:t>$</w:t>
            </w:r>
          </w:p>
        </w:tc>
        <w:tc>
          <w:tcPr>
            <w:tcW w:w="44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77.3</w:t>
            </w:r>
          </w:p>
        </w:tc>
        <w:tc>
          <w:tcPr>
            <w:tcW w:w="20" w:type="dxa"/>
            <w:vAlign w:val="bottom"/>
            <w:shd w:val="clear" w:color="auto" w:fill="DCE2EF"/>
          </w:tcPr>
          <w:p>
            <w:pPr>
              <w:spacing w:after="0"/>
              <w:rPr>
                <w:sz w:val="12"/>
                <w:szCs w:val="12"/>
                <w:color w:val="auto"/>
              </w:rPr>
            </w:pPr>
          </w:p>
        </w:tc>
        <w:tc>
          <w:tcPr>
            <w:tcW w:w="180" w:type="dxa"/>
            <w:vAlign w:val="bottom"/>
            <w:gridSpan w:val="3"/>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DCE2EF"/>
          </w:tcPr>
          <w:p>
            <w:pPr>
              <w:jc w:val="right"/>
              <w:ind w:right="13"/>
              <w:spacing w:after="0"/>
              <w:rPr>
                <w:sz w:val="20"/>
                <w:szCs w:val="20"/>
                <w:color w:val="auto"/>
              </w:rPr>
            </w:pPr>
            <w:r>
              <w:rPr>
                <w:rFonts w:ascii="Arial" w:cs="Arial" w:eastAsia="Arial" w:hAnsi="Arial"/>
                <w:sz w:val="14"/>
                <w:szCs w:val="14"/>
                <w:b w:val="1"/>
                <w:bCs w:val="1"/>
                <w:color w:val="auto"/>
              </w:rPr>
              <w:t>24.1</w:t>
            </w:r>
          </w:p>
        </w:tc>
        <w:tc>
          <w:tcPr>
            <w:tcW w:w="80" w:type="dxa"/>
            <w:vAlign w:val="bottom"/>
            <w:shd w:val="clear" w:color="auto" w:fill="DCE2EF"/>
          </w:tcPr>
          <w:p>
            <w:pPr>
              <w:spacing w:after="0"/>
              <w:rPr>
                <w:sz w:val="12"/>
                <w:szCs w:val="12"/>
                <w:color w:val="auto"/>
              </w:rPr>
            </w:pPr>
          </w:p>
        </w:tc>
        <w:tc>
          <w:tcPr>
            <w:tcW w:w="12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47.8</w:t>
            </w:r>
          </w:p>
        </w:tc>
        <w:tc>
          <w:tcPr>
            <w:tcW w:w="100" w:type="dxa"/>
            <w:vAlign w:val="bottom"/>
            <w:shd w:val="clear" w:color="auto" w:fill="DCE2EF"/>
          </w:tcPr>
          <w:p>
            <w:pPr>
              <w:spacing w:after="0"/>
              <w:rPr>
                <w:sz w:val="12"/>
                <w:szCs w:val="12"/>
                <w:color w:val="auto"/>
              </w:rPr>
            </w:pPr>
          </w:p>
        </w:tc>
        <w:tc>
          <w:tcPr>
            <w:tcW w:w="12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342.1</w:t>
            </w:r>
          </w:p>
        </w:tc>
        <w:tc>
          <w:tcPr>
            <w:tcW w:w="100" w:type="dxa"/>
            <w:vAlign w:val="bottom"/>
            <w:shd w:val="clear" w:color="auto" w:fill="DCE2EF"/>
          </w:tcPr>
          <w:p>
            <w:pPr>
              <w:spacing w:after="0"/>
              <w:rPr>
                <w:sz w:val="12"/>
                <w:szCs w:val="12"/>
                <w:color w:val="auto"/>
              </w:rPr>
            </w:pPr>
          </w:p>
        </w:tc>
        <w:tc>
          <w:tcPr>
            <w:tcW w:w="14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vMerge w:val="restart"/>
            <w:shd w:val="clear" w:color="auto" w:fill="DCE2EF"/>
          </w:tcPr>
          <w:p>
            <w:pPr>
              <w:jc w:val="right"/>
              <w:spacing w:after="0"/>
              <w:rPr>
                <w:sz w:val="20"/>
                <w:szCs w:val="20"/>
                <w:color w:val="auto"/>
              </w:rPr>
            </w:pPr>
            <w:r>
              <w:rPr>
                <w:rFonts w:ascii="Arial" w:cs="Arial" w:eastAsia="Arial" w:hAnsi="Arial"/>
                <w:sz w:val="14"/>
                <w:szCs w:val="14"/>
                <w:b w:val="1"/>
                <w:bCs w:val="1"/>
                <w:color w:val="auto"/>
              </w:rPr>
              <w:t>933.6</w:t>
            </w:r>
          </w:p>
        </w:tc>
        <w:tc>
          <w:tcPr>
            <w:tcW w:w="0" w:type="dxa"/>
            <w:vAlign w:val="bottom"/>
          </w:tcPr>
          <w:p>
            <w:pPr>
              <w:spacing w:after="0"/>
              <w:rPr>
                <w:sz w:val="1"/>
                <w:szCs w:val="1"/>
                <w:color w:val="auto"/>
              </w:rPr>
            </w:pPr>
          </w:p>
        </w:tc>
      </w:tr>
      <w:tr>
        <w:trPr>
          <w:trHeight w:val="177"/>
        </w:trPr>
        <w:tc>
          <w:tcPr>
            <w:tcW w:w="20" w:type="dxa"/>
            <w:vAlign w:val="bottom"/>
            <w:shd w:val="clear" w:color="auto" w:fill="DCE2EF"/>
          </w:tcPr>
          <w:p>
            <w:pPr>
              <w:spacing w:after="0"/>
              <w:rPr>
                <w:sz w:val="15"/>
                <w:szCs w:val="15"/>
                <w:color w:val="auto"/>
              </w:rPr>
            </w:pPr>
          </w:p>
        </w:tc>
        <w:tc>
          <w:tcPr>
            <w:tcW w:w="1420" w:type="dxa"/>
            <w:vAlign w:val="bottom"/>
            <w:gridSpan w:val="2"/>
            <w:shd w:val="clear" w:color="auto" w:fill="DCE2EF"/>
          </w:tcPr>
          <w:p>
            <w:pPr>
              <w:ind w:left="120"/>
              <w:spacing w:after="0"/>
              <w:rPr>
                <w:sz w:val="20"/>
                <w:szCs w:val="20"/>
                <w:color w:val="auto"/>
              </w:rPr>
            </w:pPr>
            <w:r>
              <w:rPr>
                <w:rFonts w:ascii="Arial" w:cs="Arial" w:eastAsia="Arial" w:hAnsi="Arial"/>
                <w:sz w:val="14"/>
                <w:szCs w:val="14"/>
                <w:b w:val="1"/>
                <w:bCs w:val="1"/>
                <w:color w:val="auto"/>
              </w:rPr>
              <w:t>Solutions</w:t>
            </w:r>
          </w:p>
        </w:tc>
        <w:tc>
          <w:tcPr>
            <w:tcW w:w="140" w:type="dxa"/>
            <w:vAlign w:val="bottom"/>
            <w:vMerge w:val="continue"/>
            <w:shd w:val="clear" w:color="auto" w:fill="DCE2EF"/>
          </w:tcPr>
          <w:p>
            <w:pPr>
              <w:spacing w:after="0"/>
              <w:rPr>
                <w:sz w:val="15"/>
                <w:szCs w:val="15"/>
                <w:color w:val="auto"/>
              </w:rPr>
            </w:pPr>
          </w:p>
        </w:tc>
        <w:tc>
          <w:tcPr>
            <w:tcW w:w="520" w:type="dxa"/>
            <w:vAlign w:val="bottom"/>
            <w:vMerge w:val="continue"/>
            <w:shd w:val="clear" w:color="auto" w:fill="DCE2EF"/>
          </w:tcPr>
          <w:p>
            <w:pPr>
              <w:spacing w:after="0"/>
              <w:rPr>
                <w:sz w:val="15"/>
                <w:szCs w:val="15"/>
                <w:color w:val="auto"/>
              </w:rPr>
            </w:pPr>
          </w:p>
        </w:tc>
        <w:tc>
          <w:tcPr>
            <w:tcW w:w="40" w:type="dxa"/>
            <w:vAlign w:val="bottom"/>
            <w:shd w:val="clear" w:color="auto" w:fill="DCE2EF"/>
          </w:tcPr>
          <w:p>
            <w:pPr>
              <w:spacing w:after="0"/>
              <w:rPr>
                <w:sz w:val="15"/>
                <w:szCs w:val="15"/>
                <w:color w:val="auto"/>
              </w:rPr>
            </w:pPr>
          </w:p>
        </w:tc>
        <w:tc>
          <w:tcPr>
            <w:tcW w:w="200" w:type="dxa"/>
            <w:vAlign w:val="bottom"/>
            <w:gridSpan w:val="3"/>
            <w:vMerge w:val="continue"/>
            <w:shd w:val="clear" w:color="auto" w:fill="DCE2EF"/>
          </w:tcPr>
          <w:p>
            <w:pPr>
              <w:spacing w:after="0"/>
              <w:rPr>
                <w:sz w:val="15"/>
                <w:szCs w:val="15"/>
                <w:color w:val="auto"/>
              </w:rPr>
            </w:pPr>
          </w:p>
        </w:tc>
        <w:tc>
          <w:tcPr>
            <w:tcW w:w="420" w:type="dxa"/>
            <w:vAlign w:val="bottom"/>
            <w:vMerge w:val="continue"/>
            <w:shd w:val="clear" w:color="auto" w:fill="DCE2EF"/>
          </w:tcPr>
          <w:p>
            <w:pPr>
              <w:spacing w:after="0"/>
              <w:rPr>
                <w:sz w:val="15"/>
                <w:szCs w:val="15"/>
                <w:color w:val="auto"/>
              </w:rPr>
            </w:pPr>
          </w:p>
        </w:tc>
        <w:tc>
          <w:tcPr>
            <w:tcW w:w="40" w:type="dxa"/>
            <w:vAlign w:val="bottom"/>
            <w:shd w:val="clear" w:color="auto" w:fill="DCE2EF"/>
          </w:tcPr>
          <w:p>
            <w:pPr>
              <w:spacing w:after="0"/>
              <w:rPr>
                <w:sz w:val="15"/>
                <w:szCs w:val="15"/>
                <w:color w:val="auto"/>
              </w:rPr>
            </w:pPr>
          </w:p>
        </w:tc>
        <w:tc>
          <w:tcPr>
            <w:tcW w:w="200" w:type="dxa"/>
            <w:vAlign w:val="bottom"/>
            <w:gridSpan w:val="3"/>
            <w:vMerge w:val="continue"/>
            <w:shd w:val="clear" w:color="auto" w:fill="DCE2EF"/>
          </w:tcPr>
          <w:p>
            <w:pPr>
              <w:spacing w:after="0"/>
              <w:rPr>
                <w:sz w:val="15"/>
                <w:szCs w:val="15"/>
                <w:color w:val="auto"/>
              </w:rPr>
            </w:pPr>
          </w:p>
        </w:tc>
        <w:tc>
          <w:tcPr>
            <w:tcW w:w="560" w:type="dxa"/>
            <w:vAlign w:val="bottom"/>
            <w:vMerge w:val="continue"/>
            <w:shd w:val="clear" w:color="auto" w:fill="DCE2EF"/>
          </w:tcPr>
          <w:p>
            <w:pPr>
              <w:spacing w:after="0"/>
              <w:rPr>
                <w:sz w:val="15"/>
                <w:szCs w:val="15"/>
                <w:color w:val="auto"/>
              </w:rPr>
            </w:pPr>
          </w:p>
        </w:tc>
        <w:tc>
          <w:tcPr>
            <w:tcW w:w="40" w:type="dxa"/>
            <w:vAlign w:val="bottom"/>
            <w:shd w:val="clear" w:color="auto" w:fill="DCE2EF"/>
          </w:tcPr>
          <w:p>
            <w:pPr>
              <w:spacing w:after="0"/>
              <w:rPr>
                <w:sz w:val="15"/>
                <w:szCs w:val="15"/>
                <w:color w:val="auto"/>
              </w:rPr>
            </w:pPr>
          </w:p>
        </w:tc>
        <w:tc>
          <w:tcPr>
            <w:tcW w:w="180" w:type="dxa"/>
            <w:vAlign w:val="bottom"/>
            <w:gridSpan w:val="3"/>
            <w:vMerge w:val="continue"/>
            <w:shd w:val="clear" w:color="auto" w:fill="DCE2EF"/>
          </w:tcPr>
          <w:p>
            <w:pPr>
              <w:spacing w:after="0"/>
              <w:rPr>
                <w:sz w:val="15"/>
                <w:szCs w:val="15"/>
                <w:color w:val="auto"/>
              </w:rPr>
            </w:pPr>
          </w:p>
        </w:tc>
        <w:tc>
          <w:tcPr>
            <w:tcW w:w="680" w:type="dxa"/>
            <w:vAlign w:val="bottom"/>
            <w:vMerge w:val="continue"/>
            <w:shd w:val="clear" w:color="auto" w:fill="DCE2EF"/>
          </w:tcPr>
          <w:p>
            <w:pPr>
              <w:spacing w:after="0"/>
              <w:rPr>
                <w:sz w:val="15"/>
                <w:szCs w:val="15"/>
                <w:color w:val="auto"/>
              </w:rPr>
            </w:pPr>
          </w:p>
        </w:tc>
        <w:tc>
          <w:tcPr>
            <w:tcW w:w="40" w:type="dxa"/>
            <w:vAlign w:val="bottom"/>
            <w:shd w:val="clear" w:color="auto" w:fill="DCE2EF"/>
          </w:tcPr>
          <w:p>
            <w:pPr>
              <w:spacing w:after="0"/>
              <w:rPr>
                <w:sz w:val="15"/>
                <w:szCs w:val="15"/>
                <w:color w:val="auto"/>
              </w:rPr>
            </w:pPr>
          </w:p>
        </w:tc>
        <w:tc>
          <w:tcPr>
            <w:tcW w:w="180" w:type="dxa"/>
            <w:vAlign w:val="bottom"/>
            <w:gridSpan w:val="3"/>
            <w:vMerge w:val="continue"/>
            <w:shd w:val="clear" w:color="auto" w:fill="DCE2EF"/>
          </w:tcPr>
          <w:p>
            <w:pPr>
              <w:spacing w:after="0"/>
              <w:rPr>
                <w:sz w:val="15"/>
                <w:szCs w:val="15"/>
                <w:color w:val="auto"/>
              </w:rPr>
            </w:pPr>
          </w:p>
        </w:tc>
        <w:tc>
          <w:tcPr>
            <w:tcW w:w="680" w:type="dxa"/>
            <w:vAlign w:val="bottom"/>
            <w:vMerge w:val="continue"/>
            <w:shd w:val="clear" w:color="auto" w:fill="DCE2EF"/>
          </w:tcPr>
          <w:p>
            <w:pPr>
              <w:spacing w:after="0"/>
              <w:rPr>
                <w:sz w:val="15"/>
                <w:szCs w:val="15"/>
                <w:color w:val="auto"/>
              </w:rPr>
            </w:pPr>
          </w:p>
        </w:tc>
        <w:tc>
          <w:tcPr>
            <w:tcW w:w="40" w:type="dxa"/>
            <w:vAlign w:val="bottom"/>
            <w:shd w:val="clear" w:color="auto" w:fill="DCE2EF"/>
          </w:tcPr>
          <w:p>
            <w:pPr>
              <w:spacing w:after="0"/>
              <w:rPr>
                <w:sz w:val="15"/>
                <w:szCs w:val="15"/>
                <w:color w:val="auto"/>
              </w:rPr>
            </w:pPr>
          </w:p>
        </w:tc>
        <w:tc>
          <w:tcPr>
            <w:tcW w:w="220" w:type="dxa"/>
            <w:vAlign w:val="bottom"/>
            <w:gridSpan w:val="3"/>
            <w:vMerge w:val="continue"/>
            <w:shd w:val="clear" w:color="auto" w:fill="DCE2EF"/>
          </w:tcPr>
          <w:p>
            <w:pPr>
              <w:spacing w:after="0"/>
              <w:rPr>
                <w:sz w:val="15"/>
                <w:szCs w:val="15"/>
                <w:color w:val="auto"/>
              </w:rPr>
            </w:pPr>
          </w:p>
        </w:tc>
        <w:tc>
          <w:tcPr>
            <w:tcW w:w="560" w:type="dxa"/>
            <w:vAlign w:val="bottom"/>
            <w:vMerge w:val="continue"/>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240" w:type="dxa"/>
            <w:vAlign w:val="bottom"/>
            <w:gridSpan w:val="3"/>
            <w:vMerge w:val="continue"/>
            <w:shd w:val="clear" w:color="auto" w:fill="DCE2EF"/>
          </w:tcPr>
          <w:p>
            <w:pPr>
              <w:spacing w:after="0"/>
              <w:rPr>
                <w:sz w:val="15"/>
                <w:szCs w:val="15"/>
                <w:color w:val="auto"/>
              </w:rPr>
            </w:pPr>
          </w:p>
        </w:tc>
        <w:tc>
          <w:tcPr>
            <w:tcW w:w="56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20" w:type="dxa"/>
            <w:vAlign w:val="bottom"/>
            <w:vMerge w:val="continue"/>
            <w:shd w:val="clear" w:color="auto" w:fill="DCE2EF"/>
          </w:tcPr>
          <w:p>
            <w:pPr>
              <w:spacing w:after="0"/>
              <w:rPr>
                <w:sz w:val="15"/>
                <w:szCs w:val="15"/>
                <w:color w:val="auto"/>
              </w:rPr>
            </w:pPr>
          </w:p>
        </w:tc>
        <w:tc>
          <w:tcPr>
            <w:tcW w:w="440" w:type="dxa"/>
            <w:vAlign w:val="bottom"/>
            <w:vMerge w:val="continue"/>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80" w:type="dxa"/>
            <w:vAlign w:val="bottom"/>
            <w:gridSpan w:val="3"/>
            <w:vMerge w:val="continue"/>
            <w:shd w:val="clear" w:color="auto" w:fill="DCE2EF"/>
          </w:tcPr>
          <w:p>
            <w:pPr>
              <w:spacing w:after="0"/>
              <w:rPr>
                <w:sz w:val="15"/>
                <w:szCs w:val="15"/>
                <w:color w:val="auto"/>
              </w:rPr>
            </w:pPr>
          </w:p>
        </w:tc>
        <w:tc>
          <w:tcPr>
            <w:tcW w:w="620" w:type="dxa"/>
            <w:vAlign w:val="bottom"/>
            <w:vMerge w:val="continue"/>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20" w:type="dxa"/>
            <w:vAlign w:val="bottom"/>
            <w:vMerge w:val="continue"/>
            <w:shd w:val="clear" w:color="auto" w:fill="DCE2EF"/>
          </w:tcPr>
          <w:p>
            <w:pPr>
              <w:spacing w:after="0"/>
              <w:rPr>
                <w:sz w:val="15"/>
                <w:szCs w:val="15"/>
                <w:color w:val="auto"/>
              </w:rPr>
            </w:pPr>
          </w:p>
        </w:tc>
        <w:tc>
          <w:tcPr>
            <w:tcW w:w="760" w:type="dxa"/>
            <w:vAlign w:val="bottom"/>
            <w:vMerge w:val="continue"/>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20" w:type="dxa"/>
            <w:vAlign w:val="bottom"/>
            <w:vMerge w:val="continue"/>
            <w:shd w:val="clear" w:color="auto" w:fill="DCE2EF"/>
          </w:tcPr>
          <w:p>
            <w:pPr>
              <w:spacing w:after="0"/>
              <w:rPr>
                <w:sz w:val="15"/>
                <w:szCs w:val="15"/>
                <w:color w:val="auto"/>
              </w:rPr>
            </w:pPr>
          </w:p>
        </w:tc>
        <w:tc>
          <w:tcPr>
            <w:tcW w:w="760" w:type="dxa"/>
            <w:vAlign w:val="bottom"/>
            <w:vMerge w:val="continue"/>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40" w:type="dxa"/>
            <w:vAlign w:val="bottom"/>
            <w:vMerge w:val="continue"/>
            <w:shd w:val="clear" w:color="auto" w:fill="DCE2EF"/>
          </w:tcPr>
          <w:p>
            <w:pPr>
              <w:spacing w:after="0"/>
              <w:rPr>
                <w:sz w:val="15"/>
                <w:szCs w:val="15"/>
                <w:color w:val="auto"/>
              </w:rPr>
            </w:pPr>
          </w:p>
        </w:tc>
        <w:tc>
          <w:tcPr>
            <w:tcW w:w="580" w:type="dxa"/>
            <w:vAlign w:val="bottom"/>
            <w:vMerge w:val="continue"/>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420" w:type="dxa"/>
            <w:vAlign w:val="bottom"/>
            <w:gridSpan w:val="2"/>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gridSpan w:val="2"/>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gridSpan w:val="2"/>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gridSpan w:val="2"/>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gridSpan w:val="2"/>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gridSpan w:val="2"/>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gridSpan w:val="2"/>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142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Total</w:t>
            </w:r>
          </w:p>
        </w:tc>
        <w:tc>
          <w:tcPr>
            <w:tcW w:w="14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989.6</w:t>
            </w:r>
          </w:p>
        </w:tc>
        <w:tc>
          <w:tcPr>
            <w:tcW w:w="40" w:type="dxa"/>
            <w:vAlign w:val="bottom"/>
            <w:shd w:val="clear" w:color="auto" w:fill="DCE2EF"/>
          </w:tcPr>
          <w:p>
            <w:pPr>
              <w:spacing w:after="0"/>
              <w:rPr>
                <w:sz w:val="18"/>
                <w:szCs w:val="18"/>
                <w:color w:val="auto"/>
              </w:rPr>
            </w:pPr>
          </w:p>
        </w:tc>
        <w:tc>
          <w:tcPr>
            <w:tcW w:w="200" w:type="dxa"/>
            <w:vAlign w:val="bottom"/>
            <w:gridSpan w:val="3"/>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w w:val="96"/>
              </w:rPr>
              <w:t>388.6</w:t>
            </w:r>
          </w:p>
        </w:tc>
        <w:tc>
          <w:tcPr>
            <w:tcW w:w="40" w:type="dxa"/>
            <w:vAlign w:val="bottom"/>
            <w:shd w:val="clear" w:color="auto" w:fill="DCE2EF"/>
          </w:tcPr>
          <w:p>
            <w:pPr>
              <w:spacing w:after="0"/>
              <w:rPr>
                <w:sz w:val="18"/>
                <w:szCs w:val="18"/>
                <w:color w:val="auto"/>
              </w:rPr>
            </w:pPr>
          </w:p>
        </w:tc>
        <w:tc>
          <w:tcPr>
            <w:tcW w:w="200" w:type="dxa"/>
            <w:vAlign w:val="bottom"/>
            <w:gridSpan w:val="3"/>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238.2</w:t>
            </w:r>
          </w:p>
        </w:tc>
        <w:tc>
          <w:tcPr>
            <w:tcW w:w="40" w:type="dxa"/>
            <w:vAlign w:val="bottom"/>
            <w:shd w:val="clear" w:color="auto" w:fill="DCE2EF"/>
          </w:tcPr>
          <w:p>
            <w:pPr>
              <w:spacing w:after="0"/>
              <w:rPr>
                <w:sz w:val="18"/>
                <w:szCs w:val="18"/>
                <w:color w:val="auto"/>
              </w:rPr>
            </w:pPr>
          </w:p>
        </w:tc>
        <w:tc>
          <w:tcPr>
            <w:tcW w:w="180" w:type="dxa"/>
            <w:vAlign w:val="bottom"/>
            <w:gridSpan w:val="3"/>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225.6</w:t>
            </w:r>
          </w:p>
        </w:tc>
        <w:tc>
          <w:tcPr>
            <w:tcW w:w="40" w:type="dxa"/>
            <w:vAlign w:val="bottom"/>
            <w:shd w:val="clear" w:color="auto" w:fill="DCE2EF"/>
          </w:tcPr>
          <w:p>
            <w:pPr>
              <w:spacing w:after="0"/>
              <w:rPr>
                <w:sz w:val="18"/>
                <w:szCs w:val="18"/>
                <w:color w:val="auto"/>
              </w:rPr>
            </w:pPr>
          </w:p>
        </w:tc>
        <w:tc>
          <w:tcPr>
            <w:tcW w:w="180" w:type="dxa"/>
            <w:vAlign w:val="bottom"/>
            <w:gridSpan w:val="3"/>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176.2</w:t>
            </w:r>
          </w:p>
        </w:tc>
        <w:tc>
          <w:tcPr>
            <w:tcW w:w="40" w:type="dxa"/>
            <w:vAlign w:val="bottom"/>
            <w:shd w:val="clear" w:color="auto" w:fill="DCE2EF"/>
          </w:tcPr>
          <w:p>
            <w:pPr>
              <w:spacing w:after="0"/>
              <w:rPr>
                <w:sz w:val="18"/>
                <w:szCs w:val="18"/>
                <w:color w:val="auto"/>
              </w:rPr>
            </w:pPr>
          </w:p>
        </w:tc>
        <w:tc>
          <w:tcPr>
            <w:tcW w:w="220" w:type="dxa"/>
            <w:vAlign w:val="bottom"/>
            <w:gridSpan w:val="3"/>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2,018.2</w:t>
            </w:r>
          </w:p>
        </w:tc>
        <w:tc>
          <w:tcPr>
            <w:tcW w:w="20" w:type="dxa"/>
            <w:vAlign w:val="bottom"/>
            <w:shd w:val="clear" w:color="auto" w:fill="DCE2EF"/>
          </w:tcPr>
          <w:p>
            <w:pPr>
              <w:spacing w:after="0"/>
              <w:rPr>
                <w:sz w:val="18"/>
                <w:szCs w:val="18"/>
                <w:color w:val="auto"/>
              </w:rPr>
            </w:pPr>
          </w:p>
        </w:tc>
        <w:tc>
          <w:tcPr>
            <w:tcW w:w="240" w:type="dxa"/>
            <w:vAlign w:val="bottom"/>
            <w:gridSpan w:val="3"/>
            <w:shd w:val="clear" w:color="auto" w:fill="DCE2EF"/>
          </w:tcPr>
          <w:p>
            <w:pPr>
              <w:jc w:val="right"/>
              <w:ind w:right="12"/>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DCE2EF"/>
          </w:tcPr>
          <w:p>
            <w:pPr>
              <w:jc w:val="right"/>
              <w:ind w:right="13"/>
              <w:spacing w:after="0"/>
              <w:rPr>
                <w:sz w:val="20"/>
                <w:szCs w:val="20"/>
                <w:color w:val="auto"/>
              </w:rPr>
            </w:pPr>
            <w:r>
              <w:rPr>
                <w:rFonts w:ascii="Arial" w:cs="Arial" w:eastAsia="Arial" w:hAnsi="Arial"/>
                <w:sz w:val="14"/>
                <w:szCs w:val="14"/>
                <w:b w:val="1"/>
                <w:bCs w:val="1"/>
                <w:color w:val="auto"/>
                <w:w w:val="98"/>
              </w:rPr>
              <w:t>2,022.8</w:t>
            </w:r>
          </w:p>
        </w:tc>
        <w:tc>
          <w:tcPr>
            <w:tcW w:w="8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w w:val="76"/>
              </w:rPr>
              <w:t>$</w:t>
            </w:r>
          </w:p>
        </w:tc>
        <w:tc>
          <w:tcPr>
            <w:tcW w:w="44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789.5</w:t>
            </w:r>
          </w:p>
        </w:tc>
        <w:tc>
          <w:tcPr>
            <w:tcW w:w="20" w:type="dxa"/>
            <w:vAlign w:val="bottom"/>
            <w:shd w:val="clear" w:color="auto" w:fill="DCE2EF"/>
          </w:tcPr>
          <w:p>
            <w:pPr>
              <w:spacing w:after="0"/>
              <w:rPr>
                <w:sz w:val="18"/>
                <w:szCs w:val="18"/>
                <w:color w:val="auto"/>
              </w:rPr>
            </w:pPr>
          </w:p>
        </w:tc>
        <w:tc>
          <w:tcPr>
            <w:tcW w:w="180" w:type="dxa"/>
            <w:vAlign w:val="bottom"/>
            <w:gridSpan w:val="3"/>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DCE2EF"/>
          </w:tcPr>
          <w:p>
            <w:pPr>
              <w:jc w:val="right"/>
              <w:ind w:right="13"/>
              <w:spacing w:after="0"/>
              <w:rPr>
                <w:sz w:val="20"/>
                <w:szCs w:val="20"/>
                <w:color w:val="auto"/>
              </w:rPr>
            </w:pPr>
            <w:r>
              <w:rPr>
                <w:rFonts w:ascii="Arial" w:cs="Arial" w:eastAsia="Arial" w:hAnsi="Arial"/>
                <w:sz w:val="14"/>
                <w:szCs w:val="14"/>
                <w:b w:val="1"/>
                <w:bCs w:val="1"/>
                <w:color w:val="auto"/>
              </w:rPr>
              <w:t>487.8</w:t>
            </w:r>
          </w:p>
        </w:tc>
        <w:tc>
          <w:tcPr>
            <w:tcW w:w="80" w:type="dxa"/>
            <w:vAlign w:val="bottom"/>
            <w:shd w:val="clear" w:color="auto" w:fill="DCE2EF"/>
          </w:tcPr>
          <w:p>
            <w:pPr>
              <w:spacing w:after="0"/>
              <w:rPr>
                <w:sz w:val="18"/>
                <w:szCs w:val="18"/>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445.7</w:t>
            </w:r>
          </w:p>
        </w:tc>
        <w:tc>
          <w:tcPr>
            <w:tcW w:w="100" w:type="dxa"/>
            <w:vAlign w:val="bottom"/>
            <w:shd w:val="clear" w:color="auto" w:fill="DCE2EF"/>
          </w:tcPr>
          <w:p>
            <w:pPr>
              <w:spacing w:after="0"/>
              <w:rPr>
                <w:sz w:val="18"/>
                <w:szCs w:val="18"/>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342.1</w:t>
            </w: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4,087.8</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74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CE2EF"/>
            </w:tcBorders>
          </w:tcPr>
          <w:p>
            <w:pPr>
              <w:spacing w:after="0" w:line="20" w:lineRule="exact"/>
              <w:rPr>
                <w:sz w:val="1"/>
                <w:szCs w:val="1"/>
                <w:color w:val="auto"/>
              </w:rPr>
            </w:pPr>
          </w:p>
        </w:tc>
        <w:tc>
          <w:tcPr>
            <w:tcW w:w="60" w:type="dxa"/>
            <w:vAlign w:val="bottom"/>
            <w:tcBorders>
              <w:top w:val="single" w:sz="8" w:color="DCE2E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CE2EF"/>
            </w:tcBorders>
          </w:tcPr>
          <w:p>
            <w:pPr>
              <w:spacing w:after="0" w:line="20" w:lineRule="exact"/>
              <w:rPr>
                <w:sz w:val="1"/>
                <w:szCs w:val="1"/>
                <w:color w:val="auto"/>
              </w:rPr>
            </w:pPr>
          </w:p>
        </w:tc>
        <w:tc>
          <w:tcPr>
            <w:tcW w:w="60" w:type="dxa"/>
            <w:vAlign w:val="bottom"/>
            <w:tcBorders>
              <w:top w:val="single" w:sz="8" w:color="DCE2E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CE2EF"/>
            </w:tcBorders>
          </w:tcPr>
          <w:p>
            <w:pPr>
              <w:spacing w:after="0" w:line="20" w:lineRule="exact"/>
              <w:rPr>
                <w:sz w:val="1"/>
                <w:szCs w:val="1"/>
                <w:color w:val="auto"/>
              </w:rPr>
            </w:pPr>
          </w:p>
        </w:tc>
        <w:tc>
          <w:tcPr>
            <w:tcW w:w="40" w:type="dxa"/>
            <w:vAlign w:val="bottom"/>
            <w:tcBorders>
              <w:top w:val="single" w:sz="8" w:color="DCE2E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CE2EF"/>
            </w:tcBorders>
          </w:tcPr>
          <w:p>
            <w:pPr>
              <w:spacing w:after="0" w:line="20" w:lineRule="exact"/>
              <w:rPr>
                <w:sz w:val="1"/>
                <w:szCs w:val="1"/>
                <w:color w:val="auto"/>
              </w:rPr>
            </w:pPr>
          </w:p>
        </w:tc>
        <w:tc>
          <w:tcPr>
            <w:tcW w:w="6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CE2EF"/>
            </w:tcBorders>
          </w:tcPr>
          <w:p>
            <w:pPr>
              <w:spacing w:after="0" w:line="20" w:lineRule="exact"/>
              <w:rPr>
                <w:sz w:val="1"/>
                <w:szCs w:val="1"/>
                <w:color w:val="auto"/>
              </w:rPr>
            </w:pPr>
          </w:p>
        </w:tc>
        <w:tc>
          <w:tcPr>
            <w:tcW w:w="6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60" w:type="dxa"/>
            <w:vAlign w:val="bottom"/>
            <w:tcBorders>
              <w:top w:val="single" w:sz="8" w:color="DCE2E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13" w:name="page14"/>
    <w:bookmarkEnd w:id="13"/>
    <w:p>
      <w:pPr>
        <w:jc w:val="both"/>
        <w:ind w:left="160" w:hanging="153"/>
        <w:spacing w:after="0" w:line="237" w:lineRule="auto"/>
        <w:tabs>
          <w:tab w:leader="none" w:pos="196"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Janitorial arrangements provide a wide range of essential cleaning services for commercial office buildings, airports and other transportation centers, educational institutions, government buildings, health facilities, industrial buildings, retail stores, and stadiums and arenas. These arrangements are often structured as monthly fixed-price, square-foot, cost-plus, and work order contracts.</w:t>
      </w:r>
    </w:p>
    <w:p>
      <w:pPr>
        <w:spacing w:after="0" w:line="83" w:lineRule="exact"/>
        <w:rPr>
          <w:rFonts w:ascii="Arial" w:cs="Arial" w:eastAsia="Arial" w:hAnsi="Arial"/>
          <w:sz w:val="21"/>
          <w:szCs w:val="21"/>
          <w:color w:val="auto"/>
          <w:vertAlign w:val="superscript"/>
        </w:rPr>
      </w:pPr>
    </w:p>
    <w:p>
      <w:pPr>
        <w:ind w:left="160" w:hanging="153"/>
        <w:spacing w:after="0" w:line="234" w:lineRule="auto"/>
        <w:tabs>
          <w:tab w:leader="none" w:pos="221"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Aviation Services arrangements support airlines and airports with services such as passenger assistance, catering logistics, and airplane cabin maintenance. These arrangements are often structured as monthly fixed-price, cost-plus, transaction price, and hourly contracts.</w:t>
      </w:r>
    </w:p>
    <w:p>
      <w:pPr>
        <w:spacing w:after="0" w:line="82" w:lineRule="exact"/>
        <w:rPr>
          <w:rFonts w:ascii="Arial" w:cs="Arial" w:eastAsia="Arial" w:hAnsi="Arial"/>
          <w:sz w:val="21"/>
          <w:szCs w:val="21"/>
          <w:color w:val="auto"/>
          <w:vertAlign w:val="superscript"/>
        </w:rPr>
      </w:pPr>
    </w:p>
    <w:p>
      <w:pPr>
        <w:jc w:val="both"/>
        <w:ind w:left="160" w:hanging="153"/>
        <w:spacing w:after="0" w:line="244" w:lineRule="auto"/>
        <w:tabs>
          <w:tab w:leader="none" w:pos="196"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Parking and Transportation arrangements provide parking and transportation services for clients at various locations, including airports and other transportation centers, commercial office buildings, educational institutions, health facilities, hotels, and stadiums and arenas. These arrangements are structured as management reimbursement, leased location, and allowance contracts. Certain of these arrangements are considered service concession agreements and are accounted for under the guidance of Topic 853; accordingly, service concession expense related to these arrangements is recorded as a reduction of the related parking service revenues.</w:t>
      </w:r>
    </w:p>
    <w:p>
      <w:pPr>
        <w:spacing w:after="0" w:line="81" w:lineRule="exact"/>
        <w:rPr>
          <w:rFonts w:ascii="Arial" w:cs="Arial" w:eastAsia="Arial" w:hAnsi="Arial"/>
          <w:sz w:val="21"/>
          <w:szCs w:val="21"/>
          <w:color w:val="auto"/>
          <w:vertAlign w:val="superscript"/>
        </w:rPr>
      </w:pPr>
    </w:p>
    <w:p>
      <w:pPr>
        <w:jc w:val="both"/>
        <w:ind w:left="160" w:hanging="153"/>
        <w:spacing w:after="0" w:line="239" w:lineRule="auto"/>
        <w:tabs>
          <w:tab w:leader="none" w:pos="183"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Operations and Maintenance arrangements provide onsite mechanical engineering and technical services and solutions relating to a broad range of facilities and infrastructure systems that are designed to extend the useful life of facility fixed assets, improve equipment operating efficiencies, reduce energy consumption, lower overall operational costs for clients, and enhance the sustainability of client locations. These arrangements are generally structured as monthly fixed-price, cost-plus, and work order contracts.</w:t>
      </w:r>
    </w:p>
    <w:p>
      <w:pPr>
        <w:spacing w:after="0" w:line="83" w:lineRule="exact"/>
        <w:rPr>
          <w:rFonts w:ascii="Arial" w:cs="Arial" w:eastAsia="Arial" w:hAnsi="Arial"/>
          <w:sz w:val="21"/>
          <w:szCs w:val="21"/>
          <w:color w:val="auto"/>
          <w:vertAlign w:val="superscript"/>
        </w:rPr>
      </w:pPr>
    </w:p>
    <w:p>
      <w:pPr>
        <w:jc w:val="both"/>
        <w:ind w:left="160" w:right="20" w:hanging="153"/>
        <w:spacing w:after="0" w:line="269" w:lineRule="auto"/>
        <w:tabs>
          <w:tab w:leader="none" w:pos="169"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Building &amp; Energy Solutions arrangements provide custom energy solutions, including microgrid systems installation, electrical, HVAC, lighting, electric vehicle charging station installation, uninterrupted power supply services, and other general maintenance and repair services for clients in the public and private sectors and are generally structured as Energy Savings, Fixed-Price Repair, and Refurbishment contracts. We also franchise certain operations under franchise agreements relating to our Linc Network and TEGG brands pursuant to franchise contracts.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Contract Types</w:t>
      </w:r>
    </w:p>
    <w:p>
      <w:pPr>
        <w:spacing w:after="0" w:line="169" w:lineRule="exact"/>
        <w:rPr>
          <w:sz w:val="20"/>
          <w:szCs w:val="20"/>
          <w:color w:val="auto"/>
        </w:rPr>
      </w:pPr>
    </w:p>
    <w:p>
      <w:pPr>
        <w:jc w:val="both"/>
        <w:ind w:right="20" w:firstLine="645"/>
        <w:spacing w:after="0" w:line="285" w:lineRule="auto"/>
        <w:rPr>
          <w:sz w:val="20"/>
          <w:szCs w:val="20"/>
          <w:color w:val="auto"/>
        </w:rPr>
      </w:pPr>
      <w:r>
        <w:rPr>
          <w:rFonts w:ascii="Arial" w:cs="Arial" w:eastAsia="Arial" w:hAnsi="Arial"/>
          <w:sz w:val="18"/>
          <w:szCs w:val="18"/>
          <w:color w:val="auto"/>
        </w:rPr>
        <w:t>We have arrangements under various contract types, as described in Note 2, “Basis of Presentation and Significant Accounting Policies,” in our Annual Report on Form 10-K for the year ended October 31, 2024.</w:t>
      </w:r>
    </w:p>
    <w:p>
      <w:pPr>
        <w:spacing w:after="0" w:line="100"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Certain arrangements involve variable consideration (primarily per transaction fees, reimbursable expenses, and sales-based royalties). We do not estimate the variable consideration for these arrangements; rather, we recognize these variable fees as they are earned. Some of our contracts, often related to Airline Services, may also include performance incentives based on variable performance measures that are ascertained exclusively by future performance and therefore cannot be estimated at contract inception and are recognized as revenue once known and mutually agreed upon.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w:t>
      </w:r>
    </w:p>
    <w:p>
      <w:pPr>
        <w:spacing w:after="0" w:line="132" w:lineRule="exact"/>
        <w:rPr>
          <w:sz w:val="20"/>
          <w:szCs w:val="20"/>
          <w:color w:val="auto"/>
        </w:rPr>
      </w:pPr>
    </w:p>
    <w:p>
      <w:pPr>
        <w:jc w:val="both"/>
        <w:ind w:firstLine="645"/>
        <w:spacing w:after="0" w:line="256" w:lineRule="auto"/>
        <w:rPr>
          <w:sz w:val="20"/>
          <w:szCs w:val="20"/>
          <w:color w:val="auto"/>
        </w:rPr>
      </w:pPr>
      <w:r>
        <w:rPr>
          <w:rFonts w:ascii="Arial" w:cs="Arial" w:eastAsia="Arial" w:hAnsi="Arial"/>
          <w:sz w:val="18"/>
          <w:szCs w:val="18"/>
          <w:color w:val="auto"/>
        </w:rPr>
        <w:t>The majority of our contracts include performance obligations that are primarily satisfied over time as we provide the related services. These contract types include: monthly fixed-price; square-foot; cost-plus; work orders; transaction-price; hourly; management reimbursement; leased location; allowance; energy savings contracts; and fixed-price repair and refurbishment contracts, as well as our franchise and royalty fee arrangements. We recognize revenue as the services are performed using a measure of progress that is determined by the contract type. Generally, most of our contracts are cancelable by either party without a substantive penalty, and the majority have a notification period of 30 to 90 days.</w:t>
      </w:r>
    </w:p>
    <w:p>
      <w:pPr>
        <w:spacing w:after="0" w:line="126"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We primarily account for our performance obligations under the series guidance, using the as-invoiced practical expedient when applicable. We apply the as-invoiced practical expedient to record revenue as the services are provided, given the nature of the services provided and the frequency of billing under the customer contracts. Under this practical expedient, we recognize revenue in an amount that corresponds directly with the value to the customer of our performance completed to date and for which we have the right to invoice the customer.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Remaining Performance Obligations</w:t>
      </w:r>
    </w:p>
    <w:p>
      <w:pPr>
        <w:spacing w:after="0" w:line="169"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At April 30, 2025, performance obligations that were unsatisfied for which we expect to recognize revenue totaled $251.8 million. We expect to recognize revenue on approximately 76% of the remaining performance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obligations over the next 12 months, with the remainder recognized thereafter, based on our estimates of project timing.</w:t>
      </w:r>
    </w:p>
    <w:p>
      <w:pPr>
        <w:spacing w:after="0" w:line="169" w:lineRule="exact"/>
        <w:rPr>
          <w:sz w:val="20"/>
          <w:szCs w:val="20"/>
          <w:color w:val="auto"/>
        </w:rPr>
      </w:pPr>
    </w:p>
    <w:p>
      <w:pPr>
        <w:jc w:val="both"/>
        <w:ind w:firstLine="645"/>
        <w:spacing w:after="0" w:line="256" w:lineRule="auto"/>
        <w:rPr>
          <w:sz w:val="20"/>
          <w:szCs w:val="20"/>
          <w:color w:val="auto"/>
        </w:rPr>
      </w:pPr>
      <w:r>
        <w:rPr>
          <w:rFonts w:ascii="Arial" w:cs="Arial" w:eastAsia="Arial" w:hAnsi="Arial"/>
          <w:sz w:val="18"/>
          <w:szCs w:val="18"/>
          <w:color w:val="auto"/>
        </w:rPr>
        <w:t>These amounts exclude variable consideration primarily related to: (i) contracts where we have determined that the contract consists of a series of distinct service periods, and revenues are based on future performance that cannot be estimated at contract inception; (ii) parking contracts where we and the customer share the gross revenues or operating profit for the location; and (iii) contracts where transaction prices include performance incentives that are based on future performance and therefore cannot be estimated at contract inception. For these contract types, we apply the practical expedient that permits exclusion of information about the remaining performance obligations with original expected durations of one year or less.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164FA2"/>
        </w:rPr>
        <w:t>Contract Balances</w:t>
      </w:r>
    </w:p>
    <w:p>
      <w:pPr>
        <w:spacing w:after="0" w:line="169"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The timing of revenue recognition, billings, and cash collections results in contract assets and contract liabilities, as further explained below. The timing of revenue recognition may differ from the timing of invoicing to customers.</w:t>
      </w:r>
    </w:p>
    <w:p>
      <w:pPr>
        <w:spacing w:after="0" w:line="100" w:lineRule="exact"/>
        <w:rPr>
          <w:sz w:val="20"/>
          <w:szCs w:val="20"/>
          <w:color w:val="auto"/>
        </w:rPr>
      </w:pPr>
    </w:p>
    <w:p>
      <w:pPr>
        <w:jc w:val="both"/>
        <w:ind w:firstLine="645"/>
        <w:spacing w:after="0" w:line="256" w:lineRule="auto"/>
        <w:rPr>
          <w:sz w:val="20"/>
          <w:szCs w:val="20"/>
          <w:color w:val="auto"/>
        </w:rPr>
      </w:pPr>
      <w:r>
        <w:rPr>
          <w:rFonts w:ascii="Arial" w:cs="Arial" w:eastAsia="Arial" w:hAnsi="Arial"/>
          <w:sz w:val="18"/>
          <w:szCs w:val="18"/>
          <w:color w:val="auto"/>
        </w:rPr>
        <w:t>Contract assets primarily consist of billed trade receivables, unbilled trade receivables, and costs incurred in excess of amounts billed. Billed and unbilled trade receivables represent amounts from work completed in which we have an unconditional right to bill our customer. Costs incurred in excess of amounts billed typically arise when the revenue recognized on projects exceeds the amount billed to the customer. These amounts are transferred to billed trade receivables when the rights become unconditional. Contract assets also include the capitalization of incremental costs of obtaining a contract with a customer, primarily commissions. Commissions expense is recognized on a straight-line basis over a weighted average expected customer relationship period.</w:t>
      </w:r>
    </w:p>
    <w:p>
      <w:pPr>
        <w:spacing w:after="0" w:line="126"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Contract liabilities consist of deferred revenue and advance payments and billings in excess of revenue recognized. We generally classify contract liabilities as current since the related contracts are generally for a period of one year or less. Contract liabilities decrease as we recognize revenue from the satisfaction of the related performance obligation.</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balances in our contract assets and contract liabilities: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9"/>
                <w:szCs w:val="19"/>
                <w:color w:val="auto"/>
              </w:rPr>
            </w:pPr>
          </w:p>
        </w:tc>
        <w:tc>
          <w:tcPr>
            <w:tcW w:w="2000" w:type="dxa"/>
            <w:vAlign w:val="bottom"/>
            <w:gridSpan w:val="2"/>
          </w:tcPr>
          <w:p>
            <w:pPr>
              <w:ind w:left="220"/>
              <w:spacing w:after="0"/>
              <w:rPr>
                <w:sz w:val="20"/>
                <w:szCs w:val="20"/>
                <w:color w:val="auto"/>
              </w:rPr>
            </w:pPr>
            <w:r>
              <w:rPr>
                <w:rFonts w:ascii="Arial" w:cs="Arial" w:eastAsia="Arial" w:hAnsi="Arial"/>
                <w:sz w:val="18"/>
                <w:szCs w:val="18"/>
                <w:b w:val="1"/>
                <w:bCs w:val="1"/>
                <w:color w:val="auto"/>
              </w:rPr>
              <w:t>April 30, 2025</w:t>
            </w:r>
          </w:p>
        </w:tc>
        <w:tc>
          <w:tcPr>
            <w:tcW w:w="260" w:type="dxa"/>
            <w:vAlign w:val="bottom"/>
          </w:tcPr>
          <w:p>
            <w:pPr>
              <w:spacing w:after="0"/>
              <w:rPr>
                <w:sz w:val="19"/>
                <w:szCs w:val="19"/>
                <w:color w:val="auto"/>
              </w:rPr>
            </w:pPr>
          </w:p>
        </w:tc>
        <w:tc>
          <w:tcPr>
            <w:tcW w:w="1960" w:type="dxa"/>
            <w:vAlign w:val="bottom"/>
          </w:tcPr>
          <w:p>
            <w:pPr>
              <w:jc w:val="right"/>
              <w:ind w:right="318"/>
              <w:spacing w:after="0"/>
              <w:rPr>
                <w:sz w:val="20"/>
                <w:szCs w:val="20"/>
                <w:color w:val="auto"/>
              </w:rPr>
            </w:pPr>
            <w:r>
              <w:rPr>
                <w:rFonts w:ascii="Arial" w:cs="Arial" w:eastAsia="Arial" w:hAnsi="Arial"/>
                <w:sz w:val="18"/>
                <w:szCs w:val="18"/>
                <w:b w:val="1"/>
                <w:bCs w:val="1"/>
                <w:color w:val="auto"/>
              </w:rPr>
              <w:t>October 31, 2024</w:t>
            </w:r>
          </w:p>
        </w:tc>
      </w:tr>
      <w:tr>
        <w:trPr>
          <w:trHeight w:val="34"/>
        </w:trPr>
        <w:tc>
          <w:tcPr>
            <w:tcW w:w="2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598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95"/>
        </w:trPr>
        <w:tc>
          <w:tcPr>
            <w:tcW w:w="20" w:type="dxa"/>
            <w:vAlign w:val="bottom"/>
            <w:shd w:val="clear" w:color="auto" w:fill="DCE2EF"/>
          </w:tcPr>
          <w:p>
            <w:pPr>
              <w:spacing w:after="0"/>
              <w:rPr>
                <w:sz w:val="16"/>
                <w:szCs w:val="16"/>
                <w:color w:val="auto"/>
              </w:rPr>
            </w:pPr>
          </w:p>
        </w:tc>
        <w:tc>
          <w:tcPr>
            <w:tcW w:w="668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Contract assets</w:t>
            </w:r>
          </w:p>
        </w:tc>
        <w:tc>
          <w:tcPr>
            <w:tcW w:w="320" w:type="dxa"/>
            <w:vAlign w:val="bottom"/>
            <w:shd w:val="clear" w:color="auto" w:fill="DCE2EF"/>
          </w:tcPr>
          <w:p>
            <w:pPr>
              <w:spacing w:after="0"/>
              <w:rPr>
                <w:sz w:val="16"/>
                <w:szCs w:val="16"/>
                <w:color w:val="auto"/>
              </w:rPr>
            </w:pPr>
          </w:p>
        </w:tc>
        <w:tc>
          <w:tcPr>
            <w:tcW w:w="19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60" w:type="dxa"/>
            <w:vAlign w:val="bottom"/>
            <w:shd w:val="clear" w:color="auto" w:fill="DCE2EF"/>
          </w:tcPr>
          <w:p>
            <w:pPr>
              <w:spacing w:after="0"/>
              <w:rPr>
                <w:sz w:val="16"/>
                <w:szCs w:val="16"/>
                <w:color w:val="auto"/>
              </w:rPr>
            </w:pPr>
          </w:p>
        </w:tc>
        <w:tc>
          <w:tcPr>
            <w:tcW w:w="1960" w:type="dxa"/>
            <w:vAlign w:val="bottom"/>
            <w:shd w:val="clear" w:color="auto" w:fill="DCE2EF"/>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6680" w:type="dxa"/>
            <w:vAlign w:val="bottom"/>
            <w:gridSpan w:val="2"/>
          </w:tcPr>
          <w:p>
            <w:pPr>
              <w:ind w:left="200"/>
              <w:spacing w:after="0" w:line="215" w:lineRule="exact"/>
              <w:rPr>
                <w:sz w:val="20"/>
                <w:szCs w:val="20"/>
                <w:color w:val="auto"/>
              </w:rPr>
            </w:pPr>
            <w:r>
              <w:rPr>
                <w:rFonts w:ascii="Arial" w:cs="Arial" w:eastAsia="Arial" w:hAnsi="Arial"/>
                <w:sz w:val="16"/>
                <w:szCs w:val="16"/>
                <w:color w:val="auto"/>
              </w:rPr>
              <w:t>Billed trade receivables</w:t>
            </w:r>
            <w:r>
              <w:rPr>
                <w:rFonts w:ascii="Arial" w:cs="Arial" w:eastAsia="Arial" w:hAnsi="Arial"/>
                <w:sz w:val="20"/>
                <w:szCs w:val="20"/>
                <w:color w:val="auto"/>
                <w:vertAlign w:val="superscript"/>
              </w:rPr>
              <w:t>(1)</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1,332.5</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1,282.9</w:t>
            </w:r>
          </w:p>
        </w:tc>
      </w:tr>
      <w:tr>
        <w:trPr>
          <w:trHeight w:val="215"/>
        </w:trPr>
        <w:tc>
          <w:tcPr>
            <w:tcW w:w="20" w:type="dxa"/>
            <w:vAlign w:val="bottom"/>
            <w:shd w:val="clear" w:color="auto" w:fill="DCE2EF"/>
          </w:tcPr>
          <w:p>
            <w:pPr>
              <w:spacing w:after="0"/>
              <w:rPr>
                <w:sz w:val="18"/>
                <w:szCs w:val="18"/>
                <w:color w:val="auto"/>
              </w:rPr>
            </w:pPr>
          </w:p>
        </w:tc>
        <w:tc>
          <w:tcPr>
            <w:tcW w:w="6680" w:type="dxa"/>
            <w:vAlign w:val="bottom"/>
            <w:gridSpan w:val="2"/>
            <w:shd w:val="clear" w:color="auto" w:fill="DCE2EF"/>
          </w:tcPr>
          <w:p>
            <w:pPr>
              <w:ind w:left="200"/>
              <w:spacing w:after="0" w:line="215" w:lineRule="exact"/>
              <w:rPr>
                <w:sz w:val="20"/>
                <w:szCs w:val="20"/>
                <w:color w:val="auto"/>
              </w:rPr>
            </w:pPr>
            <w:r>
              <w:rPr>
                <w:rFonts w:ascii="Arial" w:cs="Arial" w:eastAsia="Arial" w:hAnsi="Arial"/>
                <w:sz w:val="16"/>
                <w:szCs w:val="16"/>
                <w:color w:val="auto"/>
              </w:rPr>
              <w:t>Unbilled trade receivables</w:t>
            </w:r>
            <w:r>
              <w:rPr>
                <w:rFonts w:ascii="Arial" w:cs="Arial" w:eastAsia="Arial" w:hAnsi="Arial"/>
                <w:sz w:val="20"/>
                <w:szCs w:val="20"/>
                <w:color w:val="auto"/>
                <w:vertAlign w:val="superscript"/>
              </w:rPr>
              <w:t>(1)</w:t>
            </w:r>
          </w:p>
        </w:tc>
        <w:tc>
          <w:tcPr>
            <w:tcW w:w="320" w:type="dxa"/>
            <w:vAlign w:val="bottom"/>
            <w:shd w:val="clear" w:color="auto" w:fill="DCE2EF"/>
          </w:tcPr>
          <w:p>
            <w:pPr>
              <w:spacing w:after="0"/>
              <w:rPr>
                <w:sz w:val="18"/>
                <w:szCs w:val="18"/>
                <w:color w:val="auto"/>
              </w:rPr>
            </w:pPr>
          </w:p>
        </w:tc>
        <w:tc>
          <w:tcPr>
            <w:tcW w:w="19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295.1</w:t>
            </w:r>
          </w:p>
        </w:tc>
        <w:tc>
          <w:tcPr>
            <w:tcW w:w="10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1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124.0</w:t>
            </w:r>
          </w:p>
        </w:tc>
      </w:tr>
      <w:tr>
        <w:trPr>
          <w:trHeight w:val="214"/>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Costs incurred in excess of amounts billed</w:t>
            </w: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131.5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162.1</w:t>
            </w:r>
          </w:p>
        </w:tc>
      </w:tr>
      <w:tr>
        <w:trPr>
          <w:trHeight w:val="216"/>
        </w:trPr>
        <w:tc>
          <w:tcPr>
            <w:tcW w:w="20" w:type="dxa"/>
            <w:vAlign w:val="bottom"/>
            <w:shd w:val="clear" w:color="auto" w:fill="DCE2EF"/>
          </w:tcPr>
          <w:p>
            <w:pPr>
              <w:spacing w:after="0"/>
              <w:rPr>
                <w:sz w:val="18"/>
                <w:szCs w:val="18"/>
                <w:color w:val="auto"/>
              </w:rPr>
            </w:pPr>
          </w:p>
        </w:tc>
        <w:tc>
          <w:tcPr>
            <w:tcW w:w="6680" w:type="dxa"/>
            <w:vAlign w:val="bottom"/>
            <w:gridSpan w:val="2"/>
            <w:shd w:val="clear" w:color="auto" w:fill="DCE2EF"/>
          </w:tcPr>
          <w:p>
            <w:pPr>
              <w:ind w:left="200"/>
              <w:spacing w:after="0" w:line="215" w:lineRule="exact"/>
              <w:rPr>
                <w:sz w:val="20"/>
                <w:szCs w:val="20"/>
                <w:color w:val="auto"/>
              </w:rPr>
            </w:pPr>
            <w:r>
              <w:rPr>
                <w:rFonts w:ascii="Arial" w:cs="Arial" w:eastAsia="Arial" w:hAnsi="Arial"/>
                <w:sz w:val="16"/>
                <w:szCs w:val="16"/>
                <w:color w:val="auto"/>
              </w:rPr>
              <w:t>Capitalized commissions</w:t>
            </w:r>
            <w:r>
              <w:rPr>
                <w:rFonts w:ascii="Arial" w:cs="Arial" w:eastAsia="Arial" w:hAnsi="Arial"/>
                <w:sz w:val="20"/>
                <w:szCs w:val="20"/>
                <w:color w:val="auto"/>
                <w:vertAlign w:val="superscript"/>
              </w:rPr>
              <w:t>(2)</w:t>
            </w:r>
          </w:p>
        </w:tc>
        <w:tc>
          <w:tcPr>
            <w:tcW w:w="320" w:type="dxa"/>
            <w:vAlign w:val="bottom"/>
            <w:shd w:val="clear" w:color="auto" w:fill="DCE2EF"/>
          </w:tcPr>
          <w:p>
            <w:pPr>
              <w:spacing w:after="0"/>
              <w:rPr>
                <w:sz w:val="18"/>
                <w:szCs w:val="18"/>
                <w:color w:val="auto"/>
              </w:rPr>
            </w:pPr>
          </w:p>
        </w:tc>
        <w:tc>
          <w:tcPr>
            <w:tcW w:w="19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1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30.8</w:t>
            </w:r>
          </w:p>
        </w:tc>
      </w:tr>
    </w:tbl>
    <w:p>
      <w:pPr>
        <w:spacing w:after="0" w:line="267" w:lineRule="exact"/>
        <w:rPr>
          <w:sz w:val="20"/>
          <w:szCs w:val="20"/>
          <w:color w:val="auto"/>
        </w:rPr>
      </w:pPr>
    </w:p>
    <w:p>
      <w:pPr>
        <w:ind w:left="180" w:hanging="173"/>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Included in “Trade accounts receivable, net,” on the unaudited Consolidated Balance Sheets.</w:t>
      </w:r>
    </w:p>
    <w:p>
      <w:pPr>
        <w:spacing w:after="0" w:line="81" w:lineRule="exact"/>
        <w:rPr>
          <w:rFonts w:ascii="Arial" w:cs="Arial" w:eastAsia="Arial" w:hAnsi="Arial"/>
          <w:sz w:val="21"/>
          <w:szCs w:val="21"/>
          <w:color w:val="auto"/>
          <w:vertAlign w:val="superscript"/>
        </w:rPr>
      </w:pPr>
    </w:p>
    <w:p>
      <w:pPr>
        <w:jc w:val="both"/>
        <w:ind w:left="160" w:hanging="153"/>
        <w:spacing w:after="0" w:line="445" w:lineRule="auto"/>
        <w:tabs>
          <w:tab w:leader="none" w:pos="169"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Included in “Other current assets” and “Other noncurrent assets” on the unaudited Consolidated Balance Sheets. During the six months ended April 30, 2025, we capitalized $9.7 million of new costs and amortized $8.7 million of previously capitalized costs. There was no impairment loss recorded on the costs capitalized.</w:t>
      </w: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20" w:type="dxa"/>
            <w:vAlign w:val="bottom"/>
          </w:tcPr>
          <w:p>
            <w:pPr>
              <w:jc w:val="right"/>
              <w:ind w:right="439"/>
              <w:spacing w:after="0" w:line="163" w:lineRule="exact"/>
              <w:rPr>
                <w:sz w:val="20"/>
                <w:szCs w:val="20"/>
                <w:color w:val="auto"/>
              </w:rPr>
            </w:pPr>
            <w:r>
              <w:rPr>
                <w:rFonts w:ascii="Arial" w:cs="Arial" w:eastAsia="Arial" w:hAnsi="Arial"/>
                <w:sz w:val="16"/>
                <w:szCs w:val="16"/>
                <w:b w:val="1"/>
                <w:bCs w:val="1"/>
                <w:color w:val="auto"/>
              </w:rPr>
              <w:t>Six Months Ended</w:t>
            </w:r>
          </w:p>
        </w:tc>
      </w:tr>
      <w:tr>
        <w:trPr>
          <w:trHeight w:val="161"/>
        </w:trPr>
        <w:tc>
          <w:tcPr>
            <w:tcW w:w="20" w:type="dxa"/>
            <w:vAlign w:val="bottom"/>
          </w:tcPr>
          <w:p>
            <w:pPr>
              <w:spacing w:after="0"/>
              <w:rPr>
                <w:sz w:val="14"/>
                <w:szCs w:val="14"/>
                <w:color w:val="auto"/>
              </w:rPr>
            </w:pPr>
          </w:p>
        </w:tc>
        <w:tc>
          <w:tcPr>
            <w:tcW w:w="87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4"/>
                <w:szCs w:val="14"/>
                <w:color w:val="auto"/>
              </w:rPr>
            </w:pPr>
          </w:p>
        </w:tc>
        <w:tc>
          <w:tcPr>
            <w:tcW w:w="2120" w:type="dxa"/>
            <w:vAlign w:val="bottom"/>
          </w:tcPr>
          <w:p>
            <w:pPr>
              <w:jc w:val="right"/>
              <w:ind w:right="619"/>
              <w:spacing w:after="0" w:line="142" w:lineRule="exact"/>
              <w:rPr>
                <w:sz w:val="20"/>
                <w:szCs w:val="20"/>
                <w:color w:val="auto"/>
              </w:rPr>
            </w:pPr>
            <w:r>
              <w:rPr>
                <w:rFonts w:ascii="Arial" w:cs="Arial" w:eastAsia="Arial" w:hAnsi="Arial"/>
                <w:sz w:val="16"/>
                <w:szCs w:val="16"/>
                <w:b w:val="1"/>
                <w:bCs w:val="1"/>
                <w:color w:val="auto"/>
              </w:rPr>
              <w:t>April 30, 2025</w:t>
            </w:r>
          </w:p>
        </w:tc>
      </w:tr>
      <w:tr>
        <w:trPr>
          <w:trHeight w:val="34"/>
        </w:trPr>
        <w:tc>
          <w:tcPr>
            <w:tcW w:w="2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808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195"/>
        </w:trPr>
        <w:tc>
          <w:tcPr>
            <w:tcW w:w="20" w:type="dxa"/>
            <w:vAlign w:val="bottom"/>
            <w:shd w:val="clear" w:color="auto" w:fill="DCE2EF"/>
          </w:tcPr>
          <w:p>
            <w:pPr>
              <w:spacing w:after="0"/>
              <w:rPr>
                <w:sz w:val="16"/>
                <w:szCs w:val="16"/>
                <w:color w:val="auto"/>
              </w:rPr>
            </w:pPr>
          </w:p>
        </w:tc>
        <w:tc>
          <w:tcPr>
            <w:tcW w:w="8780" w:type="dxa"/>
            <w:vAlign w:val="bottom"/>
            <w:gridSpan w:val="2"/>
            <w:shd w:val="clear" w:color="auto" w:fill="DCE2EF"/>
          </w:tcPr>
          <w:p>
            <w:pPr>
              <w:spacing w:after="0" w:line="195" w:lineRule="exact"/>
              <w:rPr>
                <w:sz w:val="20"/>
                <w:szCs w:val="20"/>
                <w:color w:val="auto"/>
              </w:rPr>
            </w:pPr>
            <w:r>
              <w:rPr>
                <w:rFonts w:ascii="Arial" w:cs="Arial" w:eastAsia="Arial" w:hAnsi="Arial"/>
                <w:sz w:val="16"/>
                <w:szCs w:val="16"/>
                <w:b w:val="1"/>
                <w:bCs w:val="1"/>
                <w:color w:val="auto"/>
              </w:rPr>
              <w:t>Contract liabilities</w:t>
            </w:r>
            <w:r>
              <w:rPr>
                <w:rFonts w:ascii="Arial" w:cs="Arial" w:eastAsia="Arial" w:hAnsi="Arial"/>
                <w:sz w:val="20"/>
                <w:szCs w:val="20"/>
                <w:color w:val="auto"/>
                <w:vertAlign w:val="superscript"/>
              </w:rPr>
              <w:t>(1)</w:t>
            </w:r>
          </w:p>
        </w:tc>
        <w:tc>
          <w:tcPr>
            <w:tcW w:w="320" w:type="dxa"/>
            <w:vAlign w:val="bottom"/>
            <w:shd w:val="clear" w:color="auto" w:fill="DCE2EF"/>
          </w:tcPr>
          <w:p>
            <w:pPr>
              <w:spacing w:after="0"/>
              <w:rPr>
                <w:sz w:val="16"/>
                <w:szCs w:val="16"/>
                <w:color w:val="auto"/>
              </w:rPr>
            </w:pPr>
          </w:p>
        </w:tc>
        <w:tc>
          <w:tcPr>
            <w:tcW w:w="2120" w:type="dxa"/>
            <w:vAlign w:val="bottom"/>
            <w:shd w:val="clear" w:color="auto" w:fill="DCE2E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8780" w:type="dxa"/>
            <w:vAlign w:val="bottom"/>
            <w:gridSpan w:val="2"/>
          </w:tcPr>
          <w:p>
            <w:pPr>
              <w:ind w:left="200"/>
              <w:spacing w:after="0"/>
              <w:rPr>
                <w:sz w:val="20"/>
                <w:szCs w:val="20"/>
                <w:color w:val="auto"/>
              </w:rPr>
            </w:pPr>
            <w:r>
              <w:rPr>
                <w:rFonts w:ascii="Arial" w:cs="Arial" w:eastAsia="Arial" w:hAnsi="Arial"/>
                <w:sz w:val="16"/>
                <w:szCs w:val="16"/>
                <w:color w:val="auto"/>
              </w:rPr>
              <w:t>Balance at beginning of period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120" w:type="dxa"/>
            <w:vAlign w:val="bottom"/>
          </w:tcPr>
          <w:p>
            <w:pPr>
              <w:jc w:val="right"/>
              <w:spacing w:after="0"/>
              <w:rPr>
                <w:sz w:val="20"/>
                <w:szCs w:val="20"/>
                <w:color w:val="auto"/>
              </w:rPr>
            </w:pPr>
            <w:r>
              <w:rPr>
                <w:rFonts w:ascii="Arial" w:cs="Arial" w:eastAsia="Arial" w:hAnsi="Arial"/>
                <w:sz w:val="16"/>
                <w:szCs w:val="16"/>
                <w:color w:val="auto"/>
              </w:rPr>
              <w:t>118.2</w:t>
            </w:r>
          </w:p>
        </w:tc>
      </w:tr>
      <w:tr>
        <w:trPr>
          <w:trHeight w:val="216"/>
        </w:trPr>
        <w:tc>
          <w:tcPr>
            <w:tcW w:w="20" w:type="dxa"/>
            <w:vAlign w:val="bottom"/>
            <w:shd w:val="clear" w:color="auto" w:fill="DCE2EF"/>
          </w:tcPr>
          <w:p>
            <w:pPr>
              <w:spacing w:after="0"/>
              <w:rPr>
                <w:sz w:val="18"/>
                <w:szCs w:val="18"/>
                <w:color w:val="auto"/>
              </w:rPr>
            </w:pPr>
          </w:p>
        </w:tc>
        <w:tc>
          <w:tcPr>
            <w:tcW w:w="8780" w:type="dxa"/>
            <w:vAlign w:val="bottom"/>
            <w:gridSpan w:val="2"/>
            <w:shd w:val="clear" w:color="auto" w:fill="DCE2EF"/>
          </w:tcPr>
          <w:p>
            <w:pPr>
              <w:ind w:left="200"/>
              <w:spacing w:after="0"/>
              <w:rPr>
                <w:sz w:val="20"/>
                <w:szCs w:val="20"/>
                <w:color w:val="auto"/>
              </w:rPr>
            </w:pPr>
            <w:r>
              <w:rPr>
                <w:rFonts w:ascii="Arial" w:cs="Arial" w:eastAsia="Arial" w:hAnsi="Arial"/>
                <w:sz w:val="16"/>
                <w:szCs w:val="16"/>
                <w:color w:val="auto"/>
              </w:rPr>
              <w:t>Additional contract liabilities</w:t>
            </w:r>
          </w:p>
        </w:tc>
        <w:tc>
          <w:tcPr>
            <w:tcW w:w="320" w:type="dxa"/>
            <w:vAlign w:val="bottom"/>
            <w:shd w:val="clear" w:color="auto" w:fill="DCE2EF"/>
          </w:tcPr>
          <w:p>
            <w:pPr>
              <w:spacing w:after="0"/>
              <w:rPr>
                <w:sz w:val="18"/>
                <w:szCs w:val="18"/>
                <w:color w:val="auto"/>
              </w:rPr>
            </w:pPr>
          </w:p>
        </w:tc>
        <w:tc>
          <w:tcPr>
            <w:tcW w:w="21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173.4</w:t>
            </w:r>
          </w:p>
        </w:tc>
      </w:tr>
      <w:tr>
        <w:trPr>
          <w:trHeight w:val="268"/>
        </w:trPr>
        <w:tc>
          <w:tcPr>
            <w:tcW w:w="20" w:type="dxa"/>
            <w:vAlign w:val="bottom"/>
            <w:tcBorders>
              <w:bottom w:val="single" w:sz="8" w:color="DCE2EF"/>
            </w:tcBorders>
          </w:tcPr>
          <w:p>
            <w:pPr>
              <w:spacing w:after="0"/>
              <w:rPr>
                <w:sz w:val="23"/>
                <w:szCs w:val="23"/>
                <w:color w:val="auto"/>
              </w:rPr>
            </w:pPr>
          </w:p>
        </w:tc>
        <w:tc>
          <w:tcPr>
            <w:tcW w:w="8780" w:type="dxa"/>
            <w:vAlign w:val="bottom"/>
            <w:tcBorders>
              <w:bottom w:val="single" w:sz="8" w:color="DCE2EF"/>
            </w:tcBorders>
            <w:gridSpan w:val="2"/>
          </w:tcPr>
          <w:p>
            <w:pPr>
              <w:ind w:left="200"/>
              <w:spacing w:after="0"/>
              <w:rPr>
                <w:sz w:val="20"/>
                <w:szCs w:val="20"/>
                <w:color w:val="auto"/>
              </w:rPr>
            </w:pPr>
            <w:r>
              <w:rPr>
                <w:rFonts w:ascii="Arial" w:cs="Arial" w:eastAsia="Arial" w:hAnsi="Arial"/>
                <w:sz w:val="16"/>
                <w:szCs w:val="16"/>
                <w:color w:val="auto"/>
              </w:rPr>
              <w:t>Recognition of deferred revenue</w:t>
            </w:r>
          </w:p>
        </w:tc>
        <w:tc>
          <w:tcPr>
            <w:tcW w:w="32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(163.4)</w:t>
            </w:r>
          </w:p>
        </w:tc>
      </w:tr>
      <w:tr>
        <w:trPr>
          <w:trHeight w:val="248"/>
        </w:trPr>
        <w:tc>
          <w:tcPr>
            <w:tcW w:w="20" w:type="dxa"/>
            <w:vAlign w:val="bottom"/>
            <w:tcBorders>
              <w:bottom w:val="single" w:sz="8" w:color="DCE2EF"/>
            </w:tcBorders>
            <w:shd w:val="clear" w:color="auto" w:fill="DCE2EF"/>
          </w:tcPr>
          <w:p>
            <w:pPr>
              <w:spacing w:after="0"/>
              <w:rPr>
                <w:sz w:val="21"/>
                <w:szCs w:val="21"/>
                <w:color w:val="auto"/>
              </w:rPr>
            </w:pPr>
          </w:p>
        </w:tc>
        <w:tc>
          <w:tcPr>
            <w:tcW w:w="8780" w:type="dxa"/>
            <w:vAlign w:val="bottom"/>
            <w:tcBorders>
              <w:bottom w:val="single" w:sz="8" w:color="DCE2EF"/>
            </w:tcBorders>
            <w:gridSpan w:val="2"/>
            <w:shd w:val="clear" w:color="auto" w:fill="DCE2EF"/>
          </w:tcPr>
          <w:p>
            <w:pPr>
              <w:ind w:left="200"/>
              <w:spacing w:after="0"/>
              <w:rPr>
                <w:sz w:val="20"/>
                <w:szCs w:val="20"/>
                <w:color w:val="auto"/>
              </w:rPr>
            </w:pPr>
            <w:r>
              <w:rPr>
                <w:rFonts w:ascii="Arial" w:cs="Arial" w:eastAsia="Arial" w:hAnsi="Arial"/>
                <w:sz w:val="16"/>
                <w:szCs w:val="16"/>
                <w:color w:val="auto"/>
              </w:rPr>
              <w:t>Balance at end of period</w:t>
            </w:r>
          </w:p>
        </w:tc>
        <w:tc>
          <w:tcPr>
            <w:tcW w:w="320" w:type="dxa"/>
            <w:vAlign w:val="bottom"/>
            <w:tcBorders>
              <w:bottom w:val="single" w:sz="8" w:color="auto"/>
            </w:tcBorders>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128.1</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00" w:type="dxa"/>
            <w:vAlign w:val="bottom"/>
            <w:tcBorders>
              <w:top w:val="single" w:sz="8" w:color="DCE2EF"/>
            </w:tcBorders>
          </w:tcPr>
          <w:p>
            <w:pPr>
              <w:spacing w:after="0" w:line="20" w:lineRule="exact"/>
              <w:rPr>
                <w:sz w:val="1"/>
                <w:szCs w:val="1"/>
                <w:color w:val="auto"/>
              </w:rPr>
            </w:pPr>
          </w:p>
        </w:tc>
        <w:tc>
          <w:tcPr>
            <w:tcW w:w="808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2120" w:type="dxa"/>
            <w:vAlign w:val="bottom"/>
            <w:tcBorders>
              <w:top w:val="single" w:sz="8" w:color="DCE2E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left="180" w:hanging="173"/>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Included in “Other accrued liabilities” on the unaudited Consolidated Balance Sheets.</w:t>
      </w:r>
    </w:p>
    <w:p>
      <w:pPr>
        <w:spacing w:after="0" w:line="200" w:lineRule="exact"/>
        <w:rPr>
          <w:rFonts w:ascii="Arial" w:cs="Arial" w:eastAsia="Arial" w:hAnsi="Arial"/>
          <w:sz w:val="21"/>
          <w:szCs w:val="21"/>
          <w:color w:val="auto"/>
          <w:vertAlign w:val="superscript"/>
        </w:rPr>
      </w:pPr>
    </w:p>
    <w:p>
      <w:pPr>
        <w:spacing w:after="0" w:line="320" w:lineRule="exact"/>
        <w:rPr>
          <w:rFonts w:ascii="Arial" w:cs="Arial" w:eastAsia="Arial" w:hAnsi="Arial"/>
          <w:sz w:val="21"/>
          <w:szCs w:val="21"/>
          <w:color w:val="auto"/>
          <w:vertAlign w:val="superscript"/>
        </w:rPr>
      </w:pPr>
    </w:p>
    <w:p>
      <w:pPr>
        <w:ind w:left="5520"/>
        <w:spacing w:after="0"/>
        <w:rPr>
          <w:rFonts w:ascii="Arial" w:cs="Arial" w:eastAsia="Arial" w:hAnsi="Arial"/>
          <w:sz w:val="21"/>
          <w:szCs w:val="21"/>
          <w:color w:val="auto"/>
          <w:vertAlign w:val="superscript"/>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0046AD"/>
        </w:rPr>
        <w:t>5. 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Basic and Diluted Net Income Per Common Share Calculations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10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April 30,</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April 30,</w:t>
            </w: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i w:val="1"/>
                <w:iCs w:val="1"/>
                <w:color w:val="auto"/>
              </w:rPr>
              <w:t>(in millions, except per share amounts)</w:t>
            </w:r>
          </w:p>
        </w:tc>
        <w:tc>
          <w:tcPr>
            <w:tcW w:w="1220" w:type="dxa"/>
            <w:vAlign w:val="bottom"/>
          </w:tcPr>
          <w:p>
            <w:pPr>
              <w:jc w:val="right"/>
              <w:ind w:right="79"/>
              <w:spacing w:after="0" w:line="168" w:lineRule="exact"/>
              <w:rPr>
                <w:sz w:val="20"/>
                <w:szCs w:val="20"/>
                <w:color w:val="auto"/>
              </w:rPr>
            </w:pPr>
            <w:r>
              <w:rPr>
                <w:rFonts w:ascii="Arial" w:cs="Arial" w:eastAsia="Arial" w:hAnsi="Arial"/>
                <w:sz w:val="16"/>
                <w:szCs w:val="16"/>
                <w:b w:val="1"/>
                <w:bCs w:val="1"/>
                <w:color w:val="auto"/>
              </w:rPr>
              <w:t>2025</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99"/>
              <w:spacing w:after="0" w:line="168" w:lineRule="exact"/>
              <w:rPr>
                <w:sz w:val="20"/>
                <w:szCs w:val="20"/>
                <w:color w:val="auto"/>
              </w:rPr>
            </w:pPr>
            <w:r>
              <w:rPr>
                <w:rFonts w:ascii="Arial" w:cs="Arial" w:eastAsia="Arial" w:hAnsi="Arial"/>
                <w:sz w:val="16"/>
                <w:szCs w:val="16"/>
                <w:b w:val="1"/>
                <w:bCs w:val="1"/>
                <w:color w:val="auto"/>
              </w:rPr>
              <w:t>2024</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19"/>
              <w:spacing w:after="0" w:line="168" w:lineRule="exact"/>
              <w:rPr>
                <w:sz w:val="20"/>
                <w:szCs w:val="20"/>
                <w:color w:val="auto"/>
              </w:rPr>
            </w:pPr>
            <w:r>
              <w:rPr>
                <w:rFonts w:ascii="Arial" w:cs="Arial" w:eastAsia="Arial" w:hAnsi="Arial"/>
                <w:sz w:val="16"/>
                <w:szCs w:val="16"/>
                <w:b w:val="1"/>
                <w:bCs w:val="1"/>
                <w:color w:val="auto"/>
              </w:rPr>
              <w:t>2025</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39"/>
              <w:spacing w:after="0" w:line="168" w:lineRule="exact"/>
              <w:rPr>
                <w:sz w:val="20"/>
                <w:szCs w:val="20"/>
                <w:color w:val="auto"/>
              </w:rPr>
            </w:pPr>
            <w:r>
              <w:rPr>
                <w:rFonts w:ascii="Arial" w:cs="Arial" w:eastAsia="Arial" w:hAnsi="Arial"/>
                <w:sz w:val="16"/>
                <w:szCs w:val="16"/>
                <w:b w:val="1"/>
                <w:bCs w:val="1"/>
                <w:color w:val="auto"/>
              </w:rPr>
              <w:t>2024</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520" w:type="dxa"/>
            <w:vAlign w:val="bottom"/>
            <w:tcBorders>
              <w:top w:val="single" w:sz="8" w:color="auto"/>
              <w:bottom w:val="single" w:sz="8" w:color="DCE2EF"/>
            </w:tcBorders>
          </w:tcPr>
          <w:p>
            <w:pPr>
              <w:spacing w:after="0" w:line="20" w:lineRule="exact"/>
              <w:rPr>
                <w:sz w:val="1"/>
                <w:szCs w:val="1"/>
                <w:color w:val="auto"/>
              </w:rPr>
            </w:pPr>
          </w:p>
        </w:tc>
        <w:tc>
          <w:tcPr>
            <w:tcW w:w="1820" w:type="dxa"/>
            <w:vAlign w:val="bottom"/>
            <w:tcBorders>
              <w:bottom w:val="single" w:sz="8" w:color="DCE2E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434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Net income</w:t>
            </w:r>
          </w:p>
        </w:tc>
        <w:tc>
          <w:tcPr>
            <w:tcW w:w="1220" w:type="dxa"/>
            <w:vAlign w:val="bottom"/>
            <w:shd w:val="clear" w:color="auto" w:fill="DCE2EF"/>
          </w:tcPr>
          <w:p>
            <w:pPr>
              <w:jc w:val="right"/>
              <w:ind w:right="103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DCE2EF"/>
          </w:tcPr>
          <w:p>
            <w:pPr>
              <w:spacing w:after="0"/>
              <w:rPr>
                <w:sz w:val="18"/>
                <w:szCs w:val="18"/>
                <w:color w:val="auto"/>
              </w:rPr>
            </w:pPr>
          </w:p>
        </w:tc>
        <w:tc>
          <w:tcPr>
            <w:tcW w:w="1240" w:type="dxa"/>
            <w:vAlign w:val="bottom"/>
            <w:shd w:val="clear" w:color="auto" w:fill="DCE2EF"/>
          </w:tcPr>
          <w:p>
            <w:pPr>
              <w:jc w:val="right"/>
              <w:ind w:right="1039"/>
              <w:spacing w:after="0"/>
              <w:rPr>
                <w:sz w:val="20"/>
                <w:szCs w:val="20"/>
                <w:color w:val="auto"/>
              </w:rPr>
            </w:pPr>
            <w:r>
              <w:rPr>
                <w:rFonts w:ascii="Arial" w:cs="Arial" w:eastAsia="Arial" w:hAnsi="Arial"/>
                <w:sz w:val="16"/>
                <w:szCs w:val="16"/>
                <w:color w:val="auto"/>
              </w:rPr>
              <w:t>$</w:t>
            </w:r>
          </w:p>
        </w:tc>
        <w:tc>
          <w:tcPr>
            <w:tcW w:w="5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43.8</w:t>
            </w:r>
          </w:p>
        </w:tc>
        <w:tc>
          <w:tcPr>
            <w:tcW w:w="120" w:type="dxa"/>
            <w:vAlign w:val="bottom"/>
            <w:shd w:val="clear" w:color="auto" w:fill="DCE2EF"/>
          </w:tcPr>
          <w:p>
            <w:pPr>
              <w:spacing w:after="0"/>
              <w:rPr>
                <w:sz w:val="18"/>
                <w:szCs w:val="18"/>
                <w:color w:val="auto"/>
              </w:rPr>
            </w:pPr>
          </w:p>
        </w:tc>
        <w:tc>
          <w:tcPr>
            <w:tcW w:w="1040" w:type="dxa"/>
            <w:vAlign w:val="bottom"/>
            <w:shd w:val="clear" w:color="auto" w:fill="DCE2EF"/>
          </w:tcPr>
          <w:p>
            <w:pPr>
              <w:jc w:val="right"/>
              <w:ind w:right="8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85.8</w:t>
            </w:r>
          </w:p>
        </w:tc>
        <w:tc>
          <w:tcPr>
            <w:tcW w:w="100" w:type="dxa"/>
            <w:vAlign w:val="bottom"/>
            <w:shd w:val="clear" w:color="auto" w:fill="DCE2EF"/>
          </w:tcPr>
          <w:p>
            <w:pPr>
              <w:spacing w:after="0"/>
              <w:rPr>
                <w:sz w:val="18"/>
                <w:szCs w:val="18"/>
                <w:color w:val="auto"/>
              </w:rPr>
            </w:pPr>
          </w:p>
        </w:tc>
        <w:tc>
          <w:tcPr>
            <w:tcW w:w="1060" w:type="dxa"/>
            <w:vAlign w:val="bottom"/>
            <w:shd w:val="clear" w:color="auto" w:fill="DCE2EF"/>
          </w:tcPr>
          <w:p>
            <w:pPr>
              <w:jc w:val="right"/>
              <w:ind w:right="87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DCE2EF"/>
          </w:tcPr>
          <w:p>
            <w:pPr>
              <w:spacing w:after="0"/>
              <w:rPr>
                <w:sz w:val="14"/>
                <w:szCs w:val="14"/>
                <w:color w:val="auto"/>
              </w:rPr>
            </w:pPr>
          </w:p>
        </w:tc>
        <w:tc>
          <w:tcPr>
            <w:tcW w:w="4340" w:type="dxa"/>
            <w:vAlign w:val="bottom"/>
            <w:gridSpan w:val="2"/>
            <w:shd w:val="clear" w:color="auto" w:fill="DCE2EF"/>
          </w:tcPr>
          <w:p>
            <w:pPr>
              <w:spacing w:after="0" w:line="161" w:lineRule="exact"/>
              <w:rPr>
                <w:sz w:val="20"/>
                <w:szCs w:val="20"/>
                <w:color w:val="auto"/>
              </w:rPr>
            </w:pPr>
            <w:r>
              <w:rPr>
                <w:rFonts w:ascii="Arial" w:cs="Arial" w:eastAsia="Arial" w:hAnsi="Arial"/>
                <w:sz w:val="16"/>
                <w:szCs w:val="16"/>
                <w:b w:val="1"/>
                <w:bCs w:val="1"/>
                <w:color w:val="auto"/>
              </w:rPr>
              <w:t>Weighted-average common and common</w:t>
            </w:r>
          </w:p>
        </w:tc>
        <w:tc>
          <w:tcPr>
            <w:tcW w:w="1220" w:type="dxa"/>
            <w:vAlign w:val="bottom"/>
            <w:shd w:val="clear" w:color="auto" w:fill="DCE2EF"/>
          </w:tcPr>
          <w:p>
            <w:pPr>
              <w:spacing w:after="0"/>
              <w:rPr>
                <w:sz w:val="14"/>
                <w:szCs w:val="14"/>
                <w:color w:val="auto"/>
              </w:rPr>
            </w:pPr>
          </w:p>
        </w:tc>
        <w:tc>
          <w:tcPr>
            <w:tcW w:w="54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62.6</w:t>
            </w:r>
          </w:p>
        </w:tc>
        <w:tc>
          <w:tcPr>
            <w:tcW w:w="100" w:type="dxa"/>
            <w:vAlign w:val="bottom"/>
            <w:shd w:val="clear" w:color="auto" w:fill="DCE2EF"/>
          </w:tcPr>
          <w:p>
            <w:pPr>
              <w:spacing w:after="0"/>
              <w:rPr>
                <w:sz w:val="14"/>
                <w:szCs w:val="14"/>
                <w:color w:val="auto"/>
              </w:rPr>
            </w:pPr>
          </w:p>
        </w:tc>
        <w:tc>
          <w:tcPr>
            <w:tcW w:w="1240" w:type="dxa"/>
            <w:vAlign w:val="bottom"/>
            <w:shd w:val="clear" w:color="auto" w:fill="DCE2EF"/>
          </w:tcPr>
          <w:p>
            <w:pPr>
              <w:spacing w:after="0"/>
              <w:rPr>
                <w:sz w:val="14"/>
                <w:szCs w:val="14"/>
                <w:color w:val="auto"/>
              </w:rPr>
            </w:pP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63.3</w:t>
            </w:r>
          </w:p>
        </w:tc>
        <w:tc>
          <w:tcPr>
            <w:tcW w:w="120" w:type="dxa"/>
            <w:vAlign w:val="bottom"/>
            <w:shd w:val="clear" w:color="auto" w:fill="DCE2EF"/>
          </w:tcPr>
          <w:p>
            <w:pPr>
              <w:spacing w:after="0"/>
              <w:rPr>
                <w:sz w:val="14"/>
                <w:szCs w:val="14"/>
                <w:color w:val="auto"/>
              </w:rPr>
            </w:pPr>
          </w:p>
        </w:tc>
        <w:tc>
          <w:tcPr>
            <w:tcW w:w="1040" w:type="dxa"/>
            <w:vAlign w:val="bottom"/>
            <w:shd w:val="clear" w:color="auto" w:fill="DCE2EF"/>
          </w:tcPr>
          <w:p>
            <w:pPr>
              <w:spacing w:after="0"/>
              <w:rPr>
                <w:sz w:val="14"/>
                <w:szCs w:val="14"/>
                <w:color w:val="auto"/>
              </w:rPr>
            </w:pPr>
          </w:p>
        </w:tc>
        <w:tc>
          <w:tcPr>
            <w:tcW w:w="48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62.7</w:t>
            </w:r>
          </w:p>
        </w:tc>
        <w:tc>
          <w:tcPr>
            <w:tcW w:w="100" w:type="dxa"/>
            <w:vAlign w:val="bottom"/>
            <w:shd w:val="clear" w:color="auto" w:fill="DCE2EF"/>
          </w:tcPr>
          <w:p>
            <w:pPr>
              <w:spacing w:after="0"/>
              <w:rPr>
                <w:sz w:val="14"/>
                <w:szCs w:val="14"/>
                <w:color w:val="auto"/>
              </w:rPr>
            </w:pPr>
          </w:p>
        </w:tc>
        <w:tc>
          <w:tcPr>
            <w:tcW w:w="1060" w:type="dxa"/>
            <w:vAlign w:val="bottom"/>
            <w:shd w:val="clear" w:color="auto" w:fill="DCE2EF"/>
          </w:tcPr>
          <w:p>
            <w:pPr>
              <w:spacing w:after="0"/>
              <w:rPr>
                <w:sz w:val="14"/>
                <w:szCs w:val="14"/>
                <w:color w:val="auto"/>
              </w:rPr>
            </w:pPr>
          </w:p>
        </w:tc>
        <w:tc>
          <w:tcPr>
            <w:tcW w:w="46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4340" w:type="dxa"/>
            <w:vAlign w:val="bottom"/>
            <w:gridSpan w:val="2"/>
            <w:shd w:val="clear" w:color="auto" w:fill="DCE2EF"/>
          </w:tcPr>
          <w:p>
            <w:pPr>
              <w:ind w:left="260"/>
              <w:spacing w:after="0"/>
              <w:rPr>
                <w:sz w:val="20"/>
                <w:szCs w:val="20"/>
                <w:color w:val="auto"/>
              </w:rPr>
            </w:pPr>
            <w:r>
              <w:rPr>
                <w:rFonts w:ascii="Arial" w:cs="Arial" w:eastAsia="Arial" w:hAnsi="Arial"/>
                <w:sz w:val="16"/>
                <w:szCs w:val="16"/>
                <w:b w:val="1"/>
                <w:bCs w:val="1"/>
                <w:color w:val="auto"/>
              </w:rPr>
              <w:t>equivalent shares outstanding — Basic</w:t>
            </w:r>
          </w:p>
        </w:tc>
        <w:tc>
          <w:tcPr>
            <w:tcW w:w="1220" w:type="dxa"/>
            <w:vAlign w:val="bottom"/>
            <w:shd w:val="clear" w:color="auto" w:fill="DCE2EF"/>
          </w:tcPr>
          <w:p>
            <w:pPr>
              <w:spacing w:after="0"/>
              <w:rPr>
                <w:sz w:val="18"/>
                <w:szCs w:val="18"/>
                <w:color w:val="auto"/>
              </w:rPr>
            </w:pPr>
          </w:p>
        </w:tc>
        <w:tc>
          <w:tcPr>
            <w:tcW w:w="540" w:type="dxa"/>
            <w:vAlign w:val="bottom"/>
            <w:vMerge w:val="continue"/>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240" w:type="dxa"/>
            <w:vAlign w:val="bottom"/>
            <w:shd w:val="clear" w:color="auto" w:fill="DCE2EF"/>
          </w:tcPr>
          <w:p>
            <w:pPr>
              <w:spacing w:after="0"/>
              <w:rPr>
                <w:sz w:val="18"/>
                <w:szCs w:val="18"/>
                <w:color w:val="auto"/>
              </w:rPr>
            </w:pPr>
          </w:p>
        </w:tc>
        <w:tc>
          <w:tcPr>
            <w:tcW w:w="520" w:type="dxa"/>
            <w:vAlign w:val="bottom"/>
            <w:vMerge w:val="continue"/>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40" w:type="dxa"/>
            <w:vAlign w:val="bottom"/>
            <w:shd w:val="clear" w:color="auto" w:fill="DCE2EF"/>
          </w:tcPr>
          <w:p>
            <w:pPr>
              <w:spacing w:after="0"/>
              <w:rPr>
                <w:sz w:val="18"/>
                <w:szCs w:val="18"/>
                <w:color w:val="auto"/>
              </w:rPr>
            </w:pPr>
          </w:p>
        </w:tc>
        <w:tc>
          <w:tcPr>
            <w:tcW w:w="480" w:type="dxa"/>
            <w:vAlign w:val="bottom"/>
            <w:vMerge w:val="continue"/>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060" w:type="dxa"/>
            <w:vAlign w:val="bottom"/>
            <w:shd w:val="clear" w:color="auto" w:fill="DCE2EF"/>
          </w:tcPr>
          <w:p>
            <w:pPr>
              <w:spacing w:after="0"/>
              <w:rPr>
                <w:sz w:val="18"/>
                <w:szCs w:val="18"/>
                <w:color w:val="auto"/>
              </w:rPr>
            </w:pPr>
          </w:p>
        </w:tc>
        <w:tc>
          <w:tcPr>
            <w:tcW w:w="460" w:type="dxa"/>
            <w:vAlign w:val="bottom"/>
            <w:vMerge w:val="continue"/>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6"/>
                <w:szCs w:val="16"/>
                <w:color w:val="auto"/>
              </w:rPr>
              <w:t>Effect of dilutive securities</w:t>
            </w: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434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Restricted stock units</w:t>
            </w:r>
          </w:p>
        </w:tc>
        <w:tc>
          <w:tcPr>
            <w:tcW w:w="1220" w:type="dxa"/>
            <w:vAlign w:val="bottom"/>
            <w:shd w:val="clear" w:color="auto" w:fill="DCE2EF"/>
          </w:tcPr>
          <w:p>
            <w:pPr>
              <w:spacing w:after="0"/>
              <w:rPr>
                <w:sz w:val="18"/>
                <w:szCs w:val="18"/>
                <w:color w:val="auto"/>
              </w:rPr>
            </w:pPr>
          </w:p>
        </w:tc>
        <w:tc>
          <w:tcPr>
            <w:tcW w:w="5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DCE2EF"/>
          </w:tcPr>
          <w:p>
            <w:pPr>
              <w:spacing w:after="0"/>
              <w:rPr>
                <w:sz w:val="18"/>
                <w:szCs w:val="18"/>
                <w:color w:val="auto"/>
              </w:rPr>
            </w:pPr>
          </w:p>
        </w:tc>
        <w:tc>
          <w:tcPr>
            <w:tcW w:w="1240" w:type="dxa"/>
            <w:vAlign w:val="bottom"/>
            <w:shd w:val="clear" w:color="auto" w:fill="DCE2EF"/>
          </w:tcPr>
          <w:p>
            <w:pPr>
              <w:spacing w:after="0"/>
              <w:rPr>
                <w:sz w:val="18"/>
                <w:szCs w:val="18"/>
                <w:color w:val="auto"/>
              </w:rPr>
            </w:pPr>
          </w:p>
        </w:tc>
        <w:tc>
          <w:tcPr>
            <w:tcW w:w="5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DCE2EF"/>
          </w:tcPr>
          <w:p>
            <w:pPr>
              <w:spacing w:after="0"/>
              <w:rPr>
                <w:sz w:val="18"/>
                <w:szCs w:val="18"/>
                <w:color w:val="auto"/>
              </w:rPr>
            </w:pPr>
          </w:p>
        </w:tc>
        <w:tc>
          <w:tcPr>
            <w:tcW w:w="1040" w:type="dxa"/>
            <w:vAlign w:val="bottom"/>
            <w:shd w:val="clear" w:color="auto" w:fill="DCE2EF"/>
          </w:tcPr>
          <w:p>
            <w:pPr>
              <w:spacing w:after="0"/>
              <w:rPr>
                <w:sz w:val="18"/>
                <w:szCs w:val="18"/>
                <w:color w:val="auto"/>
              </w:rPr>
            </w:pPr>
          </w:p>
        </w:tc>
        <w:tc>
          <w:tcPr>
            <w:tcW w:w="4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DCE2EF"/>
          </w:tcPr>
          <w:p>
            <w:pPr>
              <w:spacing w:after="0"/>
              <w:rPr>
                <w:sz w:val="18"/>
                <w:szCs w:val="18"/>
                <w:color w:val="auto"/>
              </w:rPr>
            </w:pPr>
          </w:p>
        </w:tc>
        <w:tc>
          <w:tcPr>
            <w:tcW w:w="1060" w:type="dxa"/>
            <w:vAlign w:val="bottom"/>
            <w:shd w:val="clear" w:color="auto" w:fill="DCE2EF"/>
          </w:tcPr>
          <w:p>
            <w:pPr>
              <w:spacing w:after="0"/>
              <w:rPr>
                <w:sz w:val="18"/>
                <w:szCs w:val="18"/>
                <w:color w:val="auto"/>
              </w:rPr>
            </w:pPr>
          </w:p>
        </w:tc>
        <w:tc>
          <w:tcPr>
            <w:tcW w:w="4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4"/>
        </w:trPr>
        <w:tc>
          <w:tcPr>
            <w:tcW w:w="20" w:type="dxa"/>
            <w:vAlign w:val="bottom"/>
            <w:tcBorders>
              <w:bottom w:val="single" w:sz="8" w:color="DCE2EF"/>
            </w:tcBorders>
          </w:tcPr>
          <w:p>
            <w:pPr>
              <w:spacing w:after="0"/>
              <w:rPr>
                <w:sz w:val="18"/>
                <w:szCs w:val="18"/>
                <w:color w:val="auto"/>
              </w:rPr>
            </w:pPr>
          </w:p>
        </w:tc>
        <w:tc>
          <w:tcPr>
            <w:tcW w:w="4340" w:type="dxa"/>
            <w:vAlign w:val="bottom"/>
            <w:tcBorders>
              <w:bottom w:val="single" w:sz="8" w:color="DCE2EF"/>
            </w:tcBorders>
            <w:gridSpan w:val="2"/>
          </w:tcPr>
          <w:p>
            <w:pPr>
              <w:ind w:left="320"/>
              <w:spacing w:after="0"/>
              <w:rPr>
                <w:sz w:val="20"/>
                <w:szCs w:val="20"/>
                <w:color w:val="auto"/>
              </w:rPr>
            </w:pPr>
            <w:r>
              <w:rPr>
                <w:rFonts w:ascii="Arial" w:cs="Arial" w:eastAsia="Arial" w:hAnsi="Arial"/>
                <w:sz w:val="16"/>
                <w:szCs w:val="16"/>
                <w:color w:val="auto"/>
              </w:rPr>
              <w:t>Performance shares</w:t>
            </w: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DCE2E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DCE2E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DCE2E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42"/>
        </w:trPr>
        <w:tc>
          <w:tcPr>
            <w:tcW w:w="20" w:type="dxa"/>
            <w:vAlign w:val="bottom"/>
            <w:shd w:val="clear" w:color="auto" w:fill="DCE2EF"/>
          </w:tcPr>
          <w:p>
            <w:pPr>
              <w:spacing w:after="0"/>
              <w:rPr>
                <w:sz w:val="12"/>
                <w:szCs w:val="12"/>
                <w:color w:val="auto"/>
              </w:rPr>
            </w:pPr>
          </w:p>
        </w:tc>
        <w:tc>
          <w:tcPr>
            <w:tcW w:w="4340" w:type="dxa"/>
            <w:vAlign w:val="bottom"/>
            <w:gridSpan w:val="2"/>
            <w:shd w:val="clear" w:color="auto" w:fill="DCE2EF"/>
          </w:tcPr>
          <w:p>
            <w:pPr>
              <w:spacing w:after="0" w:line="142" w:lineRule="exact"/>
              <w:rPr>
                <w:sz w:val="20"/>
                <w:szCs w:val="20"/>
                <w:color w:val="auto"/>
              </w:rPr>
            </w:pPr>
            <w:r>
              <w:rPr>
                <w:rFonts w:ascii="Arial" w:cs="Arial" w:eastAsia="Arial" w:hAnsi="Arial"/>
                <w:sz w:val="16"/>
                <w:szCs w:val="16"/>
                <w:b w:val="1"/>
                <w:bCs w:val="1"/>
                <w:color w:val="auto"/>
              </w:rPr>
              <w:t>Weighted-average common and common</w:t>
            </w:r>
          </w:p>
        </w:tc>
        <w:tc>
          <w:tcPr>
            <w:tcW w:w="1220" w:type="dxa"/>
            <w:vAlign w:val="bottom"/>
            <w:shd w:val="clear" w:color="auto" w:fill="DCE2EF"/>
          </w:tcPr>
          <w:p>
            <w:pPr>
              <w:spacing w:after="0"/>
              <w:rPr>
                <w:sz w:val="12"/>
                <w:szCs w:val="12"/>
                <w:color w:val="auto"/>
              </w:rPr>
            </w:pPr>
          </w:p>
        </w:tc>
        <w:tc>
          <w:tcPr>
            <w:tcW w:w="54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DCE2EF"/>
          </w:tcPr>
          <w:p>
            <w:pPr>
              <w:spacing w:after="0"/>
              <w:rPr>
                <w:sz w:val="12"/>
                <w:szCs w:val="12"/>
                <w:color w:val="auto"/>
              </w:rPr>
            </w:pPr>
          </w:p>
        </w:tc>
        <w:tc>
          <w:tcPr>
            <w:tcW w:w="1240" w:type="dxa"/>
            <w:vAlign w:val="bottom"/>
            <w:shd w:val="clear" w:color="auto" w:fill="DCE2EF"/>
          </w:tcPr>
          <w:p>
            <w:pPr>
              <w:spacing w:after="0"/>
              <w:rPr>
                <w:sz w:val="12"/>
                <w:szCs w:val="12"/>
                <w:color w:val="auto"/>
              </w:rPr>
            </w:pP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63.5</w:t>
            </w:r>
          </w:p>
        </w:tc>
        <w:tc>
          <w:tcPr>
            <w:tcW w:w="120" w:type="dxa"/>
            <w:vAlign w:val="bottom"/>
            <w:shd w:val="clear" w:color="auto" w:fill="DCE2EF"/>
          </w:tcPr>
          <w:p>
            <w:pPr>
              <w:spacing w:after="0"/>
              <w:rPr>
                <w:sz w:val="12"/>
                <w:szCs w:val="12"/>
                <w:color w:val="auto"/>
              </w:rPr>
            </w:pPr>
          </w:p>
        </w:tc>
        <w:tc>
          <w:tcPr>
            <w:tcW w:w="1040" w:type="dxa"/>
            <w:vAlign w:val="bottom"/>
            <w:shd w:val="clear" w:color="auto" w:fill="DCE2EF"/>
          </w:tcPr>
          <w:p>
            <w:pPr>
              <w:spacing w:after="0"/>
              <w:rPr>
                <w:sz w:val="12"/>
                <w:szCs w:val="12"/>
                <w:color w:val="auto"/>
              </w:rPr>
            </w:pPr>
          </w:p>
        </w:tc>
        <w:tc>
          <w:tcPr>
            <w:tcW w:w="48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DCE2EF"/>
          </w:tcPr>
          <w:p>
            <w:pPr>
              <w:spacing w:after="0"/>
              <w:rPr>
                <w:sz w:val="12"/>
                <w:szCs w:val="12"/>
                <w:color w:val="auto"/>
              </w:rPr>
            </w:pPr>
          </w:p>
        </w:tc>
        <w:tc>
          <w:tcPr>
            <w:tcW w:w="1060" w:type="dxa"/>
            <w:vAlign w:val="bottom"/>
            <w:shd w:val="clear" w:color="auto" w:fill="DCE2EF"/>
          </w:tcPr>
          <w:p>
            <w:pPr>
              <w:spacing w:after="0"/>
              <w:rPr>
                <w:sz w:val="12"/>
                <w:szCs w:val="12"/>
                <w:color w:val="auto"/>
              </w:rPr>
            </w:pPr>
          </w:p>
        </w:tc>
        <w:tc>
          <w:tcPr>
            <w:tcW w:w="46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08"/>
        </w:trPr>
        <w:tc>
          <w:tcPr>
            <w:tcW w:w="20" w:type="dxa"/>
            <w:vAlign w:val="bottom"/>
            <w:tcBorders>
              <w:bottom w:val="single" w:sz="8" w:color="DCE2EF"/>
            </w:tcBorders>
            <w:shd w:val="clear" w:color="auto" w:fill="DCE2EF"/>
          </w:tcPr>
          <w:p>
            <w:pPr>
              <w:spacing w:after="0"/>
              <w:rPr>
                <w:sz w:val="18"/>
                <w:szCs w:val="18"/>
                <w:color w:val="auto"/>
              </w:rPr>
            </w:pPr>
          </w:p>
        </w:tc>
        <w:tc>
          <w:tcPr>
            <w:tcW w:w="4340" w:type="dxa"/>
            <w:vAlign w:val="bottom"/>
            <w:tcBorders>
              <w:bottom w:val="single" w:sz="8" w:color="DCE2EF"/>
            </w:tcBorders>
            <w:gridSpan w:val="2"/>
            <w:shd w:val="clear" w:color="auto" w:fill="DCE2EF"/>
          </w:tcPr>
          <w:p>
            <w:pPr>
              <w:ind w:left="260"/>
              <w:spacing w:after="0"/>
              <w:rPr>
                <w:sz w:val="20"/>
                <w:szCs w:val="20"/>
                <w:color w:val="auto"/>
              </w:rPr>
            </w:pPr>
            <w:r>
              <w:rPr>
                <w:rFonts w:ascii="Arial" w:cs="Arial" w:eastAsia="Arial" w:hAnsi="Arial"/>
                <w:sz w:val="16"/>
                <w:szCs w:val="16"/>
                <w:b w:val="1"/>
                <w:bCs w:val="1"/>
                <w:color w:val="auto"/>
              </w:rPr>
              <w:t>equivalent shares outstanding — Diluted</w:t>
            </w:r>
          </w:p>
        </w:tc>
        <w:tc>
          <w:tcPr>
            <w:tcW w:w="1220" w:type="dxa"/>
            <w:vAlign w:val="bottom"/>
            <w:tcBorders>
              <w:bottom w:val="single" w:sz="8" w:color="auto"/>
            </w:tcBorders>
            <w:shd w:val="clear" w:color="auto" w:fill="DCE2EF"/>
          </w:tcPr>
          <w:p>
            <w:pPr>
              <w:spacing w:after="0"/>
              <w:rPr>
                <w:sz w:val="18"/>
                <w:szCs w:val="18"/>
                <w:color w:val="auto"/>
              </w:rPr>
            </w:pPr>
          </w:p>
        </w:tc>
        <w:tc>
          <w:tcPr>
            <w:tcW w:w="540" w:type="dxa"/>
            <w:vAlign w:val="bottom"/>
            <w:tcBorders>
              <w:bottom w:val="single" w:sz="8" w:color="auto"/>
            </w:tcBorders>
            <w:vMerge w:val="continue"/>
            <w:shd w:val="clear" w:color="auto" w:fill="DCE2EF"/>
          </w:tcPr>
          <w:p>
            <w:pPr>
              <w:spacing w:after="0"/>
              <w:rPr>
                <w:sz w:val="18"/>
                <w:szCs w:val="18"/>
                <w:color w:val="auto"/>
              </w:rPr>
            </w:pPr>
          </w:p>
        </w:tc>
        <w:tc>
          <w:tcPr>
            <w:tcW w:w="100" w:type="dxa"/>
            <w:vAlign w:val="bottom"/>
            <w:tcBorders>
              <w:bottom w:val="single" w:sz="8" w:color="DCE2EF"/>
            </w:tcBorders>
            <w:shd w:val="clear" w:color="auto" w:fill="DCE2EF"/>
          </w:tcPr>
          <w:p>
            <w:pPr>
              <w:spacing w:after="0"/>
              <w:rPr>
                <w:sz w:val="18"/>
                <w:szCs w:val="18"/>
                <w:color w:val="auto"/>
              </w:rPr>
            </w:pPr>
          </w:p>
        </w:tc>
        <w:tc>
          <w:tcPr>
            <w:tcW w:w="1240" w:type="dxa"/>
            <w:vAlign w:val="bottom"/>
            <w:tcBorders>
              <w:bottom w:val="single" w:sz="8" w:color="auto"/>
            </w:tcBorders>
            <w:shd w:val="clear" w:color="auto" w:fill="DCE2EF"/>
          </w:tcPr>
          <w:p>
            <w:pPr>
              <w:spacing w:after="0"/>
              <w:rPr>
                <w:sz w:val="18"/>
                <w:szCs w:val="18"/>
                <w:color w:val="auto"/>
              </w:rPr>
            </w:pPr>
          </w:p>
        </w:tc>
        <w:tc>
          <w:tcPr>
            <w:tcW w:w="520" w:type="dxa"/>
            <w:vAlign w:val="bottom"/>
            <w:tcBorders>
              <w:bottom w:val="single" w:sz="8" w:color="auto"/>
            </w:tcBorders>
            <w:vMerge w:val="continue"/>
            <w:shd w:val="clear" w:color="auto" w:fill="DCE2EF"/>
          </w:tcPr>
          <w:p>
            <w:pPr>
              <w:spacing w:after="0"/>
              <w:rPr>
                <w:sz w:val="18"/>
                <w:szCs w:val="18"/>
                <w:color w:val="auto"/>
              </w:rPr>
            </w:pPr>
          </w:p>
        </w:tc>
        <w:tc>
          <w:tcPr>
            <w:tcW w:w="120" w:type="dxa"/>
            <w:vAlign w:val="bottom"/>
            <w:tcBorders>
              <w:bottom w:val="single" w:sz="8" w:color="DCE2EF"/>
            </w:tcBorders>
            <w:shd w:val="clear" w:color="auto" w:fill="DCE2EF"/>
          </w:tcPr>
          <w:p>
            <w:pPr>
              <w:spacing w:after="0"/>
              <w:rPr>
                <w:sz w:val="18"/>
                <w:szCs w:val="18"/>
                <w:color w:val="auto"/>
              </w:rPr>
            </w:pPr>
          </w:p>
        </w:tc>
        <w:tc>
          <w:tcPr>
            <w:tcW w:w="1040" w:type="dxa"/>
            <w:vAlign w:val="bottom"/>
            <w:tcBorders>
              <w:bottom w:val="single" w:sz="8" w:color="auto"/>
            </w:tcBorders>
            <w:shd w:val="clear" w:color="auto" w:fill="DCE2EF"/>
          </w:tcPr>
          <w:p>
            <w:pPr>
              <w:spacing w:after="0"/>
              <w:rPr>
                <w:sz w:val="18"/>
                <w:szCs w:val="18"/>
                <w:color w:val="auto"/>
              </w:rPr>
            </w:pPr>
          </w:p>
        </w:tc>
        <w:tc>
          <w:tcPr>
            <w:tcW w:w="480" w:type="dxa"/>
            <w:vAlign w:val="bottom"/>
            <w:tcBorders>
              <w:bottom w:val="single" w:sz="8" w:color="auto"/>
            </w:tcBorders>
            <w:vMerge w:val="continue"/>
            <w:shd w:val="clear" w:color="auto" w:fill="DCE2EF"/>
          </w:tcPr>
          <w:p>
            <w:pPr>
              <w:spacing w:after="0"/>
              <w:rPr>
                <w:sz w:val="18"/>
                <w:szCs w:val="18"/>
                <w:color w:val="auto"/>
              </w:rPr>
            </w:pPr>
          </w:p>
        </w:tc>
        <w:tc>
          <w:tcPr>
            <w:tcW w:w="100" w:type="dxa"/>
            <w:vAlign w:val="bottom"/>
            <w:tcBorders>
              <w:bottom w:val="single" w:sz="8" w:color="DCE2EF"/>
            </w:tcBorders>
            <w:shd w:val="clear" w:color="auto" w:fill="DCE2EF"/>
          </w:tcPr>
          <w:p>
            <w:pPr>
              <w:spacing w:after="0"/>
              <w:rPr>
                <w:sz w:val="18"/>
                <w:szCs w:val="18"/>
                <w:color w:val="auto"/>
              </w:rPr>
            </w:pPr>
          </w:p>
        </w:tc>
        <w:tc>
          <w:tcPr>
            <w:tcW w:w="1060" w:type="dxa"/>
            <w:vAlign w:val="bottom"/>
            <w:tcBorders>
              <w:bottom w:val="single" w:sz="8" w:color="auto"/>
            </w:tcBorders>
            <w:shd w:val="clear" w:color="auto" w:fill="DCE2EF"/>
          </w:tcPr>
          <w:p>
            <w:pPr>
              <w:spacing w:after="0"/>
              <w:rPr>
                <w:sz w:val="18"/>
                <w:szCs w:val="18"/>
                <w:color w:val="auto"/>
              </w:rPr>
            </w:pPr>
          </w:p>
        </w:tc>
        <w:tc>
          <w:tcPr>
            <w:tcW w:w="460" w:type="dxa"/>
            <w:vAlign w:val="bottom"/>
            <w:tcBorders>
              <w:bottom w:val="single" w:sz="8" w:color="auto"/>
            </w:tcBorders>
            <w:vMerge w:val="continue"/>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520" w:type="dxa"/>
            <w:vAlign w:val="bottom"/>
            <w:tcBorders>
              <w:top w:val="single" w:sz="8" w:color="DCE2EF"/>
            </w:tcBorders>
          </w:tcPr>
          <w:p>
            <w:pPr>
              <w:spacing w:after="0" w:line="20" w:lineRule="exact"/>
              <w:rPr>
                <w:sz w:val="1"/>
                <w:szCs w:val="1"/>
                <w:color w:val="auto"/>
              </w:rPr>
            </w:pPr>
          </w:p>
        </w:tc>
        <w:tc>
          <w:tcPr>
            <w:tcW w:w="1820" w:type="dxa"/>
            <w:vAlign w:val="bottom"/>
            <w:tcBorders>
              <w:top w:val="single" w:sz="8" w:color="DCE2EF"/>
            </w:tcBorders>
          </w:tcPr>
          <w:p>
            <w:pPr>
              <w:spacing w:after="0" w:line="20" w:lineRule="exact"/>
              <w:rPr>
                <w:sz w:val="1"/>
                <w:szCs w:val="1"/>
                <w:color w:val="auto"/>
              </w:rPr>
            </w:pPr>
          </w:p>
        </w:tc>
        <w:tc>
          <w:tcPr>
            <w:tcW w:w="1220" w:type="dxa"/>
            <w:vAlign w:val="bottom"/>
            <w:tcBorders>
              <w:top w:val="single" w:sz="8" w:color="DCE2EF"/>
              <w:bottom w:val="single" w:sz="8" w:color="auto"/>
            </w:tcBorders>
          </w:tcPr>
          <w:p>
            <w:pPr>
              <w:spacing w:after="0" w:line="20" w:lineRule="exact"/>
              <w:rPr>
                <w:sz w:val="1"/>
                <w:szCs w:val="1"/>
                <w:color w:val="auto"/>
              </w:rPr>
            </w:pPr>
          </w:p>
        </w:tc>
        <w:tc>
          <w:tcPr>
            <w:tcW w:w="5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240" w:type="dxa"/>
            <w:vAlign w:val="bottom"/>
            <w:tcBorders>
              <w:top w:val="single" w:sz="8" w:color="DCE2EF"/>
              <w:bottom w:val="single" w:sz="8" w:color="auto"/>
            </w:tcBorders>
          </w:tcPr>
          <w:p>
            <w:pPr>
              <w:spacing w:after="0" w:line="20" w:lineRule="exact"/>
              <w:rPr>
                <w:sz w:val="1"/>
                <w:szCs w:val="1"/>
                <w:color w:val="auto"/>
              </w:rPr>
            </w:pPr>
          </w:p>
        </w:tc>
        <w:tc>
          <w:tcPr>
            <w:tcW w:w="52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040" w:type="dxa"/>
            <w:vAlign w:val="bottom"/>
            <w:tcBorders>
              <w:top w:val="single" w:sz="8" w:color="DCE2EF"/>
              <w:bottom w:val="single" w:sz="8" w:color="auto"/>
            </w:tcBorders>
          </w:tcPr>
          <w:p>
            <w:pPr>
              <w:spacing w:after="0" w:line="20" w:lineRule="exact"/>
              <w:rPr>
                <w:sz w:val="1"/>
                <w:szCs w:val="1"/>
                <w:color w:val="auto"/>
              </w:rPr>
            </w:pPr>
          </w:p>
        </w:tc>
        <w:tc>
          <w:tcPr>
            <w:tcW w:w="4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060" w:type="dxa"/>
            <w:vAlign w:val="bottom"/>
            <w:tcBorders>
              <w:top w:val="single" w:sz="8" w:color="DCE2EF"/>
              <w:bottom w:val="single" w:sz="8" w:color="auto"/>
            </w:tcBorders>
          </w:tcPr>
          <w:p>
            <w:pPr>
              <w:spacing w:after="0" w:line="20" w:lineRule="exact"/>
              <w:rPr>
                <w:sz w:val="1"/>
                <w:szCs w:val="1"/>
                <w:color w:val="auto"/>
              </w:rPr>
            </w:pPr>
          </w:p>
        </w:tc>
        <w:tc>
          <w:tcPr>
            <w:tcW w:w="46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434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Net income per common share</w:t>
            </w:r>
          </w:p>
        </w:tc>
        <w:tc>
          <w:tcPr>
            <w:tcW w:w="1220" w:type="dxa"/>
            <w:vAlign w:val="bottom"/>
            <w:shd w:val="clear" w:color="auto" w:fill="DCE2EF"/>
          </w:tcPr>
          <w:p>
            <w:pPr>
              <w:spacing w:after="0"/>
              <w:rPr>
                <w:sz w:val="18"/>
                <w:szCs w:val="18"/>
                <w:color w:val="auto"/>
              </w:rPr>
            </w:pPr>
          </w:p>
        </w:tc>
        <w:tc>
          <w:tcPr>
            <w:tcW w:w="54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240" w:type="dxa"/>
            <w:vAlign w:val="bottom"/>
            <w:shd w:val="clear" w:color="auto" w:fill="DCE2EF"/>
          </w:tcPr>
          <w:p>
            <w:pPr>
              <w:spacing w:after="0"/>
              <w:rPr>
                <w:sz w:val="18"/>
                <w:szCs w:val="18"/>
                <w:color w:val="auto"/>
              </w:rPr>
            </w:pPr>
          </w:p>
        </w:tc>
        <w:tc>
          <w:tcPr>
            <w:tcW w:w="5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40" w:type="dxa"/>
            <w:vAlign w:val="bottom"/>
            <w:shd w:val="clear" w:color="auto" w:fill="DCE2EF"/>
          </w:tcPr>
          <w:p>
            <w:pPr>
              <w:spacing w:after="0"/>
              <w:rPr>
                <w:sz w:val="18"/>
                <w:szCs w:val="18"/>
                <w:color w:val="auto"/>
              </w:rPr>
            </w:pPr>
          </w:p>
        </w:tc>
        <w:tc>
          <w:tcPr>
            <w:tcW w:w="48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060" w:type="dxa"/>
            <w:vAlign w:val="bottom"/>
            <w:shd w:val="clear" w:color="auto" w:fill="DCE2EF"/>
          </w:tcPr>
          <w:p>
            <w:pPr>
              <w:spacing w:after="0"/>
              <w:rPr>
                <w:sz w:val="18"/>
                <w:szCs w:val="18"/>
                <w:color w:val="auto"/>
              </w:rPr>
            </w:pPr>
          </w:p>
        </w:tc>
        <w:tc>
          <w:tcPr>
            <w:tcW w:w="46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40" w:type="dxa"/>
            <w:vAlign w:val="bottom"/>
            <w:gridSpan w:val="2"/>
          </w:tcPr>
          <w:p>
            <w:pPr>
              <w:ind w:left="320"/>
              <w:spacing w:after="0"/>
              <w:rPr>
                <w:sz w:val="20"/>
                <w:szCs w:val="20"/>
                <w:color w:val="auto"/>
              </w:rPr>
            </w:pPr>
            <w:r>
              <w:rPr>
                <w:rFonts w:ascii="Arial" w:cs="Arial" w:eastAsia="Arial" w:hAnsi="Arial"/>
                <w:sz w:val="16"/>
                <w:szCs w:val="16"/>
                <w:color w:val="auto"/>
              </w:rPr>
              <w:t>Basic</w:t>
            </w: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18"/>
                <w:szCs w:val="18"/>
                <w:color w:val="auto"/>
              </w:rPr>
            </w:pPr>
          </w:p>
        </w:tc>
        <w:tc>
          <w:tcPr>
            <w:tcW w:w="1240" w:type="dxa"/>
            <w:vAlign w:val="bottom"/>
          </w:tcPr>
          <w:p>
            <w:pPr>
              <w:jc w:val="right"/>
              <w:ind w:right="103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0.69</w:t>
            </w:r>
          </w:p>
        </w:tc>
        <w:tc>
          <w:tcPr>
            <w:tcW w:w="120" w:type="dxa"/>
            <w:vAlign w:val="bottom"/>
          </w:tcPr>
          <w:p>
            <w:pPr>
              <w:spacing w:after="0"/>
              <w:rPr>
                <w:sz w:val="18"/>
                <w:szCs w:val="18"/>
                <w:color w:val="auto"/>
              </w:rPr>
            </w:pP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434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Diluted</w:t>
            </w:r>
          </w:p>
        </w:tc>
        <w:tc>
          <w:tcPr>
            <w:tcW w:w="1220" w:type="dxa"/>
            <w:vAlign w:val="bottom"/>
            <w:shd w:val="clear" w:color="auto" w:fill="DCE2EF"/>
          </w:tcPr>
          <w:p>
            <w:pPr>
              <w:jc w:val="right"/>
              <w:ind w:right="103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0.67</w:t>
            </w:r>
          </w:p>
        </w:tc>
        <w:tc>
          <w:tcPr>
            <w:tcW w:w="100" w:type="dxa"/>
            <w:vAlign w:val="bottom"/>
            <w:shd w:val="clear" w:color="auto" w:fill="DCE2EF"/>
          </w:tcPr>
          <w:p>
            <w:pPr>
              <w:spacing w:after="0"/>
              <w:rPr>
                <w:sz w:val="18"/>
                <w:szCs w:val="18"/>
                <w:color w:val="auto"/>
              </w:rPr>
            </w:pPr>
          </w:p>
        </w:tc>
        <w:tc>
          <w:tcPr>
            <w:tcW w:w="1240" w:type="dxa"/>
            <w:vAlign w:val="bottom"/>
            <w:shd w:val="clear" w:color="auto" w:fill="DCE2EF"/>
          </w:tcPr>
          <w:p>
            <w:pPr>
              <w:jc w:val="right"/>
              <w:ind w:right="1039"/>
              <w:spacing w:after="0"/>
              <w:rPr>
                <w:sz w:val="20"/>
                <w:szCs w:val="20"/>
                <w:color w:val="auto"/>
              </w:rPr>
            </w:pPr>
            <w:r>
              <w:rPr>
                <w:rFonts w:ascii="Arial" w:cs="Arial" w:eastAsia="Arial" w:hAnsi="Arial"/>
                <w:sz w:val="16"/>
                <w:szCs w:val="16"/>
                <w:color w:val="auto"/>
              </w:rPr>
              <w:t>$</w:t>
            </w:r>
          </w:p>
        </w:tc>
        <w:tc>
          <w:tcPr>
            <w:tcW w:w="5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0.69</w:t>
            </w:r>
          </w:p>
        </w:tc>
        <w:tc>
          <w:tcPr>
            <w:tcW w:w="120" w:type="dxa"/>
            <w:vAlign w:val="bottom"/>
            <w:shd w:val="clear" w:color="auto" w:fill="DCE2EF"/>
          </w:tcPr>
          <w:p>
            <w:pPr>
              <w:spacing w:after="0"/>
              <w:rPr>
                <w:sz w:val="18"/>
                <w:szCs w:val="18"/>
                <w:color w:val="auto"/>
              </w:rPr>
            </w:pPr>
          </w:p>
        </w:tc>
        <w:tc>
          <w:tcPr>
            <w:tcW w:w="1040" w:type="dxa"/>
            <w:vAlign w:val="bottom"/>
            <w:shd w:val="clear" w:color="auto" w:fill="DCE2EF"/>
          </w:tcPr>
          <w:p>
            <w:pPr>
              <w:jc w:val="right"/>
              <w:ind w:right="8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DCE2EF"/>
          </w:tcPr>
          <w:p>
            <w:pPr>
              <w:spacing w:after="0"/>
              <w:rPr>
                <w:sz w:val="18"/>
                <w:szCs w:val="18"/>
                <w:color w:val="auto"/>
              </w:rPr>
            </w:pPr>
          </w:p>
        </w:tc>
        <w:tc>
          <w:tcPr>
            <w:tcW w:w="1060" w:type="dxa"/>
            <w:vAlign w:val="bottom"/>
            <w:shd w:val="clear" w:color="auto" w:fill="DCE2EF"/>
          </w:tcPr>
          <w:p>
            <w:pPr>
              <w:jc w:val="right"/>
              <w:ind w:right="87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Anti-Dilutive Outstanding Stock Awards Issued Under Share-Based Compensation Plans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140" w:type="dxa"/>
            <w:vAlign w:val="bottom"/>
            <w:tcBorders>
              <w:bottom w:val="single" w:sz="8" w:color="auto"/>
            </w:tcBorders>
            <w:gridSpan w:val="4"/>
          </w:tcPr>
          <w:p>
            <w:pPr>
              <w:ind w:left="680"/>
              <w:spacing w:after="0"/>
              <w:rPr>
                <w:sz w:val="20"/>
                <w:szCs w:val="20"/>
                <w:color w:val="auto"/>
              </w:rPr>
            </w:pPr>
            <w:r>
              <w:rPr>
                <w:rFonts w:ascii="Arial" w:cs="Arial" w:eastAsia="Arial" w:hAnsi="Arial"/>
                <w:sz w:val="16"/>
                <w:szCs w:val="16"/>
                <w:b w:val="1"/>
                <w:bCs w:val="1"/>
                <w:color w:val="auto"/>
              </w:rPr>
              <w:t>Three Months Ended April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rPr>
              <w:t>Six Months Ended April 30,</w:t>
            </w:r>
          </w:p>
        </w:tc>
        <w:tc>
          <w:tcPr>
            <w:tcW w:w="420" w:type="dxa"/>
            <w:vAlign w:val="bottom"/>
            <w:tcBorders>
              <w:bottom w:val="single" w:sz="8" w:color="auto"/>
            </w:tcBorders>
          </w:tcPr>
          <w:p>
            <w:pPr>
              <w:spacing w:after="0"/>
              <w:rPr>
                <w:sz w:val="18"/>
                <w:szCs w:val="18"/>
                <w:color w:val="auto"/>
              </w:rPr>
            </w:pPr>
          </w:p>
        </w:tc>
      </w:tr>
      <w:tr>
        <w:trPr>
          <w:trHeight w:val="168"/>
        </w:trPr>
        <w:tc>
          <w:tcPr>
            <w:tcW w:w="20" w:type="dxa"/>
            <w:vAlign w:val="bottom"/>
          </w:tcPr>
          <w:p>
            <w:pPr>
              <w:spacing w:after="0"/>
              <w:rPr>
                <w:sz w:val="14"/>
                <w:szCs w:val="14"/>
                <w:color w:val="auto"/>
              </w:rPr>
            </w:pPr>
          </w:p>
        </w:tc>
        <w:tc>
          <w:tcPr>
            <w:tcW w:w="436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i w:val="1"/>
                <w:iCs w:val="1"/>
                <w:color w:val="auto"/>
              </w:rPr>
              <w:t>(in millions)</w:t>
            </w:r>
          </w:p>
        </w:tc>
        <w:tc>
          <w:tcPr>
            <w:tcW w:w="1260" w:type="dxa"/>
            <w:vAlign w:val="bottom"/>
          </w:tcPr>
          <w:p>
            <w:pPr>
              <w:ind w:left="700"/>
              <w:spacing w:after="0" w:line="168" w:lineRule="exact"/>
              <w:rPr>
                <w:sz w:val="20"/>
                <w:szCs w:val="20"/>
                <w:color w:val="auto"/>
              </w:rPr>
            </w:pPr>
            <w:r>
              <w:rPr>
                <w:rFonts w:ascii="Arial" w:cs="Arial" w:eastAsia="Arial" w:hAnsi="Arial"/>
                <w:sz w:val="16"/>
                <w:szCs w:val="16"/>
                <w:b w:val="1"/>
                <w:bCs w:val="1"/>
                <w:color w:val="auto"/>
              </w:rPr>
              <w:t>2025</w:t>
            </w:r>
          </w:p>
        </w:tc>
        <w:tc>
          <w:tcPr>
            <w:tcW w:w="1880" w:type="dxa"/>
            <w:vAlign w:val="bottom"/>
            <w:gridSpan w:val="3"/>
          </w:tcPr>
          <w:p>
            <w:pPr>
              <w:jc w:val="right"/>
              <w:ind w:right="220"/>
              <w:spacing w:after="0" w:line="168" w:lineRule="exact"/>
              <w:rPr>
                <w:sz w:val="20"/>
                <w:szCs w:val="20"/>
                <w:color w:val="auto"/>
              </w:rPr>
            </w:pPr>
            <w:r>
              <w:rPr>
                <w:rFonts w:ascii="Arial" w:cs="Arial" w:eastAsia="Arial" w:hAnsi="Arial"/>
                <w:sz w:val="16"/>
                <w:szCs w:val="16"/>
                <w:b w:val="1"/>
                <w:bCs w:val="1"/>
                <w:color w:val="auto"/>
              </w:rPr>
              <w:t>2024</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79"/>
              <w:spacing w:after="0" w:line="168" w:lineRule="exact"/>
              <w:rPr>
                <w:sz w:val="20"/>
                <w:szCs w:val="20"/>
                <w:color w:val="auto"/>
              </w:rPr>
            </w:pPr>
            <w:r>
              <w:rPr>
                <w:rFonts w:ascii="Arial" w:cs="Arial" w:eastAsia="Arial" w:hAnsi="Arial"/>
                <w:sz w:val="16"/>
                <w:szCs w:val="16"/>
                <w:b w:val="1"/>
                <w:bCs w:val="1"/>
                <w:color w:val="auto"/>
              </w:rPr>
              <w:t>2025</w:t>
            </w:r>
          </w:p>
        </w:tc>
        <w:tc>
          <w:tcPr>
            <w:tcW w:w="1620" w:type="dxa"/>
            <w:vAlign w:val="bottom"/>
            <w:gridSpan w:val="3"/>
          </w:tcPr>
          <w:p>
            <w:pPr>
              <w:jc w:val="right"/>
              <w:ind w:right="160"/>
              <w:spacing w:after="0" w:line="168" w:lineRule="exact"/>
              <w:rPr>
                <w:sz w:val="20"/>
                <w:szCs w:val="20"/>
                <w:color w:val="auto"/>
              </w:rPr>
            </w:pPr>
            <w:r>
              <w:rPr>
                <w:rFonts w:ascii="Arial" w:cs="Arial" w:eastAsia="Arial" w:hAnsi="Arial"/>
                <w:sz w:val="16"/>
                <w:szCs w:val="16"/>
                <w:b w:val="1"/>
                <w:bCs w:val="1"/>
                <w:color w:val="auto"/>
              </w:rPr>
              <w:t>2024</w:t>
            </w:r>
          </w:p>
        </w:tc>
        <w:tc>
          <w:tcPr>
            <w:tcW w:w="420" w:type="dxa"/>
            <w:vAlign w:val="bottom"/>
          </w:tcPr>
          <w:p>
            <w:pPr>
              <w:spacing w:after="0"/>
              <w:rPr>
                <w:sz w:val="14"/>
                <w:szCs w:val="14"/>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800" w:type="dxa"/>
            <w:vAlign w:val="bottom"/>
            <w:tcBorders>
              <w:top w:val="single" w:sz="8" w:color="auto"/>
              <w:bottom w:val="single" w:sz="8" w:color="DCE2EF"/>
            </w:tcBorders>
          </w:tcPr>
          <w:p>
            <w:pPr>
              <w:spacing w:after="0" w:line="20" w:lineRule="exact"/>
              <w:rPr>
                <w:sz w:val="1"/>
                <w:szCs w:val="1"/>
                <w:color w:val="auto"/>
              </w:rPr>
            </w:pPr>
          </w:p>
        </w:tc>
        <w:tc>
          <w:tcPr>
            <w:tcW w:w="3560" w:type="dxa"/>
            <w:vAlign w:val="bottom"/>
            <w:tcBorders>
              <w:bottom w:val="single" w:sz="8" w:color="DCE2E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436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Anti-dilutive</w:t>
            </w:r>
          </w:p>
        </w:tc>
        <w:tc>
          <w:tcPr>
            <w:tcW w:w="1260" w:type="dxa"/>
            <w:vAlign w:val="bottom"/>
            <w:shd w:val="clear" w:color="auto" w:fill="DCE2EF"/>
          </w:tcPr>
          <w:p>
            <w:pPr>
              <w:spacing w:after="0"/>
              <w:rPr>
                <w:sz w:val="18"/>
                <w:szCs w:val="18"/>
                <w:color w:val="auto"/>
              </w:rPr>
            </w:pPr>
          </w:p>
        </w:tc>
        <w:tc>
          <w:tcPr>
            <w:tcW w:w="5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DCE2EF"/>
          </w:tcPr>
          <w:p>
            <w:pPr>
              <w:spacing w:after="0"/>
              <w:rPr>
                <w:sz w:val="18"/>
                <w:szCs w:val="18"/>
                <w:color w:val="auto"/>
              </w:rPr>
            </w:pPr>
          </w:p>
        </w:tc>
        <w:tc>
          <w:tcPr>
            <w:tcW w:w="1280" w:type="dxa"/>
            <w:vAlign w:val="bottom"/>
            <w:shd w:val="clear" w:color="auto" w:fill="DCE2EF"/>
          </w:tcPr>
          <w:p>
            <w:pPr>
              <w:spacing w:after="0"/>
              <w:rPr>
                <w:sz w:val="18"/>
                <w:szCs w:val="18"/>
                <w:color w:val="auto"/>
              </w:rPr>
            </w:pPr>
          </w:p>
        </w:tc>
        <w:tc>
          <w:tcPr>
            <w:tcW w:w="4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DCE2EF"/>
          </w:tcPr>
          <w:p>
            <w:pPr>
              <w:spacing w:after="0"/>
              <w:rPr>
                <w:sz w:val="18"/>
                <w:szCs w:val="18"/>
                <w:color w:val="auto"/>
              </w:rPr>
            </w:pPr>
          </w:p>
        </w:tc>
        <w:tc>
          <w:tcPr>
            <w:tcW w:w="1100" w:type="dxa"/>
            <w:vAlign w:val="bottom"/>
            <w:shd w:val="clear" w:color="auto" w:fill="DCE2EF"/>
          </w:tcPr>
          <w:p>
            <w:pPr>
              <w:spacing w:after="0"/>
              <w:rPr>
                <w:sz w:val="18"/>
                <w:szCs w:val="18"/>
                <w:color w:val="auto"/>
              </w:rPr>
            </w:pPr>
          </w:p>
        </w:tc>
        <w:tc>
          <w:tcPr>
            <w:tcW w:w="4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DCE2EF"/>
          </w:tcPr>
          <w:p>
            <w:pPr>
              <w:spacing w:after="0"/>
              <w:rPr>
                <w:sz w:val="18"/>
                <w:szCs w:val="18"/>
                <w:color w:val="auto"/>
              </w:rPr>
            </w:pPr>
          </w:p>
        </w:tc>
        <w:tc>
          <w:tcPr>
            <w:tcW w:w="1100" w:type="dxa"/>
            <w:vAlign w:val="bottom"/>
            <w:shd w:val="clear" w:color="auto" w:fill="DCE2EF"/>
          </w:tcPr>
          <w:p>
            <w:pPr>
              <w:spacing w:after="0"/>
              <w:rPr>
                <w:sz w:val="18"/>
                <w:szCs w:val="18"/>
                <w:color w:val="auto"/>
              </w:rPr>
            </w:pPr>
          </w:p>
        </w:tc>
        <w:tc>
          <w:tcPr>
            <w:tcW w:w="4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0.3</w:t>
            </w: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0046AD"/>
        </w:rPr>
        <w:t>6. 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Fair Value Hierarchy of Our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Assets and Liabilities Measured at Fair Value on a Recurring Basis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68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(in millions)</w:t>
            </w: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Fair Value</w:t>
            </w:r>
          </w:p>
        </w:tc>
        <w:tc>
          <w:tcPr>
            <w:tcW w:w="280" w:type="dxa"/>
            <w:vAlign w:val="bottom"/>
          </w:tcPr>
          <w:p>
            <w:pPr>
              <w:spacing w:after="0"/>
              <w:rPr>
                <w:sz w:val="16"/>
                <w:szCs w:val="16"/>
                <w:color w:val="auto"/>
              </w:rPr>
            </w:pPr>
          </w:p>
        </w:tc>
        <w:tc>
          <w:tcPr>
            <w:tcW w:w="17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April 30, 2025</w:t>
            </w:r>
          </w:p>
        </w:tc>
        <w:tc>
          <w:tcPr>
            <w:tcW w:w="220" w:type="dxa"/>
            <w:vAlign w:val="bottom"/>
          </w:tcPr>
          <w:p>
            <w:pPr>
              <w:spacing w:after="0"/>
              <w:rPr>
                <w:sz w:val="16"/>
                <w:szCs w:val="16"/>
                <w:color w:val="auto"/>
              </w:rPr>
            </w:pPr>
          </w:p>
        </w:tc>
        <w:tc>
          <w:tcPr>
            <w:tcW w:w="16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October 31, 2024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80" w:type="dxa"/>
            <w:vAlign w:val="bottom"/>
            <w:gridSpan w:val="2"/>
            <w:vMerge w:val="continue"/>
          </w:tcPr>
          <w:p>
            <w:pPr>
              <w:spacing w:after="0"/>
              <w:rPr>
                <w:sz w:val="15"/>
                <w:szCs w:val="15"/>
                <w:color w:val="auto"/>
              </w:rPr>
            </w:pPr>
          </w:p>
        </w:tc>
        <w:tc>
          <w:tcPr>
            <w:tcW w:w="164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rPr>
              <w:t>Hierarchy</w:t>
            </w:r>
          </w:p>
        </w:tc>
        <w:tc>
          <w:tcPr>
            <w:tcW w:w="28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4860" w:type="dxa"/>
            <w:vAlign w:val="bottom"/>
            <w:tcBorders>
              <w:bottom w:val="single" w:sz="8" w:color="DCE2E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5680" w:type="dxa"/>
            <w:vAlign w:val="bottom"/>
            <w:gridSpan w:val="2"/>
            <w:shd w:val="clear" w:color="auto" w:fill="DCE2EF"/>
          </w:tcPr>
          <w:p>
            <w:pPr>
              <w:spacing w:after="0" w:line="208" w:lineRule="exact"/>
              <w:rPr>
                <w:sz w:val="20"/>
                <w:szCs w:val="20"/>
                <w:color w:val="auto"/>
              </w:rPr>
            </w:pPr>
            <w:r>
              <w:rPr>
                <w:rFonts w:ascii="Arial" w:cs="Arial" w:eastAsia="Arial" w:hAnsi="Arial"/>
                <w:sz w:val="16"/>
                <w:szCs w:val="16"/>
                <w:color w:val="auto"/>
              </w:rPr>
              <w:t>Cash and cash equivalents</w:t>
            </w:r>
            <w:r>
              <w:rPr>
                <w:rFonts w:ascii="Arial" w:cs="Arial" w:eastAsia="Arial" w:hAnsi="Arial"/>
                <w:sz w:val="20"/>
                <w:szCs w:val="20"/>
                <w:color w:val="auto"/>
                <w:vertAlign w:val="superscript"/>
              </w:rPr>
              <w:t>(1)</w:t>
            </w:r>
          </w:p>
        </w:tc>
        <w:tc>
          <w:tcPr>
            <w:tcW w:w="154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1</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58.7</w:t>
            </w: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gridSpan w:val="2"/>
          </w:tcPr>
          <w:p>
            <w:pPr>
              <w:spacing w:after="0" w:line="215" w:lineRule="exact"/>
              <w:rPr>
                <w:sz w:val="20"/>
                <w:szCs w:val="20"/>
                <w:color w:val="auto"/>
              </w:rPr>
            </w:pPr>
            <w:r>
              <w:rPr>
                <w:rFonts w:ascii="Arial" w:cs="Arial" w:eastAsia="Arial" w:hAnsi="Arial"/>
                <w:sz w:val="16"/>
                <w:szCs w:val="16"/>
                <w:color w:val="auto"/>
              </w:rPr>
              <w:t>Insurance deposits</w:t>
            </w:r>
            <w:r>
              <w:rPr>
                <w:rFonts w:ascii="Arial" w:cs="Arial" w:eastAsia="Arial" w:hAnsi="Arial"/>
                <w:sz w:val="20"/>
                <w:szCs w:val="20"/>
                <w:color w:val="auto"/>
                <w:vertAlign w:val="superscript"/>
              </w:rPr>
              <w:t>(2)</w:t>
            </w:r>
          </w:p>
        </w:tc>
        <w:tc>
          <w:tcPr>
            <w:tcW w:w="1540" w:type="dxa"/>
            <w:vAlign w:val="bottom"/>
          </w:tcPr>
          <w:p>
            <w:pPr>
              <w:jc w:val="center"/>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5680" w:type="dxa"/>
            <w:vAlign w:val="bottom"/>
            <w:gridSpan w:val="2"/>
            <w:shd w:val="clear" w:color="auto" w:fill="DCE2EF"/>
          </w:tcPr>
          <w:p>
            <w:pPr>
              <w:spacing w:after="0" w:line="215" w:lineRule="exact"/>
              <w:rPr>
                <w:sz w:val="20"/>
                <w:szCs w:val="20"/>
                <w:color w:val="auto"/>
              </w:rPr>
            </w:pPr>
            <w:r>
              <w:rPr>
                <w:rFonts w:ascii="Arial" w:cs="Arial" w:eastAsia="Arial" w:hAnsi="Arial"/>
                <w:sz w:val="16"/>
                <w:szCs w:val="16"/>
                <w:color w:val="auto"/>
              </w:rPr>
              <w:t>Assets held in funded deferred compensation plan</w:t>
            </w:r>
            <w:r>
              <w:rPr>
                <w:rFonts w:ascii="Arial" w:cs="Arial" w:eastAsia="Arial" w:hAnsi="Arial"/>
                <w:sz w:val="20"/>
                <w:szCs w:val="20"/>
                <w:color w:val="auto"/>
                <w:vertAlign w:val="superscript"/>
              </w:rPr>
              <w:t>(3)</w:t>
            </w:r>
          </w:p>
        </w:tc>
        <w:tc>
          <w:tcPr>
            <w:tcW w:w="154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1</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16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16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gridSpan w:val="2"/>
          </w:tcPr>
          <w:p>
            <w:pPr>
              <w:spacing w:after="0" w:line="215" w:lineRule="exact"/>
              <w:rPr>
                <w:sz w:val="20"/>
                <w:szCs w:val="20"/>
                <w:color w:val="auto"/>
              </w:rPr>
            </w:pPr>
            <w:r>
              <w:rPr>
                <w:rFonts w:ascii="Arial" w:cs="Arial" w:eastAsia="Arial" w:hAnsi="Arial"/>
                <w:sz w:val="16"/>
                <w:szCs w:val="16"/>
                <w:color w:val="auto"/>
              </w:rPr>
              <w:t>Contingent consideration</w:t>
            </w:r>
            <w:r>
              <w:rPr>
                <w:rFonts w:ascii="Arial" w:cs="Arial" w:eastAsia="Arial" w:hAnsi="Arial"/>
                <w:sz w:val="20"/>
                <w:szCs w:val="20"/>
                <w:color w:val="auto"/>
                <w:vertAlign w:val="superscript"/>
              </w:rPr>
              <w:t>(7)</w:t>
            </w:r>
          </w:p>
        </w:tc>
        <w:tc>
          <w:tcPr>
            <w:tcW w:w="1540" w:type="dxa"/>
            <w:vAlign w:val="bottom"/>
          </w:tcPr>
          <w:p>
            <w:pPr>
              <w:jc w:val="center"/>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5680" w:type="dxa"/>
            <w:vAlign w:val="bottom"/>
            <w:gridSpan w:val="2"/>
            <w:shd w:val="clear" w:color="auto" w:fill="DCE2EF"/>
          </w:tcPr>
          <w:p>
            <w:pPr>
              <w:spacing w:after="0" w:line="215" w:lineRule="exact"/>
              <w:rPr>
                <w:sz w:val="20"/>
                <w:szCs w:val="20"/>
                <w:color w:val="auto"/>
              </w:rPr>
            </w:pPr>
            <w:r>
              <w:rPr>
                <w:rFonts w:ascii="Arial" w:cs="Arial" w:eastAsia="Arial" w:hAnsi="Arial"/>
                <w:sz w:val="16"/>
                <w:szCs w:val="16"/>
                <w:color w:val="auto"/>
              </w:rPr>
              <w:t>Credit facility</w:t>
            </w:r>
            <w:r>
              <w:rPr>
                <w:rFonts w:ascii="Arial" w:cs="Arial" w:eastAsia="Arial" w:hAnsi="Arial"/>
                <w:sz w:val="20"/>
                <w:szCs w:val="20"/>
                <w:color w:val="auto"/>
                <w:vertAlign w:val="superscript"/>
              </w:rPr>
              <w:t>(4)</w:t>
            </w:r>
          </w:p>
        </w:tc>
        <w:tc>
          <w:tcPr>
            <w:tcW w:w="154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2</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16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1,554.0</w:t>
            </w: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16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1,335.3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gridSpan w:val="2"/>
          </w:tcPr>
          <w:p>
            <w:pPr>
              <w:spacing w:after="0" w:line="215" w:lineRule="exact"/>
              <w:rPr>
                <w:sz w:val="20"/>
                <w:szCs w:val="20"/>
                <w:color w:val="auto"/>
              </w:rPr>
            </w:pPr>
            <w:r>
              <w:rPr>
                <w:rFonts w:ascii="Arial" w:cs="Arial" w:eastAsia="Arial" w:hAnsi="Arial"/>
                <w:sz w:val="16"/>
                <w:szCs w:val="16"/>
                <w:color w:val="auto"/>
              </w:rPr>
              <w:t>Interest rate swap assets</w:t>
            </w:r>
            <w:r>
              <w:rPr>
                <w:rFonts w:ascii="Arial" w:cs="Arial" w:eastAsia="Arial" w:hAnsi="Arial"/>
                <w:sz w:val="20"/>
                <w:szCs w:val="20"/>
                <w:color w:val="auto"/>
                <w:vertAlign w:val="superscript"/>
              </w:rPr>
              <w:t>(5)</w:t>
            </w:r>
          </w:p>
        </w:tc>
        <w:tc>
          <w:tcPr>
            <w:tcW w:w="1540" w:type="dxa"/>
            <w:vAlign w:val="bottom"/>
          </w:tcPr>
          <w:p>
            <w:pPr>
              <w:jc w:val="center"/>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5680" w:type="dxa"/>
            <w:vAlign w:val="bottom"/>
            <w:gridSpan w:val="2"/>
            <w:shd w:val="clear" w:color="auto" w:fill="DCE2EF"/>
          </w:tcPr>
          <w:p>
            <w:pPr>
              <w:spacing w:after="0" w:line="215" w:lineRule="exact"/>
              <w:rPr>
                <w:sz w:val="20"/>
                <w:szCs w:val="20"/>
                <w:color w:val="auto"/>
              </w:rPr>
            </w:pPr>
            <w:r>
              <w:rPr>
                <w:rFonts w:ascii="Arial" w:cs="Arial" w:eastAsia="Arial" w:hAnsi="Arial"/>
                <w:sz w:val="16"/>
                <w:szCs w:val="16"/>
                <w:color w:val="auto"/>
              </w:rPr>
              <w:t>Interest rate swap liabilities</w:t>
            </w:r>
            <w:r>
              <w:rPr>
                <w:rFonts w:ascii="Arial" w:cs="Arial" w:eastAsia="Arial" w:hAnsi="Arial"/>
                <w:sz w:val="20"/>
                <w:szCs w:val="20"/>
                <w:color w:val="auto"/>
                <w:vertAlign w:val="superscript"/>
              </w:rPr>
              <w:t>(5)</w:t>
            </w:r>
          </w:p>
        </w:tc>
        <w:tc>
          <w:tcPr>
            <w:tcW w:w="154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2</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16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16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gridSpan w:val="2"/>
          </w:tcPr>
          <w:p>
            <w:pPr>
              <w:spacing w:after="0" w:line="215" w:lineRule="exact"/>
              <w:rPr>
                <w:sz w:val="20"/>
                <w:szCs w:val="20"/>
                <w:color w:val="auto"/>
              </w:rPr>
            </w:pPr>
            <w:r>
              <w:rPr>
                <w:rFonts w:ascii="Arial" w:cs="Arial" w:eastAsia="Arial" w:hAnsi="Arial"/>
                <w:sz w:val="16"/>
                <w:szCs w:val="16"/>
                <w:color w:val="auto"/>
              </w:rPr>
              <w:t>Preferred equity investment</w:t>
            </w:r>
            <w:r>
              <w:rPr>
                <w:rFonts w:ascii="Arial" w:cs="Arial" w:eastAsia="Arial" w:hAnsi="Arial"/>
                <w:sz w:val="20"/>
                <w:szCs w:val="20"/>
                <w:color w:val="auto"/>
                <w:vertAlign w:val="superscript"/>
              </w:rPr>
              <w:t>(6)</w:t>
            </w:r>
          </w:p>
        </w:tc>
        <w:tc>
          <w:tcPr>
            <w:tcW w:w="1540" w:type="dxa"/>
            <w:vAlign w:val="bottom"/>
          </w:tcPr>
          <w:p>
            <w:pPr>
              <w:jc w:val="center"/>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5680" w:type="dxa"/>
            <w:vAlign w:val="bottom"/>
            <w:gridSpan w:val="2"/>
            <w:shd w:val="clear" w:color="auto" w:fill="DCE2EF"/>
          </w:tcPr>
          <w:p>
            <w:pPr>
              <w:spacing w:after="0" w:line="215" w:lineRule="exact"/>
              <w:rPr>
                <w:sz w:val="20"/>
                <w:szCs w:val="20"/>
                <w:color w:val="auto"/>
              </w:rPr>
            </w:pPr>
            <w:r>
              <w:rPr>
                <w:rFonts w:ascii="Arial" w:cs="Arial" w:eastAsia="Arial" w:hAnsi="Arial"/>
                <w:sz w:val="16"/>
                <w:szCs w:val="16"/>
                <w:color w:val="auto"/>
              </w:rPr>
              <w:t>Contingent consideration</w:t>
            </w:r>
            <w:r>
              <w:rPr>
                <w:rFonts w:ascii="Arial" w:cs="Arial" w:eastAsia="Arial" w:hAnsi="Arial"/>
                <w:sz w:val="20"/>
                <w:szCs w:val="20"/>
                <w:color w:val="auto"/>
                <w:vertAlign w:val="superscript"/>
              </w:rPr>
              <w:t>(7)</w:t>
            </w:r>
          </w:p>
        </w:tc>
        <w:tc>
          <w:tcPr>
            <w:tcW w:w="154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3</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16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34.1</w:t>
            </w: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16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109.1</w:t>
            </w:r>
          </w:p>
        </w:tc>
        <w:tc>
          <w:tcPr>
            <w:tcW w:w="0" w:type="dxa"/>
            <w:vAlign w:val="bottom"/>
          </w:tcPr>
          <w:p>
            <w:pPr>
              <w:spacing w:after="0"/>
              <w:rPr>
                <w:sz w:val="1"/>
                <w:szCs w:val="1"/>
                <w:color w:val="auto"/>
              </w:rPr>
            </w:pPr>
          </w:p>
        </w:tc>
      </w:tr>
    </w:tbl>
    <w:p>
      <w:pPr>
        <w:spacing w:after="0" w:line="281" w:lineRule="exact"/>
        <w:rPr>
          <w:sz w:val="20"/>
          <w:szCs w:val="20"/>
          <w:color w:val="auto"/>
        </w:rPr>
      </w:pPr>
    </w:p>
    <w:p>
      <w:pPr>
        <w:ind w:left="160" w:hanging="153"/>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Cash and cash equivalents are stated at nominal value, which equals fair value.</w:t>
      </w:r>
    </w:p>
    <w:p>
      <w:pPr>
        <w:spacing w:after="0" w:line="102" w:lineRule="exact"/>
        <w:rPr>
          <w:rFonts w:ascii="Arial" w:cs="Arial" w:eastAsia="Arial" w:hAnsi="Arial"/>
          <w:sz w:val="18"/>
          <w:szCs w:val="18"/>
          <w:color w:val="auto"/>
          <w:vertAlign w:val="superscript"/>
        </w:rPr>
      </w:pPr>
    </w:p>
    <w:p>
      <w:pPr>
        <w:jc w:val="both"/>
        <w:ind w:left="160" w:hanging="153"/>
        <w:spacing w:after="0" w:line="232" w:lineRule="auto"/>
        <w:tabs>
          <w:tab w:leader="none" w:pos="191"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Represents restricted deposits that are used to collateralize our insurance obligations and are stated at nominal value, which equals fair value. These insurance deposits are included in “Other noncurrent assets” on the accompanying unaudited Consolidated Balance Sheets. See Note 7, “Insurance,” for further information.</w:t>
      </w:r>
    </w:p>
    <w:p>
      <w:pPr>
        <w:spacing w:after="0" w:line="96" w:lineRule="exact"/>
        <w:rPr>
          <w:rFonts w:ascii="Arial" w:cs="Arial" w:eastAsia="Arial" w:hAnsi="Arial"/>
          <w:sz w:val="21"/>
          <w:szCs w:val="21"/>
          <w:color w:val="auto"/>
          <w:vertAlign w:val="superscript"/>
        </w:rPr>
      </w:pPr>
    </w:p>
    <w:p>
      <w:pPr>
        <w:jc w:val="both"/>
        <w:ind w:left="160" w:hanging="153"/>
        <w:spacing w:after="0" w:line="237" w:lineRule="auto"/>
        <w:tabs>
          <w:tab w:leader="none" w:pos="181"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Represents investments held in a Rabbi trust associated with one of our deferred compensation plans, which we include in “Other noncurrent assets” on the accompanying unaudited Consolidated Balance Sheets. The fair value of the assets held in the funded deferred compensation plan is based on quoted market prices.</w:t>
      </w:r>
    </w:p>
    <w:p>
      <w:pPr>
        <w:spacing w:after="0" w:line="83" w:lineRule="exact"/>
        <w:rPr>
          <w:rFonts w:ascii="Arial" w:cs="Arial" w:eastAsia="Arial" w:hAnsi="Arial"/>
          <w:sz w:val="21"/>
          <w:szCs w:val="21"/>
          <w:color w:val="auto"/>
          <w:vertAlign w:val="superscript"/>
        </w:rPr>
      </w:pPr>
    </w:p>
    <w:p>
      <w:pPr>
        <w:ind w:left="160" w:right="20" w:hanging="153"/>
        <w:spacing w:after="0" w:line="226" w:lineRule="auto"/>
        <w:tabs>
          <w:tab w:leader="none" w:pos="181"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Represents gross outstanding borrowings under our Amended Credit Facility. Due to variable interest rates, the carrying value of outstanding borrowings under this facility approximates the fair value. See Note 8, “Credit Facility,” for further information.</w:t>
      </w:r>
    </w:p>
    <w:p>
      <w:pPr>
        <w:spacing w:after="0" w:line="96" w:lineRule="exact"/>
        <w:rPr>
          <w:rFonts w:ascii="Arial" w:cs="Arial" w:eastAsia="Arial" w:hAnsi="Arial"/>
          <w:sz w:val="21"/>
          <w:szCs w:val="21"/>
          <w:color w:val="auto"/>
          <w:vertAlign w:val="superscript"/>
        </w:rPr>
      </w:pPr>
    </w:p>
    <w:p>
      <w:pPr>
        <w:jc w:val="both"/>
        <w:ind w:left="160" w:hanging="153"/>
        <w:spacing w:after="0"/>
        <w:tabs>
          <w:tab w:leader="none" w:pos="179"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the Secured Overnight Financing Rate (“SOFR”) forward rates at the end of the period. Our interest rate swap assets and liabilities are included in “Other noncurrent assets” and “Other noncurrent liabilities,” respectively, on the accompanying unaudited Consolidated Balance Sheets. See Note 8, “Credit Facility,” for further information.</w:t>
      </w:r>
    </w:p>
    <w:p>
      <w:pPr>
        <w:spacing w:after="0" w:line="97" w:lineRule="exact"/>
        <w:rPr>
          <w:rFonts w:ascii="Arial" w:cs="Arial" w:eastAsia="Arial" w:hAnsi="Arial"/>
          <w:sz w:val="21"/>
          <w:szCs w:val="21"/>
          <w:color w:val="auto"/>
          <w:vertAlign w:val="superscript"/>
        </w:rPr>
      </w:pPr>
    </w:p>
    <w:p>
      <w:pPr>
        <w:ind w:left="160" w:right="20" w:hanging="153"/>
        <w:spacing w:after="0" w:line="290" w:lineRule="auto"/>
        <w:tabs>
          <w:tab w:leader="none" w:pos="156"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Our investments do not have a readily determinable fair value; therefore, we account for the investments using the measurement alternative under Topic 321 and measure the investments at initial cost plus or minus fair value adjustments if there are observable prices minus impairment, if any.</w:t>
      </w:r>
    </w:p>
    <w:p>
      <w:pPr>
        <w:spacing w:after="0" w:line="52" w:lineRule="exact"/>
        <w:rPr>
          <w:rFonts w:ascii="Arial" w:cs="Arial" w:eastAsia="Arial" w:hAnsi="Arial"/>
          <w:sz w:val="18"/>
          <w:szCs w:val="18"/>
          <w:color w:val="auto"/>
          <w:vertAlign w:val="superscript"/>
        </w:rPr>
      </w:pPr>
    </w:p>
    <w:p>
      <w:pPr>
        <w:jc w:val="both"/>
        <w:ind w:left="160" w:hanging="153"/>
        <w:spacing w:after="0" w:line="285" w:lineRule="auto"/>
        <w:tabs>
          <w:tab w:leader="none" w:pos="156"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Our contingent consideration payable related to the RavenVolt Acquisition is remeasured at each reporting date, based on significant inputs not observable in the market. The contingent consideration payment related to calendar year 2024, which was made in May 2025, represents a Level 1 measurement at April 30, 2025 and a Level 3 measurement at October 31, 2024, and the amount related to calendar year 2025, payable in calendar year 2026, represents a Level 3 measurement at April 30, 2025 and at October 31, 2024 within the fair value hierarchy. After the acquisition date and until the contingency is resolved, the fair value of contingent consideration payable is adjusted each reporting period based primarily on the expected probability of achievement of the contingency targets, which are subject to our estimate. These changes in fair value are recognized within the “Selling, general and administrative expenses” of the unaudited Consolidated Statements of Comprehensive Income. See Note 3, “Acquisitions,” for further information.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Non-Financial Assets Measured at Fair Value on a Non-Recurring Basis</w:t>
      </w:r>
    </w:p>
    <w:p>
      <w:pPr>
        <w:spacing w:after="0" w:line="167"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In addition to assets and liabilities that are measured at fair value on a recurring basis, we are also required to measure certain items at fair value on a non-recurring basis. These assets can include: goodwill; intangible assets; property, plant and equipment; lease-related ROU assets; and long-lived assets that have been reduced to fair value when they are held for sale. If certain triggering events occur, or if an annual impairment test is required, then we would evaluate these non-financial assets for impairment. If an impairment were to occur, then the asset would be recorded at the estimated fair value, using primarily unobservable Level 3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0046AD"/>
        </w:rPr>
        <w:t>7.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For the majority of these insurance programs, we retain the initial $1.0 million to $5.0 million of exposure on a per-occurrence basis, either through deductibles or self-insured retentions. Beyond the retained exposures, we have varying primary policy limits ranging between $ 1.0 million and $5.0 million per occurrence. To cover general liability and automobile liability losses above these primary limits, we maintain commercial umbrella insurance policies that provide aggregate limits of $200.0 million. Our insurance policies generally cover workers’ compensation losses to the full extent of statutory requirements. Additionally, to cover property damage risks above our retained limits, we maintain policies that provide per occurrence limits of $75.0 million. We are also self-insured for certain employee medical and dental plans. We maintain stop-loss insurance for our self-insured medical plan under which we retain up to $0.5 million of exposure on a per-participant, per-year basis with respect to claims.</w:t>
      </w:r>
    </w:p>
    <w:p>
      <w:pPr>
        <w:spacing w:after="0" w:line="132"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We maintain our reserves for workers’ compensation, general liability, automobile liability, and property damage insurance claims based upon known trends and events and the actuarial estimates of required reserves considering the most recently completed actuarial reports. We use all available information to develop our best estimate of insurance claims reserves as information is obtained. The results of actuarial reviews are used to estimate our insurance rates and insurance reserves.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Actuarial Review and Interim Update Performed During 2025</w:t>
      </w:r>
    </w:p>
    <w:p>
      <w:pPr>
        <w:spacing w:after="0" w:line="169"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We review our self-insurance liabilities on a regular basis and adjust our accruals accordingly. Actual claims activity or development may vary from our assumptions and estimates, which may result in material losses or gains. As we obtain additional information that affects the assumptions and estimates used in our reserve liability calculations, we adjust our self-insurance rates and reserves for future periods and, if appropriate, adjust our reserves for claims incurred in prior accounting periods.</w:t>
      </w:r>
    </w:p>
    <w:p>
      <w:pPr>
        <w:spacing w:after="0" w:line="121"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During the first quarter of 2025, we performed a comprehensive actuarial review of the majority of our casualty insurance programs that considered changes in claims development and claims payment activity for the period of May 1, 2024, through October 31, 2024 (the “Actuarial Review”). The Actuarial Review was comprehensive in nature and was based on loss development patterns, trend assumptions, and underlying expected loss costs during the period analyzed.</w:t>
      </w:r>
    </w:p>
    <w:p>
      <w:pPr>
        <w:spacing w:after="0" w:line="121"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During the second quarter of 2025, we performed an interim actuarial update of the majority of our casualty insurance programs that considered changes in claims development and claims payment activity for the period of November 1, 2024, through January 31, 2025 (the “Interim Update”). This Interim Update was abbreviated in nature based on actual versus expected developments during the periods analyzed and relied on the key assumptions in the Actuarial Review (most notably loss development patterns, trend assumptions, and underlying expected loss costs).</w:t>
      </w:r>
    </w:p>
    <w:p>
      <w:pPr>
        <w:spacing w:after="0" w:line="124" w:lineRule="exact"/>
        <w:rPr>
          <w:sz w:val="20"/>
          <w:szCs w:val="20"/>
          <w:color w:val="auto"/>
        </w:rPr>
      </w:pPr>
    </w:p>
    <w:p>
      <w:pPr>
        <w:jc w:val="both"/>
        <w:ind w:firstLine="645"/>
        <w:spacing w:after="0" w:line="290" w:lineRule="auto"/>
        <w:rPr>
          <w:sz w:val="20"/>
          <w:szCs w:val="20"/>
          <w:color w:val="auto"/>
        </w:rPr>
      </w:pPr>
      <w:r>
        <w:rPr>
          <w:rFonts w:ascii="Arial" w:cs="Arial" w:eastAsia="Arial" w:hAnsi="Arial"/>
          <w:sz w:val="17"/>
          <w:szCs w:val="17"/>
          <w:color w:val="auto"/>
        </w:rPr>
        <w:t>Based on the results of the Actuarial Review and Interim Update at April 30, 2025, it was determined that no adjustment was required to our total reserves at April 30, 2025. During the six months ended April 30, 2024, we made an adjustment to increase our total reserves related to prior years by $9.7 million. We will continue to assess ongoing developments, which may result in further adjustments to reserves.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Insurance-Related Balances and Activity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1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6"/>
                <w:szCs w:val="16"/>
                <w:color w:val="auto"/>
              </w:rPr>
            </w:pPr>
          </w:p>
        </w:tc>
        <w:tc>
          <w:tcPr>
            <w:tcW w:w="1820" w:type="dxa"/>
            <w:vAlign w:val="bottom"/>
            <w:gridSpan w:val="2"/>
          </w:tcPr>
          <w:p>
            <w:pPr>
              <w:ind w:left="200"/>
              <w:spacing w:after="0"/>
              <w:rPr>
                <w:sz w:val="20"/>
                <w:szCs w:val="20"/>
                <w:color w:val="auto"/>
              </w:rPr>
            </w:pPr>
            <w:r>
              <w:rPr>
                <w:rFonts w:ascii="Arial" w:cs="Arial" w:eastAsia="Arial" w:hAnsi="Arial"/>
                <w:sz w:val="16"/>
                <w:szCs w:val="16"/>
                <w:b w:val="1"/>
                <w:bCs w:val="1"/>
                <w:color w:val="auto"/>
              </w:rPr>
              <w:t>April 30, 2025</w:t>
            </w:r>
          </w:p>
        </w:tc>
        <w:tc>
          <w:tcPr>
            <w:tcW w:w="220" w:type="dxa"/>
            <w:vAlign w:val="bottom"/>
          </w:tcPr>
          <w:p>
            <w:pPr>
              <w:spacing w:after="0"/>
              <w:rPr>
                <w:sz w:val="16"/>
                <w:szCs w:val="16"/>
                <w:color w:val="auto"/>
              </w:rPr>
            </w:pP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auto"/>
              </w:rPr>
              <w:t>October 31, 2024</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71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Insurance claim reserves, excluding medical and dental</w:t>
            </w:r>
          </w:p>
        </w:tc>
        <w:tc>
          <w:tcPr>
            <w:tcW w:w="28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617.6</w:t>
            </w:r>
          </w:p>
        </w:tc>
        <w:tc>
          <w:tcPr>
            <w:tcW w:w="120" w:type="dxa"/>
            <w:vAlign w:val="bottom"/>
            <w:shd w:val="clear" w:color="auto" w:fill="DCE2EF"/>
          </w:tcPr>
          <w:p>
            <w:pPr>
              <w:spacing w:after="0"/>
              <w:rPr>
                <w:sz w:val="18"/>
                <w:szCs w:val="18"/>
                <w:color w:val="auto"/>
              </w:rPr>
            </w:pPr>
          </w:p>
        </w:tc>
        <w:tc>
          <w:tcPr>
            <w:tcW w:w="2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608.4</w:t>
            </w:r>
          </w:p>
        </w:tc>
      </w:tr>
      <w:tr>
        <w:trPr>
          <w:trHeight w:val="214"/>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6"/>
                <w:szCs w:val="16"/>
                <w:color w:val="auto"/>
              </w:rPr>
              <w:t>Medical and dental claim reserves</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6"/>
        </w:trPr>
        <w:tc>
          <w:tcPr>
            <w:tcW w:w="20" w:type="dxa"/>
            <w:vAlign w:val="bottom"/>
            <w:shd w:val="clear" w:color="auto" w:fill="DCE2EF"/>
          </w:tcPr>
          <w:p>
            <w:pPr>
              <w:spacing w:after="0"/>
              <w:rPr>
                <w:sz w:val="18"/>
                <w:szCs w:val="18"/>
                <w:color w:val="auto"/>
              </w:rPr>
            </w:pPr>
          </w:p>
        </w:tc>
        <w:tc>
          <w:tcPr>
            <w:tcW w:w="71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Insurance recoverables</w:t>
            </w:r>
          </w:p>
        </w:tc>
        <w:tc>
          <w:tcPr>
            <w:tcW w:w="280" w:type="dxa"/>
            <w:vAlign w:val="bottom"/>
            <w:shd w:val="clear" w:color="auto" w:fill="DCE2EF"/>
          </w:tcPr>
          <w:p>
            <w:pPr>
              <w:spacing w:after="0"/>
              <w:rPr>
                <w:sz w:val="18"/>
                <w:szCs w:val="18"/>
                <w:color w:val="auto"/>
              </w:rPr>
            </w:pPr>
          </w:p>
        </w:tc>
        <w:tc>
          <w:tcPr>
            <w:tcW w:w="17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91.0</w:t>
            </w:r>
          </w:p>
        </w:tc>
        <w:tc>
          <w:tcPr>
            <w:tcW w:w="12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1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91.0</w:t>
            </w:r>
          </w:p>
        </w:tc>
      </w:tr>
    </w:tbl>
    <w:p>
      <w:pPr>
        <w:spacing w:after="0" w:line="277"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At April 30, 2025, and October 31, 2024, insurance recoverables are included in both “Other current assets” and “Other noncurrent assets” on the accompanying unaudited Consolidated Balance Sheets.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0046AD"/>
        </w:rPr>
        <w:t>Instruments Used to Collateralize Our Insurance Obligations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14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6"/>
                <w:szCs w:val="16"/>
                <w:color w:val="auto"/>
              </w:rPr>
            </w:pPr>
          </w:p>
        </w:tc>
        <w:tc>
          <w:tcPr>
            <w:tcW w:w="1820" w:type="dxa"/>
            <w:vAlign w:val="bottom"/>
            <w:gridSpan w:val="3"/>
          </w:tcPr>
          <w:p>
            <w:pPr>
              <w:ind w:left="200"/>
              <w:spacing w:after="0"/>
              <w:rPr>
                <w:sz w:val="20"/>
                <w:szCs w:val="20"/>
                <w:color w:val="auto"/>
              </w:rPr>
            </w:pPr>
            <w:r>
              <w:rPr>
                <w:rFonts w:ascii="Arial" w:cs="Arial" w:eastAsia="Arial" w:hAnsi="Arial"/>
                <w:sz w:val="16"/>
                <w:szCs w:val="16"/>
                <w:b w:val="1"/>
                <w:bCs w:val="1"/>
                <w:color w:val="auto"/>
              </w:rPr>
              <w:t>April 30, 2025</w:t>
            </w:r>
          </w:p>
        </w:tc>
        <w:tc>
          <w:tcPr>
            <w:tcW w:w="220" w:type="dxa"/>
            <w:vAlign w:val="bottom"/>
          </w:tcPr>
          <w:p>
            <w:pPr>
              <w:spacing w:after="0"/>
              <w:rPr>
                <w:sz w:val="16"/>
                <w:szCs w:val="16"/>
                <w:color w:val="auto"/>
              </w:rPr>
            </w:pPr>
          </w:p>
        </w:tc>
        <w:tc>
          <w:tcPr>
            <w:tcW w:w="1760" w:type="dxa"/>
            <w:vAlign w:val="bottom"/>
            <w:gridSpan w:val="2"/>
          </w:tcPr>
          <w:p>
            <w:pPr>
              <w:ind w:left="120"/>
              <w:spacing w:after="0"/>
              <w:rPr>
                <w:sz w:val="20"/>
                <w:szCs w:val="20"/>
                <w:color w:val="auto"/>
              </w:rPr>
            </w:pPr>
            <w:r>
              <w:rPr>
                <w:rFonts w:ascii="Arial" w:cs="Arial" w:eastAsia="Arial" w:hAnsi="Arial"/>
                <w:sz w:val="16"/>
                <w:szCs w:val="16"/>
                <w:b w:val="1"/>
                <w:bCs w:val="1"/>
                <w:color w:val="auto"/>
              </w:rPr>
              <w:t>October 31, 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2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714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Standby letters of credit</w:t>
            </w:r>
          </w:p>
        </w:tc>
        <w:tc>
          <w:tcPr>
            <w:tcW w:w="28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20" w:type="dxa"/>
            <w:vAlign w:val="bottom"/>
            <w:shd w:val="clear" w:color="auto" w:fill="DCE2EF"/>
          </w:tcPr>
          <w:p>
            <w:pPr>
              <w:jc w:val="right"/>
              <w:ind w:right="43"/>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53.1</w:t>
            </w:r>
          </w:p>
        </w:tc>
        <w:tc>
          <w:tcPr>
            <w:tcW w:w="2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Surety bonds and surety-backed letters of credit</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183.9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714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Restricted insurance deposits</w:t>
            </w:r>
          </w:p>
        </w:tc>
        <w:tc>
          <w:tcPr>
            <w:tcW w:w="280" w:type="dxa"/>
            <w:vAlign w:val="bottom"/>
            <w:tcBorders>
              <w:bottom w:val="single" w:sz="8" w:color="auto"/>
            </w:tcBorders>
            <w:shd w:val="clear" w:color="auto" w:fill="DCE2EF"/>
          </w:tcPr>
          <w:p>
            <w:pPr>
              <w:spacing w:after="0"/>
              <w:rPr>
                <w:sz w:val="18"/>
                <w:szCs w:val="18"/>
                <w:color w:val="auto"/>
              </w:rPr>
            </w:pPr>
          </w:p>
        </w:tc>
        <w:tc>
          <w:tcPr>
            <w:tcW w:w="17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20" w:type="dxa"/>
            <w:vAlign w:val="bottom"/>
            <w:tcBorders>
              <w:bottom w:val="single" w:sz="8" w:color="auto"/>
            </w:tcBorders>
            <w:shd w:val="clear" w:color="auto" w:fill="DCE2EF"/>
          </w:tcPr>
          <w:p>
            <w:pPr>
              <w:spacing w:after="0"/>
              <w:rPr>
                <w:sz w:val="18"/>
                <w:szCs w:val="18"/>
                <w:color w:val="auto"/>
              </w:rPr>
            </w:pPr>
          </w:p>
        </w:tc>
        <w:tc>
          <w:tcPr>
            <w:tcW w:w="1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2.3</w:t>
            </w:r>
          </w:p>
        </w:tc>
        <w:tc>
          <w:tcPr>
            <w:tcW w:w="20" w:type="dxa"/>
            <w:vAlign w:val="bottom"/>
            <w:tcBorders>
              <w:bottom w:val="single" w:sz="8" w:color="auto"/>
            </w:tcBorders>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4"/>
            <w:vMerge w:val="restart"/>
          </w:tcPr>
          <w:p>
            <w:pPr>
              <w:spacing w:after="0"/>
              <w:rPr>
                <w:sz w:val="20"/>
                <w:szCs w:val="20"/>
                <w:color w:val="auto"/>
              </w:rPr>
            </w:pPr>
            <w:r>
              <w:rPr>
                <w:rFonts w:ascii="Arial" w:cs="Arial" w:eastAsia="Arial" w:hAnsi="Arial"/>
                <w:sz w:val="18"/>
                <w:szCs w:val="18"/>
                <w:b w:val="1"/>
                <w:bCs w:val="1"/>
                <w:color w:val="0046AD"/>
              </w:rPr>
              <w:t>8. CREDIT FACILITY</w:t>
            </w: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0"/>
        </w:trPr>
        <w:tc>
          <w:tcPr>
            <w:tcW w:w="716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720" w:type="dxa"/>
            <w:vAlign w:val="bottom"/>
            <w:tcBorders>
              <w:bottom w:val="single" w:sz="8" w:color="E98300"/>
            </w:tcBorders>
            <w:gridSpan w:val="2"/>
          </w:tcPr>
          <w:p>
            <w:pPr>
              <w:spacing w:after="0"/>
              <w:rPr>
                <w:sz w:val="5"/>
                <w:szCs w:val="5"/>
                <w:color w:val="auto"/>
              </w:rPr>
            </w:pPr>
          </w:p>
        </w:tc>
        <w:tc>
          <w:tcPr>
            <w:tcW w:w="6440" w:type="dxa"/>
            <w:vAlign w:val="bottom"/>
            <w:tcBorders>
              <w:bottom w:val="single" w:sz="8" w:color="E98300"/>
            </w:tcBorders>
            <w:gridSpan w:val="2"/>
          </w:tcPr>
          <w:p>
            <w:pPr>
              <w:spacing w:after="0"/>
              <w:rPr>
                <w:sz w:val="5"/>
                <w:szCs w:val="5"/>
                <w:color w:val="auto"/>
              </w:rPr>
            </w:pPr>
          </w:p>
        </w:tc>
        <w:tc>
          <w:tcPr>
            <w:tcW w:w="280" w:type="dxa"/>
            <w:vAlign w:val="bottom"/>
            <w:tcBorders>
              <w:bottom w:val="single" w:sz="8" w:color="E98300"/>
            </w:tcBorders>
          </w:tcPr>
          <w:p>
            <w:pPr>
              <w:spacing w:after="0"/>
              <w:rPr>
                <w:sz w:val="5"/>
                <w:szCs w:val="5"/>
                <w:color w:val="auto"/>
              </w:rPr>
            </w:pPr>
          </w:p>
        </w:tc>
        <w:tc>
          <w:tcPr>
            <w:tcW w:w="1700" w:type="dxa"/>
            <w:vAlign w:val="bottom"/>
            <w:tcBorders>
              <w:bottom w:val="single" w:sz="8" w:color="E98300"/>
            </w:tcBorders>
          </w:tcPr>
          <w:p>
            <w:pPr>
              <w:spacing w:after="0"/>
              <w:rPr>
                <w:sz w:val="5"/>
                <w:szCs w:val="5"/>
                <w:color w:val="auto"/>
              </w:rPr>
            </w:pPr>
          </w:p>
        </w:tc>
        <w:tc>
          <w:tcPr>
            <w:tcW w:w="100" w:type="dxa"/>
            <w:vAlign w:val="bottom"/>
            <w:tcBorders>
              <w:bottom w:val="single" w:sz="8" w:color="E98300"/>
            </w:tcBorders>
          </w:tcPr>
          <w:p>
            <w:pPr>
              <w:spacing w:after="0"/>
              <w:rPr>
                <w:sz w:val="5"/>
                <w:szCs w:val="5"/>
                <w:color w:val="auto"/>
              </w:rPr>
            </w:pPr>
          </w:p>
        </w:tc>
        <w:tc>
          <w:tcPr>
            <w:tcW w:w="20" w:type="dxa"/>
            <w:vAlign w:val="bottom"/>
            <w:tcBorders>
              <w:bottom w:val="single" w:sz="8" w:color="E98300"/>
            </w:tcBorders>
          </w:tcPr>
          <w:p>
            <w:pPr>
              <w:spacing w:after="0"/>
              <w:rPr>
                <w:sz w:val="5"/>
                <w:szCs w:val="5"/>
                <w:color w:val="auto"/>
              </w:rPr>
            </w:pPr>
          </w:p>
        </w:tc>
        <w:tc>
          <w:tcPr>
            <w:tcW w:w="220" w:type="dxa"/>
            <w:vAlign w:val="bottom"/>
            <w:tcBorders>
              <w:bottom w:val="single" w:sz="8" w:color="E98300"/>
            </w:tcBorders>
          </w:tcPr>
          <w:p>
            <w:pPr>
              <w:spacing w:after="0"/>
              <w:rPr>
                <w:sz w:val="5"/>
                <w:szCs w:val="5"/>
                <w:color w:val="auto"/>
              </w:rPr>
            </w:pPr>
          </w:p>
        </w:tc>
        <w:tc>
          <w:tcPr>
            <w:tcW w:w="1740" w:type="dxa"/>
            <w:vAlign w:val="bottom"/>
            <w:tcBorders>
              <w:bottom w:val="single" w:sz="8" w:color="E98300"/>
            </w:tcBorders>
          </w:tcPr>
          <w:p>
            <w:pPr>
              <w:spacing w:after="0"/>
              <w:rPr>
                <w:sz w:val="5"/>
                <w:szCs w:val="5"/>
                <w:color w:val="auto"/>
              </w:rPr>
            </w:pPr>
          </w:p>
        </w:tc>
        <w:tc>
          <w:tcPr>
            <w:tcW w:w="20" w:type="dxa"/>
            <w:vAlign w:val="bottom"/>
            <w:tcBorders>
              <w:bottom w:val="single" w:sz="8" w:color="E98300"/>
            </w:tcBorders>
          </w:tcPr>
          <w:p>
            <w:pPr>
              <w:spacing w:after="0"/>
              <w:rPr>
                <w:sz w:val="5"/>
                <w:szCs w:val="5"/>
                <w:color w:val="auto"/>
              </w:rPr>
            </w:pPr>
          </w:p>
        </w:tc>
        <w:tc>
          <w:tcPr>
            <w:tcW w:w="0" w:type="dxa"/>
            <w:vAlign w:val="bottom"/>
          </w:tcPr>
          <w:p>
            <w:pPr>
              <w:spacing w:after="0"/>
              <w:rPr>
                <w:sz w:val="1"/>
                <w:szCs w:val="1"/>
                <w:color w:val="auto"/>
              </w:rPr>
            </w:pPr>
          </w:p>
        </w:tc>
      </w:tr>
      <w:tr>
        <w:trPr>
          <w:trHeight w:val="557"/>
        </w:trPr>
        <w:tc>
          <w:tcPr>
            <w:tcW w:w="7160" w:type="dxa"/>
            <w:vAlign w:val="bottom"/>
            <w:gridSpan w:val="4"/>
          </w:tcPr>
          <w:p>
            <w:pPr>
              <w:spacing w:after="0"/>
              <w:rPr>
                <w:sz w:val="20"/>
                <w:szCs w:val="20"/>
                <w:color w:val="auto"/>
              </w:rPr>
            </w:pPr>
            <w:r>
              <w:rPr>
                <w:rFonts w:ascii="Arial" w:cs="Arial" w:eastAsia="Arial" w:hAnsi="Arial"/>
                <w:sz w:val="18"/>
                <w:szCs w:val="18"/>
                <w:b w:val="1"/>
                <w:bCs w:val="1"/>
                <w:color w:val="0046AD"/>
              </w:rPr>
              <w:t>Credit Facility Information</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9"/>
                <w:szCs w:val="19"/>
                <w:color w:val="auto"/>
              </w:rPr>
            </w:pPr>
          </w:p>
        </w:tc>
        <w:tc>
          <w:tcPr>
            <w:tcW w:w="1820" w:type="dxa"/>
            <w:vAlign w:val="bottom"/>
            <w:gridSpan w:val="3"/>
          </w:tcPr>
          <w:p>
            <w:pPr>
              <w:ind w:left="180"/>
              <w:spacing w:after="0"/>
              <w:rPr>
                <w:sz w:val="20"/>
                <w:szCs w:val="20"/>
                <w:color w:val="auto"/>
              </w:rPr>
            </w:pPr>
            <w:r>
              <w:rPr>
                <w:rFonts w:ascii="Arial" w:cs="Arial" w:eastAsia="Arial" w:hAnsi="Arial"/>
                <w:sz w:val="16"/>
                <w:szCs w:val="16"/>
                <w:b w:val="1"/>
                <w:bCs w:val="1"/>
                <w:color w:val="auto"/>
              </w:rPr>
              <w:t>April 30, 2025</w:t>
            </w:r>
          </w:p>
        </w:tc>
        <w:tc>
          <w:tcPr>
            <w:tcW w:w="220" w:type="dxa"/>
            <w:vAlign w:val="bottom"/>
          </w:tcPr>
          <w:p>
            <w:pPr>
              <w:spacing w:after="0"/>
              <w:rPr>
                <w:sz w:val="19"/>
                <w:szCs w:val="19"/>
                <w:color w:val="auto"/>
              </w:rPr>
            </w:pPr>
          </w:p>
        </w:tc>
        <w:tc>
          <w:tcPr>
            <w:tcW w:w="1760" w:type="dxa"/>
            <w:vAlign w:val="bottom"/>
            <w:gridSpan w:val="2"/>
          </w:tcPr>
          <w:p>
            <w:pPr>
              <w:ind w:left="100"/>
              <w:spacing w:after="0"/>
              <w:rPr>
                <w:sz w:val="20"/>
                <w:szCs w:val="20"/>
                <w:color w:val="auto"/>
              </w:rPr>
            </w:pPr>
            <w:r>
              <w:rPr>
                <w:rFonts w:ascii="Arial" w:cs="Arial" w:eastAsia="Arial" w:hAnsi="Arial"/>
                <w:sz w:val="16"/>
                <w:szCs w:val="16"/>
                <w:b w:val="1"/>
                <w:bCs w:val="1"/>
                <w:color w:val="auto"/>
              </w:rPr>
              <w:t>October 31, 2024</w:t>
            </w: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20" w:type="dxa"/>
            <w:vAlign w:val="bottom"/>
            <w:tcBorders>
              <w:bottom w:val="single" w:sz="8" w:color="DCE2EF"/>
            </w:tcBorders>
          </w:tcPr>
          <w:p>
            <w:pPr>
              <w:spacing w:after="0"/>
              <w:rPr>
                <w:sz w:val="2"/>
                <w:szCs w:val="2"/>
                <w:color w:val="auto"/>
              </w:rPr>
            </w:pPr>
          </w:p>
        </w:tc>
        <w:tc>
          <w:tcPr>
            <w:tcW w:w="6420" w:type="dxa"/>
            <w:vAlign w:val="bottom"/>
            <w:tcBorders>
              <w:bottom w:val="single" w:sz="8" w:color="DCE2E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9"/>
        </w:trPr>
        <w:tc>
          <w:tcPr>
            <w:tcW w:w="20" w:type="dxa"/>
            <w:vAlign w:val="bottom"/>
            <w:shd w:val="clear" w:color="auto" w:fill="DCE2EF"/>
          </w:tcPr>
          <w:p>
            <w:pPr>
              <w:spacing w:after="0"/>
              <w:rPr>
                <w:sz w:val="24"/>
                <w:szCs w:val="24"/>
                <w:color w:val="auto"/>
              </w:rPr>
            </w:pPr>
          </w:p>
        </w:tc>
        <w:tc>
          <w:tcPr>
            <w:tcW w:w="714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Current portion of long-term debt</w:t>
            </w:r>
            <w:r>
              <w:rPr>
                <w:rFonts w:ascii="Arial" w:cs="Arial" w:eastAsia="Arial" w:hAnsi="Arial"/>
                <w:sz w:val="20"/>
                <w:szCs w:val="20"/>
                <w:color w:val="auto"/>
                <w:vertAlign w:val="superscript"/>
              </w:rPr>
              <w:t>(1)(2)</w:t>
            </w:r>
          </w:p>
        </w:tc>
        <w:tc>
          <w:tcPr>
            <w:tcW w:w="280" w:type="dxa"/>
            <w:vAlign w:val="bottom"/>
            <w:shd w:val="clear" w:color="auto" w:fill="DCE2EF"/>
          </w:tcPr>
          <w:p>
            <w:pPr>
              <w:spacing w:after="0"/>
              <w:rPr>
                <w:sz w:val="24"/>
                <w:szCs w:val="24"/>
                <w:color w:val="auto"/>
              </w:rPr>
            </w:pPr>
          </w:p>
        </w:tc>
        <w:tc>
          <w:tcPr>
            <w:tcW w:w="17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740" w:type="dxa"/>
            <w:vAlign w:val="bottom"/>
            <w:shd w:val="clear" w:color="auto" w:fill="DCE2E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40" w:type="dxa"/>
            <w:vAlign w:val="bottom"/>
            <w:gridSpan w:val="3"/>
          </w:tcPr>
          <w:p>
            <w:pPr>
              <w:ind w:left="200"/>
              <w:spacing w:after="0"/>
              <w:rPr>
                <w:sz w:val="20"/>
                <w:szCs w:val="20"/>
                <w:color w:val="auto"/>
              </w:rPr>
            </w:pPr>
            <w:r>
              <w:rPr>
                <w:rFonts w:ascii="Arial" w:cs="Arial" w:eastAsia="Arial" w:hAnsi="Arial"/>
                <w:sz w:val="16"/>
                <w:szCs w:val="16"/>
                <w:color w:val="auto"/>
              </w:rPr>
              <w:t>Gross term loan</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7140" w:type="dxa"/>
            <w:vAlign w:val="bottom"/>
            <w:gridSpan w:val="3"/>
            <w:shd w:val="clear" w:color="auto" w:fill="DCE2EF"/>
          </w:tcPr>
          <w:p>
            <w:pPr>
              <w:ind w:left="200"/>
              <w:spacing w:after="0"/>
              <w:rPr>
                <w:sz w:val="20"/>
                <w:szCs w:val="20"/>
                <w:color w:val="auto"/>
              </w:rPr>
            </w:pPr>
            <w:r>
              <w:rPr>
                <w:rFonts w:ascii="Arial" w:cs="Arial" w:eastAsia="Arial" w:hAnsi="Arial"/>
                <w:sz w:val="16"/>
                <w:szCs w:val="16"/>
                <w:color w:val="auto"/>
              </w:rPr>
              <w:t>Unamortized deferred financing costs</w:t>
            </w:r>
          </w:p>
        </w:tc>
        <w:tc>
          <w:tcPr>
            <w:tcW w:w="280" w:type="dxa"/>
            <w:vAlign w:val="bottom"/>
            <w:tcBorders>
              <w:bottom w:val="single" w:sz="8" w:color="auto"/>
            </w:tcBorders>
            <w:shd w:val="clear" w:color="auto" w:fill="DCE2EF"/>
          </w:tcPr>
          <w:p>
            <w:pPr>
              <w:spacing w:after="0"/>
              <w:rPr>
                <w:sz w:val="18"/>
                <w:szCs w:val="18"/>
                <w:color w:val="auto"/>
              </w:rPr>
            </w:pPr>
          </w:p>
        </w:tc>
        <w:tc>
          <w:tcPr>
            <w:tcW w:w="17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DCE2EF"/>
          </w:tcPr>
          <w:p>
            <w:pPr>
              <w:spacing w:after="0"/>
              <w:rPr>
                <w:sz w:val="18"/>
                <w:szCs w:val="18"/>
                <w:color w:val="auto"/>
              </w:rPr>
            </w:pPr>
          </w:p>
        </w:tc>
        <w:tc>
          <w:tcPr>
            <w:tcW w:w="20" w:type="dxa"/>
            <w:vAlign w:val="bottom"/>
            <w:tcBorders>
              <w:bottom w:val="single" w:sz="8" w:color="auto"/>
            </w:tcBorders>
            <w:shd w:val="clear" w:color="auto" w:fill="DCE2EF"/>
          </w:tcPr>
          <w:p>
            <w:pPr>
              <w:spacing w:after="0"/>
              <w:rPr>
                <w:sz w:val="18"/>
                <w:szCs w:val="18"/>
                <w:color w:val="auto"/>
              </w:rPr>
            </w:pPr>
          </w:p>
        </w:tc>
        <w:tc>
          <w:tcPr>
            <w:tcW w:w="220" w:type="dxa"/>
            <w:vAlign w:val="bottom"/>
            <w:tcBorders>
              <w:bottom w:val="single" w:sz="8" w:color="auto"/>
            </w:tcBorders>
            <w:shd w:val="clear" w:color="auto" w:fill="DCE2EF"/>
          </w:tcPr>
          <w:p>
            <w:pPr>
              <w:spacing w:after="0"/>
              <w:rPr>
                <w:sz w:val="18"/>
                <w:szCs w:val="18"/>
                <w:color w:val="auto"/>
              </w:rPr>
            </w:pPr>
          </w:p>
        </w:tc>
        <w:tc>
          <w:tcPr>
            <w:tcW w:w="1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Current portion of term loan</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31.6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DCE2EF"/>
          </w:tcPr>
          <w:p>
            <w:pPr>
              <w:spacing w:after="0"/>
              <w:rPr>
                <w:sz w:val="22"/>
                <w:szCs w:val="22"/>
                <w:color w:val="auto"/>
              </w:rPr>
            </w:pPr>
          </w:p>
        </w:tc>
        <w:tc>
          <w:tcPr>
            <w:tcW w:w="700" w:type="dxa"/>
            <w:vAlign w:val="bottom"/>
            <w:shd w:val="clear" w:color="auto" w:fill="DCE2EF"/>
          </w:tcPr>
          <w:p>
            <w:pPr>
              <w:spacing w:after="0"/>
              <w:rPr>
                <w:sz w:val="22"/>
                <w:szCs w:val="22"/>
                <w:color w:val="auto"/>
              </w:rPr>
            </w:pPr>
          </w:p>
        </w:tc>
        <w:tc>
          <w:tcPr>
            <w:tcW w:w="6440" w:type="dxa"/>
            <w:vAlign w:val="bottom"/>
            <w:gridSpan w:val="2"/>
            <w:shd w:val="clear" w:color="auto" w:fill="DCE2EF"/>
          </w:tcPr>
          <w:p>
            <w:pPr>
              <w:spacing w:after="0"/>
              <w:rPr>
                <w:sz w:val="22"/>
                <w:szCs w:val="22"/>
                <w:color w:val="auto"/>
              </w:rPr>
            </w:pPr>
          </w:p>
        </w:tc>
        <w:tc>
          <w:tcPr>
            <w:tcW w:w="280" w:type="dxa"/>
            <w:vAlign w:val="bottom"/>
            <w:shd w:val="clear" w:color="auto" w:fill="DCE2EF"/>
          </w:tcPr>
          <w:p>
            <w:pPr>
              <w:spacing w:after="0"/>
              <w:rPr>
                <w:sz w:val="22"/>
                <w:szCs w:val="22"/>
                <w:color w:val="auto"/>
              </w:rPr>
            </w:pPr>
          </w:p>
        </w:tc>
        <w:tc>
          <w:tcPr>
            <w:tcW w:w="170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1740" w:type="dxa"/>
            <w:vAlign w:val="bottom"/>
            <w:shd w:val="clear" w:color="auto" w:fill="DCE2E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Long-term debt</w:t>
            </w:r>
            <w:r>
              <w:rPr>
                <w:rFonts w:ascii="Arial" w:cs="Arial" w:eastAsia="Arial" w:hAnsi="Arial"/>
                <w:sz w:val="20"/>
                <w:szCs w:val="20"/>
                <w:color w:val="auto"/>
                <w:vertAlign w:val="superscript"/>
              </w:rPr>
              <w:t>(1)(2)</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7140" w:type="dxa"/>
            <w:vAlign w:val="bottom"/>
            <w:gridSpan w:val="3"/>
            <w:shd w:val="clear" w:color="auto" w:fill="DCE2EF"/>
          </w:tcPr>
          <w:p>
            <w:pPr>
              <w:ind w:left="200"/>
              <w:spacing w:after="0"/>
              <w:rPr>
                <w:sz w:val="20"/>
                <w:szCs w:val="20"/>
                <w:color w:val="auto"/>
              </w:rPr>
            </w:pPr>
            <w:r>
              <w:rPr>
                <w:rFonts w:ascii="Arial" w:cs="Arial" w:eastAsia="Arial" w:hAnsi="Arial"/>
                <w:sz w:val="16"/>
                <w:szCs w:val="16"/>
                <w:color w:val="auto"/>
              </w:rPr>
              <w:t>Gross term loan</w:t>
            </w:r>
          </w:p>
        </w:tc>
        <w:tc>
          <w:tcPr>
            <w:tcW w:w="28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570.0</w:t>
            </w:r>
          </w:p>
        </w:tc>
        <w:tc>
          <w:tcPr>
            <w:tcW w:w="10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2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DCE2EF"/>
            </w:tcBorders>
          </w:tcPr>
          <w:p>
            <w:pPr>
              <w:spacing w:after="0"/>
              <w:rPr>
                <w:sz w:val="18"/>
                <w:szCs w:val="18"/>
                <w:color w:val="auto"/>
              </w:rPr>
            </w:pPr>
          </w:p>
        </w:tc>
        <w:tc>
          <w:tcPr>
            <w:tcW w:w="7140" w:type="dxa"/>
            <w:vAlign w:val="bottom"/>
            <w:tcBorders>
              <w:bottom w:val="single" w:sz="8" w:color="DCE2EF"/>
            </w:tcBorders>
            <w:gridSpan w:val="3"/>
          </w:tcPr>
          <w:p>
            <w:pPr>
              <w:ind w:left="200"/>
              <w:spacing w:after="0"/>
              <w:rPr>
                <w:sz w:val="20"/>
                <w:szCs w:val="20"/>
                <w:color w:val="auto"/>
              </w:rPr>
            </w:pPr>
            <w:r>
              <w:rPr>
                <w:rFonts w:ascii="Arial" w:cs="Arial" w:eastAsia="Arial" w:hAnsi="Arial"/>
                <w:sz w:val="16"/>
                <w:szCs w:val="16"/>
                <w:color w:val="auto"/>
              </w:rPr>
              <w:t>Unamortized deferred financing costs</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DCE2E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shd w:val="clear" w:color="auto" w:fill="DCE2EF"/>
          </w:tcPr>
          <w:p>
            <w:pPr>
              <w:spacing w:after="0"/>
              <w:rPr>
                <w:sz w:val="24"/>
                <w:szCs w:val="24"/>
                <w:color w:val="auto"/>
              </w:rPr>
            </w:pPr>
          </w:p>
        </w:tc>
        <w:tc>
          <w:tcPr>
            <w:tcW w:w="714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Total noncurrent portion of term loan</w:t>
            </w:r>
          </w:p>
        </w:tc>
        <w:tc>
          <w:tcPr>
            <w:tcW w:w="280" w:type="dxa"/>
            <w:vAlign w:val="bottom"/>
            <w:shd w:val="clear" w:color="auto" w:fill="DCE2EF"/>
          </w:tcPr>
          <w:p>
            <w:pPr>
              <w:spacing w:after="0"/>
              <w:rPr>
                <w:sz w:val="24"/>
                <w:szCs w:val="24"/>
                <w:color w:val="auto"/>
              </w:rPr>
            </w:pPr>
          </w:p>
        </w:tc>
        <w:tc>
          <w:tcPr>
            <w:tcW w:w="17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567.8</w:t>
            </w:r>
          </w:p>
        </w:tc>
        <w:tc>
          <w:tcPr>
            <w:tcW w:w="100" w:type="dxa"/>
            <w:vAlign w:val="bottom"/>
            <w:shd w:val="clear" w:color="auto" w:fill="DCE2EF"/>
          </w:tcPr>
          <w:p>
            <w:pPr>
              <w:spacing w:after="0"/>
              <w:rPr>
                <w:sz w:val="24"/>
                <w:szCs w:val="24"/>
                <w:color w:val="auto"/>
              </w:rPr>
            </w:pPr>
          </w:p>
        </w:tc>
        <w:tc>
          <w:tcPr>
            <w:tcW w:w="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7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503.2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DCE2EF"/>
            </w:tcBorders>
          </w:tcPr>
          <w:p>
            <w:pPr>
              <w:spacing w:after="0"/>
              <w:rPr>
                <w:sz w:val="18"/>
                <w:szCs w:val="18"/>
                <w:color w:val="auto"/>
              </w:rPr>
            </w:pPr>
          </w:p>
        </w:tc>
        <w:tc>
          <w:tcPr>
            <w:tcW w:w="7140" w:type="dxa"/>
            <w:vAlign w:val="bottom"/>
            <w:tcBorders>
              <w:bottom w:val="single" w:sz="8" w:color="DCE2EF"/>
            </w:tcBorders>
            <w:gridSpan w:val="3"/>
          </w:tcPr>
          <w:p>
            <w:pPr>
              <w:ind w:left="200"/>
              <w:spacing w:after="0" w:line="215" w:lineRule="exact"/>
              <w:rPr>
                <w:sz w:val="20"/>
                <w:szCs w:val="20"/>
                <w:color w:val="auto"/>
              </w:rPr>
            </w:pPr>
            <w:r>
              <w:rPr>
                <w:rFonts w:ascii="Arial" w:cs="Arial" w:eastAsia="Arial" w:hAnsi="Arial"/>
                <w:sz w:val="16"/>
                <w:szCs w:val="16"/>
                <w:color w:val="auto"/>
              </w:rPr>
              <w:t>Revolving line of credit</w:t>
            </w:r>
            <w:r>
              <w:rPr>
                <w:rFonts w:ascii="Arial" w:cs="Arial" w:eastAsia="Arial" w:hAnsi="Arial"/>
                <w:sz w:val="20"/>
                <w:szCs w:val="20"/>
                <w:color w:val="auto"/>
                <w:vertAlign w:val="superscript"/>
              </w:rPr>
              <w:t>(3)</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954.0</w:t>
            </w:r>
          </w:p>
        </w:tc>
        <w:tc>
          <w:tcPr>
            <w:tcW w:w="100" w:type="dxa"/>
            <w:vAlign w:val="bottom"/>
            <w:tcBorders>
              <w:bottom w:val="single" w:sz="8" w:color="DCE2E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20" w:type="dxa"/>
            <w:vAlign w:val="bottom"/>
            <w:tcBorders>
              <w:bottom w:val="single" w:sz="8" w:color="DCE2EF"/>
            </w:tcBorders>
            <w:shd w:val="clear" w:color="auto" w:fill="DCE2EF"/>
          </w:tcPr>
          <w:p>
            <w:pPr>
              <w:spacing w:after="0"/>
              <w:rPr>
                <w:sz w:val="24"/>
                <w:szCs w:val="24"/>
                <w:color w:val="auto"/>
              </w:rPr>
            </w:pPr>
          </w:p>
        </w:tc>
        <w:tc>
          <w:tcPr>
            <w:tcW w:w="7140" w:type="dxa"/>
            <w:vAlign w:val="bottom"/>
            <w:tcBorders>
              <w:bottom w:val="single" w:sz="8" w:color="DCE2EF"/>
            </w:tcBorders>
            <w:gridSpan w:val="3"/>
            <w:shd w:val="clear" w:color="auto" w:fill="DCE2EF"/>
          </w:tcPr>
          <w:p>
            <w:pPr>
              <w:spacing w:after="0"/>
              <w:rPr>
                <w:sz w:val="20"/>
                <w:szCs w:val="20"/>
                <w:color w:val="auto"/>
              </w:rPr>
            </w:pPr>
            <w:r>
              <w:rPr>
                <w:rFonts w:ascii="Arial" w:cs="Arial" w:eastAsia="Arial" w:hAnsi="Arial"/>
                <w:sz w:val="16"/>
                <w:szCs w:val="16"/>
                <w:color w:val="auto"/>
              </w:rPr>
              <w:t>Long-term debt</w:t>
            </w:r>
          </w:p>
        </w:tc>
        <w:tc>
          <w:tcPr>
            <w:tcW w:w="280" w:type="dxa"/>
            <w:vAlign w:val="bottom"/>
            <w:tcBorders>
              <w:bottom w:val="single" w:sz="8" w:color="auto"/>
            </w:tcBorders>
            <w:shd w:val="clear" w:color="auto" w:fill="DCE2E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1,521.8</w:t>
            </w:r>
          </w:p>
        </w:tc>
        <w:tc>
          <w:tcPr>
            <w:tcW w:w="100" w:type="dxa"/>
            <w:vAlign w:val="bottom"/>
            <w:tcBorders>
              <w:bottom w:val="single" w:sz="8" w:color="DCE2EF"/>
            </w:tcBorders>
            <w:shd w:val="clear" w:color="auto" w:fill="DCE2EF"/>
          </w:tcPr>
          <w:p>
            <w:pPr>
              <w:spacing w:after="0"/>
              <w:rPr>
                <w:sz w:val="24"/>
                <w:szCs w:val="24"/>
                <w:color w:val="auto"/>
              </w:rPr>
            </w:pPr>
          </w:p>
        </w:tc>
        <w:tc>
          <w:tcPr>
            <w:tcW w:w="20" w:type="dxa"/>
            <w:vAlign w:val="bottom"/>
            <w:tcBorders>
              <w:bottom w:val="single" w:sz="8" w:color="auto"/>
            </w:tcBorders>
            <w:shd w:val="clear" w:color="auto" w:fill="DCE2EF"/>
          </w:tcPr>
          <w:p>
            <w:pPr>
              <w:spacing w:after="0"/>
              <w:rPr>
                <w:sz w:val="24"/>
                <w:szCs w:val="24"/>
                <w:color w:val="auto"/>
              </w:rPr>
            </w:pPr>
          </w:p>
        </w:tc>
        <w:tc>
          <w:tcPr>
            <w:tcW w:w="22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0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6420" w:type="dxa"/>
            <w:vAlign w:val="bottom"/>
            <w:tcBorders>
              <w:top w:val="single" w:sz="8" w:color="DCE2EF"/>
            </w:tcBorders>
          </w:tcPr>
          <w:p>
            <w:pPr>
              <w:spacing w:after="0" w:line="20" w:lineRule="exact"/>
              <w:rPr>
                <w:sz w:val="1"/>
                <w:szCs w:val="1"/>
                <w:color w:val="auto"/>
              </w:rPr>
            </w:pPr>
          </w:p>
        </w:tc>
        <w:tc>
          <w:tcPr>
            <w:tcW w:w="280" w:type="dxa"/>
            <w:vAlign w:val="bottom"/>
            <w:tcBorders>
              <w:top w:val="single" w:sz="8" w:color="DCE2EF"/>
              <w:bottom w:val="single" w:sz="8" w:color="auto"/>
            </w:tcBorders>
          </w:tcPr>
          <w:p>
            <w:pPr>
              <w:spacing w:after="0" w:line="20" w:lineRule="exact"/>
              <w:rPr>
                <w:sz w:val="1"/>
                <w:szCs w:val="1"/>
                <w:color w:val="auto"/>
              </w:rPr>
            </w:pPr>
          </w:p>
        </w:tc>
        <w:tc>
          <w:tcPr>
            <w:tcW w:w="17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220" w:type="dxa"/>
            <w:vAlign w:val="bottom"/>
            <w:tcBorders>
              <w:top w:val="single" w:sz="8" w:color="DCE2EF"/>
              <w:bottom w:val="single" w:sz="8" w:color="auto"/>
            </w:tcBorders>
          </w:tcPr>
          <w:p>
            <w:pPr>
              <w:spacing w:after="0" w:line="20" w:lineRule="exact"/>
              <w:rPr>
                <w:sz w:val="1"/>
                <w:szCs w:val="1"/>
                <w:color w:val="auto"/>
              </w:rPr>
            </w:pPr>
          </w:p>
        </w:tc>
        <w:tc>
          <w:tcPr>
            <w:tcW w:w="1740" w:type="dxa"/>
            <w:vAlign w:val="bottom"/>
            <w:tcBorders>
              <w:top w:val="single" w:sz="8" w:color="DCE2E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60" w:hanging="153"/>
        <w:spacing w:after="0" w:line="290" w:lineRule="auto"/>
        <w:tabs>
          <w:tab w:leader="none" w:pos="156"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At April 30, 2025, and October 31, 2024, the weighted average interest rate on all outstanding borrowings, not including letters of credit and swaps, was 6.07% and 6.68%, respectively.</w:t>
      </w:r>
    </w:p>
    <w:p>
      <w:pPr>
        <w:spacing w:after="0" w:line="52" w:lineRule="exact"/>
        <w:rPr>
          <w:rFonts w:ascii="Arial" w:cs="Arial" w:eastAsia="Arial" w:hAnsi="Arial"/>
          <w:sz w:val="18"/>
          <w:szCs w:val="18"/>
          <w:color w:val="auto"/>
          <w:vertAlign w:val="superscript"/>
        </w:rPr>
      </w:pPr>
    </w:p>
    <w:p>
      <w:pPr>
        <w:ind w:left="160" w:hanging="153"/>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At April 30, 2025, we had borrowing capacity of $599.1 million.</w:t>
      </w:r>
    </w:p>
    <w:p>
      <w:pPr>
        <w:spacing w:after="0" w:line="75" w:lineRule="exact"/>
        <w:rPr>
          <w:rFonts w:ascii="Arial" w:cs="Arial" w:eastAsia="Arial" w:hAnsi="Arial"/>
          <w:sz w:val="18"/>
          <w:szCs w:val="18"/>
          <w:color w:val="auto"/>
          <w:vertAlign w:val="superscript"/>
        </w:rPr>
      </w:pPr>
    </w:p>
    <w:p>
      <w:pPr>
        <w:ind w:left="180" w:hanging="173"/>
        <w:spacing w:after="0" w:line="225" w:lineRule="auto"/>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At April 30, 2025, standby letters of credit amounted to $29.7 million.</w:t>
      </w:r>
    </w:p>
    <w:p>
      <w:pPr>
        <w:spacing w:after="0" w:line="145"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On September 1, 2017, we refinanced and replaced our then-existing $800.0 million credit facility with a new senior, secured five-year syndicated credit facility (the “Credit Facility”), consisting of a $900.0 million revolving line of credit (the “Revolver”) and an $800.0 million amortizing term loan, both of which matured on September 1, 2022. In accordance with terms of the Credit Facility, the revolver was reduced to $800.0 million on September 1, 2018. The Credit Facility was amended on June 28, 2021, to increase the capacity of the Revolver and term loan to $1.3 billion and $650 million, respectively, and to extend the maturity to June 28, 2026. It was further amended on November 1, 2022, to transition the benchmark interest rate from London Interbank Offered Rate (“LIBOR”) to Secured Overnight Financing Rate (“SOFR”).</w:t>
      </w:r>
    </w:p>
    <w:p>
      <w:pPr>
        <w:spacing w:after="0" w:line="127"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On February 26, 2025, we amended and restated the Credit Facility (the “Amended Credit Facility”), extending the maturity date to February 26, 2030, and increasing the capacity of the revolving credit facility from $1.3 billion to $1.6 billion and the then-remaining term loan outstanding from $528.1 million to $600.0 million. The Amended Credit Facility provides for the issuance of up to $250.0 million for standby letters of credit and the issuance of up to $100.0 million in swingline advances. The obligations under the Amended Credit Facility are guaranteed by the material, domestic wholly owned subsidiaries of ABM and are secured by a pledge of substantially all of the existing and future property and assets of ABM and the guarantors, including a pledge of the capital stock of the wholly owned domestic subsidiaries held by ABM and the guarantors and 65% of the capital stock of the first-tier foreign subsidiaries held by ABM and the guarantors, in each case subject to exceptions. Additionally, we may repay amounts borrowed under the Amended Credit Facility at any time without penalty.</w:t>
      </w:r>
    </w:p>
    <w:p>
      <w:pPr>
        <w:spacing w:after="0" w:line="129"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The Amended Credit Facility contains certain covenants, including a maximum total net leverage ratio of 5.00 to 1.00, a maximum secured net leverage ratio of 4.00 to 1.00, and a minimum interest coverage ratio of 1.50 to 1.00, as well as other financial and non-financial covenants. In the event of a material acquisition, as defined in the Amended Credit Facility, we may elect to increase the maximum total net leverage ratio to 5.50 to 1.00 for a total</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80010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19" w:name="page20"/>
    <w:bookmarkEnd w:id="19"/>
    <w:p>
      <w:pPr>
        <w:jc w:val="both"/>
        <w:spacing w:after="0" w:line="267" w:lineRule="auto"/>
        <w:rPr>
          <w:sz w:val="20"/>
          <w:szCs w:val="20"/>
          <w:color w:val="auto"/>
        </w:rPr>
      </w:pPr>
      <w:r>
        <w:rPr>
          <w:rFonts w:ascii="Arial" w:cs="Arial" w:eastAsia="Arial" w:hAnsi="Arial"/>
          <w:sz w:val="18"/>
          <w:szCs w:val="18"/>
          <w:color w:val="auto"/>
        </w:rPr>
        <w:t>of four fiscal quarters and increase the maximum secured net leverage ratio to 4.50 to 1.00 for a total of four fiscal quarters. Our borrowing capacity is subject to, and limited by, compliance with the covenants described above. At April 30, 2025, we were in compliance with these covenants.</w:t>
      </w:r>
    </w:p>
    <w:p>
      <w:pPr>
        <w:spacing w:after="0" w:line="115"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The Amended Credit Facility also includes customary events of default, including: failure to pay principal, interest, or fees when due; failure to comply with covenants; the occurrence of certain material judgments; and a change in control of the Company. If certain events of default occur, including certain cross-defaults, insolvency, change in control, or violation of specific covenants, then the lenders can terminate or suspend our access to the Amended Credit Facility, declare all amounts outstanding (including all accrued interest and unpaid fees) to be immediately due and payable, and require that we cash collateralize the outstanding standby letters of credit.</w:t>
      </w:r>
    </w:p>
    <w:p>
      <w:pPr>
        <w:spacing w:after="0" w:line="124"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We incurred deferred financing costs of $8.0 million in conjunction with the execution of the Amended Credit Facility and carried over $2.9 million of unamortized deferred financing from initial execution and previous amendments of the Credit Facility. Total deferred financing costs of $10.9 million, consisting of $3.0 million related to the term loan and $7.9 million related to the revolver, are being amortized to interest expense over the term of the Amended Credit Facility.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Long-Term Debt Maturities</w:t>
      </w:r>
    </w:p>
    <w:p>
      <w:pPr>
        <w:spacing w:after="0" w:line="169"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During the six months ended April 30, 2025, we made principal payments under the term loan of $8.1 million. As of April 30, 2025, the following principal payments are required under the Amended Credit Facility: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2027</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2028</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2029</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2030</w:t>
            </w:r>
          </w:p>
        </w:tc>
      </w:tr>
      <w:tr>
        <w:trPr>
          <w:trHeight w:val="34"/>
        </w:trPr>
        <w:tc>
          <w:tcPr>
            <w:tcW w:w="2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1580" w:type="dxa"/>
            <w:vAlign w:val="bottom"/>
            <w:tcBorders>
              <w:bottom w:val="single" w:sz="8" w:color="DCE2E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8"/>
        </w:trPr>
        <w:tc>
          <w:tcPr>
            <w:tcW w:w="20" w:type="dxa"/>
            <w:vAlign w:val="bottom"/>
            <w:shd w:val="clear" w:color="auto" w:fill="DCE2EF"/>
          </w:tcPr>
          <w:p>
            <w:pPr>
              <w:spacing w:after="0"/>
              <w:rPr>
                <w:sz w:val="18"/>
                <w:szCs w:val="18"/>
                <w:color w:val="auto"/>
              </w:rPr>
            </w:pPr>
          </w:p>
        </w:tc>
        <w:tc>
          <w:tcPr>
            <w:tcW w:w="22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Debt maturities</w:t>
            </w:r>
          </w:p>
        </w:tc>
        <w:tc>
          <w:tcPr>
            <w:tcW w:w="940" w:type="dxa"/>
            <w:vAlign w:val="bottom"/>
            <w:shd w:val="clear" w:color="auto" w:fill="DCE2EF"/>
          </w:tcPr>
          <w:p>
            <w:pPr>
              <w:jc w:val="right"/>
              <w:ind w:right="75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DCE2EF"/>
          </w:tcPr>
          <w:p>
            <w:pPr>
              <w:spacing w:after="0"/>
              <w:rPr>
                <w:sz w:val="18"/>
                <w:szCs w:val="18"/>
                <w:color w:val="auto"/>
              </w:rPr>
            </w:pPr>
          </w:p>
        </w:tc>
        <w:tc>
          <w:tcPr>
            <w:tcW w:w="960" w:type="dxa"/>
            <w:vAlign w:val="bottom"/>
            <w:shd w:val="clear" w:color="auto" w:fill="DCE2EF"/>
          </w:tcPr>
          <w:p>
            <w:pPr>
              <w:jc w:val="right"/>
              <w:ind w:right="77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DCE2EF"/>
          </w:tcPr>
          <w:p>
            <w:pPr>
              <w:spacing w:after="0"/>
              <w:rPr>
                <w:sz w:val="18"/>
                <w:szCs w:val="18"/>
                <w:color w:val="auto"/>
              </w:rPr>
            </w:pPr>
          </w:p>
        </w:tc>
        <w:tc>
          <w:tcPr>
            <w:tcW w:w="960" w:type="dxa"/>
            <w:vAlign w:val="bottom"/>
            <w:shd w:val="clear" w:color="auto" w:fill="DCE2EF"/>
          </w:tcPr>
          <w:p>
            <w:pPr>
              <w:jc w:val="right"/>
              <w:ind w:right="77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30.0</w:t>
            </w:r>
          </w:p>
        </w:tc>
        <w:tc>
          <w:tcPr>
            <w:tcW w:w="80" w:type="dxa"/>
            <w:vAlign w:val="bottom"/>
            <w:shd w:val="clear" w:color="auto" w:fill="DCE2EF"/>
          </w:tcPr>
          <w:p>
            <w:pPr>
              <w:spacing w:after="0"/>
              <w:rPr>
                <w:sz w:val="18"/>
                <w:szCs w:val="18"/>
                <w:color w:val="auto"/>
              </w:rPr>
            </w:pPr>
          </w:p>
        </w:tc>
        <w:tc>
          <w:tcPr>
            <w:tcW w:w="960" w:type="dxa"/>
            <w:vAlign w:val="bottom"/>
            <w:shd w:val="clear" w:color="auto" w:fill="DCE2EF"/>
          </w:tcPr>
          <w:p>
            <w:pPr>
              <w:jc w:val="right"/>
              <w:ind w:right="759"/>
              <w:spacing w:after="0"/>
              <w:rPr>
                <w:sz w:val="20"/>
                <w:szCs w:val="20"/>
                <w:color w:val="auto"/>
              </w:rPr>
            </w:pPr>
            <w:r>
              <w:rPr>
                <w:rFonts w:ascii="Arial" w:cs="Arial" w:eastAsia="Arial" w:hAnsi="Arial"/>
                <w:sz w:val="16"/>
                <w:szCs w:val="16"/>
                <w:color w:val="auto"/>
              </w:rPr>
              <w:t>$</w:t>
            </w:r>
          </w:p>
        </w:tc>
        <w:tc>
          <w:tcPr>
            <w:tcW w:w="4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DCE2EF"/>
          </w:tcPr>
          <w:p>
            <w:pPr>
              <w:spacing w:after="0"/>
              <w:rPr>
                <w:sz w:val="18"/>
                <w:szCs w:val="18"/>
                <w:color w:val="auto"/>
              </w:rPr>
            </w:pPr>
          </w:p>
        </w:tc>
        <w:tc>
          <w:tcPr>
            <w:tcW w:w="940" w:type="dxa"/>
            <w:vAlign w:val="bottom"/>
            <w:shd w:val="clear" w:color="auto" w:fill="DCE2EF"/>
          </w:tcPr>
          <w:p>
            <w:pPr>
              <w:jc w:val="right"/>
              <w:ind w:right="75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1,419.0</w:t>
            </w: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Interest Rate Swaps</w:t>
      </w:r>
    </w:p>
    <w:p>
      <w:pPr>
        <w:spacing w:after="0" w:line="169" w:lineRule="exact"/>
        <w:rPr>
          <w:sz w:val="20"/>
          <w:szCs w:val="20"/>
          <w:color w:val="auto"/>
        </w:rPr>
      </w:pPr>
    </w:p>
    <w:p>
      <w:pPr>
        <w:jc w:val="both"/>
        <w:ind w:firstLine="645"/>
        <w:spacing w:after="0" w:line="256" w:lineRule="auto"/>
        <w:rPr>
          <w:sz w:val="20"/>
          <w:szCs w:val="20"/>
          <w:color w:val="auto"/>
        </w:rPr>
      </w:pPr>
      <w:r>
        <w:rPr>
          <w:rFonts w:ascii="Arial" w:cs="Arial" w:eastAsia="Arial" w:hAnsi="Arial"/>
          <w:sz w:val="18"/>
          <w:szCs w:val="18"/>
          <w:color w:val="auto"/>
        </w:rPr>
        <w:t>We utilize interest rate swap agreements to fix the variable interest rates on portions of our debt. The purpose of using these derivatives is to reduce our exposure to the interest rate risk associated with variable borrowings. Under these agreements, we typically pay a fixed interest rate in exchange for a SOFR-based variable interest rate on a given notional amount. All of our interest rate swaps are designated and accounted for as cash flow hedges. Changes in the fair value of these derivatives are reported as a component of other comprehensive income and are reclassified into earnings in the period or periods in which the hedged transaction affects earnings. For information regarding the valuation of our interest rate swaps, see Note 6, “Fair Value of Financial Instruments.”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Notional Amount</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Fixed Interest Rate</w:t>
            </w:r>
          </w:p>
        </w:tc>
        <w:tc>
          <w:tcPr>
            <w:tcW w:w="2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Effective Date</w:t>
            </w:r>
          </w:p>
        </w:tc>
        <w:tc>
          <w:tcPr>
            <w:tcW w:w="2740" w:type="dxa"/>
            <w:vAlign w:val="bottom"/>
          </w:tcPr>
          <w:p>
            <w:pPr>
              <w:ind w:left="860"/>
              <w:spacing w:after="0"/>
              <w:rPr>
                <w:sz w:val="20"/>
                <w:szCs w:val="20"/>
                <w:color w:val="auto"/>
              </w:rPr>
            </w:pPr>
            <w:r>
              <w:rPr>
                <w:rFonts w:ascii="Arial" w:cs="Arial" w:eastAsia="Arial" w:hAnsi="Arial"/>
                <w:sz w:val="16"/>
                <w:szCs w:val="16"/>
                <w:b w:val="1"/>
                <w:bCs w:val="1"/>
                <w:color w:val="auto"/>
              </w:rPr>
              <w:t>Maturity Date</w:t>
            </w:r>
          </w:p>
        </w:tc>
      </w:tr>
      <w:tr>
        <w:trPr>
          <w:trHeight w:val="208"/>
        </w:trPr>
        <w:tc>
          <w:tcPr>
            <w:tcW w:w="2700" w:type="dxa"/>
            <w:vAlign w:val="bottom"/>
            <w:tcBorders>
              <w:top w:val="single" w:sz="8" w:color="auto"/>
            </w:tcBorders>
            <w:shd w:val="clear" w:color="auto" w:fill="DCE2EF"/>
          </w:tcPr>
          <w:p>
            <w:pPr>
              <w:jc w:val="center"/>
              <w:spacing w:after="0"/>
              <w:rPr>
                <w:sz w:val="20"/>
                <w:szCs w:val="20"/>
                <w:color w:val="auto"/>
              </w:rPr>
            </w:pPr>
            <w:r>
              <w:rPr>
                <w:rFonts w:ascii="Arial" w:cs="Arial" w:eastAsia="Arial" w:hAnsi="Arial"/>
                <w:sz w:val="16"/>
                <w:szCs w:val="16"/>
                <w:color w:val="auto"/>
              </w:rPr>
              <w:t>$100.0 million</w:t>
            </w:r>
          </w:p>
        </w:tc>
        <w:tc>
          <w:tcPr>
            <w:tcW w:w="120" w:type="dxa"/>
            <w:vAlign w:val="bottom"/>
            <w:tcBorders>
              <w:top w:val="single" w:sz="8" w:color="DCE2EF"/>
            </w:tcBorders>
            <w:shd w:val="clear" w:color="auto" w:fill="DCE2EF"/>
          </w:tcPr>
          <w:p>
            <w:pPr>
              <w:spacing w:after="0"/>
              <w:rPr>
                <w:sz w:val="18"/>
                <w:szCs w:val="18"/>
                <w:color w:val="auto"/>
              </w:rPr>
            </w:pPr>
          </w:p>
        </w:tc>
        <w:tc>
          <w:tcPr>
            <w:tcW w:w="2720" w:type="dxa"/>
            <w:vAlign w:val="bottom"/>
            <w:tcBorders>
              <w:top w:val="single" w:sz="8" w:color="auto"/>
            </w:tcBorders>
            <w:shd w:val="clear" w:color="auto" w:fill="DCE2EF"/>
          </w:tcPr>
          <w:p>
            <w:pPr>
              <w:jc w:val="center"/>
              <w:spacing w:after="0"/>
              <w:rPr>
                <w:sz w:val="20"/>
                <w:szCs w:val="20"/>
                <w:color w:val="auto"/>
              </w:rPr>
            </w:pPr>
            <w:r>
              <w:rPr>
                <w:rFonts w:ascii="Arial" w:cs="Arial" w:eastAsia="Arial" w:hAnsi="Arial"/>
                <w:sz w:val="16"/>
                <w:szCs w:val="16"/>
                <w:color w:val="auto"/>
                <w:w w:val="96"/>
              </w:rPr>
              <w:t>1.72%</w:t>
            </w:r>
          </w:p>
        </w:tc>
        <w:tc>
          <w:tcPr>
            <w:tcW w:w="120" w:type="dxa"/>
            <w:vAlign w:val="bottom"/>
            <w:tcBorders>
              <w:top w:val="single" w:sz="8" w:color="DCE2EF"/>
            </w:tcBorders>
            <w:shd w:val="clear" w:color="auto" w:fill="DCE2EF"/>
          </w:tcPr>
          <w:p>
            <w:pPr>
              <w:spacing w:after="0"/>
              <w:rPr>
                <w:sz w:val="18"/>
                <w:szCs w:val="18"/>
                <w:color w:val="auto"/>
              </w:rPr>
            </w:pPr>
          </w:p>
        </w:tc>
        <w:tc>
          <w:tcPr>
            <w:tcW w:w="2720" w:type="dxa"/>
            <w:vAlign w:val="bottom"/>
            <w:tcBorders>
              <w:top w:val="single" w:sz="8" w:color="auto"/>
            </w:tcBorders>
            <w:shd w:val="clear" w:color="auto" w:fill="DCE2EF"/>
          </w:tcPr>
          <w:p>
            <w:pPr>
              <w:jc w:val="center"/>
              <w:spacing w:after="0"/>
              <w:rPr>
                <w:sz w:val="20"/>
                <w:szCs w:val="20"/>
                <w:color w:val="auto"/>
              </w:rPr>
            </w:pPr>
            <w:r>
              <w:rPr>
                <w:rFonts w:ascii="Arial" w:cs="Arial" w:eastAsia="Arial" w:hAnsi="Arial"/>
                <w:sz w:val="16"/>
                <w:szCs w:val="16"/>
                <w:color w:val="auto"/>
              </w:rPr>
              <w:t>February 9, 2022</w:t>
            </w:r>
          </w:p>
        </w:tc>
        <w:tc>
          <w:tcPr>
            <w:tcW w:w="100" w:type="dxa"/>
            <w:vAlign w:val="bottom"/>
            <w:tcBorders>
              <w:top w:val="single" w:sz="8" w:color="DCE2EF"/>
            </w:tcBorders>
            <w:shd w:val="clear" w:color="auto" w:fill="DCE2EF"/>
          </w:tcPr>
          <w:p>
            <w:pPr>
              <w:spacing w:after="0"/>
              <w:rPr>
                <w:sz w:val="18"/>
                <w:szCs w:val="18"/>
                <w:color w:val="auto"/>
              </w:rPr>
            </w:pPr>
          </w:p>
        </w:tc>
        <w:tc>
          <w:tcPr>
            <w:tcW w:w="2740" w:type="dxa"/>
            <w:vAlign w:val="bottom"/>
            <w:tcBorders>
              <w:top w:val="single" w:sz="8" w:color="auto"/>
            </w:tcBorders>
            <w:shd w:val="clear" w:color="auto" w:fill="DCE2EF"/>
          </w:tcPr>
          <w:p>
            <w:pPr>
              <w:ind w:left="860"/>
              <w:spacing w:after="0"/>
              <w:rPr>
                <w:sz w:val="20"/>
                <w:szCs w:val="20"/>
                <w:color w:val="auto"/>
              </w:rPr>
            </w:pPr>
            <w:r>
              <w:rPr>
                <w:rFonts w:ascii="Arial" w:cs="Arial" w:eastAsia="Arial" w:hAnsi="Arial"/>
                <w:sz w:val="16"/>
                <w:szCs w:val="16"/>
                <w:color w:val="auto"/>
              </w:rPr>
              <w:t>June 28, 2026</w:t>
            </w:r>
          </w:p>
        </w:tc>
      </w:tr>
      <w:tr>
        <w:trPr>
          <w:trHeight w:val="214"/>
        </w:trPr>
        <w:tc>
          <w:tcPr>
            <w:tcW w:w="2820" w:type="dxa"/>
            <w:vAlign w:val="bottom"/>
            <w:gridSpan w:val="2"/>
          </w:tcPr>
          <w:p>
            <w:pPr>
              <w:jc w:val="center"/>
              <w:ind w:right="100"/>
              <w:spacing w:after="0"/>
              <w:rPr>
                <w:sz w:val="20"/>
                <w:szCs w:val="20"/>
                <w:color w:val="auto"/>
              </w:rPr>
            </w:pPr>
            <w:r>
              <w:rPr>
                <w:rFonts w:ascii="Arial" w:cs="Arial" w:eastAsia="Arial" w:hAnsi="Arial"/>
                <w:sz w:val="16"/>
                <w:szCs w:val="16"/>
                <w:color w:val="auto"/>
              </w:rPr>
              <w:t>$150.0 million</w:t>
            </w:r>
          </w:p>
        </w:tc>
        <w:tc>
          <w:tcPr>
            <w:tcW w:w="2720" w:type="dxa"/>
            <w:vAlign w:val="bottom"/>
          </w:tcPr>
          <w:p>
            <w:pPr>
              <w:jc w:val="center"/>
              <w:spacing w:after="0"/>
              <w:rPr>
                <w:sz w:val="20"/>
                <w:szCs w:val="20"/>
                <w:color w:val="auto"/>
              </w:rPr>
            </w:pPr>
            <w:r>
              <w:rPr>
                <w:rFonts w:ascii="Arial" w:cs="Arial" w:eastAsia="Arial" w:hAnsi="Arial"/>
                <w:sz w:val="16"/>
                <w:szCs w:val="16"/>
                <w:color w:val="auto"/>
                <w:w w:val="96"/>
              </w:rPr>
              <w:t>1.85%</w:t>
            </w:r>
          </w:p>
        </w:tc>
        <w:tc>
          <w:tcPr>
            <w:tcW w:w="120" w:type="dxa"/>
            <w:vAlign w:val="bottom"/>
          </w:tcPr>
          <w:p>
            <w:pPr>
              <w:spacing w:after="0"/>
              <w:rPr>
                <w:sz w:val="18"/>
                <w:szCs w:val="18"/>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6"/>
                <w:szCs w:val="16"/>
                <w:color w:val="auto"/>
              </w:rPr>
              <w:t>February 25, 2022</w:t>
            </w:r>
          </w:p>
        </w:tc>
        <w:tc>
          <w:tcPr>
            <w:tcW w:w="2740" w:type="dxa"/>
            <w:vAlign w:val="bottom"/>
          </w:tcPr>
          <w:p>
            <w:pPr>
              <w:ind w:left="860"/>
              <w:spacing w:after="0"/>
              <w:rPr>
                <w:sz w:val="20"/>
                <w:szCs w:val="20"/>
                <w:color w:val="auto"/>
              </w:rPr>
            </w:pPr>
            <w:r>
              <w:rPr>
                <w:rFonts w:ascii="Arial" w:cs="Arial" w:eastAsia="Arial" w:hAnsi="Arial"/>
                <w:sz w:val="16"/>
                <w:szCs w:val="16"/>
                <w:color w:val="auto"/>
              </w:rPr>
              <w:t>June 28, 2026</w:t>
            </w:r>
          </w:p>
        </w:tc>
      </w:tr>
      <w:tr>
        <w:trPr>
          <w:trHeight w:val="216"/>
        </w:trPr>
        <w:tc>
          <w:tcPr>
            <w:tcW w:w="2820" w:type="dxa"/>
            <w:vAlign w:val="bottom"/>
            <w:gridSpan w:val="2"/>
            <w:shd w:val="clear" w:color="auto" w:fill="DCE2EF"/>
          </w:tcPr>
          <w:p>
            <w:pPr>
              <w:jc w:val="center"/>
              <w:ind w:right="100"/>
              <w:spacing w:after="0"/>
              <w:rPr>
                <w:sz w:val="20"/>
                <w:szCs w:val="20"/>
                <w:color w:val="auto"/>
              </w:rPr>
            </w:pPr>
            <w:r>
              <w:rPr>
                <w:rFonts w:ascii="Arial" w:cs="Arial" w:eastAsia="Arial" w:hAnsi="Arial"/>
                <w:sz w:val="16"/>
                <w:szCs w:val="16"/>
                <w:color w:val="auto"/>
              </w:rPr>
              <w:t>$100.0 million</w:t>
            </w:r>
          </w:p>
        </w:tc>
        <w:tc>
          <w:tcPr>
            <w:tcW w:w="2720" w:type="dxa"/>
            <w:vAlign w:val="bottom"/>
            <w:shd w:val="clear" w:color="auto" w:fill="DCE2EF"/>
          </w:tcPr>
          <w:p>
            <w:pPr>
              <w:jc w:val="center"/>
              <w:spacing w:after="0"/>
              <w:rPr>
                <w:sz w:val="20"/>
                <w:szCs w:val="20"/>
                <w:color w:val="auto"/>
              </w:rPr>
            </w:pPr>
            <w:r>
              <w:rPr>
                <w:rFonts w:ascii="Arial" w:cs="Arial" w:eastAsia="Arial" w:hAnsi="Arial"/>
                <w:sz w:val="16"/>
                <w:szCs w:val="16"/>
                <w:color w:val="auto"/>
                <w:w w:val="96"/>
              </w:rPr>
              <w:t>2.88%</w:t>
            </w:r>
          </w:p>
        </w:tc>
        <w:tc>
          <w:tcPr>
            <w:tcW w:w="120" w:type="dxa"/>
            <w:vAlign w:val="bottom"/>
            <w:shd w:val="clear" w:color="auto" w:fill="DCE2EF"/>
          </w:tcPr>
          <w:p>
            <w:pPr>
              <w:spacing w:after="0"/>
              <w:rPr>
                <w:sz w:val="18"/>
                <w:szCs w:val="18"/>
                <w:color w:val="auto"/>
              </w:rPr>
            </w:pPr>
          </w:p>
        </w:tc>
        <w:tc>
          <w:tcPr>
            <w:tcW w:w="2820" w:type="dxa"/>
            <w:vAlign w:val="bottom"/>
            <w:gridSpan w:val="2"/>
            <w:shd w:val="clear" w:color="auto" w:fill="DCE2EF"/>
          </w:tcPr>
          <w:p>
            <w:pPr>
              <w:jc w:val="center"/>
              <w:ind w:right="100"/>
              <w:spacing w:after="0"/>
              <w:rPr>
                <w:sz w:val="20"/>
                <w:szCs w:val="20"/>
                <w:color w:val="auto"/>
              </w:rPr>
            </w:pPr>
            <w:r>
              <w:rPr>
                <w:rFonts w:ascii="Arial" w:cs="Arial" w:eastAsia="Arial" w:hAnsi="Arial"/>
                <w:sz w:val="16"/>
                <w:szCs w:val="16"/>
                <w:color w:val="auto"/>
                <w:w w:val="99"/>
              </w:rPr>
              <w:t>May 4, 2022</w:t>
            </w:r>
          </w:p>
        </w:tc>
        <w:tc>
          <w:tcPr>
            <w:tcW w:w="2740" w:type="dxa"/>
            <w:vAlign w:val="bottom"/>
            <w:shd w:val="clear" w:color="auto" w:fill="DCE2EF"/>
          </w:tcPr>
          <w:p>
            <w:pPr>
              <w:ind w:left="860"/>
              <w:spacing w:after="0"/>
              <w:rPr>
                <w:sz w:val="20"/>
                <w:szCs w:val="20"/>
                <w:color w:val="auto"/>
              </w:rPr>
            </w:pPr>
            <w:r>
              <w:rPr>
                <w:rFonts w:ascii="Arial" w:cs="Arial" w:eastAsia="Arial" w:hAnsi="Arial"/>
                <w:sz w:val="16"/>
                <w:szCs w:val="16"/>
                <w:color w:val="auto"/>
              </w:rPr>
              <w:t>June 28, 2026</w:t>
            </w:r>
          </w:p>
        </w:tc>
      </w:tr>
      <w:tr>
        <w:trPr>
          <w:trHeight w:val="215"/>
        </w:trPr>
        <w:tc>
          <w:tcPr>
            <w:tcW w:w="2820" w:type="dxa"/>
            <w:vAlign w:val="bottom"/>
            <w:gridSpan w:val="2"/>
          </w:tcPr>
          <w:p>
            <w:pPr>
              <w:jc w:val="center"/>
              <w:ind w:left="39"/>
              <w:spacing w:after="0" w:line="215" w:lineRule="exact"/>
              <w:rPr>
                <w:sz w:val="20"/>
                <w:szCs w:val="20"/>
                <w:color w:val="auto"/>
              </w:rPr>
            </w:pPr>
            <w:r>
              <w:rPr>
                <w:rFonts w:ascii="Arial" w:cs="Arial" w:eastAsia="Arial" w:hAnsi="Arial"/>
                <w:sz w:val="16"/>
                <w:szCs w:val="16"/>
                <w:color w:val="auto"/>
                <w:w w:val="98"/>
              </w:rPr>
              <w:t xml:space="preserve">$161.9 million </w:t>
            </w:r>
            <w:r>
              <w:rPr>
                <w:rFonts w:ascii="Arial" w:cs="Arial" w:eastAsia="Arial" w:hAnsi="Arial"/>
                <w:sz w:val="20"/>
                <w:szCs w:val="20"/>
                <w:color w:val="auto"/>
                <w:w w:val="98"/>
                <w:vertAlign w:val="superscript"/>
              </w:rPr>
              <w:t>(1)</w:t>
            </w:r>
          </w:p>
        </w:tc>
        <w:tc>
          <w:tcPr>
            <w:tcW w:w="2720" w:type="dxa"/>
            <w:vAlign w:val="bottom"/>
          </w:tcPr>
          <w:p>
            <w:pPr>
              <w:jc w:val="center"/>
              <w:spacing w:after="0"/>
              <w:rPr>
                <w:sz w:val="20"/>
                <w:szCs w:val="20"/>
                <w:color w:val="auto"/>
              </w:rPr>
            </w:pPr>
            <w:r>
              <w:rPr>
                <w:rFonts w:ascii="Arial" w:cs="Arial" w:eastAsia="Arial" w:hAnsi="Arial"/>
                <w:sz w:val="16"/>
                <w:szCs w:val="16"/>
                <w:color w:val="auto"/>
                <w:w w:val="96"/>
              </w:rPr>
              <w:t>2.83%</w:t>
            </w:r>
          </w:p>
        </w:tc>
        <w:tc>
          <w:tcPr>
            <w:tcW w:w="120" w:type="dxa"/>
            <w:vAlign w:val="bottom"/>
          </w:tcPr>
          <w:p>
            <w:pPr>
              <w:spacing w:after="0"/>
              <w:rPr>
                <w:sz w:val="18"/>
                <w:szCs w:val="18"/>
                <w:color w:val="auto"/>
              </w:rPr>
            </w:pPr>
          </w:p>
        </w:tc>
        <w:tc>
          <w:tcPr>
            <w:tcW w:w="28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July 7, 2022</w:t>
            </w:r>
          </w:p>
        </w:tc>
        <w:tc>
          <w:tcPr>
            <w:tcW w:w="2740" w:type="dxa"/>
            <w:vAlign w:val="bottom"/>
          </w:tcPr>
          <w:p>
            <w:pPr>
              <w:ind w:left="860"/>
              <w:spacing w:after="0"/>
              <w:rPr>
                <w:sz w:val="20"/>
                <w:szCs w:val="20"/>
                <w:color w:val="auto"/>
              </w:rPr>
            </w:pPr>
            <w:r>
              <w:rPr>
                <w:rFonts w:ascii="Arial" w:cs="Arial" w:eastAsia="Arial" w:hAnsi="Arial"/>
                <w:sz w:val="16"/>
                <w:szCs w:val="16"/>
                <w:color w:val="auto"/>
              </w:rPr>
              <w:t>June 28, 2026</w:t>
            </w:r>
          </w:p>
        </w:tc>
      </w:tr>
      <w:tr>
        <w:trPr>
          <w:trHeight w:val="215"/>
        </w:trPr>
        <w:tc>
          <w:tcPr>
            <w:tcW w:w="2820" w:type="dxa"/>
            <w:vAlign w:val="bottom"/>
            <w:gridSpan w:val="2"/>
            <w:shd w:val="clear" w:color="auto" w:fill="DCE2EF"/>
          </w:tcPr>
          <w:p>
            <w:pPr>
              <w:jc w:val="center"/>
              <w:ind w:left="39"/>
              <w:spacing w:after="0" w:line="215" w:lineRule="exact"/>
              <w:rPr>
                <w:sz w:val="20"/>
                <w:szCs w:val="20"/>
                <w:color w:val="auto"/>
              </w:rPr>
            </w:pPr>
            <w:r>
              <w:rPr>
                <w:rFonts w:ascii="Arial" w:cs="Arial" w:eastAsia="Arial" w:hAnsi="Arial"/>
                <w:sz w:val="16"/>
                <w:szCs w:val="16"/>
                <w:color w:val="auto"/>
                <w:w w:val="95"/>
              </w:rPr>
              <w:t xml:space="preserve">$13.1 million </w:t>
            </w:r>
            <w:r>
              <w:rPr>
                <w:rFonts w:ascii="Arial" w:cs="Arial" w:eastAsia="Arial" w:hAnsi="Arial"/>
                <w:sz w:val="20"/>
                <w:szCs w:val="20"/>
                <w:color w:val="auto"/>
                <w:w w:val="95"/>
                <w:vertAlign w:val="superscript"/>
              </w:rPr>
              <w:t>(1)</w:t>
            </w:r>
          </w:p>
        </w:tc>
        <w:tc>
          <w:tcPr>
            <w:tcW w:w="2720" w:type="dxa"/>
            <w:vAlign w:val="bottom"/>
            <w:shd w:val="clear" w:color="auto" w:fill="DCE2EF"/>
          </w:tcPr>
          <w:p>
            <w:pPr>
              <w:jc w:val="center"/>
              <w:spacing w:after="0"/>
              <w:rPr>
                <w:sz w:val="20"/>
                <w:szCs w:val="20"/>
                <w:color w:val="auto"/>
              </w:rPr>
            </w:pPr>
            <w:r>
              <w:rPr>
                <w:rFonts w:ascii="Arial" w:cs="Arial" w:eastAsia="Arial" w:hAnsi="Arial"/>
                <w:sz w:val="16"/>
                <w:szCs w:val="16"/>
                <w:color w:val="auto"/>
                <w:w w:val="96"/>
              </w:rPr>
              <w:t>2.79%</w:t>
            </w:r>
          </w:p>
        </w:tc>
        <w:tc>
          <w:tcPr>
            <w:tcW w:w="120" w:type="dxa"/>
            <w:vAlign w:val="bottom"/>
            <w:shd w:val="clear" w:color="auto" w:fill="DCE2EF"/>
          </w:tcPr>
          <w:p>
            <w:pPr>
              <w:spacing w:after="0"/>
              <w:rPr>
                <w:sz w:val="18"/>
                <w:szCs w:val="18"/>
                <w:color w:val="auto"/>
              </w:rPr>
            </w:pPr>
          </w:p>
        </w:tc>
        <w:tc>
          <w:tcPr>
            <w:tcW w:w="2820" w:type="dxa"/>
            <w:vAlign w:val="bottom"/>
            <w:gridSpan w:val="2"/>
            <w:shd w:val="clear" w:color="auto" w:fill="DCE2EF"/>
          </w:tcPr>
          <w:p>
            <w:pPr>
              <w:jc w:val="center"/>
              <w:ind w:right="100"/>
              <w:spacing w:after="0"/>
              <w:rPr>
                <w:sz w:val="20"/>
                <w:szCs w:val="20"/>
                <w:color w:val="auto"/>
              </w:rPr>
            </w:pPr>
            <w:r>
              <w:rPr>
                <w:rFonts w:ascii="Arial" w:cs="Arial" w:eastAsia="Arial" w:hAnsi="Arial"/>
                <w:sz w:val="16"/>
                <w:szCs w:val="16"/>
                <w:color w:val="auto"/>
              </w:rPr>
              <w:t>July 18, 2022</w:t>
            </w:r>
          </w:p>
        </w:tc>
        <w:tc>
          <w:tcPr>
            <w:tcW w:w="2740" w:type="dxa"/>
            <w:vAlign w:val="bottom"/>
            <w:shd w:val="clear" w:color="auto" w:fill="DCE2EF"/>
          </w:tcPr>
          <w:p>
            <w:pPr>
              <w:ind w:left="860"/>
              <w:spacing w:after="0"/>
              <w:rPr>
                <w:sz w:val="20"/>
                <w:szCs w:val="20"/>
                <w:color w:val="auto"/>
              </w:rPr>
            </w:pPr>
            <w:r>
              <w:rPr>
                <w:rFonts w:ascii="Arial" w:cs="Arial" w:eastAsia="Arial" w:hAnsi="Arial"/>
                <w:sz w:val="16"/>
                <w:szCs w:val="16"/>
                <w:color w:val="auto"/>
              </w:rPr>
              <w:t>June 28, 2026</w:t>
            </w:r>
          </w:p>
        </w:tc>
      </w:tr>
      <w:tr>
        <w:trPr>
          <w:trHeight w:val="214"/>
        </w:trPr>
        <w:tc>
          <w:tcPr>
            <w:tcW w:w="2820" w:type="dxa"/>
            <w:vAlign w:val="bottom"/>
            <w:gridSpan w:val="2"/>
          </w:tcPr>
          <w:p>
            <w:pPr>
              <w:jc w:val="center"/>
              <w:ind w:right="100"/>
              <w:spacing w:after="0"/>
              <w:rPr>
                <w:sz w:val="20"/>
                <w:szCs w:val="20"/>
                <w:color w:val="auto"/>
              </w:rPr>
            </w:pPr>
            <w:r>
              <w:rPr>
                <w:rFonts w:ascii="Arial" w:cs="Arial" w:eastAsia="Arial" w:hAnsi="Arial"/>
                <w:sz w:val="16"/>
                <w:szCs w:val="16"/>
                <w:color w:val="auto"/>
              </w:rPr>
              <w:t>$170.0 million</w:t>
            </w:r>
          </w:p>
        </w:tc>
        <w:tc>
          <w:tcPr>
            <w:tcW w:w="2720" w:type="dxa"/>
            <w:vAlign w:val="bottom"/>
          </w:tcPr>
          <w:p>
            <w:pPr>
              <w:jc w:val="center"/>
              <w:spacing w:after="0"/>
              <w:rPr>
                <w:sz w:val="20"/>
                <w:szCs w:val="20"/>
                <w:color w:val="auto"/>
              </w:rPr>
            </w:pPr>
            <w:r>
              <w:rPr>
                <w:rFonts w:ascii="Arial" w:cs="Arial" w:eastAsia="Arial" w:hAnsi="Arial"/>
                <w:sz w:val="16"/>
                <w:szCs w:val="16"/>
                <w:color w:val="auto"/>
                <w:w w:val="96"/>
              </w:rPr>
              <w:t>3.81%</w:t>
            </w:r>
          </w:p>
        </w:tc>
        <w:tc>
          <w:tcPr>
            <w:tcW w:w="120" w:type="dxa"/>
            <w:vAlign w:val="bottom"/>
          </w:tcPr>
          <w:p>
            <w:pPr>
              <w:spacing w:after="0"/>
              <w:rPr>
                <w:sz w:val="18"/>
                <w:szCs w:val="18"/>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6"/>
                <w:szCs w:val="16"/>
                <w:color w:val="auto"/>
              </w:rPr>
              <w:t>November 1, 2022</w:t>
            </w:r>
          </w:p>
        </w:tc>
        <w:tc>
          <w:tcPr>
            <w:tcW w:w="2740" w:type="dxa"/>
            <w:vAlign w:val="bottom"/>
          </w:tcPr>
          <w:p>
            <w:pPr>
              <w:ind w:left="860"/>
              <w:spacing w:after="0"/>
              <w:rPr>
                <w:sz w:val="20"/>
                <w:szCs w:val="20"/>
                <w:color w:val="auto"/>
              </w:rPr>
            </w:pPr>
            <w:r>
              <w:rPr>
                <w:rFonts w:ascii="Arial" w:cs="Arial" w:eastAsia="Arial" w:hAnsi="Arial"/>
                <w:sz w:val="16"/>
                <w:szCs w:val="16"/>
                <w:color w:val="auto"/>
              </w:rPr>
              <w:t>June 28, 2026</w:t>
            </w:r>
          </w:p>
        </w:tc>
      </w:tr>
    </w:tbl>
    <w:p>
      <w:pPr>
        <w:spacing w:after="0" w:line="301" w:lineRule="exact"/>
        <w:rPr>
          <w:sz w:val="20"/>
          <w:szCs w:val="20"/>
          <w:color w:val="auto"/>
        </w:rPr>
      </w:pPr>
    </w:p>
    <w:p>
      <w:pPr>
        <w:ind w:left="160" w:hanging="153"/>
        <w:spacing w:after="0" w:line="231" w:lineRule="auto"/>
        <w:tabs>
          <w:tab w:leader="none" w:pos="171"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In July 2022, we entered into interest rate swap agreements with notional values totaling $300.0 million at inception. The notional amount reduces to $100.0 million in October 2025 before maturing on June 28, 2026.</w:t>
      </w:r>
    </w:p>
    <w:p>
      <w:pPr>
        <w:spacing w:after="0" w:line="138"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At April 30, 2025, and October 31, 2024, amounts recorded in accumulated other comprehensive loss (“AOCL”) for interest rate swaps were a gain of $ 4.4 million, net of taxes of $2.6 million, and a gain of $9.2 million, net of taxes of $4.3 million, respectively. At April 30, 2025, the total amount expected to be reclassified from AOCL to earnings during the next 12 months is a gain of $4.4 million, net of taxes of $1.6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0046AD"/>
        </w:rPr>
        <w:t>9.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jc w:val="both"/>
        <w:ind w:right="100" w:firstLine="645"/>
        <w:spacing w:after="0" w:line="256" w:lineRule="auto"/>
        <w:rPr>
          <w:sz w:val="20"/>
          <w:szCs w:val="20"/>
          <w:color w:val="auto"/>
        </w:rPr>
      </w:pPr>
      <w:r>
        <w:rPr>
          <w:rFonts w:ascii="Arial" w:cs="Arial" w:eastAsia="Arial" w:hAnsi="Arial"/>
          <w:sz w:val="18"/>
          <w:szCs w:val="18"/>
          <w:color w:val="auto"/>
        </w:rPr>
        <w:t>Effective December 13, 2023, our Board of Directors expanded our existing share repurchase program by an additional $150.0 million. Share repurchases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 unissued status. The repurchase program may be suspended or discontinued at any time without prior notice.</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046AD"/>
        </w:rPr>
        <w:t>Repurchase Activity</w:t>
      </w:r>
    </w:p>
    <w:p>
      <w:pPr>
        <w:spacing w:after="0" w:line="167" w:lineRule="exact"/>
        <w:rPr>
          <w:sz w:val="20"/>
          <w:szCs w:val="20"/>
          <w:color w:val="auto"/>
        </w:rPr>
      </w:pPr>
    </w:p>
    <w:p>
      <w:pPr>
        <w:jc w:val="both"/>
        <w:ind w:right="100" w:firstLine="161"/>
        <w:spacing w:after="0" w:line="267" w:lineRule="auto"/>
        <w:rPr>
          <w:sz w:val="20"/>
          <w:szCs w:val="20"/>
          <w:color w:val="auto"/>
        </w:rPr>
      </w:pPr>
      <w:r>
        <w:rPr>
          <w:rFonts w:ascii="Arial" w:cs="Arial" w:eastAsia="Arial" w:hAnsi="Arial"/>
          <w:sz w:val="18"/>
          <w:szCs w:val="18"/>
          <w:color w:val="auto"/>
        </w:rPr>
        <w:t>No shares were repurchased during the three months ended April 30, 2025. During the six months ended April 30, 2025, there were share repurchases as summarized below. At April 30, 2025, authorization for $133.2 million of repurchases remained under our share repurchase program.</w:t>
      </w:r>
    </w:p>
    <w:p>
      <w:pPr>
        <w:spacing w:after="0" w:line="138"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67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 except per share amounts)</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 April 30,</w:t>
            </w:r>
          </w:p>
        </w:tc>
        <w:tc>
          <w:tcPr>
            <w:tcW w:w="0" w:type="dxa"/>
            <w:vAlign w:val="bottom"/>
          </w:tcPr>
          <w:p>
            <w:pPr>
              <w:spacing w:after="0"/>
              <w:rPr>
                <w:sz w:val="1"/>
                <w:szCs w:val="1"/>
                <w:color w:val="auto"/>
              </w:rPr>
            </w:pPr>
          </w:p>
        </w:tc>
      </w:tr>
      <w:tr>
        <w:trPr>
          <w:trHeight w:val="215"/>
        </w:trPr>
        <w:tc>
          <w:tcPr>
            <w:tcW w:w="6760" w:type="dxa"/>
            <w:vAlign w:val="bottom"/>
            <w:tcBorders>
              <w:bottom w:val="single" w:sz="8" w:color="DCE2EF"/>
            </w:tcBorders>
            <w:vMerge w:val="continue"/>
          </w:tcPr>
          <w:p>
            <w:pPr>
              <w:spacing w:after="0"/>
              <w:rPr>
                <w:sz w:val="18"/>
                <w:szCs w:val="18"/>
                <w:color w:val="auto"/>
              </w:rPr>
            </w:pPr>
          </w:p>
        </w:tc>
        <w:tc>
          <w:tcPr>
            <w:tcW w:w="1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April 30, 2025</w:t>
            </w: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DCE2E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8"/>
        </w:trPr>
        <w:tc>
          <w:tcPr>
            <w:tcW w:w="6760" w:type="dxa"/>
            <w:vAlign w:val="bottom"/>
            <w:shd w:val="clear" w:color="auto" w:fill="DCE2EF"/>
          </w:tcPr>
          <w:p>
            <w:pPr>
              <w:ind w:left="20"/>
              <w:spacing w:after="0"/>
              <w:rPr>
                <w:sz w:val="20"/>
                <w:szCs w:val="20"/>
                <w:color w:val="auto"/>
              </w:rPr>
            </w:pPr>
            <w:r>
              <w:rPr>
                <w:rFonts w:ascii="Arial" w:cs="Arial" w:eastAsia="Arial" w:hAnsi="Arial"/>
                <w:sz w:val="16"/>
                <w:szCs w:val="16"/>
                <w:color w:val="auto"/>
              </w:rPr>
              <w:t>Total number of shares purchased</w:t>
            </w:r>
          </w:p>
        </w:tc>
        <w:tc>
          <w:tcPr>
            <w:tcW w:w="1920" w:type="dxa"/>
            <w:vAlign w:val="bottom"/>
            <w:shd w:val="clear" w:color="auto" w:fill="DCE2EF"/>
          </w:tcPr>
          <w:p>
            <w:pPr>
              <w:spacing w:after="0"/>
              <w:rPr>
                <w:sz w:val="18"/>
                <w:szCs w:val="18"/>
                <w:color w:val="auto"/>
              </w:rPr>
            </w:pPr>
          </w:p>
        </w:tc>
        <w:tc>
          <w:tcPr>
            <w:tcW w:w="260" w:type="dxa"/>
            <w:vAlign w:val="bottom"/>
            <w:shd w:val="clear" w:color="auto" w:fill="DCE2EF"/>
          </w:tcPr>
          <w:p>
            <w:pPr>
              <w:ind w:left="8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DCE2EF"/>
          </w:tcPr>
          <w:p>
            <w:pPr>
              <w:spacing w:after="0"/>
              <w:rPr>
                <w:sz w:val="18"/>
                <w:szCs w:val="18"/>
                <w:color w:val="auto"/>
              </w:rPr>
            </w:pPr>
          </w:p>
        </w:tc>
        <w:tc>
          <w:tcPr>
            <w:tcW w:w="500" w:type="dxa"/>
            <w:vAlign w:val="bottom"/>
            <w:shd w:val="clear" w:color="auto" w:fill="DCE2EF"/>
          </w:tcPr>
          <w:p>
            <w:pPr>
              <w:spacing w:after="0"/>
              <w:rPr>
                <w:sz w:val="18"/>
                <w:szCs w:val="18"/>
                <w:color w:val="auto"/>
              </w:rPr>
            </w:pPr>
          </w:p>
        </w:tc>
        <w:tc>
          <w:tcPr>
            <w:tcW w:w="16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14"/>
        </w:trPr>
        <w:tc>
          <w:tcPr>
            <w:tcW w:w="6760" w:type="dxa"/>
            <w:vAlign w:val="bottom"/>
          </w:tcPr>
          <w:p>
            <w:pPr>
              <w:ind w:left="20"/>
              <w:spacing w:after="0"/>
              <w:rPr>
                <w:sz w:val="20"/>
                <w:szCs w:val="20"/>
                <w:color w:val="auto"/>
              </w:rPr>
            </w:pPr>
            <w:r>
              <w:rPr>
                <w:rFonts w:ascii="Arial" w:cs="Arial" w:eastAsia="Arial" w:hAnsi="Arial"/>
                <w:sz w:val="16"/>
                <w:szCs w:val="16"/>
                <w:color w:val="auto"/>
              </w:rPr>
              <w:t>Average price paid per share</w:t>
            </w:r>
          </w:p>
        </w:tc>
        <w:tc>
          <w:tcPr>
            <w:tcW w:w="1920" w:type="dxa"/>
            <w:vAlign w:val="bottom"/>
          </w:tcPr>
          <w:p>
            <w:pPr>
              <w:jc w:val="right"/>
              <w:ind w:right="1739"/>
              <w:spacing w:after="0"/>
              <w:rPr>
                <w:sz w:val="20"/>
                <w:szCs w:val="20"/>
                <w:color w:val="auto"/>
              </w:rPr>
            </w:pPr>
            <w:r>
              <w:rPr>
                <w:rFonts w:ascii="Arial" w:cs="Arial" w:eastAsia="Arial" w:hAnsi="Arial"/>
                <w:sz w:val="16"/>
                <w:szCs w:val="16"/>
                <w:color w:val="auto"/>
                <w:w w:val="89"/>
              </w:rPr>
              <w:t>$</w:t>
            </w:r>
          </w:p>
        </w:tc>
        <w:tc>
          <w:tcPr>
            <w:tcW w:w="3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51.23</w:t>
            </w:r>
          </w:p>
        </w:tc>
        <w:tc>
          <w:tcPr>
            <w:tcW w:w="0" w:type="dxa"/>
            <w:vAlign w:val="bottom"/>
          </w:tcPr>
          <w:p>
            <w:pPr>
              <w:spacing w:after="0"/>
              <w:rPr>
                <w:sz w:val="1"/>
                <w:szCs w:val="1"/>
                <w:color w:val="auto"/>
              </w:rPr>
            </w:pPr>
          </w:p>
        </w:tc>
      </w:tr>
      <w:tr>
        <w:trPr>
          <w:trHeight w:val="216"/>
        </w:trPr>
        <w:tc>
          <w:tcPr>
            <w:tcW w:w="6760" w:type="dxa"/>
            <w:vAlign w:val="bottom"/>
            <w:shd w:val="clear" w:color="auto" w:fill="DCE2EF"/>
          </w:tcPr>
          <w:p>
            <w:pPr>
              <w:ind w:left="20"/>
              <w:spacing w:after="0"/>
              <w:rPr>
                <w:sz w:val="20"/>
                <w:szCs w:val="20"/>
                <w:color w:val="auto"/>
              </w:rPr>
            </w:pPr>
            <w:r>
              <w:rPr>
                <w:rFonts w:ascii="Arial" w:cs="Arial" w:eastAsia="Arial" w:hAnsi="Arial"/>
                <w:sz w:val="16"/>
                <w:szCs w:val="16"/>
                <w:color w:val="auto"/>
              </w:rPr>
              <w:t>Total cash paid for share repurchases</w:t>
            </w:r>
          </w:p>
        </w:tc>
        <w:tc>
          <w:tcPr>
            <w:tcW w:w="1920" w:type="dxa"/>
            <w:vAlign w:val="bottom"/>
            <w:shd w:val="clear" w:color="auto" w:fill="DCE2EF"/>
          </w:tcPr>
          <w:p>
            <w:pPr>
              <w:jc w:val="right"/>
              <w:ind w:right="1739"/>
              <w:spacing w:after="0"/>
              <w:rPr>
                <w:sz w:val="20"/>
                <w:szCs w:val="20"/>
                <w:color w:val="auto"/>
              </w:rPr>
            </w:pPr>
            <w:r>
              <w:rPr>
                <w:rFonts w:ascii="Arial" w:cs="Arial" w:eastAsia="Arial" w:hAnsi="Arial"/>
                <w:sz w:val="16"/>
                <w:szCs w:val="16"/>
                <w:color w:val="auto"/>
                <w:w w:val="89"/>
              </w:rPr>
              <w:t>$</w:t>
            </w:r>
          </w:p>
        </w:tc>
        <w:tc>
          <w:tcPr>
            <w:tcW w:w="380" w:type="dxa"/>
            <w:vAlign w:val="bottom"/>
            <w:gridSpan w:val="2"/>
            <w:shd w:val="clear" w:color="auto" w:fill="DCE2EF"/>
          </w:tcPr>
          <w:p>
            <w:pPr>
              <w:ind w:left="40"/>
              <w:spacing w:after="0"/>
              <w:rPr>
                <w:sz w:val="20"/>
                <w:szCs w:val="20"/>
                <w:color w:val="auto"/>
              </w:rPr>
            </w:pPr>
            <w:r>
              <w:rPr>
                <w:rFonts w:ascii="Arial" w:cs="Arial" w:eastAsia="Arial" w:hAnsi="Arial"/>
                <w:sz w:val="16"/>
                <w:szCs w:val="16"/>
                <w:color w:val="auto"/>
              </w:rPr>
              <w:t>—</w:t>
            </w:r>
          </w:p>
        </w:tc>
        <w:tc>
          <w:tcPr>
            <w:tcW w:w="500" w:type="dxa"/>
            <w:vAlign w:val="bottom"/>
            <w:shd w:val="clear" w:color="auto" w:fill="DCE2EF"/>
          </w:tcPr>
          <w:p>
            <w:pPr>
              <w:jc w:val="right"/>
              <w:ind w:right="31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67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 except per share amounts)</w:t>
            </w:r>
          </w:p>
        </w:tc>
        <w:tc>
          <w:tcPr>
            <w:tcW w:w="2300" w:type="dxa"/>
            <w:vAlign w:val="bottom"/>
            <w:gridSpan w:val="3"/>
          </w:tcPr>
          <w:p>
            <w:pPr>
              <w:ind w:left="80"/>
              <w:spacing w:after="0"/>
              <w:rPr>
                <w:sz w:val="20"/>
                <w:szCs w:val="20"/>
                <w:color w:val="auto"/>
              </w:rPr>
            </w:pPr>
            <w:r>
              <w:rPr>
                <w:rFonts w:ascii="Arial" w:cs="Arial" w:eastAsia="Arial" w:hAnsi="Arial"/>
                <w:sz w:val="16"/>
                <w:szCs w:val="16"/>
                <w:b w:val="1"/>
                <w:bCs w:val="1"/>
                <w:color w:val="auto"/>
              </w:rPr>
              <w:t>Three Months Ended April</w:t>
            </w:r>
          </w:p>
        </w:tc>
        <w:tc>
          <w:tcPr>
            <w:tcW w:w="212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 April 30,</w:t>
            </w:r>
          </w:p>
        </w:tc>
        <w:tc>
          <w:tcPr>
            <w:tcW w:w="0" w:type="dxa"/>
            <w:vAlign w:val="bottom"/>
          </w:tcPr>
          <w:p>
            <w:pPr>
              <w:spacing w:after="0"/>
              <w:rPr>
                <w:sz w:val="1"/>
                <w:szCs w:val="1"/>
                <w:color w:val="auto"/>
              </w:rPr>
            </w:pPr>
          </w:p>
        </w:tc>
      </w:tr>
      <w:tr>
        <w:trPr>
          <w:trHeight w:val="215"/>
        </w:trPr>
        <w:tc>
          <w:tcPr>
            <w:tcW w:w="6760" w:type="dxa"/>
            <w:vAlign w:val="bottom"/>
            <w:tcBorders>
              <w:bottom w:val="single" w:sz="8" w:color="DCE2EF"/>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30, 2024</w:t>
            </w:r>
          </w:p>
        </w:tc>
        <w:tc>
          <w:tcPr>
            <w:tcW w:w="120" w:type="dxa"/>
            <w:vAlign w:val="bottom"/>
            <w:tcBorders>
              <w:bottom w:val="single" w:sz="8" w:color="DCE2E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8"/>
        </w:trPr>
        <w:tc>
          <w:tcPr>
            <w:tcW w:w="6760" w:type="dxa"/>
            <w:vAlign w:val="bottom"/>
            <w:shd w:val="clear" w:color="auto" w:fill="DCE2EF"/>
          </w:tcPr>
          <w:p>
            <w:pPr>
              <w:ind w:left="20"/>
              <w:spacing w:after="0"/>
              <w:rPr>
                <w:sz w:val="20"/>
                <w:szCs w:val="20"/>
                <w:color w:val="auto"/>
              </w:rPr>
            </w:pPr>
            <w:r>
              <w:rPr>
                <w:rFonts w:ascii="Arial" w:cs="Arial" w:eastAsia="Arial" w:hAnsi="Arial"/>
                <w:sz w:val="16"/>
                <w:szCs w:val="16"/>
                <w:color w:val="auto"/>
              </w:rPr>
              <w:t>Total number of shares purchased</w:t>
            </w:r>
          </w:p>
        </w:tc>
        <w:tc>
          <w:tcPr>
            <w:tcW w:w="440" w:type="dxa"/>
            <w:vAlign w:val="bottom"/>
            <w:shd w:val="clear" w:color="auto" w:fill="DCE2EF"/>
          </w:tcPr>
          <w:p>
            <w:pPr>
              <w:spacing w:after="0"/>
              <w:rPr>
                <w:sz w:val="18"/>
                <w:szCs w:val="18"/>
                <w:color w:val="auto"/>
              </w:rPr>
            </w:pPr>
          </w:p>
        </w:tc>
        <w:tc>
          <w:tcPr>
            <w:tcW w:w="17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0.56</w:t>
            </w:r>
          </w:p>
        </w:tc>
        <w:tc>
          <w:tcPr>
            <w:tcW w:w="120" w:type="dxa"/>
            <w:vAlign w:val="bottom"/>
            <w:shd w:val="clear" w:color="auto" w:fill="DCE2EF"/>
          </w:tcPr>
          <w:p>
            <w:pPr>
              <w:spacing w:after="0"/>
              <w:rPr>
                <w:sz w:val="18"/>
                <w:szCs w:val="18"/>
                <w:color w:val="auto"/>
              </w:rPr>
            </w:pPr>
          </w:p>
        </w:tc>
        <w:tc>
          <w:tcPr>
            <w:tcW w:w="500" w:type="dxa"/>
            <w:vAlign w:val="bottom"/>
            <w:shd w:val="clear" w:color="auto" w:fill="DCE2EF"/>
          </w:tcPr>
          <w:p>
            <w:pPr>
              <w:spacing w:after="0"/>
              <w:rPr>
                <w:sz w:val="18"/>
                <w:szCs w:val="18"/>
                <w:color w:val="auto"/>
              </w:rPr>
            </w:pPr>
          </w:p>
        </w:tc>
        <w:tc>
          <w:tcPr>
            <w:tcW w:w="16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214"/>
        </w:trPr>
        <w:tc>
          <w:tcPr>
            <w:tcW w:w="6760" w:type="dxa"/>
            <w:vAlign w:val="bottom"/>
          </w:tcPr>
          <w:p>
            <w:pPr>
              <w:ind w:left="20"/>
              <w:spacing w:after="0"/>
              <w:rPr>
                <w:sz w:val="20"/>
                <w:szCs w:val="20"/>
                <w:color w:val="auto"/>
              </w:rPr>
            </w:pPr>
            <w:r>
              <w:rPr>
                <w:rFonts w:ascii="Arial" w:cs="Arial" w:eastAsia="Arial" w:hAnsi="Arial"/>
                <w:sz w:val="16"/>
                <w:szCs w:val="16"/>
                <w:color w:val="auto"/>
              </w:rPr>
              <w:t>Average price paid per share</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42.84</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42.84</w:t>
            </w:r>
          </w:p>
        </w:tc>
        <w:tc>
          <w:tcPr>
            <w:tcW w:w="0" w:type="dxa"/>
            <w:vAlign w:val="bottom"/>
          </w:tcPr>
          <w:p>
            <w:pPr>
              <w:spacing w:after="0"/>
              <w:rPr>
                <w:sz w:val="1"/>
                <w:szCs w:val="1"/>
                <w:color w:val="auto"/>
              </w:rPr>
            </w:pPr>
          </w:p>
        </w:tc>
      </w:tr>
      <w:tr>
        <w:trPr>
          <w:trHeight w:val="216"/>
        </w:trPr>
        <w:tc>
          <w:tcPr>
            <w:tcW w:w="6760" w:type="dxa"/>
            <w:vAlign w:val="bottom"/>
            <w:shd w:val="clear" w:color="auto" w:fill="DCE2EF"/>
          </w:tcPr>
          <w:p>
            <w:pPr>
              <w:ind w:left="20"/>
              <w:spacing w:after="0"/>
              <w:rPr>
                <w:sz w:val="20"/>
                <w:szCs w:val="20"/>
                <w:color w:val="auto"/>
              </w:rPr>
            </w:pPr>
            <w:r>
              <w:rPr>
                <w:rFonts w:ascii="Arial" w:cs="Arial" w:eastAsia="Arial" w:hAnsi="Arial"/>
                <w:sz w:val="16"/>
                <w:szCs w:val="16"/>
                <w:color w:val="auto"/>
              </w:rPr>
              <w:t>Total cash paid for share repurchases</w:t>
            </w:r>
          </w:p>
        </w:tc>
        <w:tc>
          <w:tcPr>
            <w:tcW w:w="440" w:type="dxa"/>
            <w:vAlign w:val="bottom"/>
            <w:shd w:val="clear" w:color="auto" w:fill="DCE2EF"/>
          </w:tcPr>
          <w:p>
            <w:pPr>
              <w:jc w:val="right"/>
              <w:ind w:right="25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DCE2EF"/>
          </w:tcPr>
          <w:p>
            <w:pPr>
              <w:spacing w:after="0"/>
              <w:rPr>
                <w:sz w:val="18"/>
                <w:szCs w:val="18"/>
                <w:color w:val="auto"/>
              </w:rPr>
            </w:pPr>
          </w:p>
        </w:tc>
        <w:tc>
          <w:tcPr>
            <w:tcW w:w="500" w:type="dxa"/>
            <w:vAlign w:val="bottom"/>
            <w:shd w:val="clear" w:color="auto" w:fill="DCE2EF"/>
          </w:tcPr>
          <w:p>
            <w:pPr>
              <w:jc w:val="right"/>
              <w:ind w:right="31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10.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Letters of Credit and Surety Bonds</w:t>
      </w:r>
    </w:p>
    <w:p>
      <w:pPr>
        <w:spacing w:after="0" w:line="169" w:lineRule="exact"/>
        <w:rPr>
          <w:sz w:val="20"/>
          <w:szCs w:val="20"/>
          <w:color w:val="auto"/>
        </w:rPr>
      </w:pPr>
    </w:p>
    <w:p>
      <w:pPr>
        <w:jc w:val="both"/>
        <w:ind w:right="100" w:firstLine="645"/>
        <w:spacing w:after="0" w:line="285" w:lineRule="auto"/>
        <w:rPr>
          <w:sz w:val="20"/>
          <w:szCs w:val="20"/>
          <w:color w:val="auto"/>
        </w:rPr>
      </w:pPr>
      <w:r>
        <w:rPr>
          <w:rFonts w:ascii="Arial" w:cs="Arial" w:eastAsia="Arial" w:hAnsi="Arial"/>
          <w:sz w:val="18"/>
          <w:szCs w:val="18"/>
          <w:color w:val="auto"/>
        </w:rPr>
        <w:t>We use letters of credit and surety bonds to secure certain commitments related to insurance programs and for other purposes. As of April 30, 2025, these letters of credit totaled $29.7 million and surety bonds and surety-backed letters of credit totaled $950.4 million.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Guarantees</w:t>
      </w:r>
    </w:p>
    <w:p>
      <w:pPr>
        <w:spacing w:after="0" w:line="169" w:lineRule="exact"/>
        <w:rPr>
          <w:sz w:val="20"/>
          <w:szCs w:val="20"/>
          <w:color w:val="auto"/>
        </w:rPr>
      </w:pPr>
    </w:p>
    <w:p>
      <w:pPr>
        <w:jc w:val="both"/>
        <w:ind w:right="100" w:firstLine="645"/>
        <w:spacing w:after="0" w:line="256" w:lineRule="auto"/>
        <w:rPr>
          <w:sz w:val="20"/>
          <w:szCs w:val="20"/>
          <w:color w:val="auto"/>
        </w:rPr>
      </w:pPr>
      <w:r>
        <w:rPr>
          <w:rFonts w:ascii="Arial" w:cs="Arial" w:eastAsia="Arial" w:hAnsi="Arial"/>
          <w:sz w:val="18"/>
          <w:szCs w:val="18"/>
          <w:color w:val="auto"/>
        </w:rPr>
        <w:t>In some instances, we offer clients guaranteed energy savings under certain energy savings contracts. At April 30, 2025, total guarantees were $228.0 million and extend through 2045. We include the estimated costs of guarantees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Historically, we have not incurred any material losses in connection with these guarantees.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Sales Taxes</w:t>
      </w:r>
    </w:p>
    <w:p>
      <w:pPr>
        <w:spacing w:after="0" w:line="169" w:lineRule="exact"/>
        <w:rPr>
          <w:sz w:val="20"/>
          <w:szCs w:val="20"/>
          <w:color w:val="auto"/>
        </w:rPr>
      </w:pPr>
    </w:p>
    <w:p>
      <w:pPr>
        <w:jc w:val="both"/>
        <w:ind w:right="100" w:firstLine="645"/>
        <w:spacing w:after="0" w:line="267" w:lineRule="auto"/>
        <w:rPr>
          <w:sz w:val="20"/>
          <w:szCs w:val="20"/>
          <w:color w:val="auto"/>
        </w:rPr>
      </w:pPr>
      <w:r>
        <w:rPr>
          <w:rFonts w:ascii="Arial" w:cs="Arial" w:eastAsia="Arial" w:hAnsi="Arial"/>
          <w:sz w:val="18"/>
          <w:szCs w:val="18"/>
          <w:color w:val="auto"/>
        </w:rPr>
        <w:t>We collect sales tax from clients and remit those collections to the applicable states. In some cases when clients fail to pay their invoices, including the amount of any sales tax that we paid on their behalf, we may be entitled to seek a refund of that amount of sales tax from the applicable state.</w:t>
      </w:r>
    </w:p>
    <w:p>
      <w:pPr>
        <w:spacing w:after="0" w:line="115" w:lineRule="exact"/>
        <w:rPr>
          <w:sz w:val="20"/>
          <w:szCs w:val="20"/>
          <w:color w:val="auto"/>
        </w:rPr>
      </w:pPr>
    </w:p>
    <w:p>
      <w:pPr>
        <w:jc w:val="both"/>
        <w:ind w:right="100" w:firstLine="645"/>
        <w:spacing w:after="0" w:line="267" w:lineRule="auto"/>
        <w:rPr>
          <w:sz w:val="20"/>
          <w:szCs w:val="20"/>
          <w:color w:val="auto"/>
        </w:rPr>
      </w:pPr>
      <w:r>
        <w:rPr>
          <w:rFonts w:ascii="Arial" w:cs="Arial" w:eastAsia="Arial" w:hAnsi="Arial"/>
          <w:sz w:val="18"/>
          <w:szCs w:val="18"/>
          <w:color w:val="auto"/>
        </w:rPr>
        <w:t>Sales tax laws and regulations enacted by the various states are subject to interpretation, and our compliance with such laws is routinely subject to audit and review by such states. Audit risk is concentrated in several states that are conducting ongoing audits. The outcomes of ongoing and any future audits and changes in</w:t>
      </w:r>
    </w:p>
    <w:p>
      <w:pPr>
        <w:sectPr>
          <w:pgSz w:w="11900" w:h="16838" w:orient="portrait"/>
          <w:cols w:equalWidth="0" w:num="1">
            <w:col w:w="11340"/>
          </w:cols>
          <w:pgMar w:left="320" w:top="1249" w:right="2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80010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249"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the states’ interpretation of the sales tax laws and regulations could materially adversely impact our results of operations</w:t>
      </w:r>
      <w:r>
        <w:rPr>
          <w:rFonts w:ascii="Arial" w:cs="Arial" w:eastAsia="Arial" w:hAnsi="Arial"/>
          <w:sz w:val="18"/>
          <w:szCs w:val="18"/>
          <w:b w:val="1"/>
          <w:bCs w:val="1"/>
          <w:color w:val="0046AD"/>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Legal Matters</w:t>
      </w:r>
    </w:p>
    <w:p>
      <w:pPr>
        <w:spacing w:after="0" w:line="169"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15" w:lineRule="exact"/>
        <w:rPr>
          <w:sz w:val="20"/>
          <w:szCs w:val="20"/>
          <w:color w:val="auto"/>
        </w:rPr>
      </w:pPr>
    </w:p>
    <w:p>
      <w:pPr>
        <w:jc w:val="both"/>
        <w:ind w:firstLine="645"/>
        <w:spacing w:after="0" w:line="256" w:lineRule="auto"/>
        <w:rPr>
          <w:sz w:val="20"/>
          <w:szCs w:val="20"/>
          <w:color w:val="auto"/>
        </w:rPr>
      </w:pPr>
      <w:r>
        <w:rPr>
          <w:rFonts w:ascii="Arial" w:cs="Arial" w:eastAsia="Arial" w:hAnsi="Arial"/>
          <w:sz w:val="18"/>
          <w:szCs w:val="18"/>
          <w:color w:val="auto"/>
        </w:rPr>
        <w:t>At April 30, 2025, the total amount accrued for probable litigation losses where a reasonable estimate of the loss could be made was $9.4 million. 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$12.4 million. Factors underlying this estimated range of loss may change from time to time, and actual results may vary significantly from this estimate.</w:t>
      </w:r>
    </w:p>
    <w:p>
      <w:pPr>
        <w:spacing w:after="0" w:line="126"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spacing w:after="0" w:line="121"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15"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In determining whether to include any particular lawsuit or other proceeding in our disclosure,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124"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We are currently not a party to any material legal proceedings, and we are not aware of filings of any pending or contemplated litigation, claims, or assessments. There can be no assurance that future legal proceedings arising in the ordinary course of business or otherwise will not have a material adverse effect on our financial position, results of operations, or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11.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Our quarterly tax provision is calculated using an estimated annual effective tax rate that is adjusted for discrete items occurring during the period to arrive at our effective tax rate. During the three and six months ended April 30, 2025, we had effective tax rates of 29.4% and 25.6%, respectively. During the three and six months ended April 30, 2024, we had effective tax rates of 29.9% and 24.0%, respectively. The difference between the estimated annual effective tax rate before discrete items and statutory rate is primarily related to state income taxes, non-deductible compensation, and tax credits.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effective tax rates for the three months ended April 30, 2025, and April 30, 2024 were not impacted by any significant discrete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items.</w:t>
      </w:r>
    </w:p>
    <w:p>
      <w:pPr>
        <w:spacing w:after="0" w:line="151" w:lineRule="exact"/>
        <w:rPr>
          <w:sz w:val="20"/>
          <w:szCs w:val="20"/>
          <w:color w:val="auto"/>
        </w:rPr>
      </w:pPr>
    </w:p>
    <w:p>
      <w:pPr>
        <w:ind w:right="100" w:firstLine="645"/>
        <w:spacing w:after="0" w:line="261" w:lineRule="auto"/>
        <w:rPr>
          <w:sz w:val="20"/>
          <w:szCs w:val="20"/>
          <w:color w:val="auto"/>
        </w:rPr>
      </w:pPr>
      <w:r>
        <w:rPr>
          <w:rFonts w:ascii="Arial" w:cs="Arial" w:eastAsia="Arial" w:hAnsi="Arial"/>
          <w:sz w:val="18"/>
          <w:szCs w:val="18"/>
          <w:color w:val="auto"/>
        </w:rPr>
        <w:t>Our effective tax rate for the six months ended April 30, 2025, benefited from discrete items, primarily from $4.2 million for return to provision adjustments related to our non-U.S operations. Our effective tax rate for the six months ended April 30, 2024, benefited from discrete items, primarily from $2.4 million for uncertain tax positions, $2.2 million for share-based compensation, and $2.2 million for return to provision adjustments related to our non-U.S. operations.</w:t>
      </w:r>
    </w:p>
    <w:p>
      <w:pPr>
        <w:spacing w:after="0" w:line="121" w:lineRule="exact"/>
        <w:rPr>
          <w:sz w:val="20"/>
          <w:szCs w:val="20"/>
          <w:color w:val="auto"/>
        </w:rPr>
      </w:pPr>
    </w:p>
    <w:p>
      <w:pPr>
        <w:ind w:right="20" w:firstLine="645"/>
        <w:spacing w:after="0" w:line="285" w:lineRule="auto"/>
        <w:rPr>
          <w:sz w:val="20"/>
          <w:szCs w:val="20"/>
          <w:color w:val="auto"/>
        </w:rPr>
      </w:pPr>
      <w:r>
        <w:rPr>
          <w:rFonts w:ascii="Arial" w:cs="Arial" w:eastAsia="Arial" w:hAnsi="Arial"/>
          <w:sz w:val="18"/>
          <w:szCs w:val="18"/>
          <w:color w:val="auto"/>
        </w:rPr>
        <w:t>The Organisation for Economic Co-operation and Development (“OECD”) Pillar Two Model Rules established a minimum global effective tax rate of 15% on country-by-country profits of large multinational</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22" w:name="page23"/>
    <w:bookmarkEnd w:id="22"/>
    <w:p>
      <w:pPr>
        <w:jc w:val="both"/>
        <w:spacing w:after="0" w:line="261" w:lineRule="auto"/>
        <w:rPr>
          <w:sz w:val="20"/>
          <w:szCs w:val="20"/>
          <w:color w:val="auto"/>
        </w:rPr>
      </w:pPr>
      <w:r>
        <w:rPr>
          <w:rFonts w:ascii="Arial" w:cs="Arial" w:eastAsia="Arial" w:hAnsi="Arial"/>
          <w:sz w:val="18"/>
          <w:szCs w:val="18"/>
          <w:color w:val="auto"/>
        </w:rPr>
        <w:t>companies. European Union member states along with many other countries have adopted or expect to adopt the OECD Pillar Two Model effective January 1, 2024, or thereafter. The OECD and other countries continue to publish guidelines and legislation that include transition and safe harbor rules. We continue to monitor new legislative changes and assess the global impact of the Pillar Two Model Rules. Based on our initial assessment, Pillar Two should not have a material impact to the Company’s income tax provision.</w:t>
      </w:r>
    </w:p>
    <w:p>
      <w:pPr>
        <w:spacing w:after="0" w:line="121"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We plan to reinvest our foreign earnings to fund future non-U.S. growth and expansion, and we do not anticipate remitting such earnings to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0046AD"/>
        </w:rPr>
        <w:t>12.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reportable segments consist of B&amp;I, M&amp;D, Aviation, Education, and Technical Solutions, as further described below.</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220" w:type="dxa"/>
            <w:vAlign w:val="bottom"/>
            <w:tcBorders>
              <w:top w:val="single" w:sz="8" w:color="auto"/>
              <w:left w:val="single" w:sz="8" w:color="auto"/>
              <w:bottom w:val="single" w:sz="8" w:color="auto"/>
              <w:right w:val="single" w:sz="8" w:color="DCE2EF"/>
            </w:tcBorders>
            <w:shd w:val="clear" w:color="auto" w:fill="DCE2EF"/>
          </w:tcPr>
          <w:p>
            <w:pPr>
              <w:spacing w:after="0"/>
              <w:rPr>
                <w:sz w:val="19"/>
                <w:szCs w:val="19"/>
                <w:color w:val="auto"/>
              </w:rPr>
            </w:pPr>
          </w:p>
        </w:tc>
        <w:tc>
          <w:tcPr>
            <w:tcW w:w="8040" w:type="dxa"/>
            <w:vAlign w:val="bottom"/>
            <w:tcBorders>
              <w:top w:val="single" w:sz="8" w:color="auto"/>
              <w:bottom w:val="single" w:sz="8" w:color="auto"/>
              <w:right w:val="single" w:sz="8" w:color="auto"/>
            </w:tcBorders>
            <w:shd w:val="clear" w:color="auto" w:fill="DCE2EF"/>
          </w:tcPr>
          <w:p>
            <w:pPr>
              <w:ind w:left="560"/>
              <w:spacing w:after="0"/>
              <w:rPr>
                <w:sz w:val="20"/>
                <w:szCs w:val="20"/>
                <w:color w:val="auto"/>
              </w:rPr>
            </w:pPr>
            <w:r>
              <w:rPr>
                <w:rFonts w:ascii="Arial" w:cs="Arial" w:eastAsia="Arial" w:hAnsi="Arial"/>
                <w:sz w:val="16"/>
                <w:szCs w:val="16"/>
                <w:b w:val="1"/>
                <w:bCs w:val="1"/>
                <w:color w:val="0046AD"/>
              </w:rPr>
              <w:t>REPORTABLE SEGMENTS AND DESCRIPTIONS</w:t>
            </w:r>
          </w:p>
        </w:tc>
        <w:tc>
          <w:tcPr>
            <w:tcW w:w="0" w:type="dxa"/>
            <w:vAlign w:val="bottom"/>
          </w:tcPr>
          <w:p>
            <w:pPr>
              <w:spacing w:after="0"/>
              <w:rPr>
                <w:sz w:val="1"/>
                <w:szCs w:val="1"/>
                <w:color w:val="auto"/>
              </w:rPr>
            </w:pPr>
          </w:p>
        </w:tc>
      </w:tr>
      <w:tr>
        <w:trPr>
          <w:trHeight w:val="262"/>
        </w:trPr>
        <w:tc>
          <w:tcPr>
            <w:tcW w:w="3220" w:type="dxa"/>
            <w:vAlign w:val="bottom"/>
            <w:tcBorders>
              <w:left w:val="single" w:sz="8" w:color="auto"/>
              <w:right w:val="single" w:sz="8" w:color="auto"/>
            </w:tcBorders>
          </w:tcPr>
          <w:p>
            <w:pPr>
              <w:spacing w:after="0"/>
              <w:rPr>
                <w:sz w:val="22"/>
                <w:szCs w:val="22"/>
                <w:color w:val="auto"/>
              </w:rPr>
            </w:pPr>
          </w:p>
        </w:tc>
        <w:tc>
          <w:tcPr>
            <w:tcW w:w="8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B&amp;I, our largest reportable segment, encompasses comprehensive facility solutions, including janitorial and</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tcPr>
          <w:p>
            <w:pPr>
              <w:spacing w:after="0"/>
              <w:rPr>
                <w:sz w:val="14"/>
                <w:szCs w:val="14"/>
                <w:color w:val="auto"/>
              </w:rPr>
            </w:pP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maintenance, facilities engineering, and parking and transportation management to a diverse range of clients.</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B&amp;I</w:t>
            </w: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Our expertise extends to commercial real estate properties, including corporate offices for high-tech clients,</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vMerge w:val="continue"/>
          </w:tcPr>
          <w:p>
            <w:pPr>
              <w:spacing w:after="0"/>
              <w:rPr>
                <w:sz w:val="14"/>
                <w:szCs w:val="14"/>
                <w:color w:val="auto"/>
              </w:rPr>
            </w:pP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sports and entertainment venues, and both traditional hospitals and non-acute healthcare facilities. We typically</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tcPr>
          <w:p>
            <w:pPr>
              <w:spacing w:after="0"/>
              <w:rPr>
                <w:sz w:val="14"/>
                <w:szCs w:val="14"/>
                <w:color w:val="auto"/>
              </w:rPr>
            </w:pP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provide these services pursuant to monthly fixed-price, square-foot, cost-plus, and parking arrangements (i.e.,</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tcPr>
          <w:p>
            <w:pPr>
              <w:spacing w:after="0"/>
              <w:rPr>
                <w:sz w:val="14"/>
                <w:szCs w:val="14"/>
                <w:color w:val="auto"/>
              </w:rPr>
            </w:pP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management reimbursement, leased location, or allowance) that are obtained through a competitive bid process</w:t>
            </w:r>
          </w:p>
        </w:tc>
        <w:tc>
          <w:tcPr>
            <w:tcW w:w="0" w:type="dxa"/>
            <w:vAlign w:val="bottom"/>
          </w:tcPr>
          <w:p>
            <w:pPr>
              <w:spacing w:after="0"/>
              <w:rPr>
                <w:sz w:val="1"/>
                <w:szCs w:val="1"/>
                <w:color w:val="auto"/>
              </w:rPr>
            </w:pPr>
          </w:p>
        </w:tc>
      </w:tr>
      <w:tr>
        <w:trPr>
          <w:trHeight w:val="214"/>
        </w:trPr>
        <w:tc>
          <w:tcPr>
            <w:tcW w:w="3220" w:type="dxa"/>
            <w:vAlign w:val="bottom"/>
            <w:tcBorders>
              <w:left w:val="single" w:sz="8" w:color="auto"/>
              <w:right w:val="single" w:sz="8" w:color="auto"/>
            </w:tcBorders>
          </w:tcPr>
          <w:p>
            <w:pPr>
              <w:spacing w:after="0"/>
              <w:rPr>
                <w:sz w:val="18"/>
                <w:szCs w:val="18"/>
                <w:color w:val="auto"/>
              </w:rPr>
            </w:pPr>
          </w:p>
        </w:tc>
        <w:tc>
          <w:tcPr>
            <w:tcW w:w="8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as well as pursuant to work orders.</w:t>
            </w:r>
          </w:p>
        </w:tc>
        <w:tc>
          <w:tcPr>
            <w:tcW w:w="0" w:type="dxa"/>
            <w:vAlign w:val="bottom"/>
          </w:tcPr>
          <w:p>
            <w:pPr>
              <w:spacing w:after="0"/>
              <w:rPr>
                <w:sz w:val="1"/>
                <w:szCs w:val="1"/>
                <w:color w:val="auto"/>
              </w:rPr>
            </w:pPr>
          </w:p>
        </w:tc>
      </w:tr>
      <w:tr>
        <w:trPr>
          <w:trHeight w:val="109"/>
        </w:trPr>
        <w:tc>
          <w:tcPr>
            <w:tcW w:w="3220" w:type="dxa"/>
            <w:vAlign w:val="bottom"/>
            <w:tcBorders>
              <w:left w:val="single" w:sz="8" w:color="auto"/>
              <w:bottom w:val="single" w:sz="8" w:color="auto"/>
              <w:right w:val="single" w:sz="8" w:color="auto"/>
            </w:tcBorders>
          </w:tcPr>
          <w:p>
            <w:pPr>
              <w:spacing w:after="0"/>
              <w:rPr>
                <w:sz w:val="9"/>
                <w:szCs w:val="9"/>
                <w:color w:val="auto"/>
              </w:rPr>
            </w:pPr>
          </w:p>
        </w:tc>
        <w:tc>
          <w:tcPr>
            <w:tcW w:w="80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220" w:type="dxa"/>
            <w:vAlign w:val="bottom"/>
            <w:tcBorders>
              <w:left w:val="single" w:sz="8" w:color="auto"/>
              <w:right w:val="single" w:sz="8" w:color="auto"/>
            </w:tcBorders>
          </w:tcPr>
          <w:p>
            <w:pPr>
              <w:spacing w:after="0"/>
              <w:rPr>
                <w:sz w:val="13"/>
                <w:szCs w:val="13"/>
                <w:color w:val="auto"/>
              </w:rPr>
            </w:pPr>
          </w:p>
        </w:tc>
        <w:tc>
          <w:tcPr>
            <w:tcW w:w="804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M&amp;D provides integrated facility services, engineering, janitorial and maintenance, and other specialized</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M&amp;D</w:t>
            </w: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solutions to a variety of manufacturing, distribution, and data center facilities. We typically provide these</w:t>
            </w:r>
          </w:p>
        </w:tc>
        <w:tc>
          <w:tcPr>
            <w:tcW w:w="0" w:type="dxa"/>
            <w:vAlign w:val="bottom"/>
          </w:tcPr>
          <w:p>
            <w:pPr>
              <w:spacing w:after="0"/>
              <w:rPr>
                <w:sz w:val="1"/>
                <w:szCs w:val="1"/>
                <w:color w:val="auto"/>
              </w:rPr>
            </w:pPr>
          </w:p>
        </w:tc>
      </w:tr>
      <w:tr>
        <w:trPr>
          <w:trHeight w:val="133"/>
        </w:trPr>
        <w:tc>
          <w:tcPr>
            <w:tcW w:w="3220" w:type="dxa"/>
            <w:vAlign w:val="bottom"/>
            <w:tcBorders>
              <w:left w:val="single" w:sz="8" w:color="auto"/>
              <w:right w:val="single" w:sz="8" w:color="auto"/>
            </w:tcBorders>
            <w:vMerge w:val="continue"/>
          </w:tcPr>
          <w:p>
            <w:pPr>
              <w:spacing w:after="0"/>
              <w:rPr>
                <w:sz w:val="11"/>
                <w:szCs w:val="11"/>
                <w:color w:val="auto"/>
              </w:rPr>
            </w:pPr>
          </w:p>
        </w:tc>
        <w:tc>
          <w:tcPr>
            <w:tcW w:w="8040" w:type="dxa"/>
            <w:vAlign w:val="bottom"/>
            <w:tcBorders>
              <w:right w:val="single" w:sz="8" w:color="auto"/>
            </w:tcBorders>
            <w:vMerge w:val="restart"/>
          </w:tcPr>
          <w:p>
            <w:pPr>
              <w:ind w:left="20"/>
              <w:spacing w:after="0" w:line="161" w:lineRule="exact"/>
              <w:rPr>
                <w:sz w:val="20"/>
                <w:szCs w:val="20"/>
                <w:color w:val="auto"/>
              </w:rPr>
            </w:pPr>
            <w:r>
              <w:rPr>
                <w:rFonts w:ascii="Arial" w:cs="Arial" w:eastAsia="Arial" w:hAnsi="Arial"/>
                <w:sz w:val="16"/>
                <w:szCs w:val="16"/>
                <w:color w:val="auto"/>
              </w:rPr>
              <w:t>services pursuant to monthly fixed-price, square-foot, and cost-plus, that are obtained through a competitive bid</w:t>
            </w:r>
          </w:p>
        </w:tc>
        <w:tc>
          <w:tcPr>
            <w:tcW w:w="0" w:type="dxa"/>
            <w:vAlign w:val="bottom"/>
          </w:tcPr>
          <w:p>
            <w:pPr>
              <w:spacing w:after="0"/>
              <w:rPr>
                <w:sz w:val="1"/>
                <w:szCs w:val="1"/>
                <w:color w:val="auto"/>
              </w:rPr>
            </w:pPr>
          </w:p>
        </w:tc>
      </w:tr>
      <w:tr>
        <w:trPr>
          <w:trHeight w:val="29"/>
        </w:trPr>
        <w:tc>
          <w:tcPr>
            <w:tcW w:w="3220" w:type="dxa"/>
            <w:vAlign w:val="bottom"/>
            <w:tcBorders>
              <w:left w:val="single" w:sz="8" w:color="auto"/>
              <w:right w:val="single" w:sz="8" w:color="auto"/>
            </w:tcBorders>
          </w:tcPr>
          <w:p>
            <w:pPr>
              <w:spacing w:after="0"/>
              <w:rPr>
                <w:sz w:val="2"/>
                <w:szCs w:val="2"/>
                <w:color w:val="auto"/>
              </w:rPr>
            </w:pPr>
          </w:p>
        </w:tc>
        <w:tc>
          <w:tcPr>
            <w:tcW w:w="804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220" w:type="dxa"/>
            <w:vAlign w:val="bottom"/>
            <w:tcBorders>
              <w:left w:val="single" w:sz="8" w:color="auto"/>
              <w:bottom w:val="single" w:sz="8" w:color="auto"/>
              <w:right w:val="single" w:sz="8" w:color="auto"/>
            </w:tcBorders>
          </w:tcPr>
          <w:p>
            <w:pPr>
              <w:spacing w:after="0"/>
              <w:rPr>
                <w:sz w:val="18"/>
                <w:szCs w:val="18"/>
                <w:color w:val="auto"/>
              </w:rPr>
            </w:pPr>
          </w:p>
        </w:tc>
        <w:tc>
          <w:tcPr>
            <w:tcW w:w="8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process as well as pursuant to work orders.</w:t>
            </w:r>
          </w:p>
        </w:tc>
        <w:tc>
          <w:tcPr>
            <w:tcW w:w="0" w:type="dxa"/>
            <w:vAlign w:val="bottom"/>
          </w:tcPr>
          <w:p>
            <w:pPr>
              <w:spacing w:after="0"/>
              <w:rPr>
                <w:sz w:val="1"/>
                <w:szCs w:val="1"/>
                <w:color w:val="auto"/>
              </w:rPr>
            </w:pPr>
          </w:p>
        </w:tc>
      </w:tr>
      <w:tr>
        <w:trPr>
          <w:trHeight w:val="155"/>
        </w:trPr>
        <w:tc>
          <w:tcPr>
            <w:tcW w:w="3220" w:type="dxa"/>
            <w:vAlign w:val="bottom"/>
            <w:tcBorders>
              <w:left w:val="single" w:sz="8" w:color="auto"/>
              <w:right w:val="single" w:sz="8" w:color="auto"/>
            </w:tcBorders>
          </w:tcPr>
          <w:p>
            <w:pPr>
              <w:spacing w:after="0"/>
              <w:rPr>
                <w:sz w:val="13"/>
                <w:szCs w:val="13"/>
                <w:color w:val="auto"/>
              </w:rPr>
            </w:pPr>
          </w:p>
        </w:tc>
        <w:tc>
          <w:tcPr>
            <w:tcW w:w="804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Aviation provides comprehensive support services to airlines and airports, including parking and transportation</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Aviation</w:t>
            </w: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management, janitorial and maintenance services, passenger assistance, catering logistics, aircraft cabin</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vMerge w:val="continue"/>
          </w:tcPr>
          <w:p>
            <w:pPr>
              <w:spacing w:after="0"/>
              <w:rPr>
                <w:sz w:val="14"/>
                <w:szCs w:val="14"/>
                <w:color w:val="auto"/>
              </w:rPr>
            </w:pP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maintenance, and transportation solutions. We typically provide services to clients in this segment under master</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tcPr>
          <w:p>
            <w:pPr>
              <w:spacing w:after="0"/>
              <w:rPr>
                <w:sz w:val="14"/>
                <w:szCs w:val="14"/>
                <w:color w:val="auto"/>
              </w:rPr>
            </w:pP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services agreements. These agreements are typically re-bid upon renewal and are generally structured as</w:t>
            </w:r>
          </w:p>
        </w:tc>
        <w:tc>
          <w:tcPr>
            <w:tcW w:w="0" w:type="dxa"/>
            <w:vAlign w:val="bottom"/>
          </w:tcPr>
          <w:p>
            <w:pPr>
              <w:spacing w:after="0"/>
              <w:rPr>
                <w:sz w:val="1"/>
                <w:szCs w:val="1"/>
                <w:color w:val="auto"/>
              </w:rPr>
            </w:pPr>
          </w:p>
        </w:tc>
      </w:tr>
      <w:tr>
        <w:trPr>
          <w:trHeight w:val="214"/>
        </w:trPr>
        <w:tc>
          <w:tcPr>
            <w:tcW w:w="3220" w:type="dxa"/>
            <w:vAlign w:val="bottom"/>
            <w:tcBorders>
              <w:left w:val="single" w:sz="8" w:color="auto"/>
              <w:bottom w:val="single" w:sz="8" w:color="auto"/>
              <w:right w:val="single" w:sz="8" w:color="auto"/>
            </w:tcBorders>
          </w:tcPr>
          <w:p>
            <w:pPr>
              <w:spacing w:after="0"/>
              <w:rPr>
                <w:sz w:val="18"/>
                <w:szCs w:val="18"/>
                <w:color w:val="auto"/>
              </w:rPr>
            </w:pPr>
          </w:p>
        </w:tc>
        <w:tc>
          <w:tcPr>
            <w:tcW w:w="8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monthly fixed-price, square-foot, cost-plus, parking, transaction-price, and hourly arrangements.</w:t>
            </w:r>
          </w:p>
        </w:tc>
        <w:tc>
          <w:tcPr>
            <w:tcW w:w="0" w:type="dxa"/>
            <w:vAlign w:val="bottom"/>
          </w:tcPr>
          <w:p>
            <w:pPr>
              <w:spacing w:after="0"/>
              <w:rPr>
                <w:sz w:val="1"/>
                <w:szCs w:val="1"/>
                <w:color w:val="auto"/>
              </w:rPr>
            </w:pPr>
          </w:p>
        </w:tc>
      </w:tr>
      <w:tr>
        <w:trPr>
          <w:trHeight w:val="263"/>
        </w:trPr>
        <w:tc>
          <w:tcPr>
            <w:tcW w:w="3220" w:type="dxa"/>
            <w:vAlign w:val="bottom"/>
            <w:tcBorders>
              <w:left w:val="single" w:sz="8" w:color="auto"/>
              <w:right w:val="single" w:sz="8" w:color="auto"/>
            </w:tcBorders>
          </w:tcPr>
          <w:p>
            <w:pPr>
              <w:spacing w:after="0"/>
              <w:rPr>
                <w:sz w:val="22"/>
                <w:szCs w:val="22"/>
                <w:color w:val="auto"/>
              </w:rPr>
            </w:pPr>
          </w:p>
        </w:tc>
        <w:tc>
          <w:tcPr>
            <w:tcW w:w="8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Education delivers comprehensive facility services to public school districts, private schools, colleges, and</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Education</w:t>
            </w: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universities. Our services include janitorial and custodial services, landscaping and grounds maintenance,</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vMerge w:val="continue"/>
          </w:tcPr>
          <w:p>
            <w:pPr>
              <w:spacing w:after="0"/>
              <w:rPr>
                <w:sz w:val="14"/>
                <w:szCs w:val="14"/>
                <w:color w:val="auto"/>
              </w:rPr>
            </w:pP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facilities engineering, and parking management. These services are typically provided pursuant to monthly</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tcPr>
          <w:p>
            <w:pPr>
              <w:spacing w:after="0"/>
              <w:rPr>
                <w:sz w:val="14"/>
                <w:szCs w:val="14"/>
                <w:color w:val="auto"/>
              </w:rPr>
            </w:pP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fixed-price, square-foot, and cost-plus arrangements that are obtained through either a competitive bid process</w:t>
            </w:r>
          </w:p>
        </w:tc>
        <w:tc>
          <w:tcPr>
            <w:tcW w:w="0" w:type="dxa"/>
            <w:vAlign w:val="bottom"/>
          </w:tcPr>
          <w:p>
            <w:pPr>
              <w:spacing w:after="0"/>
              <w:rPr>
                <w:sz w:val="1"/>
                <w:szCs w:val="1"/>
                <w:color w:val="auto"/>
              </w:rPr>
            </w:pPr>
          </w:p>
        </w:tc>
      </w:tr>
      <w:tr>
        <w:trPr>
          <w:trHeight w:val="214"/>
        </w:trPr>
        <w:tc>
          <w:tcPr>
            <w:tcW w:w="3220" w:type="dxa"/>
            <w:vAlign w:val="bottom"/>
            <w:tcBorders>
              <w:left w:val="single" w:sz="8" w:color="auto"/>
              <w:right w:val="single" w:sz="8" w:color="auto"/>
            </w:tcBorders>
          </w:tcPr>
          <w:p>
            <w:pPr>
              <w:spacing w:after="0"/>
              <w:rPr>
                <w:sz w:val="18"/>
                <w:szCs w:val="18"/>
                <w:color w:val="auto"/>
              </w:rPr>
            </w:pPr>
          </w:p>
        </w:tc>
        <w:tc>
          <w:tcPr>
            <w:tcW w:w="8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or re-bid upon renewal as well as pursuant to work orders.</w:t>
            </w:r>
          </w:p>
        </w:tc>
        <w:tc>
          <w:tcPr>
            <w:tcW w:w="0" w:type="dxa"/>
            <w:vAlign w:val="bottom"/>
          </w:tcPr>
          <w:p>
            <w:pPr>
              <w:spacing w:after="0"/>
              <w:rPr>
                <w:sz w:val="1"/>
                <w:szCs w:val="1"/>
                <w:color w:val="auto"/>
              </w:rPr>
            </w:pPr>
          </w:p>
        </w:tc>
      </w:tr>
      <w:tr>
        <w:trPr>
          <w:trHeight w:val="109"/>
        </w:trPr>
        <w:tc>
          <w:tcPr>
            <w:tcW w:w="3220" w:type="dxa"/>
            <w:vAlign w:val="bottom"/>
            <w:tcBorders>
              <w:left w:val="single" w:sz="8" w:color="auto"/>
              <w:bottom w:val="single" w:sz="8" w:color="auto"/>
              <w:right w:val="single" w:sz="8" w:color="auto"/>
            </w:tcBorders>
          </w:tcPr>
          <w:p>
            <w:pPr>
              <w:spacing w:after="0"/>
              <w:rPr>
                <w:sz w:val="9"/>
                <w:szCs w:val="9"/>
                <w:color w:val="auto"/>
              </w:rPr>
            </w:pPr>
          </w:p>
        </w:tc>
        <w:tc>
          <w:tcPr>
            <w:tcW w:w="80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3220" w:type="dxa"/>
            <w:vAlign w:val="bottom"/>
            <w:tcBorders>
              <w:left w:val="single" w:sz="8" w:color="auto"/>
              <w:right w:val="single" w:sz="8" w:color="auto"/>
            </w:tcBorders>
          </w:tcPr>
          <w:p>
            <w:pPr>
              <w:spacing w:after="0"/>
              <w:rPr>
                <w:sz w:val="22"/>
                <w:szCs w:val="22"/>
                <w:color w:val="auto"/>
              </w:rPr>
            </w:pPr>
          </w:p>
        </w:tc>
        <w:tc>
          <w:tcPr>
            <w:tcW w:w="8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Technical Solutions specializes in comprehensive facility infrastructure services, including mechanical and</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tcPr>
          <w:p>
            <w:pPr>
              <w:spacing w:after="0"/>
              <w:rPr>
                <w:sz w:val="14"/>
                <w:szCs w:val="14"/>
                <w:color w:val="auto"/>
              </w:rPr>
            </w:pP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electrical systems, EV charging station design, installation, and maintenance, as well as microgrid systems</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Technical Solutions</w:t>
            </w: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encompassing uninterrupted power supply (“UPS”) systems and power distribution units. These offerings are</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vMerge w:val="continue"/>
          </w:tcPr>
          <w:p>
            <w:pPr>
              <w:spacing w:after="0"/>
              <w:rPr>
                <w:sz w:val="14"/>
                <w:szCs w:val="14"/>
                <w:color w:val="auto"/>
              </w:rPr>
            </w:pP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strategically leveraged for cross-selling across all our industry groups, both domestically and internationally.</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tcPr>
          <w:p>
            <w:pPr>
              <w:spacing w:after="0"/>
              <w:rPr>
                <w:sz w:val="14"/>
                <w:szCs w:val="14"/>
                <w:color w:val="auto"/>
              </w:rPr>
            </w:pP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Contracts for this segment are generally structured as electrical contracting services for energy related products</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tcPr>
          <w:p>
            <w:pPr>
              <w:spacing w:after="0"/>
              <w:rPr>
                <w:sz w:val="14"/>
                <w:szCs w:val="14"/>
                <w:color w:val="auto"/>
              </w:rPr>
            </w:pP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such as the installation of solar solutions, battery storage, distributed generation, and other specialized electric</w:t>
            </w:r>
          </w:p>
        </w:tc>
        <w:tc>
          <w:tcPr>
            <w:tcW w:w="0" w:type="dxa"/>
            <w:vAlign w:val="bottom"/>
          </w:tcPr>
          <w:p>
            <w:pPr>
              <w:spacing w:after="0"/>
              <w:rPr>
                <w:sz w:val="1"/>
                <w:szCs w:val="1"/>
                <w:color w:val="auto"/>
              </w:rPr>
            </w:pPr>
          </w:p>
        </w:tc>
      </w:tr>
      <w:tr>
        <w:trPr>
          <w:trHeight w:val="214"/>
        </w:trPr>
        <w:tc>
          <w:tcPr>
            <w:tcW w:w="3220" w:type="dxa"/>
            <w:vAlign w:val="bottom"/>
            <w:tcBorders>
              <w:left w:val="single" w:sz="8" w:color="auto"/>
              <w:right w:val="single" w:sz="8" w:color="auto"/>
            </w:tcBorders>
          </w:tcPr>
          <w:p>
            <w:pPr>
              <w:spacing w:after="0"/>
              <w:rPr>
                <w:sz w:val="18"/>
                <w:szCs w:val="18"/>
                <w:color w:val="auto"/>
              </w:rPr>
            </w:pPr>
          </w:p>
        </w:tc>
        <w:tc>
          <w:tcPr>
            <w:tcW w:w="8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trade.</w:t>
            </w:r>
          </w:p>
        </w:tc>
        <w:tc>
          <w:tcPr>
            <w:tcW w:w="0" w:type="dxa"/>
            <w:vAlign w:val="bottom"/>
          </w:tcPr>
          <w:p>
            <w:pPr>
              <w:spacing w:after="0"/>
              <w:rPr>
                <w:sz w:val="1"/>
                <w:szCs w:val="1"/>
                <w:color w:val="auto"/>
              </w:rPr>
            </w:pPr>
          </w:p>
        </w:tc>
      </w:tr>
      <w:tr>
        <w:trPr>
          <w:trHeight w:val="109"/>
        </w:trPr>
        <w:tc>
          <w:tcPr>
            <w:tcW w:w="3220" w:type="dxa"/>
            <w:vAlign w:val="bottom"/>
            <w:tcBorders>
              <w:left w:val="single" w:sz="8" w:color="auto"/>
              <w:bottom w:val="single" w:sz="8" w:color="auto"/>
              <w:right w:val="single" w:sz="8" w:color="auto"/>
            </w:tcBorders>
          </w:tcPr>
          <w:p>
            <w:pPr>
              <w:spacing w:after="0"/>
              <w:rPr>
                <w:sz w:val="9"/>
                <w:szCs w:val="9"/>
                <w:color w:val="auto"/>
              </w:rPr>
            </w:pPr>
          </w:p>
        </w:tc>
        <w:tc>
          <w:tcPr>
            <w:tcW w:w="80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303"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0046AD"/>
        </w:rPr>
        <w:t>Financial Information by Reportable Segment</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April 30,</w:t>
            </w:r>
          </w:p>
        </w:tc>
        <w:tc>
          <w:tcPr>
            <w:tcW w:w="280" w:type="dxa"/>
            <w:vAlign w:val="bottom"/>
          </w:tcPr>
          <w:p>
            <w:pPr>
              <w:spacing w:after="0"/>
              <w:rPr>
                <w:sz w:val="18"/>
                <w:szCs w:val="18"/>
                <w:color w:val="auto"/>
              </w:rPr>
            </w:pPr>
          </w:p>
        </w:tc>
        <w:tc>
          <w:tcPr>
            <w:tcW w:w="272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Six Months Ended April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6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479"/>
              <w:spacing w:after="0" w:line="142" w:lineRule="exact"/>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59"/>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459"/>
              <w:spacing w:after="0" w:line="142" w:lineRule="exact"/>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479"/>
              <w:spacing w:after="0" w:line="142"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4360" w:type="dxa"/>
            <w:vAlign w:val="bottom"/>
            <w:tcBorders>
              <w:bottom w:val="single" w:sz="8" w:color="DCE2E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DCE2EF"/>
          </w:tcPr>
          <w:p>
            <w:pPr>
              <w:spacing w:after="0"/>
              <w:rPr>
                <w:sz w:val="16"/>
                <w:szCs w:val="16"/>
                <w:color w:val="auto"/>
              </w:rPr>
            </w:pPr>
          </w:p>
        </w:tc>
        <w:tc>
          <w:tcPr>
            <w:tcW w:w="506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DCE2EF"/>
          </w:tcPr>
          <w:p>
            <w:pPr>
              <w:spacing w:after="0"/>
              <w:rPr>
                <w:sz w:val="16"/>
                <w:szCs w:val="16"/>
                <w:color w:val="auto"/>
              </w:rPr>
            </w:pPr>
          </w:p>
        </w:tc>
        <w:tc>
          <w:tcPr>
            <w:tcW w:w="12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1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80" w:type="dxa"/>
            <w:vAlign w:val="bottom"/>
            <w:shd w:val="clear" w:color="auto" w:fill="DCE2EF"/>
          </w:tcPr>
          <w:p>
            <w:pPr>
              <w:spacing w:after="0"/>
              <w:rPr>
                <w:sz w:val="16"/>
                <w:szCs w:val="16"/>
                <w:color w:val="auto"/>
              </w:rPr>
            </w:pPr>
          </w:p>
        </w:tc>
        <w:tc>
          <w:tcPr>
            <w:tcW w:w="11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14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6"/>
                <w:szCs w:val="16"/>
                <w:color w:val="auto"/>
              </w:rPr>
              <w:t>Business &amp; Industry</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1,015.5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989.6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2,038.4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2,022.8</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50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Manufacturing &amp; Distribution</w:t>
            </w:r>
          </w:p>
        </w:tc>
        <w:tc>
          <w:tcPr>
            <w:tcW w:w="240" w:type="dxa"/>
            <w:vAlign w:val="bottom"/>
            <w:shd w:val="clear" w:color="auto" w:fill="DCE2EF"/>
          </w:tcPr>
          <w:p>
            <w:pPr>
              <w:spacing w:after="0"/>
              <w:rPr>
                <w:sz w:val="18"/>
                <w:szCs w:val="18"/>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398.1</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388.6</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792.4</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789.5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6"/>
                <w:szCs w:val="16"/>
                <w:color w:val="auto"/>
              </w:rPr>
              <w:t>Aviation</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487.8</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50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Education</w:t>
            </w:r>
          </w:p>
        </w:tc>
        <w:tc>
          <w:tcPr>
            <w:tcW w:w="240" w:type="dxa"/>
            <w:vAlign w:val="bottom"/>
            <w:shd w:val="clear" w:color="auto" w:fill="DCE2EF"/>
          </w:tcPr>
          <w:p>
            <w:pPr>
              <w:spacing w:after="0"/>
              <w:rPr>
                <w:sz w:val="18"/>
                <w:szCs w:val="18"/>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227.8</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225.6</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453.2</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445.7</w:t>
            </w:r>
          </w:p>
        </w:tc>
        <w:tc>
          <w:tcPr>
            <w:tcW w:w="0" w:type="dxa"/>
            <w:vAlign w:val="bottom"/>
          </w:tcPr>
          <w:p>
            <w:pPr>
              <w:spacing w:after="0"/>
              <w:rPr>
                <w:sz w:val="1"/>
                <w:szCs w:val="1"/>
                <w:color w:val="auto"/>
              </w:rPr>
            </w:pPr>
          </w:p>
        </w:tc>
      </w:tr>
      <w:tr>
        <w:trPr>
          <w:trHeight w:val="214"/>
        </w:trPr>
        <w:tc>
          <w:tcPr>
            <w:tcW w:w="20" w:type="dxa"/>
            <w:vAlign w:val="bottom"/>
            <w:tcBorders>
              <w:bottom w:val="single" w:sz="8" w:color="DCE2EF"/>
            </w:tcBorders>
          </w:tcPr>
          <w:p>
            <w:pPr>
              <w:spacing w:after="0"/>
              <w:rPr>
                <w:sz w:val="18"/>
                <w:szCs w:val="18"/>
                <w:color w:val="auto"/>
              </w:rPr>
            </w:pPr>
          </w:p>
        </w:tc>
        <w:tc>
          <w:tcPr>
            <w:tcW w:w="506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Technical Solutions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210.2</w:t>
            </w:r>
          </w:p>
        </w:tc>
        <w:tc>
          <w:tcPr>
            <w:tcW w:w="100" w:type="dxa"/>
            <w:vAlign w:val="bottom"/>
            <w:tcBorders>
              <w:bottom w:val="single" w:sz="8" w:color="DCE2E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176.2</w:t>
            </w:r>
          </w:p>
        </w:tc>
        <w:tc>
          <w:tcPr>
            <w:tcW w:w="100" w:type="dxa"/>
            <w:vAlign w:val="bottom"/>
            <w:tcBorders>
              <w:bottom w:val="single" w:sz="8" w:color="DCE2E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412.4</w:t>
            </w:r>
          </w:p>
        </w:tc>
        <w:tc>
          <w:tcPr>
            <w:tcW w:w="100" w:type="dxa"/>
            <w:vAlign w:val="bottom"/>
            <w:tcBorders>
              <w:bottom w:val="single" w:sz="8" w:color="DCE2E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342.1</w:t>
            </w:r>
          </w:p>
        </w:tc>
        <w:tc>
          <w:tcPr>
            <w:tcW w:w="0" w:type="dxa"/>
            <w:vAlign w:val="bottom"/>
          </w:tcPr>
          <w:p>
            <w:pPr>
              <w:spacing w:after="0"/>
              <w:rPr>
                <w:sz w:val="1"/>
                <w:szCs w:val="1"/>
                <w:color w:val="auto"/>
              </w:rPr>
            </w:pPr>
          </w:p>
        </w:tc>
      </w:tr>
      <w:tr>
        <w:trPr>
          <w:trHeight w:val="234"/>
        </w:trPr>
        <w:tc>
          <w:tcPr>
            <w:tcW w:w="20" w:type="dxa"/>
            <w:vAlign w:val="bottom"/>
            <w:tcBorders>
              <w:bottom w:val="single" w:sz="8" w:color="DCE2EF"/>
            </w:tcBorders>
            <w:shd w:val="clear" w:color="auto" w:fill="DCE2EF"/>
          </w:tcPr>
          <w:p>
            <w:pPr>
              <w:spacing w:after="0"/>
              <w:rPr>
                <w:sz w:val="19"/>
                <w:szCs w:val="19"/>
                <w:color w:val="auto"/>
              </w:rPr>
            </w:pPr>
          </w:p>
        </w:tc>
        <w:tc>
          <w:tcPr>
            <w:tcW w:w="506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b w:val="1"/>
                <w:bCs w:val="1"/>
                <w:color w:val="auto"/>
              </w:rPr>
              <w:t>Total Revenues</w:t>
            </w:r>
          </w:p>
        </w:tc>
        <w:tc>
          <w:tcPr>
            <w:tcW w:w="240" w:type="dxa"/>
            <w:vAlign w:val="bottom"/>
            <w:tcBorders>
              <w:bottom w:val="single" w:sz="8" w:color="auto"/>
            </w:tcBorders>
            <w:shd w:val="clear" w:color="auto" w:fill="DCE2E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2,111.7</w:t>
            </w:r>
          </w:p>
        </w:tc>
        <w:tc>
          <w:tcPr>
            <w:tcW w:w="100" w:type="dxa"/>
            <w:vAlign w:val="bottom"/>
            <w:tcBorders>
              <w:bottom w:val="single" w:sz="8" w:color="DCE2EF"/>
            </w:tcBorders>
            <w:shd w:val="clear" w:color="auto" w:fill="DCE2EF"/>
          </w:tcPr>
          <w:p>
            <w:pPr>
              <w:spacing w:after="0"/>
              <w:rPr>
                <w:sz w:val="19"/>
                <w:szCs w:val="19"/>
                <w:color w:val="auto"/>
              </w:rPr>
            </w:pPr>
          </w:p>
        </w:tc>
        <w:tc>
          <w:tcPr>
            <w:tcW w:w="320" w:type="dxa"/>
            <w:vAlign w:val="bottom"/>
            <w:tcBorders>
              <w:bottom w:val="single" w:sz="8" w:color="auto"/>
            </w:tcBorders>
            <w:shd w:val="clear" w:color="auto" w:fill="DCE2E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2,018.2</w:t>
            </w:r>
          </w:p>
        </w:tc>
        <w:tc>
          <w:tcPr>
            <w:tcW w:w="100" w:type="dxa"/>
            <w:vAlign w:val="bottom"/>
            <w:tcBorders>
              <w:bottom w:val="single" w:sz="8" w:color="DCE2EF"/>
            </w:tcBorders>
            <w:shd w:val="clear" w:color="auto" w:fill="DCE2EF"/>
          </w:tcPr>
          <w:p>
            <w:pPr>
              <w:spacing w:after="0"/>
              <w:rPr>
                <w:sz w:val="19"/>
                <w:szCs w:val="19"/>
                <w:color w:val="auto"/>
              </w:rPr>
            </w:pPr>
          </w:p>
        </w:tc>
        <w:tc>
          <w:tcPr>
            <w:tcW w:w="280" w:type="dxa"/>
            <w:vAlign w:val="bottom"/>
            <w:tcBorders>
              <w:bottom w:val="single" w:sz="8" w:color="auto"/>
            </w:tcBorders>
            <w:shd w:val="clear" w:color="auto" w:fill="DCE2E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4,226.6</w:t>
            </w:r>
          </w:p>
        </w:tc>
        <w:tc>
          <w:tcPr>
            <w:tcW w:w="100" w:type="dxa"/>
            <w:vAlign w:val="bottom"/>
            <w:tcBorders>
              <w:bottom w:val="single" w:sz="8" w:color="DCE2EF"/>
            </w:tcBorders>
            <w:shd w:val="clear" w:color="auto" w:fill="DCE2EF"/>
          </w:tcPr>
          <w:p>
            <w:pPr>
              <w:spacing w:after="0"/>
              <w:rPr>
                <w:sz w:val="19"/>
                <w:szCs w:val="19"/>
                <w:color w:val="auto"/>
              </w:rPr>
            </w:pPr>
          </w:p>
        </w:tc>
        <w:tc>
          <w:tcPr>
            <w:tcW w:w="320" w:type="dxa"/>
            <w:vAlign w:val="bottom"/>
            <w:tcBorders>
              <w:bottom w:val="single" w:sz="8" w:color="auto"/>
            </w:tcBorders>
            <w:shd w:val="clear" w:color="auto" w:fill="DCE2E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4,087.8</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bottom w:val="single" w:sz="8" w:color="DCE2EF"/>
            </w:tcBorders>
            <w:vMerge w:val="restart"/>
          </w:tcPr>
          <w:p>
            <w:pPr>
              <w:spacing w:after="0" w:line="20" w:lineRule="exact"/>
              <w:rPr>
                <w:sz w:val="1"/>
                <w:szCs w:val="1"/>
                <w:color w:val="auto"/>
              </w:rPr>
            </w:pPr>
          </w:p>
        </w:tc>
        <w:tc>
          <w:tcPr>
            <w:tcW w:w="5060" w:type="dxa"/>
            <w:vAlign w:val="bottom"/>
            <w:tcBorders>
              <w:top w:val="single" w:sz="8" w:color="DCE2EF"/>
              <w:bottom w:val="single" w:sz="8" w:color="DCE2EF"/>
            </w:tcBorders>
            <w:gridSpan w:val="2"/>
            <w:vMerge w:val="restart"/>
          </w:tcPr>
          <w:p>
            <w:pPr>
              <w:spacing w:after="0"/>
              <w:rPr>
                <w:sz w:val="20"/>
                <w:szCs w:val="20"/>
                <w:color w:val="auto"/>
              </w:rPr>
            </w:pPr>
            <w:r>
              <w:rPr>
                <w:rFonts w:ascii="Arial" w:cs="Arial" w:eastAsia="Arial" w:hAnsi="Arial"/>
                <w:sz w:val="16"/>
                <w:szCs w:val="16"/>
                <w:b w:val="1"/>
                <w:bCs w:val="1"/>
                <w:color w:val="auto"/>
              </w:rPr>
              <w:t>Operating profit</w:t>
            </w:r>
          </w:p>
        </w:tc>
        <w:tc>
          <w:tcPr>
            <w:tcW w:w="240" w:type="dxa"/>
            <w:vAlign w:val="bottom"/>
            <w:tcBorders>
              <w:top w:val="single" w:sz="8" w:color="DCE2EF"/>
              <w:bottom w:val="single" w:sz="8" w:color="auto"/>
            </w:tcBorders>
          </w:tcPr>
          <w:p>
            <w:pPr>
              <w:spacing w:after="0" w:line="20" w:lineRule="exact"/>
              <w:rPr>
                <w:sz w:val="1"/>
                <w:szCs w:val="1"/>
                <w:color w:val="auto"/>
              </w:rPr>
            </w:pPr>
          </w:p>
        </w:tc>
        <w:tc>
          <w:tcPr>
            <w:tcW w:w="12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11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80" w:type="dxa"/>
            <w:vAlign w:val="bottom"/>
            <w:tcBorders>
              <w:top w:val="single" w:sz="8" w:color="DCE2EF"/>
              <w:bottom w:val="single" w:sz="8" w:color="auto"/>
            </w:tcBorders>
          </w:tcPr>
          <w:p>
            <w:pPr>
              <w:spacing w:after="0" w:line="20" w:lineRule="exact"/>
              <w:rPr>
                <w:sz w:val="1"/>
                <w:szCs w:val="1"/>
                <w:color w:val="auto"/>
              </w:rPr>
            </w:pPr>
          </w:p>
        </w:tc>
        <w:tc>
          <w:tcPr>
            <w:tcW w:w="11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114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0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50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Business &amp; Industry</w:t>
            </w:r>
          </w:p>
        </w:tc>
        <w:tc>
          <w:tcPr>
            <w:tcW w:w="240" w:type="dxa"/>
            <w:vAlign w:val="bottom"/>
            <w:shd w:val="clear" w:color="auto" w:fill="DCE2E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83.0</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77.6</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162.4</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6"/>
                <w:szCs w:val="16"/>
                <w:color w:val="auto"/>
              </w:rPr>
              <w:t>Manufacturing &amp; Distribution</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50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Aviation</w:t>
            </w:r>
          </w:p>
        </w:tc>
        <w:tc>
          <w:tcPr>
            <w:tcW w:w="240" w:type="dxa"/>
            <w:vAlign w:val="bottom"/>
            <w:shd w:val="clear" w:color="auto" w:fill="DCE2EF"/>
          </w:tcPr>
          <w:p>
            <w:pPr>
              <w:spacing w:after="0"/>
              <w:rPr>
                <w:sz w:val="18"/>
                <w:szCs w:val="18"/>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6"/>
                <w:szCs w:val="16"/>
                <w:color w:val="auto"/>
              </w:rPr>
              <w:t>Education</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50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Technical Solutions</w:t>
            </w:r>
          </w:p>
        </w:tc>
        <w:tc>
          <w:tcPr>
            <w:tcW w:w="240" w:type="dxa"/>
            <w:vAlign w:val="bottom"/>
            <w:shd w:val="clear" w:color="auto" w:fill="DCE2EF"/>
          </w:tcPr>
          <w:p>
            <w:pPr>
              <w:spacing w:after="0"/>
              <w:rPr>
                <w:sz w:val="18"/>
                <w:szCs w:val="18"/>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6"/>
                <w:szCs w:val="16"/>
                <w:color w:val="auto"/>
              </w:rPr>
              <w:t>Corporate</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(154.4)</w:t>
            </w:r>
          </w:p>
        </w:tc>
        <w:tc>
          <w:tcPr>
            <w:tcW w:w="0" w:type="dxa"/>
            <w:vAlign w:val="bottom"/>
          </w:tcPr>
          <w:p>
            <w:pPr>
              <w:spacing w:after="0"/>
              <w:rPr>
                <w:sz w:val="1"/>
                <w:szCs w:val="1"/>
                <w:color w:val="auto"/>
              </w:rPr>
            </w:pPr>
          </w:p>
        </w:tc>
      </w:tr>
      <w:tr>
        <w:trPr>
          <w:trHeight w:val="201"/>
        </w:trPr>
        <w:tc>
          <w:tcPr>
            <w:tcW w:w="20" w:type="dxa"/>
            <w:vAlign w:val="bottom"/>
            <w:shd w:val="clear" w:color="auto" w:fill="DCE2EF"/>
          </w:tcPr>
          <w:p>
            <w:pPr>
              <w:spacing w:after="0"/>
              <w:rPr>
                <w:sz w:val="17"/>
                <w:szCs w:val="17"/>
                <w:color w:val="auto"/>
              </w:rPr>
            </w:pPr>
          </w:p>
        </w:tc>
        <w:tc>
          <w:tcPr>
            <w:tcW w:w="50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Adjustment for income from unconsolidated affiliates, included in</w:t>
            </w:r>
          </w:p>
        </w:tc>
        <w:tc>
          <w:tcPr>
            <w:tcW w:w="240" w:type="dxa"/>
            <w:vAlign w:val="bottom"/>
            <w:shd w:val="clear" w:color="auto" w:fill="DCE2EF"/>
          </w:tcPr>
          <w:p>
            <w:pPr>
              <w:spacing w:after="0"/>
              <w:rPr>
                <w:sz w:val="17"/>
                <w:szCs w:val="17"/>
                <w:color w:val="auto"/>
              </w:rPr>
            </w:pPr>
          </w:p>
        </w:tc>
        <w:tc>
          <w:tcPr>
            <w:tcW w:w="12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80" w:type="dxa"/>
            <w:vAlign w:val="bottom"/>
            <w:shd w:val="clear" w:color="auto" w:fill="DCE2EF"/>
          </w:tcPr>
          <w:p>
            <w:pPr>
              <w:spacing w:after="0"/>
              <w:rPr>
                <w:sz w:val="17"/>
                <w:szCs w:val="17"/>
                <w:color w:val="auto"/>
              </w:rPr>
            </w:pPr>
          </w:p>
        </w:tc>
        <w:tc>
          <w:tcPr>
            <w:tcW w:w="11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4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DCE2EF"/>
          </w:tcPr>
          <w:p>
            <w:pPr>
              <w:spacing w:after="0"/>
              <w:rPr>
                <w:sz w:val="21"/>
                <w:szCs w:val="21"/>
                <w:color w:val="auto"/>
              </w:rPr>
            </w:pPr>
          </w:p>
        </w:tc>
        <w:tc>
          <w:tcPr>
            <w:tcW w:w="5060" w:type="dxa"/>
            <w:vAlign w:val="bottom"/>
            <w:gridSpan w:val="2"/>
            <w:shd w:val="clear" w:color="auto" w:fill="DCE2EF"/>
          </w:tcPr>
          <w:p>
            <w:pPr>
              <w:ind w:left="160"/>
              <w:spacing w:after="0"/>
              <w:rPr>
                <w:sz w:val="20"/>
                <w:szCs w:val="20"/>
                <w:color w:val="auto"/>
              </w:rPr>
            </w:pPr>
            <w:r>
              <w:rPr>
                <w:rFonts w:ascii="Arial" w:cs="Arial" w:eastAsia="Arial" w:hAnsi="Arial"/>
                <w:sz w:val="16"/>
                <w:szCs w:val="16"/>
                <w:color w:val="auto"/>
              </w:rPr>
              <w:t>Aviation and Technical Solutions</w:t>
            </w:r>
          </w:p>
        </w:tc>
        <w:tc>
          <w:tcPr>
            <w:tcW w:w="240" w:type="dxa"/>
            <w:vAlign w:val="bottom"/>
            <w:shd w:val="clear" w:color="auto" w:fill="DCE2EF"/>
          </w:tcPr>
          <w:p>
            <w:pPr>
              <w:spacing w:after="0"/>
              <w:rPr>
                <w:sz w:val="21"/>
                <w:szCs w:val="21"/>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DCE2EF"/>
          </w:tcPr>
          <w:p>
            <w:pPr>
              <w:spacing w:after="0"/>
              <w:rPr>
                <w:sz w:val="21"/>
                <w:szCs w:val="21"/>
                <w:color w:val="auto"/>
              </w:rPr>
            </w:pPr>
          </w:p>
        </w:tc>
        <w:tc>
          <w:tcPr>
            <w:tcW w:w="320" w:type="dxa"/>
            <w:vAlign w:val="bottom"/>
            <w:shd w:val="clear" w:color="auto" w:fill="DCE2EF"/>
          </w:tcPr>
          <w:p>
            <w:pPr>
              <w:spacing w:after="0"/>
              <w:rPr>
                <w:sz w:val="21"/>
                <w:szCs w:val="21"/>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DCE2EF"/>
          </w:tcPr>
          <w:p>
            <w:pPr>
              <w:spacing w:after="0"/>
              <w:rPr>
                <w:sz w:val="21"/>
                <w:szCs w:val="21"/>
                <w:color w:val="auto"/>
              </w:rPr>
            </w:pPr>
          </w:p>
        </w:tc>
        <w:tc>
          <w:tcPr>
            <w:tcW w:w="280" w:type="dxa"/>
            <w:vAlign w:val="bottom"/>
            <w:shd w:val="clear" w:color="auto" w:fill="DCE2EF"/>
          </w:tcPr>
          <w:p>
            <w:pPr>
              <w:spacing w:after="0"/>
              <w:rPr>
                <w:sz w:val="21"/>
                <w:szCs w:val="21"/>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DCE2EF"/>
          </w:tcPr>
          <w:p>
            <w:pPr>
              <w:spacing w:after="0"/>
              <w:rPr>
                <w:sz w:val="21"/>
                <w:szCs w:val="21"/>
                <w:color w:val="auto"/>
              </w:rPr>
            </w:pPr>
          </w:p>
        </w:tc>
        <w:tc>
          <w:tcPr>
            <w:tcW w:w="320" w:type="dxa"/>
            <w:vAlign w:val="bottom"/>
            <w:shd w:val="clear" w:color="auto" w:fill="DCE2EF"/>
          </w:tcPr>
          <w:p>
            <w:pPr>
              <w:spacing w:after="0"/>
              <w:rPr>
                <w:sz w:val="21"/>
                <w:szCs w:val="21"/>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60" w:type="dxa"/>
            <w:vAlign w:val="bottom"/>
            <w:gridSpan w:val="2"/>
          </w:tcPr>
          <w:p>
            <w:pPr>
              <w:spacing w:after="0"/>
              <w:rPr>
                <w:sz w:val="20"/>
                <w:szCs w:val="20"/>
                <w:color w:val="auto"/>
              </w:rPr>
            </w:pPr>
            <w:r>
              <w:rPr>
                <w:rFonts w:ascii="Arial" w:cs="Arial" w:eastAsia="Arial" w:hAnsi="Arial"/>
                <w:sz w:val="16"/>
                <w:szCs w:val="16"/>
                <w:color w:val="auto"/>
              </w:rPr>
              <w:t>Adjustment for tax deductions for energy efficient government</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060" w:type="dxa"/>
            <w:vAlign w:val="bottom"/>
            <w:gridSpan w:val="2"/>
          </w:tcPr>
          <w:p>
            <w:pPr>
              <w:ind w:left="160"/>
              <w:spacing w:after="0"/>
              <w:rPr>
                <w:sz w:val="20"/>
                <w:szCs w:val="20"/>
                <w:color w:val="auto"/>
              </w:rPr>
            </w:pPr>
            <w:r>
              <w:rPr>
                <w:rFonts w:ascii="Arial" w:cs="Arial" w:eastAsia="Arial" w:hAnsi="Arial"/>
                <w:sz w:val="16"/>
                <w:szCs w:val="16"/>
                <w:color w:val="auto"/>
              </w:rPr>
              <w:t>buildings, included in Technical Solutions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Borders>
              <w:top w:val="single" w:sz="8" w:color="DCE2EF"/>
            </w:tcBorders>
            <w:shd w:val="clear" w:color="auto" w:fill="DCE2EF"/>
          </w:tcPr>
          <w:p>
            <w:pPr>
              <w:spacing w:after="0"/>
              <w:rPr>
                <w:sz w:val="18"/>
                <w:szCs w:val="18"/>
                <w:color w:val="auto"/>
              </w:rPr>
            </w:pPr>
          </w:p>
        </w:tc>
        <w:tc>
          <w:tcPr>
            <w:tcW w:w="5060" w:type="dxa"/>
            <w:vAlign w:val="bottom"/>
            <w:tcBorders>
              <w:top w:val="single" w:sz="8" w:color="DCE2EF"/>
            </w:tcBorders>
            <w:gridSpan w:val="2"/>
            <w:shd w:val="clear" w:color="auto" w:fill="DCE2EF"/>
          </w:tcPr>
          <w:p>
            <w:pPr>
              <w:spacing w:after="0"/>
              <w:rPr>
                <w:sz w:val="20"/>
                <w:szCs w:val="20"/>
                <w:color w:val="auto"/>
              </w:rPr>
            </w:pPr>
            <w:r>
              <w:rPr>
                <w:rFonts w:ascii="Arial" w:cs="Arial" w:eastAsia="Arial" w:hAnsi="Arial"/>
                <w:sz w:val="16"/>
                <w:szCs w:val="16"/>
                <w:b w:val="1"/>
                <w:bCs w:val="1"/>
                <w:color w:val="auto"/>
              </w:rPr>
              <w:t>Total operating profit</w:t>
            </w:r>
          </w:p>
        </w:tc>
        <w:tc>
          <w:tcPr>
            <w:tcW w:w="240" w:type="dxa"/>
            <w:vAlign w:val="bottom"/>
            <w:tcBorders>
              <w:top w:val="single" w:sz="8" w:color="auto"/>
              <w:bottom w:val="single" w:sz="8" w:color="auto"/>
            </w:tcBorders>
            <w:shd w:val="clear" w:color="auto" w:fill="DCE2E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82.3</w:t>
            </w:r>
          </w:p>
        </w:tc>
        <w:tc>
          <w:tcPr>
            <w:tcW w:w="100" w:type="dxa"/>
            <w:vAlign w:val="bottom"/>
            <w:tcBorders>
              <w:top w:val="single" w:sz="8" w:color="DCE2EF"/>
            </w:tcBorders>
            <w:shd w:val="clear" w:color="auto" w:fill="DCE2EF"/>
          </w:tcPr>
          <w:p>
            <w:pPr>
              <w:spacing w:after="0"/>
              <w:rPr>
                <w:sz w:val="18"/>
                <w:szCs w:val="18"/>
                <w:color w:val="auto"/>
              </w:rPr>
            </w:pPr>
          </w:p>
        </w:tc>
        <w:tc>
          <w:tcPr>
            <w:tcW w:w="320" w:type="dxa"/>
            <w:vAlign w:val="bottom"/>
            <w:tcBorders>
              <w:top w:val="single" w:sz="8" w:color="auto"/>
              <w:bottom w:val="single" w:sz="8" w:color="auto"/>
            </w:tcBorders>
            <w:shd w:val="clear" w:color="auto" w:fill="DCE2E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81.3</w:t>
            </w:r>
          </w:p>
        </w:tc>
        <w:tc>
          <w:tcPr>
            <w:tcW w:w="100" w:type="dxa"/>
            <w:vAlign w:val="bottom"/>
            <w:tcBorders>
              <w:top w:val="single" w:sz="8" w:color="DCE2EF"/>
            </w:tcBorders>
            <w:shd w:val="clear" w:color="auto" w:fill="DCE2EF"/>
          </w:tcPr>
          <w:p>
            <w:pPr>
              <w:spacing w:after="0"/>
              <w:rPr>
                <w:sz w:val="18"/>
                <w:szCs w:val="18"/>
                <w:color w:val="auto"/>
              </w:rPr>
            </w:pPr>
          </w:p>
        </w:tc>
        <w:tc>
          <w:tcPr>
            <w:tcW w:w="280" w:type="dxa"/>
            <w:vAlign w:val="bottom"/>
            <w:tcBorders>
              <w:top w:val="single" w:sz="8" w:color="auto"/>
              <w:bottom w:val="single" w:sz="8" w:color="auto"/>
            </w:tcBorders>
            <w:shd w:val="clear" w:color="auto" w:fill="DCE2E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159.9</w:t>
            </w:r>
          </w:p>
        </w:tc>
        <w:tc>
          <w:tcPr>
            <w:tcW w:w="100" w:type="dxa"/>
            <w:vAlign w:val="bottom"/>
            <w:tcBorders>
              <w:top w:val="single" w:sz="8" w:color="DCE2EF"/>
            </w:tcBorders>
            <w:shd w:val="clear" w:color="auto" w:fill="DCE2EF"/>
          </w:tcPr>
          <w:p>
            <w:pPr>
              <w:spacing w:after="0"/>
              <w:rPr>
                <w:sz w:val="18"/>
                <w:szCs w:val="18"/>
                <w:color w:val="auto"/>
              </w:rPr>
            </w:pPr>
          </w:p>
        </w:tc>
        <w:tc>
          <w:tcPr>
            <w:tcW w:w="320" w:type="dxa"/>
            <w:vAlign w:val="bottom"/>
            <w:tcBorders>
              <w:top w:val="single" w:sz="8" w:color="auto"/>
              <w:bottom w:val="single" w:sz="8" w:color="auto"/>
            </w:tcBorders>
            <w:shd w:val="clear" w:color="auto" w:fill="DCE2E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155.4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6"/>
                <w:szCs w:val="16"/>
                <w:color w:val="auto"/>
              </w:rPr>
              <w:t>Income from unconsolidated affiliates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50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shd w:val="clear" w:color="auto" w:fill="DCE2EF"/>
          </w:tcPr>
          <w:p>
            <w:pPr>
              <w:spacing w:after="0"/>
              <w:rPr>
                <w:sz w:val="18"/>
                <w:szCs w:val="18"/>
                <w:color w:val="auto"/>
              </w:rPr>
            </w:pP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DCE2EF"/>
          </w:tcPr>
          <w:p>
            <w:pPr>
              <w:spacing w:after="0"/>
              <w:rPr>
                <w:sz w:val="18"/>
                <w:szCs w:val="18"/>
                <w:color w:val="auto"/>
              </w:rPr>
            </w:pPr>
          </w:p>
        </w:tc>
        <w:tc>
          <w:tcPr>
            <w:tcW w:w="320" w:type="dxa"/>
            <w:vAlign w:val="bottom"/>
            <w:tcBorders>
              <w:bottom w:val="single" w:sz="8" w:color="auto"/>
            </w:tcBorders>
            <w:shd w:val="clear" w:color="auto" w:fill="DCE2EF"/>
          </w:tcPr>
          <w:p>
            <w:pPr>
              <w:spacing w:after="0"/>
              <w:rPr>
                <w:sz w:val="18"/>
                <w:szCs w:val="18"/>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DCE2EF"/>
          </w:tcPr>
          <w:p>
            <w:pPr>
              <w:spacing w:after="0"/>
              <w:rPr>
                <w:sz w:val="18"/>
                <w:szCs w:val="18"/>
                <w:color w:val="auto"/>
              </w:rPr>
            </w:pPr>
          </w:p>
        </w:tc>
        <w:tc>
          <w:tcPr>
            <w:tcW w:w="280" w:type="dxa"/>
            <w:vAlign w:val="bottom"/>
            <w:tcBorders>
              <w:bottom w:val="single" w:sz="8" w:color="auto"/>
            </w:tcBorders>
            <w:shd w:val="clear" w:color="auto" w:fill="DCE2EF"/>
          </w:tcPr>
          <w:p>
            <w:pPr>
              <w:spacing w:after="0"/>
              <w:rPr>
                <w:sz w:val="18"/>
                <w:szCs w:val="18"/>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(46.8)</w:t>
            </w:r>
          </w:p>
        </w:tc>
        <w:tc>
          <w:tcPr>
            <w:tcW w:w="100" w:type="dxa"/>
            <w:vAlign w:val="bottom"/>
            <w:shd w:val="clear" w:color="auto" w:fill="DCE2EF"/>
          </w:tcPr>
          <w:p>
            <w:pPr>
              <w:spacing w:after="0"/>
              <w:rPr>
                <w:sz w:val="18"/>
                <w:szCs w:val="18"/>
                <w:color w:val="auto"/>
              </w:rPr>
            </w:pPr>
          </w:p>
        </w:tc>
        <w:tc>
          <w:tcPr>
            <w:tcW w:w="320" w:type="dxa"/>
            <w:vAlign w:val="bottom"/>
            <w:tcBorders>
              <w:bottom w:val="single" w:sz="8" w:color="auto"/>
            </w:tcBorders>
            <w:shd w:val="clear" w:color="auto" w:fill="DCE2EF"/>
          </w:tcPr>
          <w:p>
            <w:pPr>
              <w:spacing w:after="0"/>
              <w:rPr>
                <w:sz w:val="18"/>
                <w:szCs w:val="18"/>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corporate costs. Certain corporate costs not allocated to segments include information technology, human resources, executive and finance expenses, and legal costs and settlements. Additionally, share-based compensation, actuarial adjustments to self-insurance reserves related to prior years, acquisition and integration costs, and changes in fair values of contingent consideration are not allocated to segments. Management does not review asset information by segment, therefore we do not present assets in this note.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0046AD"/>
        </w:rPr>
        <w:t>ITEM 2. MANAGEMENT’S DISCUSSION AND ANALYSIS OF FINANCIAL CONDITION AND RESULTS OF OPERATIONS.</w:t>
      </w:r>
    </w:p>
    <w:p>
      <w:pPr>
        <w:spacing w:after="0" w:line="169" w:lineRule="exact"/>
        <w:rPr>
          <w:sz w:val="20"/>
          <w:szCs w:val="20"/>
          <w:color w:val="auto"/>
        </w:rPr>
      </w:pPr>
    </w:p>
    <w:p>
      <w:pPr>
        <w:jc w:val="both"/>
        <w:ind w:firstLine="645"/>
        <w:spacing w:after="0" w:line="256"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facilitate an understanding of the results of operations and financial condition of ABM. This MD&amp;A is provided as a supplement to, and should be read in conjunction with, our Financial Statements and our Annual Report on Form 10-K for the year ended October 31, 2024, which has been filed with the SEC. This MD&amp;A contains forward-looking statements about our business, operations, and industry that involve risks and uncertainties, such as statements regarding our plans, objectives, expectations, and intentions. Our future results and financial condition may be materially different from those we currently anticipate. See “Forward-Looking Statements” for more information.</w:t>
      </w:r>
    </w:p>
    <w:p>
      <w:pPr>
        <w:spacing w:after="0" w:line="126" w:lineRule="exact"/>
        <w:rPr>
          <w:sz w:val="20"/>
          <w:szCs w:val="20"/>
          <w:color w:val="auto"/>
        </w:rPr>
      </w:pPr>
    </w:p>
    <w:p>
      <w:pPr>
        <w:jc w:val="both"/>
        <w:ind w:right="20" w:firstLine="645"/>
        <w:spacing w:after="0" w:line="285" w:lineRule="auto"/>
        <w:rPr>
          <w:sz w:val="20"/>
          <w:szCs w:val="20"/>
          <w:color w:val="auto"/>
        </w:rPr>
      </w:pPr>
      <w:r>
        <w:rPr>
          <w:rFonts w:ascii="Arial" w:cs="Arial" w:eastAsia="Arial" w:hAnsi="Arial"/>
          <w:sz w:val="18"/>
          <w:szCs w:val="18"/>
          <w:color w:val="auto"/>
        </w:rPr>
        <w:t>Throughout the MD&amp;A, amounts and percentages may not recalculate due to rounding. Unless otherwise indicated, all information in the MD&amp;A and references to years are based on our fiscal years, which end on October 31.</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jc w:val="both"/>
        <w:ind w:firstLine="645"/>
        <w:spacing w:after="0" w:line="294" w:lineRule="auto"/>
        <w:rPr>
          <w:sz w:val="20"/>
          <w:szCs w:val="20"/>
          <w:color w:val="auto"/>
        </w:rPr>
      </w:pPr>
      <w:r>
        <w:rPr>
          <w:rFonts w:ascii="Arial" w:cs="Arial" w:eastAsia="Arial" w:hAnsi="Arial"/>
          <w:sz w:val="18"/>
          <w:szCs w:val="18"/>
          <w:color w:val="auto"/>
        </w:rPr>
        <w:t xml:space="preserve">ABM is a leading provider of integrated facility solutions, customized by industry, with a mission to </w:t>
      </w:r>
      <w:r>
        <w:rPr>
          <w:rFonts w:ascii="Arial" w:cs="Arial" w:eastAsia="Arial" w:hAnsi="Arial"/>
          <w:sz w:val="18"/>
          <w:szCs w:val="18"/>
          <w:b w:val="1"/>
          <w:bCs w:val="1"/>
          <w:color w:val="326ABD"/>
        </w:rPr>
        <w:t>make a difference, every person,</w:t>
      </w:r>
      <w:r>
        <w:rPr>
          <w:rFonts w:ascii="Arial" w:cs="Arial" w:eastAsia="Arial" w:hAnsi="Arial"/>
          <w:sz w:val="18"/>
          <w:szCs w:val="18"/>
          <w:color w:val="auto"/>
        </w:rPr>
        <w:t xml:space="preserve"> </w:t>
      </w:r>
      <w:r>
        <w:rPr>
          <w:rFonts w:ascii="Arial" w:cs="Arial" w:eastAsia="Arial" w:hAnsi="Arial"/>
          <w:sz w:val="18"/>
          <w:szCs w:val="18"/>
          <w:b w:val="1"/>
          <w:bCs w:val="1"/>
          <w:color w:val="326ABD"/>
        </w:rPr>
        <w:t>every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E98300"/>
        </w:rPr>
        <w:t xml:space="preserve">ELEVATE </w:t>
      </w:r>
      <w:r>
        <w:rPr>
          <w:rFonts w:ascii="Arial" w:cs="Arial" w:eastAsia="Arial" w:hAnsi="Arial"/>
          <w:sz w:val="18"/>
          <w:szCs w:val="18"/>
          <w:b w:val="1"/>
          <w:bCs w:val="1"/>
          <w:color w:val="0046AD"/>
        </w:rPr>
        <w:t>Strategy</w:t>
      </w:r>
    </w:p>
    <w:p>
      <w:pPr>
        <w:spacing w:after="0" w:line="169"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 xml:space="preserve">In December 2021, we announced our multiyear strategic plan called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The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strategy is designed to strengthen our industry leadership position through end-market repositioning and build on our core services, which we expect will drive significant long-term value for our stakeholders.</w:t>
      </w:r>
    </w:p>
    <w:p>
      <w:pPr>
        <w:spacing w:after="0" w:line="115" w:lineRule="exact"/>
        <w:rPr>
          <w:sz w:val="20"/>
          <w:szCs w:val="20"/>
          <w:color w:val="auto"/>
        </w:rPr>
      </w:pPr>
    </w:p>
    <w:p>
      <w:pPr>
        <w:jc w:val="both"/>
        <w:ind w:firstLine="645"/>
        <w:spacing w:after="0" w:line="294" w:lineRule="auto"/>
        <w:rPr>
          <w:sz w:val="20"/>
          <w:szCs w:val="20"/>
          <w:color w:val="auto"/>
        </w:rPr>
      </w:pPr>
      <w:r>
        <w:rPr>
          <w:rFonts w:ascii="Arial" w:cs="Arial" w:eastAsia="Arial" w:hAnsi="Arial"/>
          <w:sz w:val="18"/>
          <w:szCs w:val="18"/>
          <w:color w:val="auto"/>
        </w:rPr>
        <w:t xml:space="preserve">We will continue to make significant investments over the life of the program, which are expected to total $200 - $215 million, and we will continue to implement various measures with the aim to </w:t>
      </w:r>
      <w:r>
        <w:rPr>
          <w:rFonts w:ascii="Arial" w:cs="Arial" w:eastAsia="Arial" w:hAnsi="Arial"/>
          <w:sz w:val="18"/>
          <w:szCs w:val="18"/>
          <w:b w:val="1"/>
          <w:bCs w:val="1"/>
          <w:color w:val="E98300"/>
        </w:rPr>
        <w:t>ELEVATE</w:t>
      </w:r>
      <w:r>
        <w:rPr>
          <w:rFonts w:ascii="Arial" w:cs="Arial" w:eastAsia="Arial" w:hAnsi="Arial"/>
          <w:sz w:val="18"/>
          <w:szCs w:val="18"/>
          <w:color w:val="auto"/>
        </w:rPr>
        <w:t>:</w:t>
      </w:r>
    </w:p>
    <w:p>
      <w:pPr>
        <w:spacing w:after="0" w:line="84" w:lineRule="exact"/>
        <w:rPr>
          <w:sz w:val="20"/>
          <w:szCs w:val="20"/>
          <w:color w:val="auto"/>
        </w:rPr>
      </w:pPr>
    </w:p>
    <w:p>
      <w:pPr>
        <w:ind w:left="660" w:hanging="330"/>
        <w:spacing w:after="0" w:line="28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client experience, by serving as a trusted advisor who can provide innovative multiservice solutions and consistent service delivery;</w:t>
      </w:r>
    </w:p>
    <w:p>
      <w:pPr>
        <w:spacing w:after="0" w:line="99" w:lineRule="exact"/>
        <w:rPr>
          <w:rFonts w:ascii="Arial" w:cs="Arial" w:eastAsia="Arial" w:hAnsi="Arial"/>
          <w:sz w:val="18"/>
          <w:szCs w:val="18"/>
          <w:color w:val="auto"/>
        </w:rPr>
      </w:pPr>
    </w:p>
    <w:p>
      <w:pPr>
        <w:ind w:left="660" w:right="20" w:hanging="330"/>
        <w:spacing w:after="0" w:line="28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team member experience, by investing in workforce management, training, developing the next generation of ABM leaders, and building on our inclusive culture; and</w:t>
      </w:r>
    </w:p>
    <w:p>
      <w:pPr>
        <w:spacing w:after="0" w:line="99" w:lineRule="exact"/>
        <w:rPr>
          <w:rFonts w:ascii="Arial" w:cs="Arial" w:eastAsia="Arial" w:hAnsi="Arial"/>
          <w:sz w:val="18"/>
          <w:szCs w:val="18"/>
          <w:color w:val="auto"/>
        </w:rPr>
      </w:pPr>
    </w:p>
    <w:p>
      <w:pPr>
        <w:ind w:left="660" w:hanging="330"/>
        <w:spacing w:after="0" w:line="28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use of technology and data to power client and employee experiences with cutting-edge data and analytics, processes, and tools that will fundamentally change how we operate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0046AD"/>
        </w:rPr>
        <w:t>Segment Reporting</w:t>
      </w:r>
    </w:p>
    <w:p>
      <w:pPr>
        <w:spacing w:after="0" w:line="1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Our current reportable segments consist of B&amp;I, M&amp;D, Aviation, Education, and Technical Solutions, as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7141210" cy="41890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4189095"/>
                    </a:xfrm>
                    <a:prstGeom prst="rect">
                      <a:avLst/>
                    </a:prstGeom>
                    <a:noFill/>
                  </pic:spPr>
                </pic:pic>
              </a:graphicData>
            </a:graphic>
          </wp:anchor>
        </w:drawing>
      </w:r>
    </w:p>
    <w:p>
      <w:pPr>
        <w:spacing w:after="0" w:line="154" w:lineRule="exact"/>
        <w:rPr>
          <w:sz w:val="20"/>
          <w:szCs w:val="20"/>
          <w:color w:val="auto"/>
        </w:rPr>
      </w:pPr>
    </w:p>
    <w:p>
      <w:pPr>
        <w:jc w:val="center"/>
        <w:ind w:left="2600"/>
        <w:spacing w:after="0"/>
        <w:rPr>
          <w:sz w:val="20"/>
          <w:szCs w:val="20"/>
          <w:color w:val="auto"/>
        </w:rPr>
      </w:pPr>
      <w:r>
        <w:rPr>
          <w:rFonts w:ascii="Arial" w:cs="Arial" w:eastAsia="Arial" w:hAnsi="Arial"/>
          <w:sz w:val="16"/>
          <w:szCs w:val="16"/>
          <w:b w:val="1"/>
          <w:bCs w:val="1"/>
          <w:color w:val="0046AD"/>
        </w:rPr>
        <w:t>REPORTABLE SEGMENTS AND DESCRIPTIONS</w:t>
      </w:r>
    </w:p>
    <w:p>
      <w:pPr>
        <w:spacing w:after="0" w:line="152" w:lineRule="exact"/>
        <w:rPr>
          <w:sz w:val="20"/>
          <w:szCs w:val="20"/>
          <w:color w:val="auto"/>
        </w:rPr>
      </w:pPr>
    </w:p>
    <w:p>
      <w:pPr>
        <w:jc w:val="both"/>
        <w:ind w:left="2660"/>
        <w:spacing w:after="0" w:line="220" w:lineRule="auto"/>
        <w:rPr>
          <w:sz w:val="20"/>
          <w:szCs w:val="20"/>
          <w:color w:val="auto"/>
        </w:rPr>
      </w:pPr>
      <w:r>
        <w:rPr>
          <w:rFonts w:ascii="Arial" w:cs="Arial" w:eastAsia="Arial" w:hAnsi="Arial"/>
          <w:sz w:val="16"/>
          <w:szCs w:val="16"/>
          <w:color w:val="auto"/>
        </w:rPr>
        <w:t>B&amp;I, our largest reportable segment, encompasses comprehensive facility solutions, including janitorial and maintenance, facilities engineering, and parking and transportation management to a diverse range of clients. Our expertise extends to commercial real estate properties, including corporate offices for high-tech clients, sports and entertainment venues, and both traditional hospitals and non-acute healthcare facilities. We typically provide these services pursuant to monthly fixed-price, square-foot, cost-plus, and parking arrangements (i.e., management reimbursement, leased location, or allowance) that are obtained through a competitive bid process as well as pursuant to work orders.</w:t>
      </w:r>
    </w:p>
    <w:p>
      <w:pPr>
        <w:spacing w:after="0" w:line="392" w:lineRule="exact"/>
        <w:rPr>
          <w:sz w:val="20"/>
          <w:szCs w:val="20"/>
          <w:color w:val="auto"/>
        </w:rPr>
      </w:pPr>
    </w:p>
    <w:p>
      <w:pPr>
        <w:jc w:val="both"/>
        <w:ind w:left="2660"/>
        <w:spacing w:after="0" w:line="227" w:lineRule="auto"/>
        <w:rPr>
          <w:sz w:val="20"/>
          <w:szCs w:val="20"/>
          <w:color w:val="auto"/>
        </w:rPr>
      </w:pPr>
      <w:r>
        <w:rPr>
          <w:rFonts w:ascii="Arial" w:cs="Arial" w:eastAsia="Arial" w:hAnsi="Arial"/>
          <w:sz w:val="16"/>
          <w:szCs w:val="16"/>
          <w:color w:val="auto"/>
        </w:rPr>
        <w:t>M&amp;D provides integrated facility services, engineering, janitorial and maintenance, and other specialized solutions to a variety of manufacturing, distribution, and data center facilities. We typically provide these services pursuant to monthly fixed-price, square-foot, and cost-plus, that are obtained through a competitive bid process as well as pursuant to work orders.</w:t>
      </w:r>
    </w:p>
    <w:p>
      <w:pPr>
        <w:spacing w:after="0" w:line="200" w:lineRule="exact"/>
        <w:rPr>
          <w:sz w:val="20"/>
          <w:szCs w:val="20"/>
          <w:color w:val="auto"/>
        </w:rPr>
      </w:pPr>
    </w:p>
    <w:p>
      <w:pPr>
        <w:spacing w:after="0" w:line="259" w:lineRule="exact"/>
        <w:rPr>
          <w:sz w:val="20"/>
          <w:szCs w:val="20"/>
          <w:color w:val="auto"/>
        </w:rPr>
      </w:pPr>
    </w:p>
    <w:p>
      <w:pPr>
        <w:jc w:val="both"/>
        <w:ind w:left="2660"/>
        <w:spacing w:after="0" w:line="224" w:lineRule="auto"/>
        <w:rPr>
          <w:sz w:val="20"/>
          <w:szCs w:val="20"/>
          <w:color w:val="auto"/>
        </w:rPr>
      </w:pPr>
      <w:r>
        <w:rPr>
          <w:rFonts w:ascii="Arial" w:cs="Arial" w:eastAsia="Arial" w:hAnsi="Arial"/>
          <w:sz w:val="16"/>
          <w:szCs w:val="16"/>
          <w:color w:val="auto"/>
        </w:rPr>
        <w:t>Aviation provides comprehensive support services to airlines and airports, including parking and transportation management, janitorial and maintenance services, passenger assistance, catering logistics, aircraft cabin maintenance, and transportation solutions. We typically provide services to clients in this segment under master services agreements. These agreements are typically re-bid upon renewal and are generally structured as monthly fixed-price, square-foot, cost-plus, parking, transaction-price, and hourly arrangements.</w:t>
      </w:r>
    </w:p>
    <w:p>
      <w:pPr>
        <w:spacing w:after="0" w:line="324" w:lineRule="exact"/>
        <w:rPr>
          <w:sz w:val="20"/>
          <w:szCs w:val="20"/>
          <w:color w:val="auto"/>
        </w:rPr>
      </w:pPr>
    </w:p>
    <w:p>
      <w:pPr>
        <w:jc w:val="both"/>
        <w:ind w:left="2660"/>
        <w:spacing w:after="0" w:line="224" w:lineRule="auto"/>
        <w:rPr>
          <w:sz w:val="20"/>
          <w:szCs w:val="20"/>
          <w:color w:val="auto"/>
        </w:rPr>
      </w:pPr>
      <w:r>
        <w:rPr>
          <w:rFonts w:ascii="Arial" w:cs="Arial" w:eastAsia="Arial" w:hAnsi="Arial"/>
          <w:sz w:val="16"/>
          <w:szCs w:val="16"/>
          <w:color w:val="auto"/>
        </w:rPr>
        <w:t>Education delivers comprehensive facility services to public school districts, private schools, colleges, and universities. Our services include janitorial and custodial services, landscaping and grounds maintenance, facilities engineering, and parking management. These services are typically provided pursuant to monthly fixed-price, square-foot, and cost-plus arrangements that are obtained through either a competitive bid process or re-bid upon renewal as well as pursuant to work orders.</w:t>
      </w:r>
    </w:p>
    <w:p>
      <w:pPr>
        <w:spacing w:after="0" w:line="297" w:lineRule="exact"/>
        <w:rPr>
          <w:sz w:val="20"/>
          <w:szCs w:val="20"/>
          <w:color w:val="auto"/>
        </w:rPr>
      </w:pPr>
    </w:p>
    <w:p>
      <w:pPr>
        <w:jc w:val="both"/>
        <w:ind w:left="2660"/>
        <w:spacing w:after="0" w:line="221" w:lineRule="auto"/>
        <w:rPr>
          <w:sz w:val="20"/>
          <w:szCs w:val="20"/>
          <w:color w:val="auto"/>
        </w:rPr>
      </w:pPr>
      <w:r>
        <w:rPr>
          <w:rFonts w:ascii="Arial" w:cs="Arial" w:eastAsia="Arial" w:hAnsi="Arial"/>
          <w:sz w:val="16"/>
          <w:szCs w:val="16"/>
          <w:color w:val="auto"/>
        </w:rPr>
        <w:t>Technical Solutions specializes in comprehensive facility infrastructure services, including mechanical and electrical systems, EV charging station design, installation, and maintenance, as well as microgrid systems encompassing uninterrupted power supply (“UPS”) systems and power distribution units. These offerings are strategically leveraged for cross-selling across all our industry groups, both domestically and internationally. Contracts for this segment are generally structured as electrical contracting services for energy related products such as the installation of solar solutions, battery storage, distributed generation, and other specialized electric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49"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0046AD"/>
        </w:rPr>
        <w:t>Key Financial Highlights</w:t>
      </w:r>
    </w:p>
    <w:p>
      <w:pPr>
        <w:spacing w:after="0" w:line="183" w:lineRule="exact"/>
        <w:rPr>
          <w:sz w:val="20"/>
          <w:szCs w:val="20"/>
          <w:color w:val="auto"/>
        </w:rPr>
      </w:pPr>
    </w:p>
    <w:p>
      <w:pPr>
        <w:jc w:val="both"/>
        <w:ind w:left="660" w:hanging="330"/>
        <w:spacing w:after="0" w:line="253"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18"/>
          <w:szCs w:val="18"/>
          <w:color w:val="auto"/>
        </w:rPr>
        <w:t>Revenues increased by $93.5 million, or 4.6%, to $2,111.7 million during the three months ended April 30, 2025, as compared to the prior year period. Revenue growth was comprised of organic growth of 3.7% and acquisition growth of 0.8%. The organic revenue growth was due to higher project revenues due to the higher microgrid projects within Technical Solutions and net new business and expansion of business with existing customers within B&amp;I, Aviation, M&amp;D, and Education. The increase in revenues was partially offset by a loss of a certain customer within M&amp;D in the first quarter of 2025. Acquisition growth was driven by a $16.6 million revenue increase from the Quality Uptime Acquisition, which was completed in June 2024.</w:t>
      </w:r>
    </w:p>
    <w:p>
      <w:pPr>
        <w:spacing w:after="0" w:line="144" w:lineRule="exact"/>
        <w:rPr>
          <w:rFonts w:ascii="Arial" w:cs="Arial" w:eastAsia="Arial" w:hAnsi="Arial"/>
          <w:sz w:val="20"/>
          <w:szCs w:val="20"/>
          <w:color w:val="auto"/>
        </w:rPr>
      </w:pPr>
    </w:p>
    <w:p>
      <w:pPr>
        <w:ind w:left="660" w:hanging="330"/>
        <w:spacing w:after="0" w:line="258"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18"/>
          <w:szCs w:val="18"/>
          <w:color w:val="auto"/>
        </w:rPr>
        <w:t>We had an increase in operating profit of $1.0 million, to $82.3 million, during the three months ended April 30, 2025, as compared to the prior year period. The increase was primarily attributed to:</w:t>
      </w:r>
    </w:p>
    <w:p>
      <w:pPr>
        <w:spacing w:after="0" w:line="121" w:lineRule="exact"/>
        <w:rPr>
          <w:rFonts w:ascii="Arial" w:cs="Arial" w:eastAsia="Arial" w:hAnsi="Arial"/>
          <w:sz w:val="20"/>
          <w:szCs w:val="20"/>
          <w:color w:val="auto"/>
        </w:rPr>
      </w:pPr>
    </w:p>
    <w:p>
      <w:pPr>
        <w:ind w:left="1300" w:hanging="325"/>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respective revenue increases, contract and service mix, and operational efficiencies; and</w:t>
      </w:r>
    </w:p>
    <w:p>
      <w:pPr>
        <w:spacing w:after="0" w:line="169" w:lineRule="exact"/>
        <w:rPr>
          <w:rFonts w:ascii="Arial" w:cs="Arial" w:eastAsia="Arial" w:hAnsi="Arial"/>
          <w:sz w:val="18"/>
          <w:szCs w:val="18"/>
          <w:color w:val="auto"/>
        </w:rPr>
      </w:pPr>
    </w:p>
    <w:p>
      <w:pPr>
        <w:ind w:left="1300" w:hanging="325"/>
        <w:spacing w:after="0" w:line="285" w:lineRule="auto"/>
        <w:tabs>
          <w:tab w:leader="none" w:pos="133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 absence of a $4.3 million unfavorable self-insurance reserve adjustment related to prior year claims from actuarial evaluations completed in the three months ended April 30, 2024.</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was partially offset by:</w:t>
      </w:r>
    </w:p>
    <w:p>
      <w:pPr>
        <w:spacing w:after="0" w:line="169" w:lineRule="exact"/>
        <w:rPr>
          <w:sz w:val="20"/>
          <w:szCs w:val="20"/>
          <w:color w:val="auto"/>
        </w:rPr>
      </w:pPr>
    </w:p>
    <w:p>
      <w:pPr>
        <w:ind w:left="1300" w:hanging="325"/>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base wage increases within Aviation and Education.</w:t>
      </w:r>
    </w:p>
    <w:p>
      <w:pPr>
        <w:spacing w:after="0" w:line="182" w:lineRule="exact"/>
        <w:rPr>
          <w:rFonts w:ascii="Arial" w:cs="Arial" w:eastAsia="Arial" w:hAnsi="Arial"/>
          <w:sz w:val="18"/>
          <w:szCs w:val="18"/>
          <w:color w:val="auto"/>
        </w:rPr>
      </w:pPr>
    </w:p>
    <w:p>
      <w:pPr>
        <w:ind w:left="660" w:hanging="330"/>
        <w:spacing w:after="0" w:line="274"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18"/>
          <w:szCs w:val="18"/>
          <w:color w:val="auto"/>
        </w:rPr>
        <w:t>Our effective tax rates from income on operations for the three months ended April 30, 2025, and April 30, 2024, were 29.4% and 29.9%, respectively, and were not impacted by any significant discrete items.</w:t>
      </w:r>
    </w:p>
    <w:p>
      <w:pPr>
        <w:spacing w:after="0" w:line="78" w:lineRule="exact"/>
        <w:rPr>
          <w:rFonts w:ascii="Arial" w:cs="Arial" w:eastAsia="Arial" w:hAnsi="Arial"/>
          <w:sz w:val="20"/>
          <w:szCs w:val="20"/>
          <w:color w:val="auto"/>
        </w:rPr>
      </w:pPr>
    </w:p>
    <w:p>
      <w:pPr>
        <w:jc w:val="both"/>
        <w:ind w:left="660" w:hanging="330"/>
        <w:spacing w:after="0" w:line="233"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18"/>
          <w:szCs w:val="18"/>
          <w:color w:val="auto"/>
        </w:rPr>
        <w:t>Net cash used in operating activities was $73.9 million during the six months ended April 30, 2025, as compared to net cash provided by operating activities of $116.9 million during the prior year period. The change was primarily driven by an increase in working capital due to the transition to the Company’s new ERP systems for our Business and Industry and Manufacturing and Distribution segments that temporarily delayed invoicing to certain clients within these industry groups. We anticipate continued improvement in our operating cash flows and full normalization in the second half of fiscal year 2025.</w:t>
      </w:r>
    </w:p>
    <w:p>
      <w:pPr>
        <w:spacing w:after="0" w:line="155" w:lineRule="exact"/>
        <w:rPr>
          <w:rFonts w:ascii="Arial" w:cs="Arial" w:eastAsia="Arial" w:hAnsi="Arial"/>
          <w:sz w:val="20"/>
          <w:szCs w:val="20"/>
          <w:color w:val="auto"/>
        </w:rPr>
      </w:pPr>
    </w:p>
    <w:p>
      <w:pPr>
        <w:ind w:left="660" w:right="20" w:hanging="330"/>
        <w:spacing w:after="0" w:line="274"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18"/>
          <w:szCs w:val="18"/>
          <w:color w:val="auto"/>
        </w:rPr>
        <w:t>Dividends of $32.9 million were paid to shareholders, and dividends totaling $0.530 per common share were declared during the six months ended April 30, 2025.</w:t>
      </w:r>
    </w:p>
    <w:p>
      <w:pPr>
        <w:spacing w:after="0" w:line="119" w:lineRule="exact"/>
        <w:rPr>
          <w:rFonts w:ascii="Arial" w:cs="Arial" w:eastAsia="Arial" w:hAnsi="Arial"/>
          <w:sz w:val="20"/>
          <w:szCs w:val="20"/>
          <w:color w:val="auto"/>
        </w:rPr>
      </w:pPr>
    </w:p>
    <w:p>
      <w:pPr>
        <w:ind w:left="660" w:hanging="330"/>
        <w:spacing w:after="0" w:line="274"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18"/>
          <w:szCs w:val="18"/>
          <w:color w:val="auto"/>
        </w:rPr>
        <w:t>At April 30, 2025, total outstanding borrowings under our Amended Credit Facility were $1.6 billion. At April 30, 2025, we had up to $599.1 million of borrowing capacity.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0046AD"/>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80" w:lineRule="exact"/>
        <w:rPr>
          <w:sz w:val="20"/>
          <w:szCs w:val="20"/>
          <w:color w:val="auto"/>
        </w:rPr>
      </w:pPr>
    </w:p>
    <w:p>
      <w:pPr>
        <w:ind w:right="3520"/>
        <w:spacing w:after="0" w:line="461" w:lineRule="auto"/>
        <w:rPr>
          <w:sz w:val="20"/>
          <w:szCs w:val="20"/>
          <w:color w:val="auto"/>
        </w:rPr>
      </w:pPr>
      <w:r>
        <w:rPr>
          <w:rFonts w:ascii="Arial" w:cs="Arial" w:eastAsia="Arial" w:hAnsi="Arial"/>
          <w:sz w:val="18"/>
          <w:szCs w:val="18"/>
          <w:b w:val="1"/>
          <w:bCs w:val="1"/>
          <w:i w:val="1"/>
          <w:iCs w:val="1"/>
          <w:color w:val="0046AD"/>
        </w:rPr>
        <w:t>Three Months Ended April 30, 2025, Compared with the Three Months Ended April 30, 2024 Consolidated</w:t>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April 30,</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68"/>
        </w:trPr>
        <w:tc>
          <w:tcPr>
            <w:tcW w:w="20" w:type="dxa"/>
            <w:vAlign w:val="bottom"/>
          </w:tcPr>
          <w:p>
            <w:pPr>
              <w:spacing w:after="0"/>
              <w:rPr>
                <w:sz w:val="14"/>
                <w:szCs w:val="1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3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560"/>
              <w:spacing w:after="0" w:line="168" w:lineRule="exact"/>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560"/>
              <w:spacing w:after="0" w:line="168"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2"/>
          </w:tcPr>
          <w:p>
            <w:pPr>
              <w:jc w:val="right"/>
              <w:ind w:right="359"/>
              <w:spacing w:after="0" w:line="168" w:lineRule="exact"/>
              <w:rPr>
                <w:sz w:val="20"/>
                <w:szCs w:val="20"/>
                <w:color w:val="auto"/>
              </w:rPr>
            </w:pPr>
            <w:r>
              <w:rPr>
                <w:rFonts w:ascii="Arial" w:cs="Arial" w:eastAsia="Arial" w:hAnsi="Arial"/>
                <w:sz w:val="16"/>
                <w:szCs w:val="16"/>
                <w:b w:val="1"/>
                <w:bCs w:val="1"/>
                <w:color w:val="auto"/>
              </w:rPr>
              <w:t>Increase / (Decrease)</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460" w:type="dxa"/>
            <w:vAlign w:val="bottom"/>
            <w:tcBorders>
              <w:top w:val="single" w:sz="8" w:color="auto"/>
              <w:bottom w:val="single" w:sz="8" w:color="DCE2EF"/>
            </w:tcBorders>
          </w:tcPr>
          <w:p>
            <w:pPr>
              <w:spacing w:after="0" w:line="20" w:lineRule="exact"/>
              <w:rPr>
                <w:sz w:val="1"/>
                <w:szCs w:val="1"/>
                <w:color w:val="auto"/>
              </w:rPr>
            </w:pPr>
          </w:p>
        </w:tc>
        <w:tc>
          <w:tcPr>
            <w:tcW w:w="276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Revenues</w:t>
            </w:r>
          </w:p>
        </w:tc>
        <w:tc>
          <w:tcPr>
            <w:tcW w:w="340" w:type="dxa"/>
            <w:vAlign w:val="bottom"/>
            <w:shd w:val="clear" w:color="auto" w:fill="DCE2E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CE2EF"/>
          </w:tcPr>
          <w:p>
            <w:pPr>
              <w:jc w:val="right"/>
              <w:ind w:right="100"/>
              <w:spacing w:after="0"/>
              <w:rPr>
                <w:sz w:val="20"/>
                <w:szCs w:val="20"/>
                <w:color w:val="auto"/>
              </w:rPr>
            </w:pPr>
            <w:r>
              <w:rPr>
                <w:rFonts w:ascii="Arial" w:cs="Arial" w:eastAsia="Arial" w:hAnsi="Arial"/>
                <w:sz w:val="16"/>
                <w:szCs w:val="16"/>
                <w:color w:val="auto"/>
              </w:rPr>
              <w:t>2,111.7</w:t>
            </w:r>
          </w:p>
        </w:tc>
        <w:tc>
          <w:tcPr>
            <w:tcW w:w="120" w:type="dxa"/>
            <w:vAlign w:val="bottom"/>
            <w:shd w:val="clear" w:color="auto" w:fill="DCE2EF"/>
          </w:tcPr>
          <w:p>
            <w:pPr>
              <w:spacing w:after="0"/>
              <w:rPr>
                <w:sz w:val="18"/>
                <w:szCs w:val="18"/>
                <w:color w:val="auto"/>
              </w:rPr>
            </w:pPr>
          </w:p>
        </w:tc>
        <w:tc>
          <w:tcPr>
            <w:tcW w:w="380" w:type="dxa"/>
            <w:vAlign w:val="bottom"/>
            <w:shd w:val="clear" w:color="auto" w:fill="DCE2E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CE2EF"/>
          </w:tcPr>
          <w:p>
            <w:pPr>
              <w:jc w:val="right"/>
              <w:ind w:right="100"/>
              <w:spacing w:after="0"/>
              <w:rPr>
                <w:sz w:val="20"/>
                <w:szCs w:val="20"/>
                <w:color w:val="auto"/>
              </w:rPr>
            </w:pPr>
            <w:r>
              <w:rPr>
                <w:rFonts w:ascii="Arial" w:cs="Arial" w:eastAsia="Arial" w:hAnsi="Arial"/>
                <w:sz w:val="16"/>
                <w:szCs w:val="16"/>
                <w:color w:val="auto"/>
              </w:rPr>
              <w:t>2,018.2</w:t>
            </w:r>
          </w:p>
        </w:tc>
        <w:tc>
          <w:tcPr>
            <w:tcW w:w="120" w:type="dxa"/>
            <w:vAlign w:val="bottom"/>
            <w:shd w:val="clear" w:color="auto" w:fill="DCE2EF"/>
          </w:tcPr>
          <w:p>
            <w:pPr>
              <w:spacing w:after="0"/>
              <w:rPr>
                <w:sz w:val="18"/>
                <w:szCs w:val="18"/>
                <w:color w:val="auto"/>
              </w:rPr>
            </w:pPr>
          </w:p>
        </w:tc>
        <w:tc>
          <w:tcPr>
            <w:tcW w:w="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93.5</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4.6%</w:t>
            </w:r>
          </w:p>
        </w:tc>
      </w:tr>
      <w:tr>
        <w:trPr>
          <w:trHeight w:val="214"/>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1,841.0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1,763.5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77.5</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4.4%</w:t>
            </w:r>
          </w:p>
        </w:tc>
      </w:tr>
      <w:tr>
        <w:trPr>
          <w:trHeight w:val="216"/>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ind w:left="120"/>
              <w:spacing w:after="0"/>
              <w:rPr>
                <w:sz w:val="20"/>
                <w:szCs w:val="20"/>
                <w:color w:val="auto"/>
              </w:rPr>
            </w:pPr>
            <w:r>
              <w:rPr>
                <w:rFonts w:ascii="Arial" w:cs="Arial" w:eastAsia="Arial" w:hAnsi="Arial"/>
                <w:sz w:val="16"/>
                <w:szCs w:val="16"/>
                <w:i w:val="1"/>
                <w:iCs w:val="1"/>
                <w:color w:val="auto"/>
              </w:rPr>
              <w:t>Gross margin</w:t>
            </w:r>
          </w:p>
        </w:tc>
        <w:tc>
          <w:tcPr>
            <w:tcW w:w="34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12.8 %</w:t>
            </w:r>
          </w:p>
        </w:tc>
        <w:tc>
          <w:tcPr>
            <w:tcW w:w="12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12.6 %</w:t>
            </w:r>
          </w:p>
        </w:tc>
        <w:tc>
          <w:tcPr>
            <w:tcW w:w="12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19 bps</w:t>
            </w:r>
          </w:p>
        </w:tc>
        <w:tc>
          <w:tcPr>
            <w:tcW w:w="1280" w:type="dxa"/>
            <w:vAlign w:val="bottom"/>
            <w:shd w:val="clear" w:color="auto" w:fill="DCE2E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18"/>
                <w:szCs w:val="18"/>
                <w:color w:val="auto"/>
              </w:rPr>
            </w:pP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175.1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159.9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15.2</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9.5%</w:t>
            </w:r>
          </w:p>
        </w:tc>
      </w:tr>
      <w:tr>
        <w:trPr>
          <w:trHeight w:val="216"/>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Borders>
              <w:bottom w:val="single" w:sz="8" w:color="auto"/>
            </w:tcBorders>
            <w:shd w:val="clear" w:color="auto" w:fill="DCE2EF"/>
          </w:tcPr>
          <w:p>
            <w:pPr>
              <w:spacing w:after="0"/>
              <w:rPr>
                <w:sz w:val="18"/>
                <w:szCs w:val="18"/>
                <w:color w:val="auto"/>
              </w:rPr>
            </w:pPr>
          </w:p>
        </w:tc>
        <w:tc>
          <w:tcPr>
            <w:tcW w:w="1300" w:type="dxa"/>
            <w:vAlign w:val="bottom"/>
            <w:tcBorders>
              <w:bottom w:val="single" w:sz="8" w:color="auto"/>
            </w:tcBorders>
            <w:shd w:val="clear" w:color="auto" w:fill="DCE2EF"/>
          </w:tcPr>
          <w:p>
            <w:pPr>
              <w:jc w:val="right"/>
              <w:ind w:right="100"/>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ind w:right="100"/>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DCE2EF"/>
          </w:tcPr>
          <w:p>
            <w:pPr>
              <w:spacing w:after="0"/>
              <w:rPr>
                <w:sz w:val="18"/>
                <w:szCs w:val="18"/>
                <w:color w:val="auto"/>
              </w:rPr>
            </w:pPr>
          </w:p>
        </w:tc>
        <w:tc>
          <w:tcPr>
            <w:tcW w:w="260" w:type="dxa"/>
            <w:vAlign w:val="bottom"/>
            <w:tcBorders>
              <w:bottom w:val="single" w:sz="8" w:color="auto"/>
            </w:tcBorders>
            <w:shd w:val="clear" w:color="auto" w:fill="DCE2EF"/>
          </w:tcPr>
          <w:p>
            <w:pPr>
              <w:spacing w:after="0"/>
              <w:rPr>
                <w:sz w:val="18"/>
                <w:szCs w:val="18"/>
                <w:color w:val="auto"/>
              </w:rPr>
            </w:pP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(0.4)</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7"/>
              </w:rPr>
              <w:t>(2.5)%</w:t>
            </w:r>
          </w:p>
        </w:tc>
      </w:tr>
      <w:tr>
        <w:trPr>
          <w:trHeight w:val="208"/>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b w:val="1"/>
                <w:bCs w:val="1"/>
                <w:color w:val="auto"/>
              </w:rPr>
              <w:t>Operating profit</w:t>
            </w:r>
          </w:p>
        </w:tc>
        <w:tc>
          <w:tcPr>
            <w:tcW w:w="340" w:type="dxa"/>
            <w:vAlign w:val="bottom"/>
          </w:tcPr>
          <w:p>
            <w:pPr>
              <w:spacing w:after="0"/>
              <w:rPr>
                <w:sz w:val="18"/>
                <w:szCs w:val="18"/>
                <w:color w:val="auto"/>
              </w:rPr>
            </w:pP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1.2%</w:t>
            </w:r>
          </w:p>
        </w:tc>
      </w:tr>
      <w:tr>
        <w:trPr>
          <w:trHeight w:val="215"/>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Income from unconsolidated affiliates</w:t>
            </w:r>
          </w:p>
        </w:tc>
        <w:tc>
          <w:tcPr>
            <w:tcW w:w="34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100"/>
              <w:spacing w:after="0"/>
              <w:rPr>
                <w:sz w:val="20"/>
                <w:szCs w:val="20"/>
                <w:color w:val="auto"/>
              </w:rPr>
            </w:pPr>
            <w:r>
              <w:rPr>
                <w:rFonts w:ascii="Arial" w:cs="Arial" w:eastAsia="Arial" w:hAnsi="Arial"/>
                <w:sz w:val="16"/>
                <w:szCs w:val="16"/>
                <w:color w:val="auto"/>
              </w:rPr>
              <w:t>1.4</w:t>
            </w:r>
          </w:p>
        </w:tc>
        <w:tc>
          <w:tcPr>
            <w:tcW w:w="12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ind w:right="10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(0.3)</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(19.4)%</w:t>
            </w:r>
          </w:p>
        </w:tc>
      </w:tr>
      <w:tr>
        <w:trPr>
          <w:trHeight w:val="214"/>
        </w:trPr>
        <w:tc>
          <w:tcPr>
            <w:tcW w:w="20" w:type="dxa"/>
            <w:vAlign w:val="bottom"/>
            <w:tcBorders>
              <w:bottom w:val="single" w:sz="8" w:color="DCE2EF"/>
            </w:tcBorders>
          </w:tcPr>
          <w:p>
            <w:pPr>
              <w:spacing w:after="0"/>
              <w:rPr>
                <w:sz w:val="18"/>
                <w:szCs w:val="18"/>
                <w:color w:val="auto"/>
              </w:rPr>
            </w:pPr>
          </w:p>
        </w:tc>
        <w:tc>
          <w:tcPr>
            <w:tcW w:w="522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DCE2E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DCE2E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80" w:type="dxa"/>
            <w:vAlign w:val="bottom"/>
            <w:tcBorders>
              <w:bottom w:val="single" w:sz="8" w:color="DCE2EF"/>
            </w:tcBorders>
          </w:tcPr>
          <w:p>
            <w:pPr>
              <w:jc w:val="center"/>
              <w:ind w:left="19"/>
              <w:spacing w:after="0"/>
              <w:rPr>
                <w:sz w:val="20"/>
                <w:szCs w:val="20"/>
                <w:color w:val="auto"/>
              </w:rPr>
            </w:pPr>
            <w:r>
              <w:rPr>
                <w:rFonts w:ascii="Arial" w:cs="Arial" w:eastAsia="Arial" w:hAnsi="Arial"/>
                <w:sz w:val="16"/>
                <w:szCs w:val="16"/>
                <w:color w:val="auto"/>
              </w:rPr>
              <w:t>(16.1)%</w:t>
            </w:r>
          </w:p>
        </w:tc>
      </w:tr>
      <w:tr>
        <w:trPr>
          <w:trHeight w:val="209"/>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Income before income taxes</w:t>
            </w:r>
          </w:p>
        </w:tc>
        <w:tc>
          <w:tcPr>
            <w:tcW w:w="34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100"/>
              <w:spacing w:after="0"/>
              <w:rPr>
                <w:sz w:val="20"/>
                <w:szCs w:val="20"/>
                <w:color w:val="auto"/>
              </w:rPr>
            </w:pPr>
            <w:r>
              <w:rPr>
                <w:rFonts w:ascii="Arial" w:cs="Arial" w:eastAsia="Arial" w:hAnsi="Arial"/>
                <w:sz w:val="16"/>
                <w:szCs w:val="16"/>
                <w:color w:val="auto"/>
              </w:rPr>
              <w:t>59.8</w:t>
            </w:r>
          </w:p>
        </w:tc>
        <w:tc>
          <w:tcPr>
            <w:tcW w:w="12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ind w:right="100"/>
              <w:spacing w:after="0"/>
              <w:rPr>
                <w:sz w:val="20"/>
                <w:szCs w:val="20"/>
                <w:color w:val="auto"/>
              </w:rPr>
            </w:pPr>
            <w:r>
              <w:rPr>
                <w:rFonts w:ascii="Arial" w:cs="Arial" w:eastAsia="Arial" w:hAnsi="Arial"/>
                <w:sz w:val="16"/>
                <w:szCs w:val="16"/>
                <w:color w:val="auto"/>
              </w:rPr>
              <w:t>62.4</w:t>
            </w:r>
          </w:p>
        </w:tc>
        <w:tc>
          <w:tcPr>
            <w:tcW w:w="12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(2.6)</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7"/>
              </w:rPr>
              <w:t>(4.3)%</w:t>
            </w:r>
          </w:p>
        </w:tc>
      </w:tr>
      <w:tr>
        <w:trPr>
          <w:trHeight w:val="214"/>
        </w:trPr>
        <w:tc>
          <w:tcPr>
            <w:tcW w:w="20" w:type="dxa"/>
            <w:vAlign w:val="bottom"/>
            <w:tcBorders>
              <w:bottom w:val="single" w:sz="8" w:color="DCE2EF"/>
            </w:tcBorders>
          </w:tcPr>
          <w:p>
            <w:pPr>
              <w:spacing w:after="0"/>
              <w:rPr>
                <w:sz w:val="18"/>
                <w:szCs w:val="18"/>
                <w:color w:val="auto"/>
              </w:rPr>
            </w:pPr>
          </w:p>
        </w:tc>
        <w:tc>
          <w:tcPr>
            <w:tcW w:w="522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Income tax provision</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DCE2E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DCE2E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80" w:type="dxa"/>
            <w:vAlign w:val="bottom"/>
            <w:tcBorders>
              <w:bottom w:val="single" w:sz="8" w:color="DCE2EF"/>
            </w:tcBorders>
          </w:tcPr>
          <w:p>
            <w:pPr>
              <w:jc w:val="center"/>
              <w:ind w:left="19"/>
              <w:spacing w:after="0"/>
              <w:rPr>
                <w:sz w:val="20"/>
                <w:szCs w:val="20"/>
                <w:color w:val="auto"/>
              </w:rPr>
            </w:pPr>
            <w:r>
              <w:rPr>
                <w:rFonts w:ascii="Arial" w:cs="Arial" w:eastAsia="Arial" w:hAnsi="Arial"/>
                <w:sz w:val="16"/>
                <w:szCs w:val="16"/>
                <w:color w:val="auto"/>
              </w:rPr>
              <w:t>5.8%</w:t>
            </w:r>
          </w:p>
        </w:tc>
      </w:tr>
      <w:tr>
        <w:trPr>
          <w:trHeight w:val="209"/>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Net income</w:t>
            </w:r>
          </w:p>
        </w:tc>
        <w:tc>
          <w:tcPr>
            <w:tcW w:w="340" w:type="dxa"/>
            <w:vAlign w:val="bottom"/>
            <w:tcBorders>
              <w:bottom w:val="single" w:sz="8" w:color="auto"/>
            </w:tcBorders>
            <w:shd w:val="clear" w:color="auto" w:fill="DCE2EF"/>
          </w:tcPr>
          <w:p>
            <w:pPr>
              <w:spacing w:after="0"/>
              <w:rPr>
                <w:sz w:val="18"/>
                <w:szCs w:val="18"/>
                <w:color w:val="auto"/>
              </w:rPr>
            </w:pPr>
          </w:p>
        </w:tc>
        <w:tc>
          <w:tcPr>
            <w:tcW w:w="1300" w:type="dxa"/>
            <w:vAlign w:val="bottom"/>
            <w:tcBorders>
              <w:bottom w:val="single" w:sz="8" w:color="auto"/>
            </w:tcBorders>
            <w:shd w:val="clear" w:color="auto" w:fill="DCE2EF"/>
          </w:tcPr>
          <w:p>
            <w:pPr>
              <w:jc w:val="right"/>
              <w:ind w:right="100"/>
              <w:spacing w:after="0"/>
              <w:rPr>
                <w:sz w:val="20"/>
                <w:szCs w:val="20"/>
                <w:color w:val="auto"/>
              </w:rPr>
            </w:pPr>
            <w:r>
              <w:rPr>
                <w:rFonts w:ascii="Arial" w:cs="Arial" w:eastAsia="Arial" w:hAnsi="Arial"/>
                <w:sz w:val="16"/>
                <w:szCs w:val="16"/>
                <w:color w:val="auto"/>
              </w:rPr>
              <w:t>42.2</w:t>
            </w:r>
          </w:p>
        </w:tc>
        <w:tc>
          <w:tcPr>
            <w:tcW w:w="12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ind w:right="100"/>
              <w:spacing w:after="0"/>
              <w:rPr>
                <w:sz w:val="20"/>
                <w:szCs w:val="20"/>
                <w:color w:val="auto"/>
              </w:rPr>
            </w:pPr>
            <w:r>
              <w:rPr>
                <w:rFonts w:ascii="Arial" w:cs="Arial" w:eastAsia="Arial" w:hAnsi="Arial"/>
                <w:sz w:val="16"/>
                <w:szCs w:val="16"/>
                <w:color w:val="auto"/>
              </w:rPr>
              <w:t>43.8</w:t>
            </w:r>
          </w:p>
        </w:tc>
        <w:tc>
          <w:tcPr>
            <w:tcW w:w="120" w:type="dxa"/>
            <w:vAlign w:val="bottom"/>
            <w:shd w:val="clear" w:color="auto" w:fill="DCE2EF"/>
          </w:tcPr>
          <w:p>
            <w:pPr>
              <w:spacing w:after="0"/>
              <w:rPr>
                <w:sz w:val="18"/>
                <w:szCs w:val="18"/>
                <w:color w:val="auto"/>
              </w:rPr>
            </w:pPr>
          </w:p>
        </w:tc>
        <w:tc>
          <w:tcPr>
            <w:tcW w:w="260" w:type="dxa"/>
            <w:vAlign w:val="bottom"/>
            <w:tcBorders>
              <w:bottom w:val="single" w:sz="8" w:color="auto"/>
            </w:tcBorders>
            <w:shd w:val="clear" w:color="auto" w:fill="DCE2EF"/>
          </w:tcPr>
          <w:p>
            <w:pPr>
              <w:spacing w:after="0"/>
              <w:rPr>
                <w:sz w:val="18"/>
                <w:szCs w:val="18"/>
                <w:color w:val="auto"/>
              </w:rPr>
            </w:pP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(1.6)</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7"/>
              </w:rPr>
              <w:t>(3.6)%</w:t>
            </w:r>
          </w:p>
        </w:tc>
      </w:tr>
      <w:tr>
        <w:trPr>
          <w:trHeight w:val="194"/>
        </w:trPr>
        <w:tc>
          <w:tcPr>
            <w:tcW w:w="2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Other comprehensive income</w:t>
            </w: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6"/>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Interest rate swaps</w:t>
            </w:r>
          </w:p>
        </w:tc>
        <w:tc>
          <w:tcPr>
            <w:tcW w:w="34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60"/>
              <w:spacing w:after="0"/>
              <w:rPr>
                <w:sz w:val="20"/>
                <w:szCs w:val="20"/>
                <w:color w:val="auto"/>
              </w:rPr>
            </w:pPr>
            <w:r>
              <w:rPr>
                <w:rFonts w:ascii="Arial" w:cs="Arial" w:eastAsia="Arial" w:hAnsi="Arial"/>
                <w:sz w:val="16"/>
                <w:szCs w:val="16"/>
                <w:color w:val="auto"/>
              </w:rPr>
              <w:t>(5.4)</w:t>
            </w:r>
          </w:p>
        </w:tc>
        <w:tc>
          <w:tcPr>
            <w:tcW w:w="12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ind w:right="100"/>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(15.7)</w:t>
            </w:r>
          </w:p>
        </w:tc>
        <w:tc>
          <w:tcPr>
            <w:tcW w:w="1280" w:type="dxa"/>
            <w:vAlign w:val="bottom"/>
            <w:shd w:val="clear" w:color="auto" w:fill="DCE2EF"/>
          </w:tcPr>
          <w:p>
            <w:pPr>
              <w:jc w:val="right"/>
              <w:ind w:right="359"/>
              <w:spacing w:after="0"/>
              <w:rPr>
                <w:sz w:val="20"/>
                <w:szCs w:val="20"/>
                <w:color w:val="auto"/>
              </w:rPr>
            </w:pPr>
            <w:r>
              <w:rPr>
                <w:rFonts w:ascii="Arial" w:cs="Arial" w:eastAsia="Arial" w:hAnsi="Arial"/>
                <w:sz w:val="16"/>
                <w:szCs w:val="16"/>
                <w:color w:val="auto"/>
              </w:rPr>
              <w:t>NM*</w:t>
            </w:r>
          </w:p>
        </w:tc>
      </w:tr>
      <w:tr>
        <w:trPr>
          <w:trHeight w:val="214"/>
        </w:trPr>
        <w:tc>
          <w:tcPr>
            <w:tcW w:w="20" w:type="dxa"/>
            <w:vAlign w:val="bottom"/>
          </w:tcPr>
          <w:p>
            <w:pPr>
              <w:spacing w:after="0"/>
              <w:rPr>
                <w:sz w:val="18"/>
                <w:szCs w:val="18"/>
                <w:color w:val="auto"/>
              </w:rPr>
            </w:pPr>
          </w:p>
        </w:tc>
        <w:tc>
          <w:tcPr>
            <w:tcW w:w="5220" w:type="dxa"/>
            <w:vAlign w:val="bottom"/>
            <w:gridSpan w:val="2"/>
          </w:tcPr>
          <w:p>
            <w:pPr>
              <w:ind w:left="320"/>
              <w:spacing w:after="0"/>
              <w:rPr>
                <w:sz w:val="20"/>
                <w:szCs w:val="20"/>
                <w:color w:val="auto"/>
              </w:rPr>
            </w:pPr>
            <w:r>
              <w:rPr>
                <w:rFonts w:ascii="Arial" w:cs="Arial" w:eastAsia="Arial" w:hAnsi="Arial"/>
                <w:sz w:val="16"/>
                <w:szCs w:val="16"/>
                <w:color w:val="auto"/>
              </w:rPr>
              <w:t>Foreign currency translation and other</w:t>
            </w:r>
          </w:p>
        </w:tc>
        <w:tc>
          <w:tcPr>
            <w:tcW w:w="340" w:type="dxa"/>
            <w:vAlign w:val="bottom"/>
          </w:tcPr>
          <w:p>
            <w:pPr>
              <w:spacing w:after="0"/>
              <w:rPr>
                <w:sz w:val="18"/>
                <w:szCs w:val="18"/>
                <w:color w:val="auto"/>
              </w:rPr>
            </w:pP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w:t>
            </w:r>
          </w:p>
        </w:tc>
        <w:tc>
          <w:tcPr>
            <w:tcW w:w="1280" w:type="dxa"/>
            <w:vAlign w:val="bottom"/>
          </w:tcPr>
          <w:p>
            <w:pPr>
              <w:jc w:val="right"/>
              <w:ind w:right="359"/>
              <w:spacing w:after="0"/>
              <w:rPr>
                <w:sz w:val="20"/>
                <w:szCs w:val="20"/>
                <w:color w:val="auto"/>
              </w:rPr>
            </w:pPr>
            <w:r>
              <w:rPr>
                <w:rFonts w:ascii="Arial" w:cs="Arial" w:eastAsia="Arial" w:hAnsi="Arial"/>
                <w:sz w:val="16"/>
                <w:szCs w:val="16"/>
                <w:color w:val="auto"/>
              </w:rPr>
              <w:t>NM*</w:t>
            </w:r>
          </w:p>
        </w:tc>
      </w:tr>
      <w:tr>
        <w:trPr>
          <w:trHeight w:val="215"/>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Income tax benefit (provision)</w:t>
            </w:r>
          </w:p>
        </w:tc>
        <w:tc>
          <w:tcPr>
            <w:tcW w:w="340" w:type="dxa"/>
            <w:vAlign w:val="bottom"/>
            <w:tcBorders>
              <w:bottom w:val="single" w:sz="8" w:color="auto"/>
            </w:tcBorders>
            <w:shd w:val="clear" w:color="auto" w:fill="DCE2EF"/>
          </w:tcPr>
          <w:p>
            <w:pPr>
              <w:spacing w:after="0"/>
              <w:rPr>
                <w:sz w:val="18"/>
                <w:szCs w:val="18"/>
                <w:color w:val="auto"/>
              </w:rPr>
            </w:pPr>
          </w:p>
        </w:tc>
        <w:tc>
          <w:tcPr>
            <w:tcW w:w="1300" w:type="dxa"/>
            <w:vAlign w:val="bottom"/>
            <w:tcBorders>
              <w:bottom w:val="single" w:sz="8" w:color="auto"/>
            </w:tcBorders>
            <w:shd w:val="clear" w:color="auto" w:fill="DCE2EF"/>
          </w:tcPr>
          <w:p>
            <w:pPr>
              <w:jc w:val="right"/>
              <w:ind w:right="100"/>
              <w:spacing w:after="0"/>
              <w:rPr>
                <w:sz w:val="20"/>
                <w:szCs w:val="20"/>
                <w:color w:val="auto"/>
              </w:rPr>
            </w:pPr>
            <w:r>
              <w:rPr>
                <w:rFonts w:ascii="Arial" w:cs="Arial" w:eastAsia="Arial" w:hAnsi="Arial"/>
                <w:sz w:val="16"/>
                <w:szCs w:val="16"/>
                <w:color w:val="auto"/>
              </w:rPr>
              <w:t>1.4</w:t>
            </w:r>
          </w:p>
        </w:tc>
        <w:tc>
          <w:tcPr>
            <w:tcW w:w="12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ind w:right="60"/>
              <w:spacing w:after="0"/>
              <w:rPr>
                <w:sz w:val="20"/>
                <w:szCs w:val="20"/>
                <w:color w:val="auto"/>
              </w:rPr>
            </w:pPr>
            <w:r>
              <w:rPr>
                <w:rFonts w:ascii="Arial" w:cs="Arial" w:eastAsia="Arial" w:hAnsi="Arial"/>
                <w:sz w:val="16"/>
                <w:szCs w:val="16"/>
                <w:color w:val="auto"/>
              </w:rPr>
              <w:t>(2.7)</w:t>
            </w:r>
          </w:p>
        </w:tc>
        <w:tc>
          <w:tcPr>
            <w:tcW w:w="120" w:type="dxa"/>
            <w:vAlign w:val="bottom"/>
            <w:shd w:val="clear" w:color="auto" w:fill="DCE2EF"/>
          </w:tcPr>
          <w:p>
            <w:pPr>
              <w:spacing w:after="0"/>
              <w:rPr>
                <w:sz w:val="18"/>
                <w:szCs w:val="18"/>
                <w:color w:val="auto"/>
              </w:rPr>
            </w:pPr>
          </w:p>
        </w:tc>
        <w:tc>
          <w:tcPr>
            <w:tcW w:w="260" w:type="dxa"/>
            <w:vAlign w:val="bottom"/>
            <w:tcBorders>
              <w:bottom w:val="single" w:sz="8" w:color="auto"/>
            </w:tcBorders>
            <w:shd w:val="clear" w:color="auto" w:fill="DCE2EF"/>
          </w:tcPr>
          <w:p>
            <w:pPr>
              <w:spacing w:after="0"/>
              <w:rPr>
                <w:sz w:val="18"/>
                <w:szCs w:val="18"/>
                <w:color w:val="auto"/>
              </w:rPr>
            </w:pP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4.1</w:t>
            </w:r>
          </w:p>
        </w:tc>
        <w:tc>
          <w:tcPr>
            <w:tcW w:w="1280" w:type="dxa"/>
            <w:vAlign w:val="bottom"/>
            <w:shd w:val="clear" w:color="auto" w:fill="DCE2EF"/>
          </w:tcPr>
          <w:p>
            <w:pPr>
              <w:jc w:val="right"/>
              <w:ind w:right="359"/>
              <w:spacing w:after="0"/>
              <w:rPr>
                <w:sz w:val="20"/>
                <w:szCs w:val="20"/>
                <w:color w:val="auto"/>
              </w:rPr>
            </w:pPr>
            <w:r>
              <w:rPr>
                <w:rFonts w:ascii="Arial" w:cs="Arial" w:eastAsia="Arial" w:hAnsi="Arial"/>
                <w:sz w:val="16"/>
                <w:szCs w:val="16"/>
                <w:color w:val="auto"/>
              </w:rPr>
              <w:t>NM*</w:t>
            </w:r>
          </w:p>
        </w:tc>
      </w:tr>
      <w:tr>
        <w:trPr>
          <w:trHeight w:val="209"/>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b w:val="1"/>
                <w:bCs w:val="1"/>
                <w:color w:val="auto"/>
              </w:rPr>
              <w:t>Comprehensive income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5.7%</w:t>
            </w: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*Not meaningful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Revenues</w:t>
      </w:r>
    </w:p>
    <w:p>
      <w:pPr>
        <w:spacing w:after="0" w:line="167" w:lineRule="exact"/>
        <w:rPr>
          <w:sz w:val="20"/>
          <w:szCs w:val="20"/>
          <w:color w:val="auto"/>
        </w:rPr>
      </w:pPr>
    </w:p>
    <w:p>
      <w:pPr>
        <w:jc w:val="both"/>
        <w:ind w:firstLine="645"/>
        <w:spacing w:after="0" w:line="256" w:lineRule="auto"/>
        <w:rPr>
          <w:sz w:val="20"/>
          <w:szCs w:val="20"/>
          <w:color w:val="auto"/>
        </w:rPr>
      </w:pPr>
      <w:r>
        <w:rPr>
          <w:rFonts w:ascii="Arial" w:cs="Arial" w:eastAsia="Arial" w:hAnsi="Arial"/>
          <w:sz w:val="18"/>
          <w:szCs w:val="18"/>
          <w:color w:val="auto"/>
        </w:rPr>
        <w:t>Revenues increased by $93.5 million, or 4.6%, to $2,111.7 million during the three months ended April 30, 2025, as compared to the prior year period. Revenue growth was comprised of organic growth of 3.7% and acquisition growth of 0.8%. The organic revenue growth was due to higher project revenues due to the higher microgrid projects within Technical Solutions and net new business and expansion of business with existing customers within B&amp;I, Aviation, M&amp;D, and Education. The increase in revenues was partially offset by a loss of a certain customer within M&amp;D in the first quarter of 2025. Acquisition growth was driven by a $16.6 million revenue increase from the Quality Uptime Acquisition, which was completed in June 2024.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Operating Expenses</w:t>
      </w:r>
    </w:p>
    <w:p>
      <w:pPr>
        <w:spacing w:after="0" w:line="167" w:lineRule="exact"/>
        <w:rPr>
          <w:sz w:val="20"/>
          <w:szCs w:val="20"/>
          <w:color w:val="auto"/>
        </w:rPr>
      </w:pPr>
    </w:p>
    <w:p>
      <w:pPr>
        <w:jc w:val="both"/>
        <w:ind w:firstLine="645"/>
        <w:spacing w:after="0" w:line="256" w:lineRule="auto"/>
        <w:rPr>
          <w:sz w:val="20"/>
          <w:szCs w:val="20"/>
          <w:color w:val="auto"/>
        </w:rPr>
      </w:pPr>
      <w:r>
        <w:rPr>
          <w:rFonts w:ascii="Arial" w:cs="Arial" w:eastAsia="Arial" w:hAnsi="Arial"/>
          <w:sz w:val="18"/>
          <w:szCs w:val="18"/>
          <w:color w:val="auto"/>
        </w:rPr>
        <w:t>Operating expenses increased by $77.5 million, or 4.4%, to $ 1,841.0 million during the three months ended April 30, 2025, as compared to the prior year period. Gross margin increased by 19 bps to 12.8% in the three months ended April 30, 2025, from 12.6% in the prior year period. The increase in gross margin was primarily driven by contract and service mix and operational efficiencies within Aviation and Education as well as an absence of a $4.3 million unfavorable self-insurance reserve adjustment related to prior year claims from actuarial evaluations completed in the three months ended April 30, 2024 within Corporate. The increase in gross margin was partially offset by base wage increases within Aviation and Education.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Selling, General and Administrative Expenses</w:t>
      </w:r>
    </w:p>
    <w:p>
      <w:pPr>
        <w:spacing w:after="0" w:line="167"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Selling, general and administrative expenses increased by $15.2 million, or 9.5%, to $175.1 million during the three months ended April 30, 2025, as compared to the prior year period. The increase in selling, general and administrative expenses was primarily attributable to:</w:t>
      </w:r>
    </w:p>
    <w:p>
      <w:pPr>
        <w:spacing w:after="0" w:line="115" w:lineRule="exact"/>
        <w:rPr>
          <w:sz w:val="20"/>
          <w:szCs w:val="20"/>
          <w:color w:val="auto"/>
        </w:rPr>
      </w:pPr>
    </w:p>
    <w:p>
      <w:pPr>
        <w:ind w:left="640" w:hanging="310"/>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$2.2 million increase in costs associated with systems’ go-live;</w:t>
      </w:r>
    </w:p>
    <w:p>
      <w:pPr>
        <w:spacing w:after="0" w:line="169" w:lineRule="exact"/>
        <w:rPr>
          <w:rFonts w:ascii="Arial" w:cs="Arial" w:eastAsia="Arial" w:hAnsi="Arial"/>
          <w:sz w:val="18"/>
          <w:szCs w:val="18"/>
          <w:color w:val="auto"/>
        </w:rPr>
      </w:pPr>
    </w:p>
    <w:p>
      <w:pPr>
        <w:ind w:left="640" w:hanging="310"/>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$2.2 million accrual for a parking tax audit settlement related to 2012-2019;</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29" w:name="page30"/>
    <w:bookmarkEnd w:id="29"/>
    <w:p>
      <w:pPr>
        <w:ind w:left="660" w:hanging="330"/>
        <w:spacing w:after="0" w:line="28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$2.1 million increase in compensation and related expenses primarily due to higher salaries and headcount expansion from recent acquisitions and ongoing business growth; and</w:t>
      </w:r>
    </w:p>
    <w:p>
      <w:pPr>
        <w:spacing w:after="0" w:line="99" w:lineRule="exact"/>
        <w:rPr>
          <w:rFonts w:ascii="Arial" w:cs="Arial" w:eastAsia="Arial" w:hAnsi="Arial"/>
          <w:sz w:val="18"/>
          <w:szCs w:val="18"/>
          <w:color w:val="auto"/>
        </w:rPr>
      </w:pPr>
    </w:p>
    <w:p>
      <w:pPr>
        <w:ind w:left="640" w:hanging="310"/>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$1.1 million increase in acquisition and integration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Amortization of Intangible Assets</w:t>
      </w:r>
    </w:p>
    <w:p>
      <w:pPr>
        <w:spacing w:after="0" w:line="167"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Amortization of intangible assets decreased by $ 0.4 million, or 2.5%, to $13.2 million during the three months ended April 30, 2025, as compared to the prior year period. The decrease was primarily due to the lower amortization of intangibles, primarily intangibles acquired as part of the Able Acquisition, partially offset by amortization of intangibles from the Quality Uptime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Expense</w:t>
      </w:r>
    </w:p>
    <w:p>
      <w:pPr>
        <w:spacing w:after="0" w:line="167" w:lineRule="exact"/>
        <w:rPr>
          <w:sz w:val="20"/>
          <w:szCs w:val="20"/>
          <w:color w:val="auto"/>
        </w:rPr>
      </w:pPr>
    </w:p>
    <w:p>
      <w:pPr>
        <w:jc w:val="both"/>
        <w:ind w:right="20" w:firstLine="645"/>
        <w:spacing w:after="0" w:line="285" w:lineRule="auto"/>
        <w:rPr>
          <w:sz w:val="20"/>
          <w:szCs w:val="20"/>
          <w:color w:val="auto"/>
        </w:rPr>
      </w:pPr>
      <w:r>
        <w:rPr>
          <w:rFonts w:ascii="Arial" w:cs="Arial" w:eastAsia="Arial" w:hAnsi="Arial"/>
          <w:sz w:val="18"/>
          <w:szCs w:val="18"/>
          <w:color w:val="auto"/>
        </w:rPr>
        <w:t>Interest expense increased by $3.3 million, or 16.1%, to $23.9 million during the three months ended April 30, 2025, as compared to the prior year period, and was driven by higher borrowings from our Amended Credit Facility to fund working capital requirements.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Income Taxes from Operations</w:t>
      </w:r>
    </w:p>
    <w:p>
      <w:pPr>
        <w:spacing w:after="0" w:line="167"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Our effective tax rates from income on operations for the three months ended April 30, 2025, and April 30, 2024, were 29.4% and 29.9%, respectively, resulting in provisions for taxes of $17.6 million and $18.7 million, respectively.</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effective tax rates for the three months ended April 30, 2025 and April 30, 2024 were not impacted by any significant discrete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items.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Rate Swaps</w:t>
      </w:r>
    </w:p>
    <w:p>
      <w:pPr>
        <w:spacing w:after="0" w:line="167"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We had a loss of $5.4 million on interest rate swaps during the three months ended April 30, 2025, as compared to a gain of $10.3 million during the three months ended April 30, 2024, primarily due to underlying changes in the fair value of our interest rate swaps.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Foreign Currency Translation</w:t>
      </w:r>
    </w:p>
    <w:p>
      <w:pPr>
        <w:spacing w:after="0" w:line="167"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We had a foreign currency translation gain of $14.3 million during the three months ended April 30, 2025, as compared to a foreign currency translation loss of $ 1.7 million during the three months ended April 30, 2024. This change was due to fluctuations in the exchange rate between the U.S. dollar (“USD”) and the British pound sterling (“GBP”). Future gains and losses on foreign currency translation will be dependent upon changes in the relative value of foreign currencies to the USD and the extent of our foreign assets and liabilities.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0046AD"/>
        </w:rPr>
        <w:t>Segment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Information for Each Reportable Segment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April 30,</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581"/>
              <w:spacing w:after="0" w:line="168" w:lineRule="exact"/>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jc w:val="right"/>
              <w:ind w:right="579"/>
              <w:spacing w:after="0" w:line="168"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2"/>
          </w:tcPr>
          <w:p>
            <w:pPr>
              <w:jc w:val="right"/>
              <w:ind w:right="339"/>
              <w:spacing w:after="0" w:line="168" w:lineRule="exact"/>
              <w:rPr>
                <w:sz w:val="20"/>
                <w:szCs w:val="20"/>
                <w:color w:val="auto"/>
              </w:rPr>
            </w:pPr>
            <w:r>
              <w:rPr>
                <w:rFonts w:ascii="Arial" w:cs="Arial" w:eastAsia="Arial" w:hAnsi="Arial"/>
                <w:sz w:val="16"/>
                <w:szCs w:val="16"/>
                <w:b w:val="1"/>
                <w:bCs w:val="1"/>
                <w:color w:val="auto"/>
              </w:rPr>
              <w:t>Increase / (Decrease)</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96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DCE2EF"/>
            </w:tcBorders>
          </w:tcPr>
          <w:p>
            <w:pPr>
              <w:spacing w:after="0" w:line="20" w:lineRule="exact"/>
              <w:rPr>
                <w:sz w:val="1"/>
                <w:szCs w:val="1"/>
                <w:color w:val="auto"/>
              </w:rPr>
            </w:pPr>
          </w:p>
        </w:tc>
        <w:tc>
          <w:tcPr>
            <w:tcW w:w="980" w:type="dxa"/>
            <w:vAlign w:val="bottom"/>
            <w:tcBorders>
              <w:bottom w:val="single" w:sz="8" w:color="DCE2E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DCE2EF"/>
          </w:tcPr>
          <w:p>
            <w:pPr>
              <w:spacing w:after="0"/>
              <w:rPr>
                <w:sz w:val="16"/>
                <w:szCs w:val="16"/>
                <w:color w:val="auto"/>
              </w:rPr>
            </w:pPr>
          </w:p>
        </w:tc>
        <w:tc>
          <w:tcPr>
            <w:tcW w:w="3780" w:type="dxa"/>
            <w:vAlign w:val="bottom"/>
            <w:gridSpan w:val="3"/>
            <w:shd w:val="clear" w:color="auto" w:fill="DCE2EF"/>
          </w:tcPr>
          <w:p>
            <w:pPr>
              <w:spacing w:after="0"/>
              <w:rPr>
                <w:sz w:val="20"/>
                <w:szCs w:val="20"/>
                <w:color w:val="auto"/>
              </w:rPr>
            </w:pPr>
            <w:r>
              <w:rPr>
                <w:rFonts w:ascii="Arial" w:cs="Arial" w:eastAsia="Arial" w:hAnsi="Arial"/>
                <w:sz w:val="16"/>
                <w:szCs w:val="16"/>
                <w:b w:val="1"/>
                <w:bCs w:val="1"/>
                <w:color w:val="auto"/>
              </w:rPr>
              <w:t>Revenues</w:t>
            </w:r>
          </w:p>
        </w:tc>
        <w:tc>
          <w:tcPr>
            <w:tcW w:w="42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4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1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6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9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1040" w:type="dxa"/>
            <w:vAlign w:val="bottom"/>
            <w:shd w:val="clear" w:color="auto" w:fill="DCE2EF"/>
          </w:tcPr>
          <w:p>
            <w:pPr>
              <w:spacing w:after="0"/>
              <w:rPr>
                <w:sz w:val="16"/>
                <w:szCs w:val="16"/>
                <w:color w:val="auto"/>
              </w:rPr>
            </w:pPr>
          </w:p>
        </w:tc>
        <w:tc>
          <w:tcPr>
            <w:tcW w:w="12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6"/>
                <w:szCs w:val="16"/>
                <w:color w:val="auto"/>
              </w:rPr>
              <w:t>Business &amp; Industry</w:t>
            </w:r>
          </w:p>
        </w:tc>
        <w:tc>
          <w:tcPr>
            <w:tcW w:w="420" w:type="dxa"/>
            <w:vAlign w:val="bottom"/>
          </w:tcPr>
          <w:p>
            <w:pPr>
              <w:spacing w:after="0"/>
              <w:rPr>
                <w:sz w:val="18"/>
                <w:szCs w:val="18"/>
                <w:color w:val="auto"/>
              </w:rPr>
            </w:pPr>
          </w:p>
        </w:tc>
        <w:tc>
          <w:tcPr>
            <w:tcW w:w="144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1,015.5</w:t>
            </w:r>
          </w:p>
        </w:tc>
        <w:tc>
          <w:tcPr>
            <w:tcW w:w="10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19"/>
              <w:spacing w:after="0"/>
              <w:rPr>
                <w:sz w:val="20"/>
                <w:szCs w:val="20"/>
                <w:color w:val="auto"/>
              </w:rPr>
            </w:pPr>
            <w:r>
              <w:rPr>
                <w:rFonts w:ascii="Arial" w:cs="Arial" w:eastAsia="Arial" w:hAnsi="Arial"/>
                <w:sz w:val="16"/>
                <w:szCs w:val="16"/>
                <w:color w:val="auto"/>
              </w:rPr>
              <w:t>989.6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25.9</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37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Manufacturing &amp; Distribution</w:t>
            </w:r>
          </w:p>
        </w:tc>
        <w:tc>
          <w:tcPr>
            <w:tcW w:w="420" w:type="dxa"/>
            <w:vAlign w:val="bottom"/>
            <w:shd w:val="clear" w:color="auto" w:fill="DCE2EF"/>
          </w:tcPr>
          <w:p>
            <w:pPr>
              <w:spacing w:after="0"/>
              <w:rPr>
                <w:sz w:val="18"/>
                <w:szCs w:val="18"/>
                <w:color w:val="auto"/>
              </w:rPr>
            </w:pPr>
          </w:p>
        </w:tc>
        <w:tc>
          <w:tcPr>
            <w:tcW w:w="980" w:type="dxa"/>
            <w:vAlign w:val="bottom"/>
            <w:shd w:val="clear" w:color="auto" w:fill="DCE2EF"/>
          </w:tcPr>
          <w:p>
            <w:pPr>
              <w:spacing w:after="0"/>
              <w:rPr>
                <w:sz w:val="18"/>
                <w:szCs w:val="18"/>
                <w:color w:val="auto"/>
              </w:rPr>
            </w:pPr>
          </w:p>
        </w:tc>
        <w:tc>
          <w:tcPr>
            <w:tcW w:w="4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1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398.1</w:t>
            </w:r>
          </w:p>
        </w:tc>
        <w:tc>
          <w:tcPr>
            <w:tcW w:w="100" w:type="dxa"/>
            <w:vAlign w:val="bottom"/>
            <w:shd w:val="clear" w:color="auto" w:fill="DCE2EF"/>
          </w:tcPr>
          <w:p>
            <w:pPr>
              <w:spacing w:after="0"/>
              <w:rPr>
                <w:sz w:val="18"/>
                <w:szCs w:val="18"/>
                <w:color w:val="auto"/>
              </w:rPr>
            </w:pPr>
          </w:p>
        </w:tc>
        <w:tc>
          <w:tcPr>
            <w:tcW w:w="62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119"/>
              <w:spacing w:after="0"/>
              <w:rPr>
                <w:sz w:val="20"/>
                <w:szCs w:val="20"/>
                <w:color w:val="auto"/>
              </w:rPr>
            </w:pPr>
            <w:r>
              <w:rPr>
                <w:rFonts w:ascii="Arial" w:cs="Arial" w:eastAsia="Arial" w:hAnsi="Arial"/>
                <w:sz w:val="16"/>
                <w:szCs w:val="16"/>
                <w:color w:val="auto"/>
              </w:rPr>
              <w:t>388.6</w:t>
            </w:r>
          </w:p>
        </w:tc>
        <w:tc>
          <w:tcPr>
            <w:tcW w:w="10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040" w:type="dxa"/>
            <w:vAlign w:val="bottom"/>
            <w:shd w:val="clear" w:color="auto" w:fill="DCE2EF"/>
          </w:tcPr>
          <w:p>
            <w:pPr>
              <w:jc w:val="right"/>
              <w:ind w:right="2"/>
              <w:spacing w:after="0"/>
              <w:rPr>
                <w:sz w:val="20"/>
                <w:szCs w:val="20"/>
                <w:color w:val="auto"/>
              </w:rPr>
            </w:pPr>
            <w:r>
              <w:rPr>
                <w:rFonts w:ascii="Arial" w:cs="Arial" w:eastAsia="Arial" w:hAnsi="Arial"/>
                <w:sz w:val="16"/>
                <w:szCs w:val="16"/>
                <w:color w:val="auto"/>
              </w:rPr>
              <w:t>9.5</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6"/>
                <w:szCs w:val="16"/>
                <w:color w:val="auto"/>
              </w:rPr>
              <w:t>Aviation</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260.1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119"/>
              <w:spacing w:after="0"/>
              <w:rPr>
                <w:sz w:val="20"/>
                <w:szCs w:val="20"/>
                <w:color w:val="auto"/>
              </w:rPr>
            </w:pPr>
            <w:r>
              <w:rPr>
                <w:rFonts w:ascii="Arial" w:cs="Arial" w:eastAsia="Arial" w:hAnsi="Arial"/>
                <w:sz w:val="16"/>
                <w:szCs w:val="16"/>
                <w:color w:val="auto"/>
              </w:rPr>
              <w:t>238.2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21.9</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37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Education</w:t>
            </w:r>
          </w:p>
        </w:tc>
        <w:tc>
          <w:tcPr>
            <w:tcW w:w="420" w:type="dxa"/>
            <w:vAlign w:val="bottom"/>
            <w:shd w:val="clear" w:color="auto" w:fill="DCE2EF"/>
          </w:tcPr>
          <w:p>
            <w:pPr>
              <w:spacing w:after="0"/>
              <w:rPr>
                <w:sz w:val="18"/>
                <w:szCs w:val="18"/>
                <w:color w:val="auto"/>
              </w:rPr>
            </w:pPr>
          </w:p>
        </w:tc>
        <w:tc>
          <w:tcPr>
            <w:tcW w:w="980" w:type="dxa"/>
            <w:vAlign w:val="bottom"/>
            <w:shd w:val="clear" w:color="auto" w:fill="DCE2EF"/>
          </w:tcPr>
          <w:p>
            <w:pPr>
              <w:spacing w:after="0"/>
              <w:rPr>
                <w:sz w:val="18"/>
                <w:szCs w:val="18"/>
                <w:color w:val="auto"/>
              </w:rPr>
            </w:pPr>
          </w:p>
        </w:tc>
        <w:tc>
          <w:tcPr>
            <w:tcW w:w="4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1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227.8</w:t>
            </w:r>
          </w:p>
        </w:tc>
        <w:tc>
          <w:tcPr>
            <w:tcW w:w="100" w:type="dxa"/>
            <w:vAlign w:val="bottom"/>
            <w:shd w:val="clear" w:color="auto" w:fill="DCE2EF"/>
          </w:tcPr>
          <w:p>
            <w:pPr>
              <w:spacing w:after="0"/>
              <w:rPr>
                <w:sz w:val="18"/>
                <w:szCs w:val="18"/>
                <w:color w:val="auto"/>
              </w:rPr>
            </w:pPr>
          </w:p>
        </w:tc>
        <w:tc>
          <w:tcPr>
            <w:tcW w:w="62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119"/>
              <w:spacing w:after="0"/>
              <w:rPr>
                <w:sz w:val="20"/>
                <w:szCs w:val="20"/>
                <w:color w:val="auto"/>
              </w:rPr>
            </w:pPr>
            <w:r>
              <w:rPr>
                <w:rFonts w:ascii="Arial" w:cs="Arial" w:eastAsia="Arial" w:hAnsi="Arial"/>
                <w:sz w:val="16"/>
                <w:szCs w:val="16"/>
                <w:color w:val="auto"/>
              </w:rPr>
              <w:t>225.6</w:t>
            </w:r>
          </w:p>
        </w:tc>
        <w:tc>
          <w:tcPr>
            <w:tcW w:w="10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040" w:type="dxa"/>
            <w:vAlign w:val="bottom"/>
            <w:shd w:val="clear" w:color="auto" w:fill="DCE2EF"/>
          </w:tcPr>
          <w:p>
            <w:pPr>
              <w:jc w:val="right"/>
              <w:ind w:right="2"/>
              <w:spacing w:after="0"/>
              <w:rPr>
                <w:sz w:val="20"/>
                <w:szCs w:val="20"/>
                <w:color w:val="auto"/>
              </w:rPr>
            </w:pPr>
            <w:r>
              <w:rPr>
                <w:rFonts w:ascii="Arial" w:cs="Arial" w:eastAsia="Arial" w:hAnsi="Arial"/>
                <w:sz w:val="16"/>
                <w:szCs w:val="16"/>
                <w:color w:val="auto"/>
              </w:rPr>
              <w:t>2.2</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4"/>
        </w:trPr>
        <w:tc>
          <w:tcPr>
            <w:tcW w:w="20" w:type="dxa"/>
            <w:vAlign w:val="bottom"/>
            <w:tcBorders>
              <w:bottom w:val="single" w:sz="8" w:color="DCE2EF"/>
            </w:tcBorders>
          </w:tcPr>
          <w:p>
            <w:pPr>
              <w:spacing w:after="0"/>
              <w:rPr>
                <w:sz w:val="18"/>
                <w:szCs w:val="18"/>
                <w:color w:val="auto"/>
              </w:rPr>
            </w:pPr>
          </w:p>
        </w:tc>
        <w:tc>
          <w:tcPr>
            <w:tcW w:w="3780" w:type="dxa"/>
            <w:vAlign w:val="bottom"/>
            <w:tcBorders>
              <w:bottom w:val="single" w:sz="8" w:color="DCE2EF"/>
            </w:tcBorders>
            <w:gridSpan w:val="3"/>
          </w:tcPr>
          <w:p>
            <w:pPr>
              <w:spacing w:after="0"/>
              <w:rPr>
                <w:sz w:val="20"/>
                <w:szCs w:val="20"/>
                <w:color w:val="auto"/>
              </w:rPr>
            </w:pPr>
            <w:r>
              <w:rPr>
                <w:rFonts w:ascii="Arial" w:cs="Arial" w:eastAsia="Arial" w:hAnsi="Arial"/>
                <w:sz w:val="16"/>
                <w:szCs w:val="16"/>
                <w:color w:val="auto"/>
              </w:rPr>
              <w:t>Technical Solutions</w:t>
            </w:r>
          </w:p>
        </w:tc>
        <w:tc>
          <w:tcPr>
            <w:tcW w:w="420" w:type="dxa"/>
            <w:vAlign w:val="bottom"/>
            <w:tcBorders>
              <w:bottom w:val="single" w:sz="8" w:color="DCE2EF"/>
            </w:tcBorders>
          </w:tcPr>
          <w:p>
            <w:pPr>
              <w:spacing w:after="0"/>
              <w:rPr>
                <w:sz w:val="18"/>
                <w:szCs w:val="18"/>
                <w:color w:val="auto"/>
              </w:rPr>
            </w:pPr>
          </w:p>
        </w:tc>
        <w:tc>
          <w:tcPr>
            <w:tcW w:w="980" w:type="dxa"/>
            <w:vAlign w:val="bottom"/>
            <w:tcBorders>
              <w:bottom w:val="single" w:sz="8" w:color="DCE2E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210.2</w:t>
            </w:r>
          </w:p>
        </w:tc>
        <w:tc>
          <w:tcPr>
            <w:tcW w:w="100" w:type="dxa"/>
            <w:vAlign w:val="bottom"/>
            <w:tcBorders>
              <w:bottom w:val="single" w:sz="8" w:color="DCE2E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176.2</w:t>
            </w:r>
          </w:p>
        </w:tc>
        <w:tc>
          <w:tcPr>
            <w:tcW w:w="100" w:type="dxa"/>
            <w:vAlign w:val="bottom"/>
            <w:tcBorders>
              <w:bottom w:val="single" w:sz="8" w:color="DCE2E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34.0</w:t>
            </w:r>
          </w:p>
        </w:tc>
        <w:tc>
          <w:tcPr>
            <w:tcW w:w="1280" w:type="dxa"/>
            <w:vAlign w:val="bottom"/>
            <w:tcBorders>
              <w:bottom w:val="single" w:sz="8" w:color="DCE2EF"/>
            </w:tcBorders>
          </w:tcPr>
          <w:p>
            <w:pPr>
              <w:jc w:val="center"/>
              <w:ind w:left="19"/>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34"/>
        </w:trPr>
        <w:tc>
          <w:tcPr>
            <w:tcW w:w="20" w:type="dxa"/>
            <w:vAlign w:val="bottom"/>
            <w:tcBorders>
              <w:bottom w:val="single" w:sz="8" w:color="DCE2EF"/>
            </w:tcBorders>
            <w:shd w:val="clear" w:color="auto" w:fill="DCE2EF"/>
          </w:tcPr>
          <w:p>
            <w:pPr>
              <w:spacing w:after="0"/>
              <w:rPr>
                <w:sz w:val="19"/>
                <w:szCs w:val="19"/>
                <w:color w:val="auto"/>
              </w:rPr>
            </w:pPr>
          </w:p>
        </w:tc>
        <w:tc>
          <w:tcPr>
            <w:tcW w:w="720" w:type="dxa"/>
            <w:vAlign w:val="bottom"/>
            <w:tcBorders>
              <w:bottom w:val="single" w:sz="8" w:color="DCE2EF"/>
            </w:tcBorders>
            <w:shd w:val="clear" w:color="auto" w:fill="DCE2EF"/>
          </w:tcPr>
          <w:p>
            <w:pPr>
              <w:spacing w:after="0"/>
              <w:rPr>
                <w:sz w:val="19"/>
                <w:szCs w:val="19"/>
                <w:color w:val="auto"/>
              </w:rPr>
            </w:pPr>
          </w:p>
        </w:tc>
        <w:tc>
          <w:tcPr>
            <w:tcW w:w="100" w:type="dxa"/>
            <w:vAlign w:val="bottom"/>
            <w:tcBorders>
              <w:bottom w:val="single" w:sz="8" w:color="DCE2EF"/>
            </w:tcBorders>
            <w:shd w:val="clear" w:color="auto" w:fill="DCE2EF"/>
          </w:tcPr>
          <w:p>
            <w:pPr>
              <w:spacing w:after="0"/>
              <w:rPr>
                <w:sz w:val="19"/>
                <w:szCs w:val="19"/>
                <w:color w:val="auto"/>
              </w:rPr>
            </w:pPr>
          </w:p>
        </w:tc>
        <w:tc>
          <w:tcPr>
            <w:tcW w:w="2960" w:type="dxa"/>
            <w:vAlign w:val="bottom"/>
            <w:tcBorders>
              <w:bottom w:val="single" w:sz="8" w:color="DCE2EF"/>
            </w:tcBorders>
            <w:shd w:val="clear" w:color="auto" w:fill="DCE2EF"/>
          </w:tcPr>
          <w:p>
            <w:pPr>
              <w:spacing w:after="0"/>
              <w:rPr>
                <w:sz w:val="19"/>
                <w:szCs w:val="19"/>
                <w:color w:val="auto"/>
              </w:rPr>
            </w:pPr>
          </w:p>
        </w:tc>
        <w:tc>
          <w:tcPr>
            <w:tcW w:w="420" w:type="dxa"/>
            <w:vAlign w:val="bottom"/>
            <w:tcBorders>
              <w:bottom w:val="single" w:sz="8" w:color="DCE2EF"/>
            </w:tcBorders>
            <w:shd w:val="clear" w:color="auto" w:fill="DCE2EF"/>
          </w:tcPr>
          <w:p>
            <w:pPr>
              <w:spacing w:after="0"/>
              <w:rPr>
                <w:sz w:val="19"/>
                <w:szCs w:val="19"/>
                <w:color w:val="auto"/>
              </w:rPr>
            </w:pPr>
          </w:p>
        </w:tc>
        <w:tc>
          <w:tcPr>
            <w:tcW w:w="980" w:type="dxa"/>
            <w:vAlign w:val="bottom"/>
            <w:tcBorders>
              <w:bottom w:val="single" w:sz="8" w:color="DCE2EF"/>
            </w:tcBorders>
            <w:shd w:val="clear" w:color="auto" w:fill="DCE2EF"/>
          </w:tcPr>
          <w:p>
            <w:pPr>
              <w:spacing w:after="0"/>
              <w:rPr>
                <w:sz w:val="19"/>
                <w:szCs w:val="19"/>
                <w:color w:val="auto"/>
              </w:rPr>
            </w:pPr>
          </w:p>
        </w:tc>
        <w:tc>
          <w:tcPr>
            <w:tcW w:w="460" w:type="dxa"/>
            <w:vAlign w:val="bottom"/>
            <w:tcBorders>
              <w:bottom w:val="single" w:sz="8" w:color="auto"/>
            </w:tcBorders>
            <w:shd w:val="clear" w:color="auto" w:fill="DCE2EF"/>
          </w:tcPr>
          <w:p>
            <w:pPr>
              <w:jc w:val="right"/>
              <w:ind w:right="27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DCE2EF"/>
          </w:tcPr>
          <w:p>
            <w:pPr>
              <w:spacing w:after="0"/>
              <w:rPr>
                <w:sz w:val="19"/>
                <w:szCs w:val="19"/>
                <w:color w:val="auto"/>
              </w:rPr>
            </w:pPr>
          </w:p>
        </w:tc>
        <w:tc>
          <w:tcPr>
            <w:tcW w:w="1120" w:type="dxa"/>
            <w:vAlign w:val="bottom"/>
            <w:tcBorders>
              <w:bottom w:val="single" w:sz="8" w:color="auto"/>
            </w:tcBorders>
            <w:shd w:val="clear" w:color="auto" w:fill="DCE2EF"/>
          </w:tcPr>
          <w:p>
            <w:pPr>
              <w:jc w:val="right"/>
              <w:ind w:right="121"/>
              <w:spacing w:after="0"/>
              <w:rPr>
                <w:sz w:val="20"/>
                <w:szCs w:val="20"/>
                <w:color w:val="auto"/>
              </w:rPr>
            </w:pPr>
            <w:r>
              <w:rPr>
                <w:rFonts w:ascii="Arial" w:cs="Arial" w:eastAsia="Arial" w:hAnsi="Arial"/>
                <w:sz w:val="16"/>
                <w:szCs w:val="16"/>
                <w:color w:val="auto"/>
              </w:rPr>
              <w:t>2,111.7</w:t>
            </w:r>
          </w:p>
        </w:tc>
        <w:tc>
          <w:tcPr>
            <w:tcW w:w="100" w:type="dxa"/>
            <w:vAlign w:val="bottom"/>
            <w:tcBorders>
              <w:bottom w:val="single" w:sz="8" w:color="DCE2EF"/>
            </w:tcBorders>
            <w:shd w:val="clear" w:color="auto" w:fill="DCE2EF"/>
          </w:tcPr>
          <w:p>
            <w:pPr>
              <w:spacing w:after="0"/>
              <w:rPr>
                <w:sz w:val="19"/>
                <w:szCs w:val="19"/>
                <w:color w:val="auto"/>
              </w:rPr>
            </w:pPr>
          </w:p>
        </w:tc>
        <w:tc>
          <w:tcPr>
            <w:tcW w:w="620" w:type="dxa"/>
            <w:vAlign w:val="bottom"/>
            <w:tcBorders>
              <w:bottom w:val="single" w:sz="8" w:color="auto"/>
            </w:tcBorders>
            <w:shd w:val="clear" w:color="auto" w:fill="DCE2E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gridSpan w:val="2"/>
            <w:shd w:val="clear" w:color="auto" w:fill="DCE2EF"/>
          </w:tcPr>
          <w:p>
            <w:pPr>
              <w:jc w:val="right"/>
              <w:ind w:right="119"/>
              <w:spacing w:after="0"/>
              <w:rPr>
                <w:sz w:val="20"/>
                <w:szCs w:val="20"/>
                <w:color w:val="auto"/>
              </w:rPr>
            </w:pPr>
            <w:r>
              <w:rPr>
                <w:rFonts w:ascii="Arial" w:cs="Arial" w:eastAsia="Arial" w:hAnsi="Arial"/>
                <w:sz w:val="16"/>
                <w:szCs w:val="16"/>
                <w:color w:val="auto"/>
              </w:rPr>
              <w:t>2,018.2</w:t>
            </w:r>
          </w:p>
        </w:tc>
        <w:tc>
          <w:tcPr>
            <w:tcW w:w="100" w:type="dxa"/>
            <w:vAlign w:val="bottom"/>
            <w:tcBorders>
              <w:bottom w:val="single" w:sz="8" w:color="DCE2EF"/>
            </w:tcBorders>
            <w:shd w:val="clear" w:color="auto" w:fill="DCE2EF"/>
          </w:tcPr>
          <w:p>
            <w:pPr>
              <w:spacing w:after="0"/>
              <w:rPr>
                <w:sz w:val="19"/>
                <w:szCs w:val="19"/>
                <w:color w:val="auto"/>
              </w:rPr>
            </w:pP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CE2EF"/>
          </w:tcPr>
          <w:p>
            <w:pPr>
              <w:jc w:val="right"/>
              <w:ind w:right="2"/>
              <w:spacing w:after="0"/>
              <w:rPr>
                <w:sz w:val="20"/>
                <w:szCs w:val="20"/>
                <w:color w:val="auto"/>
              </w:rPr>
            </w:pPr>
            <w:r>
              <w:rPr>
                <w:rFonts w:ascii="Arial" w:cs="Arial" w:eastAsia="Arial" w:hAnsi="Arial"/>
                <w:sz w:val="16"/>
                <w:szCs w:val="16"/>
                <w:color w:val="auto"/>
              </w:rPr>
              <w:t>93.5</w:t>
            </w:r>
          </w:p>
        </w:tc>
        <w:tc>
          <w:tcPr>
            <w:tcW w:w="128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bottom w:val="single" w:sz="8" w:color="DCE2EF"/>
            </w:tcBorders>
            <w:vMerge w:val="restart"/>
          </w:tcPr>
          <w:p>
            <w:pPr>
              <w:spacing w:after="0" w:line="20" w:lineRule="exact"/>
              <w:rPr>
                <w:sz w:val="1"/>
                <w:szCs w:val="1"/>
                <w:color w:val="auto"/>
              </w:rPr>
            </w:pPr>
          </w:p>
        </w:tc>
        <w:tc>
          <w:tcPr>
            <w:tcW w:w="3780" w:type="dxa"/>
            <w:vAlign w:val="bottom"/>
            <w:tcBorders>
              <w:top w:val="single" w:sz="8" w:color="DCE2EF"/>
              <w:bottom w:val="single" w:sz="8" w:color="DCE2EF"/>
            </w:tcBorders>
            <w:gridSpan w:val="3"/>
            <w:vMerge w:val="restart"/>
          </w:tcPr>
          <w:p>
            <w:pPr>
              <w:spacing w:after="0"/>
              <w:rPr>
                <w:sz w:val="20"/>
                <w:szCs w:val="20"/>
                <w:color w:val="auto"/>
              </w:rPr>
            </w:pPr>
            <w:r>
              <w:rPr>
                <w:rFonts w:ascii="Arial" w:cs="Arial" w:eastAsia="Arial" w:hAnsi="Arial"/>
                <w:sz w:val="16"/>
                <w:szCs w:val="16"/>
                <w:b w:val="1"/>
                <w:bCs w:val="1"/>
                <w:color w:val="auto"/>
              </w:rPr>
              <w:t>Operating profit</w:t>
            </w:r>
          </w:p>
        </w:tc>
        <w:tc>
          <w:tcPr>
            <w:tcW w:w="420" w:type="dxa"/>
            <w:vAlign w:val="bottom"/>
            <w:tcBorders>
              <w:top w:val="single" w:sz="8" w:color="DCE2EF"/>
            </w:tcBorders>
          </w:tcPr>
          <w:p>
            <w:pPr>
              <w:spacing w:after="0" w:line="20" w:lineRule="exact"/>
              <w:rPr>
                <w:sz w:val="1"/>
                <w:szCs w:val="1"/>
                <w:color w:val="auto"/>
              </w:rPr>
            </w:pPr>
          </w:p>
        </w:tc>
        <w:tc>
          <w:tcPr>
            <w:tcW w:w="980" w:type="dxa"/>
            <w:vAlign w:val="bottom"/>
            <w:tcBorders>
              <w:top w:val="single" w:sz="8" w:color="DCE2EF"/>
            </w:tcBorders>
          </w:tcPr>
          <w:p>
            <w:pPr>
              <w:spacing w:after="0" w:line="20" w:lineRule="exact"/>
              <w:rPr>
                <w:sz w:val="1"/>
                <w:szCs w:val="1"/>
                <w:color w:val="auto"/>
              </w:rPr>
            </w:pPr>
          </w:p>
        </w:tc>
        <w:tc>
          <w:tcPr>
            <w:tcW w:w="4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bottom w:val="single" w:sz="8" w:color="auto"/>
            </w:tcBorders>
          </w:tcPr>
          <w:p>
            <w:pPr>
              <w:spacing w:after="0" w:line="20" w:lineRule="exact"/>
              <w:rPr>
                <w:sz w:val="1"/>
                <w:szCs w:val="1"/>
                <w:color w:val="auto"/>
              </w:rPr>
            </w:pPr>
          </w:p>
        </w:tc>
        <w:tc>
          <w:tcPr>
            <w:tcW w:w="11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6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bottom w:val="single" w:sz="8" w:color="auto"/>
            </w:tcBorders>
          </w:tcPr>
          <w:p>
            <w:pPr>
              <w:spacing w:after="0" w:line="20" w:lineRule="exact"/>
              <w:rPr>
                <w:sz w:val="1"/>
                <w:szCs w:val="1"/>
                <w:color w:val="auto"/>
              </w:rPr>
            </w:pPr>
          </w:p>
        </w:tc>
        <w:tc>
          <w:tcPr>
            <w:tcW w:w="9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1040" w:type="dxa"/>
            <w:vAlign w:val="bottom"/>
            <w:tcBorders>
              <w:top w:val="single" w:sz="8" w:color="DCE2EF"/>
              <w:bottom w:val="single" w:sz="8" w:color="auto"/>
            </w:tcBorders>
          </w:tcPr>
          <w:p>
            <w:pPr>
              <w:spacing w:after="0" w:line="20" w:lineRule="exact"/>
              <w:rPr>
                <w:sz w:val="1"/>
                <w:szCs w:val="1"/>
                <w:color w:val="auto"/>
              </w:rPr>
            </w:pPr>
          </w:p>
        </w:tc>
        <w:tc>
          <w:tcPr>
            <w:tcW w:w="1280" w:type="dxa"/>
            <w:vAlign w:val="bottom"/>
            <w:tcBorders>
              <w:top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37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Business &amp; Industry</w:t>
            </w:r>
          </w:p>
        </w:tc>
        <w:tc>
          <w:tcPr>
            <w:tcW w:w="420" w:type="dxa"/>
            <w:vAlign w:val="bottom"/>
            <w:shd w:val="clear" w:color="auto" w:fill="DCE2EF"/>
          </w:tcPr>
          <w:p>
            <w:pPr>
              <w:spacing w:after="0"/>
              <w:rPr>
                <w:sz w:val="18"/>
                <w:szCs w:val="18"/>
                <w:color w:val="auto"/>
              </w:rPr>
            </w:pPr>
          </w:p>
        </w:tc>
        <w:tc>
          <w:tcPr>
            <w:tcW w:w="1440" w:type="dxa"/>
            <w:vAlign w:val="bottom"/>
            <w:gridSpan w:val="2"/>
            <w:shd w:val="clear" w:color="auto" w:fill="DCE2EF"/>
          </w:tcPr>
          <w:p>
            <w:pPr>
              <w:jc w:val="right"/>
              <w:ind w:right="279"/>
              <w:spacing w:after="0"/>
              <w:rPr>
                <w:sz w:val="20"/>
                <w:szCs w:val="20"/>
                <w:color w:val="auto"/>
              </w:rPr>
            </w:pPr>
            <w:r>
              <w:rPr>
                <w:rFonts w:ascii="Arial" w:cs="Arial" w:eastAsia="Arial" w:hAnsi="Arial"/>
                <w:sz w:val="16"/>
                <w:szCs w:val="16"/>
                <w:color w:val="auto"/>
              </w:rPr>
              <w:t>$</w:t>
            </w:r>
          </w:p>
        </w:tc>
        <w:tc>
          <w:tcPr>
            <w:tcW w:w="100" w:type="dxa"/>
            <w:vAlign w:val="bottom"/>
            <w:shd w:val="clear" w:color="auto" w:fill="DCE2EF"/>
          </w:tcPr>
          <w:p>
            <w:pPr>
              <w:spacing w:after="0"/>
              <w:rPr>
                <w:sz w:val="18"/>
                <w:szCs w:val="18"/>
                <w:color w:val="auto"/>
              </w:rPr>
            </w:pPr>
          </w:p>
        </w:tc>
        <w:tc>
          <w:tcPr>
            <w:tcW w:w="11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83.0</w:t>
            </w:r>
          </w:p>
        </w:tc>
        <w:tc>
          <w:tcPr>
            <w:tcW w:w="100" w:type="dxa"/>
            <w:vAlign w:val="bottom"/>
            <w:shd w:val="clear" w:color="auto" w:fill="DCE2EF"/>
          </w:tcPr>
          <w:p>
            <w:pPr>
              <w:spacing w:after="0"/>
              <w:rPr>
                <w:sz w:val="18"/>
                <w:szCs w:val="18"/>
                <w:color w:val="auto"/>
              </w:rPr>
            </w:pPr>
          </w:p>
        </w:tc>
        <w:tc>
          <w:tcPr>
            <w:tcW w:w="620" w:type="dxa"/>
            <w:vAlign w:val="bottom"/>
            <w:shd w:val="clear" w:color="auto" w:fill="DCE2EF"/>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DCE2EF"/>
          </w:tcPr>
          <w:p>
            <w:pPr>
              <w:jc w:val="right"/>
              <w:ind w:right="119"/>
              <w:spacing w:after="0"/>
              <w:rPr>
                <w:sz w:val="20"/>
                <w:szCs w:val="20"/>
                <w:color w:val="auto"/>
              </w:rPr>
            </w:pPr>
            <w:r>
              <w:rPr>
                <w:rFonts w:ascii="Arial" w:cs="Arial" w:eastAsia="Arial" w:hAnsi="Arial"/>
                <w:sz w:val="16"/>
                <w:szCs w:val="16"/>
                <w:color w:val="auto"/>
              </w:rPr>
              <w:t>77.6</w:t>
            </w:r>
          </w:p>
        </w:tc>
        <w:tc>
          <w:tcPr>
            <w:tcW w:w="100" w:type="dxa"/>
            <w:vAlign w:val="bottom"/>
            <w:shd w:val="clear" w:color="auto" w:fill="DCE2EF"/>
          </w:tcPr>
          <w:p>
            <w:pPr>
              <w:spacing w:after="0"/>
              <w:rPr>
                <w:sz w:val="18"/>
                <w:szCs w:val="18"/>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DCE2EF"/>
          </w:tcPr>
          <w:p>
            <w:pPr>
              <w:jc w:val="right"/>
              <w:ind w:right="2"/>
              <w:spacing w:after="0"/>
              <w:rPr>
                <w:sz w:val="20"/>
                <w:szCs w:val="20"/>
                <w:color w:val="auto"/>
              </w:rPr>
            </w:pPr>
            <w:r>
              <w:rPr>
                <w:rFonts w:ascii="Arial" w:cs="Arial" w:eastAsia="Arial" w:hAnsi="Arial"/>
                <w:sz w:val="16"/>
                <w:szCs w:val="16"/>
                <w:color w:val="auto"/>
              </w:rPr>
              <w:t>5.4</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8.2 %</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i w:val="1"/>
                <w:iCs w:val="1"/>
                <w:color w:val="auto"/>
              </w:rPr>
              <w:t>7.8 %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34 bps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37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Manufacturing &amp; Distribution</w:t>
            </w:r>
          </w:p>
        </w:tc>
        <w:tc>
          <w:tcPr>
            <w:tcW w:w="420" w:type="dxa"/>
            <w:vAlign w:val="bottom"/>
            <w:shd w:val="clear" w:color="auto" w:fill="DCE2EF"/>
          </w:tcPr>
          <w:p>
            <w:pPr>
              <w:spacing w:after="0"/>
              <w:rPr>
                <w:sz w:val="19"/>
                <w:szCs w:val="19"/>
                <w:color w:val="auto"/>
              </w:rPr>
            </w:pPr>
          </w:p>
        </w:tc>
        <w:tc>
          <w:tcPr>
            <w:tcW w:w="98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1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39.9</w:t>
            </w:r>
          </w:p>
        </w:tc>
        <w:tc>
          <w:tcPr>
            <w:tcW w:w="100" w:type="dxa"/>
            <w:vAlign w:val="bottom"/>
            <w:shd w:val="clear" w:color="auto" w:fill="DCE2EF"/>
          </w:tcPr>
          <w:p>
            <w:pPr>
              <w:spacing w:after="0"/>
              <w:rPr>
                <w:sz w:val="19"/>
                <w:szCs w:val="19"/>
                <w:color w:val="auto"/>
              </w:rPr>
            </w:pPr>
          </w:p>
        </w:tc>
        <w:tc>
          <w:tcPr>
            <w:tcW w:w="620" w:type="dxa"/>
            <w:vAlign w:val="bottom"/>
            <w:shd w:val="clear" w:color="auto" w:fill="DCE2EF"/>
          </w:tcPr>
          <w:p>
            <w:pPr>
              <w:spacing w:after="0"/>
              <w:rPr>
                <w:sz w:val="19"/>
                <w:szCs w:val="19"/>
                <w:color w:val="auto"/>
              </w:rPr>
            </w:pPr>
          </w:p>
        </w:tc>
        <w:tc>
          <w:tcPr>
            <w:tcW w:w="1060" w:type="dxa"/>
            <w:vAlign w:val="bottom"/>
            <w:gridSpan w:val="2"/>
            <w:shd w:val="clear" w:color="auto" w:fill="DCE2EF"/>
          </w:tcPr>
          <w:p>
            <w:pPr>
              <w:jc w:val="right"/>
              <w:ind w:right="119"/>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(3.7)</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7"/>
              </w:rPr>
              <w:t>(8.5)%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10.0 %</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i w:val="1"/>
                <w:iCs w:val="1"/>
                <w:color w:val="auto"/>
              </w:rPr>
              <w:t>11.2 %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(120) bps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37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Aviation</w:t>
            </w:r>
          </w:p>
        </w:tc>
        <w:tc>
          <w:tcPr>
            <w:tcW w:w="420" w:type="dxa"/>
            <w:vAlign w:val="bottom"/>
            <w:shd w:val="clear" w:color="auto" w:fill="DCE2EF"/>
          </w:tcPr>
          <w:p>
            <w:pPr>
              <w:spacing w:after="0"/>
              <w:rPr>
                <w:sz w:val="19"/>
                <w:szCs w:val="19"/>
                <w:color w:val="auto"/>
              </w:rPr>
            </w:pPr>
          </w:p>
        </w:tc>
        <w:tc>
          <w:tcPr>
            <w:tcW w:w="98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1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DCE2EF"/>
          </w:tcPr>
          <w:p>
            <w:pPr>
              <w:spacing w:after="0"/>
              <w:rPr>
                <w:sz w:val="19"/>
                <w:szCs w:val="19"/>
                <w:color w:val="auto"/>
              </w:rPr>
            </w:pPr>
          </w:p>
        </w:tc>
        <w:tc>
          <w:tcPr>
            <w:tcW w:w="620" w:type="dxa"/>
            <w:vAlign w:val="bottom"/>
            <w:shd w:val="clear" w:color="auto" w:fill="DCE2EF"/>
          </w:tcPr>
          <w:p>
            <w:pPr>
              <w:spacing w:after="0"/>
              <w:rPr>
                <w:sz w:val="19"/>
                <w:szCs w:val="19"/>
                <w:color w:val="auto"/>
              </w:rPr>
            </w:pPr>
          </w:p>
        </w:tc>
        <w:tc>
          <w:tcPr>
            <w:tcW w:w="1060" w:type="dxa"/>
            <w:vAlign w:val="bottom"/>
            <w:gridSpan w:val="2"/>
            <w:shd w:val="clear" w:color="auto" w:fill="DCE2EF"/>
          </w:tcPr>
          <w:p>
            <w:pPr>
              <w:jc w:val="right"/>
              <w:ind w:right="119"/>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040" w:type="dxa"/>
            <w:vAlign w:val="bottom"/>
            <w:shd w:val="clear" w:color="auto" w:fill="DCE2EF"/>
          </w:tcPr>
          <w:p>
            <w:pPr>
              <w:jc w:val="right"/>
              <w:ind w:right="2"/>
              <w:spacing w:after="0"/>
              <w:rPr>
                <w:sz w:val="20"/>
                <w:szCs w:val="20"/>
                <w:color w:val="auto"/>
              </w:rPr>
            </w:pPr>
            <w:r>
              <w:rPr>
                <w:rFonts w:ascii="Arial" w:cs="Arial" w:eastAsia="Arial" w:hAnsi="Arial"/>
                <w:sz w:val="16"/>
                <w:szCs w:val="16"/>
                <w:color w:val="auto"/>
              </w:rPr>
              <w:t>3.4</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6.3 %</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i w:val="1"/>
                <w:iCs w:val="1"/>
                <w:color w:val="auto"/>
              </w:rPr>
              <w:t>5.5 %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85 bps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37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Education</w:t>
            </w:r>
          </w:p>
        </w:tc>
        <w:tc>
          <w:tcPr>
            <w:tcW w:w="420" w:type="dxa"/>
            <w:vAlign w:val="bottom"/>
            <w:shd w:val="clear" w:color="auto" w:fill="DCE2EF"/>
          </w:tcPr>
          <w:p>
            <w:pPr>
              <w:spacing w:after="0"/>
              <w:rPr>
                <w:sz w:val="19"/>
                <w:szCs w:val="19"/>
                <w:color w:val="auto"/>
              </w:rPr>
            </w:pPr>
          </w:p>
        </w:tc>
        <w:tc>
          <w:tcPr>
            <w:tcW w:w="98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1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DCE2EF"/>
          </w:tcPr>
          <w:p>
            <w:pPr>
              <w:spacing w:after="0"/>
              <w:rPr>
                <w:sz w:val="19"/>
                <w:szCs w:val="19"/>
                <w:color w:val="auto"/>
              </w:rPr>
            </w:pPr>
          </w:p>
        </w:tc>
        <w:tc>
          <w:tcPr>
            <w:tcW w:w="620" w:type="dxa"/>
            <w:vAlign w:val="bottom"/>
            <w:shd w:val="clear" w:color="auto" w:fill="DCE2EF"/>
          </w:tcPr>
          <w:p>
            <w:pPr>
              <w:spacing w:after="0"/>
              <w:rPr>
                <w:sz w:val="19"/>
                <w:szCs w:val="19"/>
                <w:color w:val="auto"/>
              </w:rPr>
            </w:pPr>
          </w:p>
        </w:tc>
        <w:tc>
          <w:tcPr>
            <w:tcW w:w="1060" w:type="dxa"/>
            <w:vAlign w:val="bottom"/>
            <w:gridSpan w:val="2"/>
            <w:shd w:val="clear" w:color="auto" w:fill="DCE2EF"/>
          </w:tcPr>
          <w:p>
            <w:pPr>
              <w:jc w:val="right"/>
              <w:ind w:right="119"/>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040" w:type="dxa"/>
            <w:vAlign w:val="bottom"/>
            <w:shd w:val="clear" w:color="auto" w:fill="DCE2EF"/>
          </w:tcPr>
          <w:p>
            <w:pPr>
              <w:jc w:val="right"/>
              <w:ind w:right="2"/>
              <w:spacing w:after="0"/>
              <w:rPr>
                <w:sz w:val="20"/>
                <w:szCs w:val="20"/>
                <w:color w:val="auto"/>
              </w:rPr>
            </w:pPr>
            <w:r>
              <w:rPr>
                <w:rFonts w:ascii="Arial" w:cs="Arial" w:eastAsia="Arial" w:hAnsi="Arial"/>
                <w:sz w:val="16"/>
                <w:szCs w:val="16"/>
                <w:color w:val="auto"/>
              </w:rPr>
              <w:t>2.3</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6.0 %</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i w:val="1"/>
                <w:iCs w:val="1"/>
                <w:color w:val="auto"/>
              </w:rPr>
              <w:t>5.1 %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93 bps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37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Technical Solutions</w:t>
            </w:r>
          </w:p>
        </w:tc>
        <w:tc>
          <w:tcPr>
            <w:tcW w:w="420" w:type="dxa"/>
            <w:vAlign w:val="bottom"/>
            <w:shd w:val="clear" w:color="auto" w:fill="DCE2EF"/>
          </w:tcPr>
          <w:p>
            <w:pPr>
              <w:spacing w:after="0"/>
              <w:rPr>
                <w:sz w:val="19"/>
                <w:szCs w:val="19"/>
                <w:color w:val="auto"/>
              </w:rPr>
            </w:pPr>
          </w:p>
        </w:tc>
        <w:tc>
          <w:tcPr>
            <w:tcW w:w="98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1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DCE2EF"/>
          </w:tcPr>
          <w:p>
            <w:pPr>
              <w:spacing w:after="0"/>
              <w:rPr>
                <w:sz w:val="19"/>
                <w:szCs w:val="19"/>
                <w:color w:val="auto"/>
              </w:rPr>
            </w:pPr>
          </w:p>
        </w:tc>
        <w:tc>
          <w:tcPr>
            <w:tcW w:w="620" w:type="dxa"/>
            <w:vAlign w:val="bottom"/>
            <w:shd w:val="clear" w:color="auto" w:fill="DCE2EF"/>
          </w:tcPr>
          <w:p>
            <w:pPr>
              <w:spacing w:after="0"/>
              <w:rPr>
                <w:sz w:val="19"/>
                <w:szCs w:val="19"/>
                <w:color w:val="auto"/>
              </w:rPr>
            </w:pPr>
          </w:p>
        </w:tc>
        <w:tc>
          <w:tcPr>
            <w:tcW w:w="1060" w:type="dxa"/>
            <w:vAlign w:val="bottom"/>
            <w:gridSpan w:val="2"/>
            <w:shd w:val="clear" w:color="auto" w:fill="DCE2EF"/>
          </w:tcPr>
          <w:p>
            <w:pPr>
              <w:jc w:val="right"/>
              <w:ind w:right="119"/>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(3.6)</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6.4 %</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i w:val="1"/>
                <w:iCs w:val="1"/>
                <w:color w:val="auto"/>
              </w:rPr>
              <w:t>9.6 %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(323) bps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37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Corporate</w:t>
            </w:r>
          </w:p>
        </w:tc>
        <w:tc>
          <w:tcPr>
            <w:tcW w:w="420" w:type="dxa"/>
            <w:vAlign w:val="bottom"/>
            <w:shd w:val="clear" w:color="auto" w:fill="DCE2EF"/>
          </w:tcPr>
          <w:p>
            <w:pPr>
              <w:spacing w:after="0"/>
              <w:rPr>
                <w:sz w:val="19"/>
                <w:szCs w:val="19"/>
                <w:color w:val="auto"/>
              </w:rPr>
            </w:pPr>
          </w:p>
        </w:tc>
        <w:tc>
          <w:tcPr>
            <w:tcW w:w="98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12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(82.9)</w:t>
            </w:r>
          </w:p>
        </w:tc>
        <w:tc>
          <w:tcPr>
            <w:tcW w:w="100" w:type="dxa"/>
            <w:vAlign w:val="bottom"/>
            <w:shd w:val="clear" w:color="auto" w:fill="DCE2EF"/>
          </w:tcPr>
          <w:p>
            <w:pPr>
              <w:spacing w:after="0"/>
              <w:rPr>
                <w:sz w:val="19"/>
                <w:szCs w:val="19"/>
                <w:color w:val="auto"/>
              </w:rPr>
            </w:pPr>
          </w:p>
        </w:tc>
        <w:tc>
          <w:tcPr>
            <w:tcW w:w="620" w:type="dxa"/>
            <w:vAlign w:val="bottom"/>
            <w:shd w:val="clear" w:color="auto" w:fill="DCE2EF"/>
          </w:tcPr>
          <w:p>
            <w:pPr>
              <w:spacing w:after="0"/>
              <w:rPr>
                <w:sz w:val="19"/>
                <w:szCs w:val="19"/>
                <w:color w:val="auto"/>
              </w:rPr>
            </w:pPr>
          </w:p>
        </w:tc>
        <w:tc>
          <w:tcPr>
            <w:tcW w:w="1060" w:type="dxa"/>
            <w:vAlign w:val="bottom"/>
            <w:gridSpan w:val="2"/>
            <w:shd w:val="clear" w:color="auto" w:fill="DCE2EF"/>
          </w:tcPr>
          <w:p>
            <w:pPr>
              <w:jc w:val="right"/>
              <w:ind w:right="59"/>
              <w:spacing w:after="0"/>
              <w:rPr>
                <w:sz w:val="20"/>
                <w:szCs w:val="20"/>
                <w:color w:val="auto"/>
              </w:rPr>
            </w:pPr>
            <w:r>
              <w:rPr>
                <w:rFonts w:ascii="Arial" w:cs="Arial" w:eastAsia="Arial" w:hAnsi="Arial"/>
                <w:sz w:val="16"/>
                <w:szCs w:val="16"/>
                <w:color w:val="auto"/>
              </w:rPr>
              <w:t>(79.7)</w:t>
            </w:r>
          </w:p>
        </w:tc>
        <w:tc>
          <w:tcPr>
            <w:tcW w:w="10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(3.2)</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7"/>
              </w:rPr>
              <w:t>(4.0)%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40" w:type="dxa"/>
            <w:vAlign w:val="bottom"/>
            <w:gridSpan w:val="7"/>
          </w:tcPr>
          <w:p>
            <w:pPr>
              <w:spacing w:after="0" w:line="161" w:lineRule="exact"/>
              <w:rPr>
                <w:sz w:val="20"/>
                <w:szCs w:val="20"/>
                <w:color w:val="auto"/>
              </w:rPr>
            </w:pPr>
            <w:r>
              <w:rPr>
                <w:rFonts w:ascii="Arial" w:cs="Arial" w:eastAsia="Arial" w:hAnsi="Arial"/>
                <w:sz w:val="16"/>
                <w:szCs w:val="16"/>
                <w:color w:val="auto"/>
              </w:rPr>
              <w:t>Adjustment for income from unconsolidated affiliates, included in</w:t>
            </w:r>
          </w:p>
        </w:tc>
        <w:tc>
          <w:tcPr>
            <w:tcW w:w="1120" w:type="dxa"/>
            <w:vAlign w:val="bottom"/>
            <w:vMerge w:val="restart"/>
          </w:tcPr>
          <w:p>
            <w:pPr>
              <w:jc w:val="right"/>
              <w:ind w:right="8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2"/>
            <w:vMerge w:val="restart"/>
          </w:tcPr>
          <w:p>
            <w:pPr>
              <w:jc w:val="right"/>
              <w:ind w:right="5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ind w:right="2"/>
              <w:spacing w:after="0"/>
              <w:rPr>
                <w:sz w:val="20"/>
                <w:szCs w:val="20"/>
                <w:color w:val="auto"/>
              </w:rPr>
            </w:pPr>
            <w:r>
              <w:rPr>
                <w:rFonts w:ascii="Arial" w:cs="Arial" w:eastAsia="Arial" w:hAnsi="Arial"/>
                <w:sz w:val="16"/>
                <w:szCs w:val="16"/>
                <w:color w:val="auto"/>
              </w:rPr>
              <w:t>0.3</w:t>
            </w:r>
          </w:p>
        </w:tc>
        <w:tc>
          <w:tcPr>
            <w:tcW w:w="1280" w:type="dxa"/>
            <w:vAlign w:val="bottom"/>
            <w:vMerge w:val="restart"/>
          </w:tcPr>
          <w:p>
            <w:pPr>
              <w:jc w:val="center"/>
              <w:ind w:left="19"/>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gridSpan w:val="3"/>
          </w:tcPr>
          <w:p>
            <w:pPr>
              <w:ind w:left="160"/>
              <w:spacing w:after="0"/>
              <w:rPr>
                <w:sz w:val="20"/>
                <w:szCs w:val="20"/>
                <w:color w:val="auto"/>
              </w:rPr>
            </w:pPr>
            <w:r>
              <w:rPr>
                <w:rFonts w:ascii="Arial" w:cs="Arial" w:eastAsia="Arial" w:hAnsi="Arial"/>
                <w:sz w:val="16"/>
                <w:szCs w:val="16"/>
                <w:color w:val="auto"/>
              </w:rPr>
              <w:t>Aviation and Technical Solutions</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DCE2EF"/>
          </w:tcPr>
          <w:p>
            <w:pPr>
              <w:spacing w:after="0"/>
              <w:rPr>
                <w:sz w:val="14"/>
                <w:szCs w:val="14"/>
                <w:color w:val="auto"/>
              </w:rPr>
            </w:pPr>
          </w:p>
        </w:tc>
        <w:tc>
          <w:tcPr>
            <w:tcW w:w="5740" w:type="dxa"/>
            <w:vAlign w:val="bottom"/>
            <w:gridSpan w:val="7"/>
            <w:shd w:val="clear" w:color="auto" w:fill="DCE2EF"/>
          </w:tcPr>
          <w:p>
            <w:pPr>
              <w:spacing w:after="0" w:line="162" w:lineRule="exact"/>
              <w:rPr>
                <w:sz w:val="20"/>
                <w:szCs w:val="20"/>
                <w:color w:val="auto"/>
              </w:rPr>
            </w:pPr>
            <w:r>
              <w:rPr>
                <w:rFonts w:ascii="Arial" w:cs="Arial" w:eastAsia="Arial" w:hAnsi="Arial"/>
                <w:sz w:val="16"/>
                <w:szCs w:val="16"/>
                <w:color w:val="auto"/>
              </w:rPr>
              <w:t>Adjustment for tax deductions for energy efficient government buildings,</w:t>
            </w:r>
          </w:p>
        </w:tc>
        <w:tc>
          <w:tcPr>
            <w:tcW w:w="1120" w:type="dxa"/>
            <w:vAlign w:val="bottom"/>
            <w:vMerge w:val="restart"/>
            <w:shd w:val="clear" w:color="auto" w:fill="DCE2EF"/>
          </w:tcPr>
          <w:p>
            <w:pPr>
              <w:jc w:val="right"/>
              <w:ind w:right="81"/>
              <w:spacing w:after="0"/>
              <w:rPr>
                <w:sz w:val="20"/>
                <w:szCs w:val="20"/>
                <w:color w:val="auto"/>
              </w:rPr>
            </w:pPr>
            <w:r>
              <w:rPr>
                <w:rFonts w:ascii="Arial" w:cs="Arial" w:eastAsia="Arial" w:hAnsi="Arial"/>
                <w:sz w:val="16"/>
                <w:szCs w:val="16"/>
                <w:color w:val="auto"/>
              </w:rPr>
              <w:t>(0.1)</w:t>
            </w:r>
          </w:p>
        </w:tc>
        <w:tc>
          <w:tcPr>
            <w:tcW w:w="100" w:type="dxa"/>
            <w:vAlign w:val="bottom"/>
            <w:shd w:val="clear" w:color="auto" w:fill="DCE2EF"/>
          </w:tcPr>
          <w:p>
            <w:pPr>
              <w:spacing w:after="0"/>
              <w:rPr>
                <w:sz w:val="14"/>
                <w:szCs w:val="14"/>
                <w:color w:val="auto"/>
              </w:rPr>
            </w:pPr>
          </w:p>
        </w:tc>
        <w:tc>
          <w:tcPr>
            <w:tcW w:w="6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060" w:type="dxa"/>
            <w:vAlign w:val="bottom"/>
            <w:gridSpan w:val="2"/>
            <w:vMerge w:val="restart"/>
            <w:shd w:val="clear" w:color="auto" w:fill="DCE2E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DCE2EF"/>
          </w:tcPr>
          <w:p>
            <w:pPr>
              <w:spacing w:after="0"/>
              <w:rPr>
                <w:sz w:val="14"/>
                <w:szCs w:val="14"/>
                <w:color w:val="auto"/>
              </w:rPr>
            </w:pPr>
          </w:p>
        </w:tc>
        <w:tc>
          <w:tcPr>
            <w:tcW w:w="104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1280" w:type="dxa"/>
            <w:vAlign w:val="bottom"/>
            <w:vMerge w:val="restart"/>
            <w:shd w:val="clear" w:color="auto" w:fill="DCE2EF"/>
          </w:tcPr>
          <w:p>
            <w:pPr>
              <w:jc w:val="right"/>
              <w:ind w:right="35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3780" w:type="dxa"/>
            <w:vAlign w:val="bottom"/>
            <w:gridSpan w:val="3"/>
            <w:shd w:val="clear" w:color="auto" w:fill="DCE2EF"/>
          </w:tcPr>
          <w:p>
            <w:pPr>
              <w:ind w:left="160"/>
              <w:spacing w:after="0"/>
              <w:rPr>
                <w:sz w:val="20"/>
                <w:szCs w:val="20"/>
                <w:color w:val="auto"/>
              </w:rPr>
            </w:pPr>
            <w:r>
              <w:rPr>
                <w:rFonts w:ascii="Arial" w:cs="Arial" w:eastAsia="Arial" w:hAnsi="Arial"/>
                <w:sz w:val="16"/>
                <w:szCs w:val="16"/>
                <w:color w:val="auto"/>
              </w:rPr>
              <w:t>included in Technical Solutions</w:t>
            </w:r>
          </w:p>
        </w:tc>
        <w:tc>
          <w:tcPr>
            <w:tcW w:w="420" w:type="dxa"/>
            <w:vAlign w:val="bottom"/>
            <w:shd w:val="clear" w:color="auto" w:fill="DCE2EF"/>
          </w:tcPr>
          <w:p>
            <w:pPr>
              <w:spacing w:after="0"/>
              <w:rPr>
                <w:sz w:val="18"/>
                <w:szCs w:val="18"/>
                <w:color w:val="auto"/>
              </w:rPr>
            </w:pPr>
          </w:p>
        </w:tc>
        <w:tc>
          <w:tcPr>
            <w:tcW w:w="980" w:type="dxa"/>
            <w:vAlign w:val="bottom"/>
            <w:shd w:val="clear" w:color="auto" w:fill="DCE2EF"/>
          </w:tcPr>
          <w:p>
            <w:pPr>
              <w:spacing w:after="0"/>
              <w:rPr>
                <w:sz w:val="18"/>
                <w:szCs w:val="18"/>
                <w:color w:val="auto"/>
              </w:rPr>
            </w:pPr>
          </w:p>
        </w:tc>
        <w:tc>
          <w:tcPr>
            <w:tcW w:w="4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120" w:type="dxa"/>
            <w:vAlign w:val="bottom"/>
            <w:vMerge w:val="continue"/>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6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060" w:type="dxa"/>
            <w:vAlign w:val="bottom"/>
            <w:gridSpan w:val="2"/>
            <w:vMerge w:val="continue"/>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040" w:type="dxa"/>
            <w:vAlign w:val="bottom"/>
            <w:vMerge w:val="continue"/>
            <w:shd w:val="clear" w:color="auto" w:fill="DCE2EF"/>
          </w:tcPr>
          <w:p>
            <w:pPr>
              <w:spacing w:after="0"/>
              <w:rPr>
                <w:sz w:val="18"/>
                <w:szCs w:val="18"/>
                <w:color w:val="auto"/>
              </w:rPr>
            </w:pPr>
          </w:p>
        </w:tc>
        <w:tc>
          <w:tcPr>
            <w:tcW w:w="1280" w:type="dxa"/>
            <w:vAlign w:val="bottom"/>
            <w:vMerge w:val="continue"/>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rPr>
              <w:t>82.3</w:t>
            </w: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81.3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1.0</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3800" w:type="dxa"/>
            <w:vAlign w:val="bottom"/>
            <w:gridSpan w:val="4"/>
            <w:vMerge w:val="restart"/>
          </w:tcPr>
          <w:p>
            <w:pPr>
              <w:spacing w:after="0"/>
              <w:rPr>
                <w:sz w:val="20"/>
                <w:szCs w:val="20"/>
                <w:color w:val="auto"/>
              </w:rPr>
            </w:pPr>
            <w:r>
              <w:rPr>
                <w:rFonts w:ascii="Arial" w:cs="Arial" w:eastAsia="Arial" w:hAnsi="Arial"/>
                <w:sz w:val="16"/>
                <w:szCs w:val="16"/>
                <w:color w:val="auto"/>
              </w:rPr>
              <w:t>*Not meaningful</w:t>
            </w: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3800" w:type="dxa"/>
            <w:vAlign w:val="bottom"/>
            <w:gridSpan w:val="4"/>
            <w:vMerge w:val="continue"/>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780" w:type="dxa"/>
            <w:vAlign w:val="bottom"/>
            <w:gridSpan w:val="3"/>
          </w:tcPr>
          <w:p>
            <w:pPr>
              <w:spacing w:after="0"/>
              <w:rPr>
                <w:sz w:val="20"/>
                <w:szCs w:val="20"/>
                <w:color w:val="auto"/>
              </w:rPr>
            </w:pPr>
            <w:r>
              <w:rPr>
                <w:rFonts w:ascii="Arial" w:cs="Arial" w:eastAsia="Arial" w:hAnsi="Arial"/>
                <w:sz w:val="16"/>
                <w:szCs w:val="16"/>
                <w:b w:val="1"/>
                <w:bCs w:val="1"/>
                <w:i w:val="1"/>
                <w:iCs w:val="1"/>
                <w:color w:val="0046AD"/>
              </w:rPr>
              <w:t>Business &amp; Industry</w:t>
            </w:r>
          </w:p>
        </w:tc>
        <w:tc>
          <w:tcPr>
            <w:tcW w:w="420" w:type="dxa"/>
            <w:vAlign w:val="bottom"/>
          </w:tcPr>
          <w:p>
            <w:pPr>
              <w:spacing w:after="0"/>
              <w:rPr>
                <w:sz w:val="24"/>
                <w:szCs w:val="24"/>
                <w:color w:val="auto"/>
              </w:rPr>
            </w:pPr>
          </w:p>
        </w:tc>
        <w:tc>
          <w:tcPr>
            <w:tcW w:w="2760" w:type="dxa"/>
            <w:vAlign w:val="bottom"/>
            <w:gridSpan w:val="5"/>
            <w:vMerge w:val="restart"/>
          </w:tcPr>
          <w:p>
            <w:pPr>
              <w:ind w:left="340"/>
              <w:spacing w:after="0"/>
              <w:rPr>
                <w:sz w:val="20"/>
                <w:szCs w:val="20"/>
                <w:color w:val="auto"/>
              </w:rPr>
            </w:pPr>
            <w:r>
              <w:rPr>
                <w:rFonts w:ascii="Arial" w:cs="Arial" w:eastAsia="Arial" w:hAnsi="Arial"/>
                <w:sz w:val="16"/>
                <w:szCs w:val="16"/>
                <w:b w:val="1"/>
                <w:bCs w:val="1"/>
                <w:color w:val="auto"/>
              </w:rPr>
              <w:t>Three Months Ended April 30,</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5"/>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Pr>
          <w:p>
            <w:pPr>
              <w:spacing w:after="0"/>
              <w:rPr>
                <w:sz w:val="13"/>
                <w:szCs w:val="13"/>
                <w:color w:val="auto"/>
              </w:rPr>
            </w:pPr>
          </w:p>
        </w:tc>
        <w:tc>
          <w:tcPr>
            <w:tcW w:w="980" w:type="dxa"/>
            <w:vAlign w:val="bottom"/>
          </w:tcPr>
          <w:p>
            <w:pPr>
              <w:ind w:left="320"/>
              <w:spacing w:after="0" w:line="142" w:lineRule="exact"/>
              <w:rPr>
                <w:sz w:val="20"/>
                <w:szCs w:val="20"/>
                <w:color w:val="auto"/>
              </w:rPr>
            </w:pPr>
            <w:r>
              <w:rPr>
                <w:rFonts w:ascii="Arial" w:cs="Arial" w:eastAsia="Arial" w:hAnsi="Arial"/>
                <w:sz w:val="16"/>
                <w:szCs w:val="16"/>
                <w:b w:val="1"/>
                <w:bCs w:val="1"/>
                <w:color w:val="auto"/>
              </w:rPr>
              <w:t>2025</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82"/>
              <w:spacing w:after="0" w:line="135" w:lineRule="exact"/>
              <w:rPr>
                <w:sz w:val="20"/>
                <w:szCs w:val="20"/>
                <w:color w:val="auto"/>
              </w:rPr>
            </w:pPr>
            <w:r>
              <w:rPr>
                <w:rFonts w:ascii="Arial" w:cs="Arial" w:eastAsia="Arial" w:hAnsi="Arial"/>
                <w:sz w:val="15"/>
                <w:szCs w:val="15"/>
                <w:b w:val="1"/>
                <w:bCs w:val="1"/>
                <w:color w:val="auto"/>
              </w:rPr>
              <w:t>Increase</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720" w:type="dxa"/>
            <w:vAlign w:val="bottom"/>
            <w:tcBorders>
              <w:top w:val="single" w:sz="8" w:color="auto"/>
              <w:bottom w:val="single" w:sz="8" w:color="DCE2EF"/>
            </w:tcBorders>
          </w:tcPr>
          <w:p>
            <w:pPr>
              <w:spacing w:after="0"/>
              <w:rPr>
                <w:sz w:val="2"/>
                <w:szCs w:val="2"/>
                <w:color w:val="auto"/>
              </w:rPr>
            </w:pPr>
          </w:p>
        </w:tc>
        <w:tc>
          <w:tcPr>
            <w:tcW w:w="100" w:type="dxa"/>
            <w:vAlign w:val="bottom"/>
            <w:tcBorders>
              <w:top w:val="single" w:sz="8" w:color="auto"/>
              <w:bottom w:val="single" w:sz="8" w:color="DCE2EF"/>
            </w:tcBorders>
          </w:tcPr>
          <w:p>
            <w:pPr>
              <w:spacing w:after="0"/>
              <w:rPr>
                <w:sz w:val="2"/>
                <w:szCs w:val="2"/>
                <w:color w:val="auto"/>
              </w:rPr>
            </w:pPr>
          </w:p>
        </w:tc>
        <w:tc>
          <w:tcPr>
            <w:tcW w:w="296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37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Revenues</w:t>
            </w: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DCE2EF"/>
          </w:tcPr>
          <w:p>
            <w:pPr>
              <w:jc w:val="right"/>
              <w:ind w:right="119"/>
              <w:spacing w:after="0"/>
              <w:rPr>
                <w:sz w:val="20"/>
                <w:szCs w:val="20"/>
                <w:color w:val="auto"/>
              </w:rPr>
            </w:pPr>
            <w:r>
              <w:rPr>
                <w:rFonts w:ascii="Arial" w:cs="Arial" w:eastAsia="Arial" w:hAnsi="Arial"/>
                <w:sz w:val="16"/>
                <w:szCs w:val="16"/>
                <w:color w:val="auto"/>
              </w:rPr>
              <w:t>1,015.5</w:t>
            </w:r>
          </w:p>
        </w:tc>
        <w:tc>
          <w:tcPr>
            <w:tcW w:w="100" w:type="dxa"/>
            <w:vAlign w:val="bottom"/>
            <w:shd w:val="clear" w:color="auto" w:fill="DCE2EF"/>
          </w:tcPr>
          <w:p>
            <w:pPr>
              <w:spacing w:after="0"/>
              <w:rPr>
                <w:sz w:val="18"/>
                <w:szCs w:val="18"/>
                <w:color w:val="auto"/>
              </w:rPr>
            </w:pPr>
          </w:p>
        </w:tc>
        <w:tc>
          <w:tcPr>
            <w:tcW w:w="1120" w:type="dxa"/>
            <w:vAlign w:val="bottom"/>
            <w:shd w:val="clear" w:color="auto" w:fill="DCE2EF"/>
          </w:tcPr>
          <w:p>
            <w:pPr>
              <w:jc w:val="right"/>
              <w:ind w:right="941"/>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DCE2EF"/>
          </w:tcPr>
          <w:p>
            <w:pPr>
              <w:spacing w:after="0"/>
              <w:rPr>
                <w:sz w:val="18"/>
                <w:szCs w:val="18"/>
                <w:color w:val="auto"/>
              </w:rPr>
            </w:pPr>
          </w:p>
        </w:tc>
        <w:tc>
          <w:tcPr>
            <w:tcW w:w="620" w:type="dxa"/>
            <w:vAlign w:val="bottom"/>
            <w:shd w:val="clear" w:color="auto" w:fill="DCE2EF"/>
          </w:tcPr>
          <w:p>
            <w:pPr>
              <w:ind w:left="20"/>
              <w:spacing w:after="0"/>
              <w:rPr>
                <w:sz w:val="20"/>
                <w:szCs w:val="20"/>
                <w:color w:val="auto"/>
              </w:rPr>
            </w:pPr>
            <w:r>
              <w:rPr>
                <w:rFonts w:ascii="Arial" w:cs="Arial" w:eastAsia="Arial" w:hAnsi="Arial"/>
                <w:sz w:val="16"/>
                <w:szCs w:val="16"/>
                <w:color w:val="auto"/>
              </w:rPr>
              <w:t>989.6</w:t>
            </w:r>
          </w:p>
        </w:tc>
        <w:tc>
          <w:tcPr>
            <w:tcW w:w="100" w:type="dxa"/>
            <w:vAlign w:val="bottom"/>
            <w:shd w:val="clear" w:color="auto" w:fill="DCE2EF"/>
          </w:tcPr>
          <w:p>
            <w:pPr>
              <w:spacing w:after="0"/>
              <w:rPr>
                <w:sz w:val="18"/>
                <w:szCs w:val="18"/>
                <w:color w:val="auto"/>
              </w:rPr>
            </w:pPr>
          </w:p>
        </w:tc>
        <w:tc>
          <w:tcPr>
            <w:tcW w:w="960" w:type="dxa"/>
            <w:vAlign w:val="bottom"/>
            <w:shd w:val="clear" w:color="auto" w:fill="DCE2EF"/>
          </w:tcPr>
          <w:p>
            <w:pPr>
              <w:jc w:val="right"/>
              <w:ind w:right="759"/>
              <w:spacing w:after="0"/>
              <w:rPr>
                <w:sz w:val="20"/>
                <w:szCs w:val="20"/>
                <w:color w:val="auto"/>
              </w:rPr>
            </w:pPr>
            <w:r>
              <w:rPr>
                <w:rFonts w:ascii="Arial" w:cs="Arial" w:eastAsia="Arial" w:hAnsi="Arial"/>
                <w:sz w:val="16"/>
                <w:szCs w:val="16"/>
                <w:color w:val="auto"/>
              </w:rPr>
              <w:t>$</w:t>
            </w:r>
          </w:p>
        </w:tc>
        <w:tc>
          <w:tcPr>
            <w:tcW w:w="10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040" w:type="dxa"/>
            <w:vAlign w:val="bottom"/>
            <w:shd w:val="clear" w:color="auto" w:fill="DCE2EF"/>
          </w:tcPr>
          <w:p>
            <w:pPr>
              <w:jc w:val="right"/>
              <w:ind w:right="522"/>
              <w:spacing w:after="0"/>
              <w:rPr>
                <w:sz w:val="20"/>
                <w:szCs w:val="20"/>
                <w:color w:val="auto"/>
              </w:rPr>
            </w:pPr>
            <w:r>
              <w:rPr>
                <w:rFonts w:ascii="Arial" w:cs="Arial" w:eastAsia="Arial" w:hAnsi="Arial"/>
                <w:sz w:val="16"/>
                <w:szCs w:val="16"/>
                <w:color w:val="auto"/>
              </w:rPr>
              <w:t>25.9</w:t>
            </w:r>
          </w:p>
        </w:tc>
        <w:tc>
          <w:tcPr>
            <w:tcW w:w="1280" w:type="dxa"/>
            <w:vAlign w:val="bottom"/>
            <w:shd w:val="clear" w:color="auto" w:fill="DCE2EF"/>
          </w:tcPr>
          <w:p>
            <w:pPr>
              <w:jc w:val="right"/>
              <w:ind w:right="57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6"/>
                <w:szCs w:val="16"/>
                <w:color w:val="auto"/>
              </w:rPr>
              <w:t>Operating profit</w:t>
            </w:r>
          </w:p>
        </w:tc>
        <w:tc>
          <w:tcPr>
            <w:tcW w:w="420" w:type="dxa"/>
            <w:vAlign w:val="bottom"/>
          </w:tcPr>
          <w:p>
            <w:pPr>
              <w:spacing w:after="0"/>
              <w:rPr>
                <w:sz w:val="18"/>
                <w:szCs w:val="18"/>
                <w:color w:val="auto"/>
              </w:rPr>
            </w:pPr>
          </w:p>
        </w:tc>
        <w:tc>
          <w:tcPr>
            <w:tcW w:w="1440" w:type="dxa"/>
            <w:vAlign w:val="bottom"/>
            <w:gridSpan w:val="2"/>
          </w:tcPr>
          <w:p>
            <w:pPr>
              <w:jc w:val="right"/>
              <w:ind w:right="119"/>
              <w:spacing w:after="0"/>
              <w:rPr>
                <w:sz w:val="20"/>
                <w:szCs w:val="20"/>
                <w:color w:val="auto"/>
              </w:rPr>
            </w:pPr>
            <w:r>
              <w:rPr>
                <w:rFonts w:ascii="Arial" w:cs="Arial" w:eastAsia="Arial" w:hAnsi="Arial"/>
                <w:sz w:val="16"/>
                <w:szCs w:val="16"/>
                <w:color w:val="auto"/>
              </w:rPr>
              <w:t>83.0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21"/>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522"/>
              <w:spacing w:after="0"/>
              <w:rPr>
                <w:sz w:val="20"/>
                <w:szCs w:val="20"/>
                <w:color w:val="auto"/>
              </w:rPr>
            </w:pPr>
            <w:r>
              <w:rPr>
                <w:rFonts w:ascii="Arial" w:cs="Arial" w:eastAsia="Arial" w:hAnsi="Arial"/>
                <w:sz w:val="16"/>
                <w:szCs w:val="16"/>
                <w:color w:val="auto"/>
              </w:rPr>
              <w:t>5.4</w:t>
            </w:r>
          </w:p>
        </w:tc>
        <w:tc>
          <w:tcPr>
            <w:tcW w:w="1280" w:type="dxa"/>
            <w:vAlign w:val="bottom"/>
          </w:tcPr>
          <w:p>
            <w:pPr>
              <w:jc w:val="right"/>
              <w:ind w:right="57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2"/>
        </w:trPr>
        <w:tc>
          <w:tcPr>
            <w:tcW w:w="20" w:type="dxa"/>
            <w:vAlign w:val="bottom"/>
            <w:shd w:val="clear" w:color="auto" w:fill="DCE2EF"/>
          </w:tcPr>
          <w:p>
            <w:pPr>
              <w:spacing w:after="0"/>
              <w:rPr>
                <w:sz w:val="17"/>
                <w:szCs w:val="17"/>
                <w:color w:val="auto"/>
              </w:rPr>
            </w:pPr>
          </w:p>
        </w:tc>
        <w:tc>
          <w:tcPr>
            <w:tcW w:w="3780" w:type="dxa"/>
            <w:vAlign w:val="bottom"/>
            <w:gridSpan w:val="3"/>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7"/>
                <w:szCs w:val="17"/>
                <w:color w:val="auto"/>
              </w:rPr>
            </w:pPr>
          </w:p>
        </w:tc>
        <w:tc>
          <w:tcPr>
            <w:tcW w:w="1440" w:type="dxa"/>
            <w:vAlign w:val="bottom"/>
            <w:gridSpan w:val="2"/>
            <w:shd w:val="clear" w:color="auto" w:fill="DCE2EF"/>
          </w:tcPr>
          <w:p>
            <w:pPr>
              <w:jc w:val="right"/>
              <w:spacing w:after="0"/>
              <w:rPr>
                <w:sz w:val="20"/>
                <w:szCs w:val="20"/>
                <w:color w:val="auto"/>
              </w:rPr>
            </w:pPr>
            <w:r>
              <w:rPr>
                <w:rFonts w:ascii="Arial" w:cs="Arial" w:eastAsia="Arial" w:hAnsi="Arial"/>
                <w:sz w:val="14"/>
                <w:szCs w:val="14"/>
                <w:i w:val="1"/>
                <w:iCs w:val="1"/>
                <w:color w:val="auto"/>
              </w:rPr>
              <w:t>8.2 %</w:t>
            </w:r>
          </w:p>
        </w:tc>
        <w:tc>
          <w:tcPr>
            <w:tcW w:w="100" w:type="dxa"/>
            <w:vAlign w:val="bottom"/>
            <w:shd w:val="clear" w:color="auto" w:fill="DCE2EF"/>
          </w:tcPr>
          <w:p>
            <w:pPr>
              <w:spacing w:after="0"/>
              <w:rPr>
                <w:sz w:val="17"/>
                <w:szCs w:val="17"/>
                <w:color w:val="auto"/>
              </w:rPr>
            </w:pPr>
          </w:p>
        </w:tc>
        <w:tc>
          <w:tcPr>
            <w:tcW w:w="11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6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7.8 %</w:t>
            </w:r>
          </w:p>
        </w:tc>
        <w:tc>
          <w:tcPr>
            <w:tcW w:w="100" w:type="dxa"/>
            <w:vAlign w:val="bottom"/>
            <w:shd w:val="clear" w:color="auto" w:fill="DCE2EF"/>
          </w:tcPr>
          <w:p>
            <w:pPr>
              <w:spacing w:after="0"/>
              <w:rPr>
                <w:sz w:val="17"/>
                <w:szCs w:val="17"/>
                <w:color w:val="auto"/>
              </w:rPr>
            </w:pPr>
          </w:p>
        </w:tc>
        <w:tc>
          <w:tcPr>
            <w:tcW w:w="9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040" w:type="dxa"/>
            <w:vAlign w:val="bottom"/>
            <w:shd w:val="clear" w:color="auto" w:fill="DCE2EF"/>
          </w:tcPr>
          <w:p>
            <w:pPr>
              <w:jc w:val="right"/>
              <w:ind w:right="482"/>
              <w:spacing w:after="0"/>
              <w:rPr>
                <w:sz w:val="20"/>
                <w:szCs w:val="20"/>
                <w:color w:val="auto"/>
              </w:rPr>
            </w:pPr>
            <w:r>
              <w:rPr>
                <w:rFonts w:ascii="Arial" w:cs="Arial" w:eastAsia="Arial" w:hAnsi="Arial"/>
                <w:sz w:val="14"/>
                <w:szCs w:val="14"/>
                <w:i w:val="1"/>
                <w:iCs w:val="1"/>
                <w:color w:val="auto"/>
              </w:rPr>
              <w:t>34 bps</w:t>
            </w:r>
          </w:p>
        </w:tc>
        <w:tc>
          <w:tcPr>
            <w:tcW w:w="12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B&amp;I revenues increased by $25.9 million, or 2.6%, to $1,015.5 million during the three months ended April 30, 2025, as compared to the prior year period. The revenue increase was primarily driven by the client expansions both domestic and international. Management reimbursement revenues for this segment totaled $71.8 million and $68.6 million for the three months ended April 30, 2025 and 2024, respectively.</w:t>
      </w:r>
    </w:p>
    <w:p>
      <w:pPr>
        <w:spacing w:after="0" w:line="121"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Operating profit increased by $5.4 million, or 7.0%, to $83.0 million during the three months ended April 30, 2025, as compared to the prior year period. Operating profit margin increased by 34 bps to 8.2% in the three months ended April 30, 2025, from 7.8% in the prior year period. The increase in operating profit margin was primarily driven by geographic mix and lower amortization of intangibles, partially offset by higher bad debt.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Manufacturing &amp; Distribution</w:t>
            </w:r>
          </w:p>
        </w:tc>
        <w:tc>
          <w:tcPr>
            <w:tcW w:w="420" w:type="dxa"/>
            <w:vAlign w:val="bottom"/>
          </w:tcPr>
          <w:p>
            <w:pPr>
              <w:spacing w:after="0"/>
              <w:rPr>
                <w:sz w:val="19"/>
                <w:szCs w:val="19"/>
                <w:color w:val="auto"/>
              </w:rPr>
            </w:pPr>
          </w:p>
        </w:tc>
        <w:tc>
          <w:tcPr>
            <w:tcW w:w="3460" w:type="dxa"/>
            <w:vAlign w:val="bottom"/>
            <w:gridSpan w:val="5"/>
            <w:vMerge w:val="restart"/>
          </w:tcPr>
          <w:p>
            <w:pPr>
              <w:ind w:left="320"/>
              <w:spacing w:after="0"/>
              <w:rPr>
                <w:sz w:val="20"/>
                <w:szCs w:val="20"/>
                <w:color w:val="auto"/>
              </w:rPr>
            </w:pPr>
            <w:r>
              <w:rPr>
                <w:rFonts w:ascii="Arial" w:cs="Arial" w:eastAsia="Arial" w:hAnsi="Arial"/>
                <w:sz w:val="16"/>
                <w:szCs w:val="16"/>
                <w:b w:val="1"/>
                <w:bCs w:val="1"/>
                <w:color w:val="auto"/>
              </w:rPr>
              <w:t>Three Months Ended April 30,</w:t>
            </w:r>
          </w:p>
        </w:tc>
        <w:tc>
          <w:tcPr>
            <w:tcW w:w="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60" w:type="dxa"/>
            <w:vAlign w:val="bottom"/>
            <w:gridSpan w:val="5"/>
            <w:vMerge w:val="continue"/>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0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81"/>
              <w:spacing w:after="0" w:line="142" w:lineRule="exact"/>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2"/>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0" w:type="dxa"/>
            <w:vAlign w:val="bottom"/>
            <w:gridSpan w:val="2"/>
          </w:tcPr>
          <w:p>
            <w:pPr>
              <w:jc w:val="right"/>
              <w:ind w:right="879"/>
              <w:spacing w:after="0" w:line="135" w:lineRule="exact"/>
              <w:rPr>
                <w:sz w:val="20"/>
                <w:szCs w:val="20"/>
                <w:color w:val="auto"/>
              </w:rPr>
            </w:pPr>
            <w:r>
              <w:rPr>
                <w:rFonts w:ascii="Arial" w:cs="Arial" w:eastAsia="Arial" w:hAnsi="Arial"/>
                <w:sz w:val="15"/>
                <w:szCs w:val="15"/>
                <w:b w:val="1"/>
                <w:bCs w:val="1"/>
                <w:color w:val="auto"/>
              </w:rPr>
              <w:t>Increase / (Decrease)</w:t>
            </w: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298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38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Revenues</w:t>
            </w: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398.1</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CE2EF"/>
          </w:tcPr>
          <w:p>
            <w:pPr>
              <w:jc w:val="right"/>
              <w:ind w:right="122"/>
              <w:spacing w:after="0"/>
              <w:rPr>
                <w:sz w:val="20"/>
                <w:szCs w:val="20"/>
                <w:color w:val="auto"/>
              </w:rPr>
            </w:pPr>
            <w:r>
              <w:rPr>
                <w:rFonts w:ascii="Arial" w:cs="Arial" w:eastAsia="Arial" w:hAnsi="Arial"/>
                <w:sz w:val="16"/>
                <w:szCs w:val="16"/>
                <w:color w:val="auto"/>
              </w:rPr>
              <w:t>388.6</w:t>
            </w:r>
          </w:p>
        </w:tc>
        <w:tc>
          <w:tcPr>
            <w:tcW w:w="100" w:type="dxa"/>
            <w:vAlign w:val="bottom"/>
            <w:shd w:val="clear" w:color="auto" w:fill="DCE2EF"/>
          </w:tcPr>
          <w:p>
            <w:pPr>
              <w:spacing w:after="0"/>
              <w:rPr>
                <w:sz w:val="18"/>
                <w:szCs w:val="18"/>
                <w:color w:val="auto"/>
              </w:rPr>
            </w:pPr>
          </w:p>
        </w:tc>
        <w:tc>
          <w:tcPr>
            <w:tcW w:w="540" w:type="dxa"/>
            <w:vAlign w:val="bottom"/>
            <w:shd w:val="clear" w:color="auto" w:fill="DCE2EF"/>
          </w:tcPr>
          <w:p>
            <w:pPr>
              <w:jc w:val="right"/>
              <w:ind w:right="3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DCE2EF"/>
          </w:tcPr>
          <w:p>
            <w:pPr>
              <w:jc w:val="right"/>
              <w:ind w:right="343"/>
              <w:spacing w:after="0"/>
              <w:rPr>
                <w:sz w:val="20"/>
                <w:szCs w:val="20"/>
                <w:color w:val="auto"/>
              </w:rPr>
            </w:pPr>
            <w:r>
              <w:rPr>
                <w:rFonts w:ascii="Arial" w:cs="Arial" w:eastAsia="Arial" w:hAnsi="Arial"/>
                <w:sz w:val="16"/>
                <w:szCs w:val="16"/>
                <w:color w:val="auto"/>
              </w:rPr>
              <w:t>9.5</w:t>
            </w:r>
          </w:p>
        </w:tc>
        <w:tc>
          <w:tcPr>
            <w:tcW w:w="1460" w:type="dxa"/>
            <w:vAlign w:val="bottom"/>
            <w:shd w:val="clear" w:color="auto" w:fill="DCE2EF"/>
          </w:tcPr>
          <w:p>
            <w:pPr>
              <w:jc w:val="right"/>
              <w:ind w:right="57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Operating profit</w:t>
            </w:r>
          </w:p>
        </w:tc>
        <w:tc>
          <w:tcPr>
            <w:tcW w:w="42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22"/>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jc w:val="right"/>
              <w:ind w:right="303"/>
              <w:spacing w:after="0"/>
              <w:rPr>
                <w:sz w:val="20"/>
                <w:szCs w:val="20"/>
                <w:color w:val="auto"/>
              </w:rPr>
            </w:pPr>
            <w:r>
              <w:rPr>
                <w:rFonts w:ascii="Arial" w:cs="Arial" w:eastAsia="Arial" w:hAnsi="Arial"/>
                <w:sz w:val="16"/>
                <w:szCs w:val="16"/>
                <w:color w:val="auto"/>
              </w:rPr>
              <w:t>(3.7)</w:t>
            </w:r>
          </w:p>
        </w:tc>
        <w:tc>
          <w:tcPr>
            <w:tcW w:w="1460" w:type="dxa"/>
            <w:vAlign w:val="bottom"/>
          </w:tcPr>
          <w:p>
            <w:pPr>
              <w:jc w:val="right"/>
              <w:ind w:right="53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2"/>
        </w:trPr>
        <w:tc>
          <w:tcPr>
            <w:tcW w:w="20" w:type="dxa"/>
            <w:vAlign w:val="bottom"/>
            <w:shd w:val="clear" w:color="auto" w:fill="DCE2EF"/>
          </w:tcPr>
          <w:p>
            <w:pPr>
              <w:spacing w:after="0"/>
              <w:rPr>
                <w:sz w:val="17"/>
                <w:szCs w:val="17"/>
                <w:color w:val="auto"/>
              </w:rPr>
            </w:pPr>
          </w:p>
        </w:tc>
        <w:tc>
          <w:tcPr>
            <w:tcW w:w="38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10.0 %</w:t>
            </w:r>
          </w:p>
        </w:tc>
        <w:tc>
          <w:tcPr>
            <w:tcW w:w="100" w:type="dxa"/>
            <w:vAlign w:val="bottom"/>
            <w:shd w:val="clear" w:color="auto" w:fill="DCE2EF"/>
          </w:tcPr>
          <w:p>
            <w:pPr>
              <w:spacing w:after="0"/>
              <w:rPr>
                <w:sz w:val="17"/>
                <w:szCs w:val="17"/>
                <w:color w:val="auto"/>
              </w:rPr>
            </w:pPr>
          </w:p>
        </w:tc>
        <w:tc>
          <w:tcPr>
            <w:tcW w:w="42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11.2 %</w:t>
            </w:r>
          </w:p>
        </w:tc>
        <w:tc>
          <w:tcPr>
            <w:tcW w:w="100" w:type="dxa"/>
            <w:vAlign w:val="bottom"/>
            <w:shd w:val="clear" w:color="auto" w:fill="DCE2EF"/>
          </w:tcPr>
          <w:p>
            <w:pPr>
              <w:spacing w:after="0"/>
              <w:rPr>
                <w:sz w:val="17"/>
                <w:szCs w:val="17"/>
                <w:color w:val="auto"/>
              </w:rPr>
            </w:pPr>
          </w:p>
        </w:tc>
        <w:tc>
          <w:tcPr>
            <w:tcW w:w="540" w:type="dxa"/>
            <w:vAlign w:val="bottom"/>
            <w:shd w:val="clear" w:color="auto" w:fill="DCE2EF"/>
          </w:tcPr>
          <w:p>
            <w:pPr>
              <w:spacing w:after="0"/>
              <w:rPr>
                <w:sz w:val="17"/>
                <w:szCs w:val="17"/>
                <w:color w:val="auto"/>
              </w:rPr>
            </w:pPr>
          </w:p>
        </w:tc>
        <w:tc>
          <w:tcPr>
            <w:tcW w:w="1540" w:type="dxa"/>
            <w:vAlign w:val="bottom"/>
            <w:shd w:val="clear" w:color="auto" w:fill="DCE2EF"/>
          </w:tcPr>
          <w:p>
            <w:pPr>
              <w:ind w:left="560"/>
              <w:spacing w:after="0"/>
              <w:rPr>
                <w:sz w:val="20"/>
                <w:szCs w:val="20"/>
                <w:color w:val="auto"/>
              </w:rPr>
            </w:pPr>
            <w:r>
              <w:rPr>
                <w:rFonts w:ascii="Arial" w:cs="Arial" w:eastAsia="Arial" w:hAnsi="Arial"/>
                <w:sz w:val="14"/>
                <w:szCs w:val="14"/>
                <w:i w:val="1"/>
                <w:iCs w:val="1"/>
                <w:color w:val="auto"/>
              </w:rPr>
              <w:t>(120) bps</w:t>
            </w:r>
          </w:p>
        </w:tc>
        <w:tc>
          <w:tcPr>
            <w:tcW w:w="14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M&amp;D revenues increased by $9.5 million, or 2.4%, to $398.1 million during the three months ended April 30, 2025, as compared to the prior year period. The increase was primarily attributable to the expansion of business with existing clients and new business wins, partially offset by a loss of a certain customer in the first quarter of 2025.</w:t>
      </w:r>
    </w:p>
    <w:p>
      <w:pPr>
        <w:spacing w:after="0" w:line="115"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Operating profit decreased by $3.7 million, or 8.5%, to $39.9 million during the three months ended April 30, 2025, as compared to the prior year period. Operating profit margin decreased by 120 bps to 10.0% in the three months ended April 30, 2025, from 11.2% in the prior year period. The decrease in operating profit margin was primarily attributable to contract mix and investments made in the fourth quarter of 2024 to hire certain technical expertise to support future growth.</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Aviation</w:t>
            </w:r>
          </w:p>
        </w:tc>
        <w:tc>
          <w:tcPr>
            <w:tcW w:w="420" w:type="dxa"/>
            <w:vAlign w:val="bottom"/>
          </w:tcPr>
          <w:p>
            <w:pPr>
              <w:spacing w:after="0"/>
              <w:rPr>
                <w:sz w:val="19"/>
                <w:szCs w:val="19"/>
                <w:color w:val="auto"/>
              </w:rPr>
            </w:pPr>
          </w:p>
        </w:tc>
        <w:tc>
          <w:tcPr>
            <w:tcW w:w="3460" w:type="dxa"/>
            <w:vAlign w:val="bottom"/>
            <w:gridSpan w:val="5"/>
            <w:vMerge w:val="restart"/>
          </w:tcPr>
          <w:p>
            <w:pPr>
              <w:ind w:left="320"/>
              <w:spacing w:after="0"/>
              <w:rPr>
                <w:sz w:val="20"/>
                <w:szCs w:val="20"/>
                <w:color w:val="auto"/>
              </w:rPr>
            </w:pPr>
            <w:r>
              <w:rPr>
                <w:rFonts w:ascii="Arial" w:cs="Arial" w:eastAsia="Arial" w:hAnsi="Arial"/>
                <w:sz w:val="16"/>
                <w:szCs w:val="16"/>
                <w:b w:val="1"/>
                <w:bCs w:val="1"/>
                <w:color w:val="auto"/>
              </w:rPr>
              <w:t>Three Months Ended April 30,</w:t>
            </w:r>
          </w:p>
        </w:tc>
        <w:tc>
          <w:tcPr>
            <w:tcW w:w="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60" w:type="dxa"/>
            <w:vAlign w:val="bottom"/>
            <w:gridSpan w:val="5"/>
            <w:vMerge w:val="continue"/>
          </w:tcPr>
          <w:p>
            <w:pPr>
              <w:spacing w:after="0"/>
              <w:rPr>
                <w:sz w:val="18"/>
                <w:szCs w:val="18"/>
                <w:color w:val="auto"/>
              </w:rPr>
            </w:pPr>
          </w:p>
        </w:tc>
        <w:tc>
          <w:tcPr>
            <w:tcW w:w="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0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81"/>
              <w:spacing w:after="0" w:line="142" w:lineRule="exact"/>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2"/>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80" w:type="dxa"/>
            <w:vAlign w:val="bottom"/>
          </w:tcPr>
          <w:p>
            <w:pPr>
              <w:jc w:val="right"/>
              <w:ind w:right="103"/>
              <w:spacing w:after="0" w:line="135" w:lineRule="exact"/>
              <w:rPr>
                <w:sz w:val="20"/>
                <w:szCs w:val="20"/>
                <w:color w:val="auto"/>
              </w:rPr>
            </w:pPr>
            <w:r>
              <w:rPr>
                <w:rFonts w:ascii="Arial" w:cs="Arial" w:eastAsia="Arial" w:hAnsi="Arial"/>
                <w:sz w:val="15"/>
                <w:szCs w:val="15"/>
                <w:b w:val="1"/>
                <w:bCs w:val="1"/>
                <w:color w:val="auto"/>
              </w:rPr>
              <w:t>Increase</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298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38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Revenues</w:t>
            </w: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260.1</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CE2EF"/>
          </w:tcPr>
          <w:p>
            <w:pPr>
              <w:jc w:val="right"/>
              <w:ind w:right="122"/>
              <w:spacing w:after="0"/>
              <w:rPr>
                <w:sz w:val="20"/>
                <w:szCs w:val="20"/>
                <w:color w:val="auto"/>
              </w:rPr>
            </w:pPr>
            <w:r>
              <w:rPr>
                <w:rFonts w:ascii="Arial" w:cs="Arial" w:eastAsia="Arial" w:hAnsi="Arial"/>
                <w:sz w:val="16"/>
                <w:szCs w:val="16"/>
                <w:color w:val="auto"/>
              </w:rPr>
              <w:t>238.2</w:t>
            </w:r>
          </w:p>
        </w:tc>
        <w:tc>
          <w:tcPr>
            <w:tcW w:w="100" w:type="dxa"/>
            <w:vAlign w:val="bottom"/>
            <w:shd w:val="clear" w:color="auto" w:fill="DCE2EF"/>
          </w:tcPr>
          <w:p>
            <w:pPr>
              <w:spacing w:after="0"/>
              <w:rPr>
                <w:sz w:val="18"/>
                <w:szCs w:val="18"/>
                <w:color w:val="auto"/>
              </w:rPr>
            </w:pPr>
          </w:p>
        </w:tc>
        <w:tc>
          <w:tcPr>
            <w:tcW w:w="700" w:type="dxa"/>
            <w:vAlign w:val="bottom"/>
            <w:shd w:val="clear" w:color="auto" w:fill="DCE2EF"/>
          </w:tcPr>
          <w:p>
            <w:pPr>
              <w:jc w:val="right"/>
              <w:ind w:right="499"/>
              <w:spacing w:after="0"/>
              <w:rPr>
                <w:sz w:val="20"/>
                <w:szCs w:val="20"/>
                <w:color w:val="auto"/>
              </w:rPr>
            </w:pPr>
            <w:r>
              <w:rPr>
                <w:rFonts w:ascii="Arial" w:cs="Arial" w:eastAsia="Arial" w:hAnsi="Arial"/>
                <w:sz w:val="16"/>
                <w:szCs w:val="16"/>
                <w:color w:val="auto"/>
              </w:rPr>
              <w:t>$</w:t>
            </w:r>
          </w:p>
        </w:tc>
        <w:tc>
          <w:tcPr>
            <w:tcW w:w="1580" w:type="dxa"/>
            <w:vAlign w:val="bottom"/>
            <w:shd w:val="clear" w:color="auto" w:fill="DCE2EF"/>
          </w:tcPr>
          <w:p>
            <w:pPr>
              <w:jc w:val="right"/>
              <w:ind w:right="543"/>
              <w:spacing w:after="0"/>
              <w:rPr>
                <w:sz w:val="20"/>
                <w:szCs w:val="20"/>
                <w:color w:val="auto"/>
              </w:rPr>
            </w:pPr>
            <w:r>
              <w:rPr>
                <w:rFonts w:ascii="Arial" w:cs="Arial" w:eastAsia="Arial" w:hAnsi="Arial"/>
                <w:sz w:val="16"/>
                <w:szCs w:val="16"/>
                <w:color w:val="auto"/>
              </w:rPr>
              <w:t>21.9</w:t>
            </w:r>
          </w:p>
        </w:tc>
        <w:tc>
          <w:tcPr>
            <w:tcW w:w="1260" w:type="dxa"/>
            <w:vAlign w:val="bottom"/>
            <w:shd w:val="clear" w:color="auto" w:fill="DCE2EF"/>
          </w:tcPr>
          <w:p>
            <w:pPr>
              <w:jc w:val="right"/>
              <w:ind w:right="57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Operating profit</w:t>
            </w:r>
          </w:p>
        </w:tc>
        <w:tc>
          <w:tcPr>
            <w:tcW w:w="42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22"/>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80" w:type="dxa"/>
            <w:vAlign w:val="bottom"/>
          </w:tcPr>
          <w:p>
            <w:pPr>
              <w:jc w:val="right"/>
              <w:ind w:right="543"/>
              <w:spacing w:after="0"/>
              <w:rPr>
                <w:sz w:val="20"/>
                <w:szCs w:val="20"/>
                <w:color w:val="auto"/>
              </w:rPr>
            </w:pPr>
            <w:r>
              <w:rPr>
                <w:rFonts w:ascii="Arial" w:cs="Arial" w:eastAsia="Arial" w:hAnsi="Arial"/>
                <w:sz w:val="16"/>
                <w:szCs w:val="16"/>
                <w:color w:val="auto"/>
              </w:rPr>
              <w:t>3.4</w:t>
            </w:r>
          </w:p>
        </w:tc>
        <w:tc>
          <w:tcPr>
            <w:tcW w:w="1260" w:type="dxa"/>
            <w:vAlign w:val="bottom"/>
          </w:tcPr>
          <w:p>
            <w:pPr>
              <w:jc w:val="right"/>
              <w:ind w:right="539"/>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02"/>
        </w:trPr>
        <w:tc>
          <w:tcPr>
            <w:tcW w:w="20" w:type="dxa"/>
            <w:vAlign w:val="bottom"/>
            <w:shd w:val="clear" w:color="auto" w:fill="DCE2EF"/>
          </w:tcPr>
          <w:p>
            <w:pPr>
              <w:spacing w:after="0"/>
              <w:rPr>
                <w:sz w:val="17"/>
                <w:szCs w:val="17"/>
                <w:color w:val="auto"/>
              </w:rPr>
            </w:pPr>
          </w:p>
        </w:tc>
        <w:tc>
          <w:tcPr>
            <w:tcW w:w="38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6.3 %</w:t>
            </w:r>
          </w:p>
        </w:tc>
        <w:tc>
          <w:tcPr>
            <w:tcW w:w="100" w:type="dxa"/>
            <w:vAlign w:val="bottom"/>
            <w:shd w:val="clear" w:color="auto" w:fill="DCE2EF"/>
          </w:tcPr>
          <w:p>
            <w:pPr>
              <w:spacing w:after="0"/>
              <w:rPr>
                <w:sz w:val="17"/>
                <w:szCs w:val="17"/>
                <w:color w:val="auto"/>
              </w:rPr>
            </w:pPr>
          </w:p>
        </w:tc>
        <w:tc>
          <w:tcPr>
            <w:tcW w:w="42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5.5 %</w:t>
            </w:r>
          </w:p>
        </w:tc>
        <w:tc>
          <w:tcPr>
            <w:tcW w:w="100" w:type="dxa"/>
            <w:vAlign w:val="bottom"/>
            <w:shd w:val="clear" w:color="auto" w:fill="DCE2EF"/>
          </w:tcPr>
          <w:p>
            <w:pPr>
              <w:spacing w:after="0"/>
              <w:rPr>
                <w:sz w:val="17"/>
                <w:szCs w:val="17"/>
                <w:color w:val="auto"/>
              </w:rPr>
            </w:pPr>
          </w:p>
        </w:tc>
        <w:tc>
          <w:tcPr>
            <w:tcW w:w="700" w:type="dxa"/>
            <w:vAlign w:val="bottom"/>
            <w:shd w:val="clear" w:color="auto" w:fill="DCE2EF"/>
          </w:tcPr>
          <w:p>
            <w:pPr>
              <w:spacing w:after="0"/>
              <w:rPr>
                <w:sz w:val="17"/>
                <w:szCs w:val="17"/>
                <w:color w:val="auto"/>
              </w:rPr>
            </w:pPr>
          </w:p>
        </w:tc>
        <w:tc>
          <w:tcPr>
            <w:tcW w:w="1580" w:type="dxa"/>
            <w:vAlign w:val="bottom"/>
            <w:shd w:val="clear" w:color="auto" w:fill="DCE2EF"/>
          </w:tcPr>
          <w:p>
            <w:pPr>
              <w:jc w:val="right"/>
              <w:ind w:right="503"/>
              <w:spacing w:after="0"/>
              <w:rPr>
                <w:sz w:val="20"/>
                <w:szCs w:val="20"/>
                <w:color w:val="auto"/>
              </w:rPr>
            </w:pPr>
            <w:r>
              <w:rPr>
                <w:rFonts w:ascii="Arial" w:cs="Arial" w:eastAsia="Arial" w:hAnsi="Arial"/>
                <w:sz w:val="14"/>
                <w:szCs w:val="14"/>
                <w:i w:val="1"/>
                <w:iCs w:val="1"/>
                <w:color w:val="auto"/>
              </w:rPr>
              <w:t>85 bps</w:t>
            </w:r>
          </w:p>
        </w:tc>
        <w:tc>
          <w:tcPr>
            <w:tcW w:w="12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Aviation revenues increased by $21.9 million, or 9.2%, to $ 260.1 million during the three months ended April 30, 2025, as compared to the prior year period. The increase was primarily attributable to new business and scope expansions with the existing clients both domestically and internationally. Management reimbursement revenues for this segment totaled $12.6 million and $8.2 million for the three months ended April 30, 2025 and 2024, respectively.</w:t>
      </w:r>
    </w:p>
    <w:p>
      <w:pPr>
        <w:spacing w:after="0" w:line="121"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Operating profit increased by $3.4 million, or 26.2%, to $16.5 million for the three months ended April 30, 2025, as compared to the prior year period. Operating profit margin increased by 85 bps to 6.3% in the three months ended April 30, 2025. The operating profit margin increased primarily due to contract mix and operational efficiencies, particularly in managing overhead costs, partially offset by base wage increases.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Education</w:t>
            </w:r>
          </w:p>
        </w:tc>
        <w:tc>
          <w:tcPr>
            <w:tcW w:w="420" w:type="dxa"/>
            <w:vAlign w:val="bottom"/>
          </w:tcPr>
          <w:p>
            <w:pPr>
              <w:spacing w:after="0"/>
              <w:rPr>
                <w:sz w:val="19"/>
                <w:szCs w:val="19"/>
                <w:color w:val="auto"/>
              </w:rPr>
            </w:pPr>
          </w:p>
        </w:tc>
        <w:tc>
          <w:tcPr>
            <w:tcW w:w="3460" w:type="dxa"/>
            <w:vAlign w:val="bottom"/>
            <w:gridSpan w:val="5"/>
            <w:vMerge w:val="restart"/>
          </w:tcPr>
          <w:p>
            <w:pPr>
              <w:ind w:left="320"/>
              <w:spacing w:after="0"/>
              <w:rPr>
                <w:sz w:val="20"/>
                <w:szCs w:val="20"/>
                <w:color w:val="auto"/>
              </w:rPr>
            </w:pPr>
            <w:r>
              <w:rPr>
                <w:rFonts w:ascii="Arial" w:cs="Arial" w:eastAsia="Arial" w:hAnsi="Arial"/>
                <w:sz w:val="16"/>
                <w:szCs w:val="16"/>
                <w:b w:val="1"/>
                <w:bCs w:val="1"/>
                <w:color w:val="auto"/>
              </w:rPr>
              <w:t>Three Months Ended April 30,</w:t>
            </w:r>
          </w:p>
        </w:tc>
        <w:tc>
          <w:tcPr>
            <w:tcW w:w="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60" w:type="dxa"/>
            <w:vAlign w:val="bottom"/>
            <w:gridSpan w:val="5"/>
            <w:vMerge w:val="continue"/>
          </w:tcPr>
          <w:p>
            <w:pPr>
              <w:spacing w:after="0"/>
              <w:rPr>
                <w:sz w:val="18"/>
                <w:szCs w:val="18"/>
                <w:color w:val="auto"/>
              </w:rPr>
            </w:pPr>
          </w:p>
        </w:tc>
        <w:tc>
          <w:tcPr>
            <w:tcW w:w="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0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81"/>
              <w:spacing w:after="0" w:line="142" w:lineRule="exact"/>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2"/>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80" w:type="dxa"/>
            <w:vAlign w:val="bottom"/>
          </w:tcPr>
          <w:p>
            <w:pPr>
              <w:ind w:left="740"/>
              <w:spacing w:after="0" w:line="135" w:lineRule="exact"/>
              <w:rPr>
                <w:sz w:val="20"/>
                <w:szCs w:val="20"/>
                <w:color w:val="auto"/>
              </w:rPr>
            </w:pPr>
            <w:r>
              <w:rPr>
                <w:rFonts w:ascii="Arial" w:cs="Arial" w:eastAsia="Arial" w:hAnsi="Arial"/>
                <w:sz w:val="15"/>
                <w:szCs w:val="15"/>
                <w:b w:val="1"/>
                <w:bCs w:val="1"/>
                <w:color w:val="auto"/>
              </w:rPr>
              <w:t>Increase</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298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38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Revenues</w:t>
            </w: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227.8</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CE2EF"/>
          </w:tcPr>
          <w:p>
            <w:pPr>
              <w:jc w:val="right"/>
              <w:ind w:right="122"/>
              <w:spacing w:after="0"/>
              <w:rPr>
                <w:sz w:val="20"/>
                <w:szCs w:val="20"/>
                <w:color w:val="auto"/>
              </w:rPr>
            </w:pPr>
            <w:r>
              <w:rPr>
                <w:rFonts w:ascii="Arial" w:cs="Arial" w:eastAsia="Arial" w:hAnsi="Arial"/>
                <w:sz w:val="16"/>
                <w:szCs w:val="16"/>
                <w:color w:val="auto"/>
              </w:rPr>
              <w:t>225.6</w:t>
            </w:r>
          </w:p>
        </w:tc>
        <w:tc>
          <w:tcPr>
            <w:tcW w:w="100" w:type="dxa"/>
            <w:vAlign w:val="bottom"/>
            <w:shd w:val="clear" w:color="auto" w:fill="DCE2EF"/>
          </w:tcPr>
          <w:p>
            <w:pPr>
              <w:spacing w:after="0"/>
              <w:rPr>
                <w:sz w:val="18"/>
                <w:szCs w:val="18"/>
                <w:color w:val="auto"/>
              </w:rPr>
            </w:pPr>
          </w:p>
        </w:tc>
        <w:tc>
          <w:tcPr>
            <w:tcW w:w="700" w:type="dxa"/>
            <w:vAlign w:val="bottom"/>
            <w:shd w:val="clear" w:color="auto" w:fill="DCE2EF"/>
          </w:tcPr>
          <w:p>
            <w:pPr>
              <w:jc w:val="right"/>
              <w:ind w:right="499"/>
              <w:spacing w:after="0"/>
              <w:rPr>
                <w:sz w:val="20"/>
                <w:szCs w:val="20"/>
                <w:color w:val="auto"/>
              </w:rPr>
            </w:pPr>
            <w:r>
              <w:rPr>
                <w:rFonts w:ascii="Arial" w:cs="Arial" w:eastAsia="Arial" w:hAnsi="Arial"/>
                <w:sz w:val="16"/>
                <w:szCs w:val="16"/>
                <w:color w:val="auto"/>
              </w:rPr>
              <w:t>$</w:t>
            </w:r>
          </w:p>
        </w:tc>
        <w:tc>
          <w:tcPr>
            <w:tcW w:w="1580" w:type="dxa"/>
            <w:vAlign w:val="bottom"/>
            <w:shd w:val="clear" w:color="auto" w:fill="DCE2EF"/>
          </w:tcPr>
          <w:p>
            <w:pPr>
              <w:ind w:left="740"/>
              <w:spacing w:after="0"/>
              <w:rPr>
                <w:sz w:val="20"/>
                <w:szCs w:val="20"/>
                <w:color w:val="auto"/>
              </w:rPr>
            </w:pPr>
            <w:r>
              <w:rPr>
                <w:rFonts w:ascii="Arial" w:cs="Arial" w:eastAsia="Arial" w:hAnsi="Arial"/>
                <w:sz w:val="16"/>
                <w:szCs w:val="16"/>
                <w:color w:val="auto"/>
              </w:rPr>
              <w:t>2.2</w:t>
            </w:r>
          </w:p>
        </w:tc>
        <w:tc>
          <w:tcPr>
            <w:tcW w:w="1260" w:type="dxa"/>
            <w:vAlign w:val="bottom"/>
            <w:shd w:val="clear" w:color="auto" w:fill="DCE2EF"/>
          </w:tcPr>
          <w:p>
            <w:pPr>
              <w:jc w:val="right"/>
              <w:ind w:right="57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Operating profit</w:t>
            </w:r>
          </w:p>
        </w:tc>
        <w:tc>
          <w:tcPr>
            <w:tcW w:w="42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22"/>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80" w:type="dxa"/>
            <w:vAlign w:val="bottom"/>
          </w:tcPr>
          <w:p>
            <w:pPr>
              <w:ind w:left="740"/>
              <w:spacing w:after="0"/>
              <w:rPr>
                <w:sz w:val="20"/>
                <w:szCs w:val="20"/>
                <w:color w:val="auto"/>
              </w:rPr>
            </w:pPr>
            <w:r>
              <w:rPr>
                <w:rFonts w:ascii="Arial" w:cs="Arial" w:eastAsia="Arial" w:hAnsi="Arial"/>
                <w:sz w:val="16"/>
                <w:szCs w:val="16"/>
                <w:color w:val="auto"/>
              </w:rPr>
              <w:t>2.3</w:t>
            </w:r>
          </w:p>
        </w:tc>
        <w:tc>
          <w:tcPr>
            <w:tcW w:w="1260" w:type="dxa"/>
            <w:vAlign w:val="bottom"/>
          </w:tcPr>
          <w:p>
            <w:pPr>
              <w:jc w:val="right"/>
              <w:ind w:right="539"/>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02"/>
        </w:trPr>
        <w:tc>
          <w:tcPr>
            <w:tcW w:w="20" w:type="dxa"/>
            <w:vAlign w:val="bottom"/>
            <w:shd w:val="clear" w:color="auto" w:fill="DCE2EF"/>
          </w:tcPr>
          <w:p>
            <w:pPr>
              <w:spacing w:after="0"/>
              <w:rPr>
                <w:sz w:val="17"/>
                <w:szCs w:val="17"/>
                <w:color w:val="auto"/>
              </w:rPr>
            </w:pPr>
          </w:p>
        </w:tc>
        <w:tc>
          <w:tcPr>
            <w:tcW w:w="38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6.0 %</w:t>
            </w:r>
          </w:p>
        </w:tc>
        <w:tc>
          <w:tcPr>
            <w:tcW w:w="100" w:type="dxa"/>
            <w:vAlign w:val="bottom"/>
            <w:shd w:val="clear" w:color="auto" w:fill="DCE2EF"/>
          </w:tcPr>
          <w:p>
            <w:pPr>
              <w:spacing w:after="0"/>
              <w:rPr>
                <w:sz w:val="17"/>
                <w:szCs w:val="17"/>
                <w:color w:val="auto"/>
              </w:rPr>
            </w:pPr>
          </w:p>
        </w:tc>
        <w:tc>
          <w:tcPr>
            <w:tcW w:w="42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5.1 %</w:t>
            </w:r>
          </w:p>
        </w:tc>
        <w:tc>
          <w:tcPr>
            <w:tcW w:w="100" w:type="dxa"/>
            <w:vAlign w:val="bottom"/>
            <w:shd w:val="clear" w:color="auto" w:fill="DCE2EF"/>
          </w:tcPr>
          <w:p>
            <w:pPr>
              <w:spacing w:after="0"/>
              <w:rPr>
                <w:sz w:val="17"/>
                <w:szCs w:val="17"/>
                <w:color w:val="auto"/>
              </w:rPr>
            </w:pPr>
          </w:p>
        </w:tc>
        <w:tc>
          <w:tcPr>
            <w:tcW w:w="700" w:type="dxa"/>
            <w:vAlign w:val="bottom"/>
            <w:shd w:val="clear" w:color="auto" w:fill="DCE2EF"/>
          </w:tcPr>
          <w:p>
            <w:pPr>
              <w:spacing w:after="0"/>
              <w:rPr>
                <w:sz w:val="17"/>
                <w:szCs w:val="17"/>
                <w:color w:val="auto"/>
              </w:rPr>
            </w:pPr>
          </w:p>
        </w:tc>
        <w:tc>
          <w:tcPr>
            <w:tcW w:w="1580" w:type="dxa"/>
            <w:vAlign w:val="bottom"/>
            <w:shd w:val="clear" w:color="auto" w:fill="DCE2EF"/>
          </w:tcPr>
          <w:p>
            <w:pPr>
              <w:ind w:left="580"/>
              <w:spacing w:after="0"/>
              <w:rPr>
                <w:sz w:val="20"/>
                <w:szCs w:val="20"/>
                <w:color w:val="auto"/>
              </w:rPr>
            </w:pPr>
            <w:r>
              <w:rPr>
                <w:rFonts w:ascii="Arial" w:cs="Arial" w:eastAsia="Arial" w:hAnsi="Arial"/>
                <w:sz w:val="14"/>
                <w:szCs w:val="14"/>
                <w:i w:val="1"/>
                <w:iCs w:val="1"/>
                <w:color w:val="auto"/>
              </w:rPr>
              <w:t>93 bps</w:t>
            </w:r>
          </w:p>
        </w:tc>
        <w:tc>
          <w:tcPr>
            <w:tcW w:w="12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Education revenues increased by $2.2 million, or 1.0%, to $227.8 million during the three months ended April 30, 2025, as compared to the prior year period. The increase was primarily attributable to new business wins.</w:t>
      </w:r>
    </w:p>
    <w:p>
      <w:pPr>
        <w:spacing w:after="0" w:line="100"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Operating profit increased by $2.3 million, or 19.4%, to $ 13.8 million for the three months ended April 30, 2025, as compared to the prior year period. Operating profit margin increased by 93 bps to 6.0% in the three months ended April 30, 2025, from 5.1% in the prior year period. The increase in operating profit margin was primarily attributable to operational efficiencies, particularly in managing overtime, materials and supplies, and general and administrative headcount, partially offset by base wage increases.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Technical Solutions</w:t>
            </w:r>
          </w:p>
        </w:tc>
        <w:tc>
          <w:tcPr>
            <w:tcW w:w="420" w:type="dxa"/>
            <w:vAlign w:val="bottom"/>
          </w:tcPr>
          <w:p>
            <w:pPr>
              <w:spacing w:after="0"/>
              <w:rPr>
                <w:sz w:val="19"/>
                <w:szCs w:val="19"/>
                <w:color w:val="auto"/>
              </w:rPr>
            </w:pPr>
          </w:p>
        </w:tc>
        <w:tc>
          <w:tcPr>
            <w:tcW w:w="3480" w:type="dxa"/>
            <w:vAlign w:val="bottom"/>
            <w:gridSpan w:val="5"/>
            <w:vMerge w:val="restart"/>
          </w:tcPr>
          <w:p>
            <w:pPr>
              <w:ind w:left="340"/>
              <w:spacing w:after="0"/>
              <w:rPr>
                <w:sz w:val="20"/>
                <w:szCs w:val="20"/>
                <w:color w:val="auto"/>
              </w:rPr>
            </w:pPr>
            <w:r>
              <w:rPr>
                <w:rFonts w:ascii="Arial" w:cs="Arial" w:eastAsia="Arial" w:hAnsi="Arial"/>
                <w:sz w:val="16"/>
                <w:szCs w:val="16"/>
                <w:b w:val="1"/>
                <w:bCs w:val="1"/>
                <w:color w:val="auto"/>
              </w:rPr>
              <w:t>Three Months Ended April 30,</w:t>
            </w: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80" w:type="dxa"/>
            <w:vAlign w:val="bottom"/>
            <w:gridSpan w:val="5"/>
            <w:vMerge w:val="continue"/>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1"/>
              <w:spacing w:after="0" w:line="142" w:lineRule="exact"/>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2"/>
              <w:spacing w:after="0" w:line="142"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0" w:type="dxa"/>
            <w:vAlign w:val="bottom"/>
            <w:gridSpan w:val="2"/>
          </w:tcPr>
          <w:p>
            <w:pPr>
              <w:jc w:val="right"/>
              <w:ind w:right="879"/>
              <w:spacing w:after="0" w:line="135" w:lineRule="exact"/>
              <w:rPr>
                <w:sz w:val="20"/>
                <w:szCs w:val="20"/>
                <w:color w:val="auto"/>
              </w:rPr>
            </w:pPr>
            <w:r>
              <w:rPr>
                <w:rFonts w:ascii="Arial" w:cs="Arial" w:eastAsia="Arial" w:hAnsi="Arial"/>
                <w:sz w:val="15"/>
                <w:szCs w:val="15"/>
                <w:b w:val="1"/>
                <w:bCs w:val="1"/>
                <w:color w:val="auto"/>
              </w:rPr>
              <w:t>Increase / (Decrease)</w:t>
            </w: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296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37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Revenues</w:t>
            </w: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210.2</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jc w:val="right"/>
              <w:ind w:right="2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DCE2EF"/>
          </w:tcPr>
          <w:p>
            <w:pPr>
              <w:jc w:val="right"/>
              <w:ind w:right="102"/>
              <w:spacing w:after="0"/>
              <w:rPr>
                <w:sz w:val="20"/>
                <w:szCs w:val="20"/>
                <w:color w:val="auto"/>
              </w:rPr>
            </w:pPr>
            <w:r>
              <w:rPr>
                <w:rFonts w:ascii="Arial" w:cs="Arial" w:eastAsia="Arial" w:hAnsi="Arial"/>
                <w:sz w:val="16"/>
                <w:szCs w:val="16"/>
                <w:color w:val="auto"/>
              </w:rPr>
              <w:t>176.2</w:t>
            </w:r>
          </w:p>
        </w:tc>
        <w:tc>
          <w:tcPr>
            <w:tcW w:w="120" w:type="dxa"/>
            <w:vAlign w:val="bottom"/>
            <w:shd w:val="clear" w:color="auto" w:fill="DCE2EF"/>
          </w:tcPr>
          <w:p>
            <w:pPr>
              <w:spacing w:after="0"/>
              <w:rPr>
                <w:sz w:val="18"/>
                <w:szCs w:val="18"/>
                <w:color w:val="auto"/>
              </w:rPr>
            </w:pPr>
          </w:p>
        </w:tc>
        <w:tc>
          <w:tcPr>
            <w:tcW w:w="540" w:type="dxa"/>
            <w:vAlign w:val="bottom"/>
            <w:shd w:val="clear" w:color="auto" w:fill="DCE2EF"/>
          </w:tcPr>
          <w:p>
            <w:pPr>
              <w:jc w:val="right"/>
              <w:ind w:right="3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DCE2EF"/>
          </w:tcPr>
          <w:p>
            <w:pPr>
              <w:jc w:val="right"/>
              <w:ind w:right="323"/>
              <w:spacing w:after="0"/>
              <w:rPr>
                <w:sz w:val="20"/>
                <w:szCs w:val="20"/>
                <w:color w:val="auto"/>
              </w:rPr>
            </w:pPr>
            <w:r>
              <w:rPr>
                <w:rFonts w:ascii="Arial" w:cs="Arial" w:eastAsia="Arial" w:hAnsi="Arial"/>
                <w:sz w:val="16"/>
                <w:szCs w:val="16"/>
                <w:color w:val="auto"/>
              </w:rPr>
              <w:t>34.0</w:t>
            </w:r>
          </w:p>
        </w:tc>
        <w:tc>
          <w:tcPr>
            <w:tcW w:w="1500" w:type="dxa"/>
            <w:vAlign w:val="bottom"/>
            <w:shd w:val="clear" w:color="auto" w:fill="DCE2EF"/>
          </w:tcPr>
          <w:p>
            <w:pPr>
              <w:jc w:val="right"/>
              <w:ind w:right="559"/>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6"/>
                <w:szCs w:val="16"/>
                <w:color w:val="auto"/>
              </w:rPr>
              <w:t>Operating profit</w:t>
            </w:r>
          </w:p>
        </w:tc>
        <w:tc>
          <w:tcPr>
            <w:tcW w:w="42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02"/>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jc w:val="right"/>
              <w:ind w:right="283"/>
              <w:spacing w:after="0"/>
              <w:rPr>
                <w:sz w:val="20"/>
                <w:szCs w:val="20"/>
                <w:color w:val="auto"/>
              </w:rPr>
            </w:pPr>
            <w:r>
              <w:rPr>
                <w:rFonts w:ascii="Arial" w:cs="Arial" w:eastAsia="Arial" w:hAnsi="Arial"/>
                <w:sz w:val="16"/>
                <w:szCs w:val="16"/>
                <w:color w:val="auto"/>
              </w:rPr>
              <w:t>(3.6)</w:t>
            </w:r>
          </w:p>
        </w:tc>
        <w:tc>
          <w:tcPr>
            <w:tcW w:w="1500" w:type="dxa"/>
            <w:vAlign w:val="bottom"/>
          </w:tcPr>
          <w:p>
            <w:pPr>
              <w:jc w:val="right"/>
              <w:ind w:right="499"/>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02"/>
        </w:trPr>
        <w:tc>
          <w:tcPr>
            <w:tcW w:w="20" w:type="dxa"/>
            <w:vAlign w:val="bottom"/>
            <w:shd w:val="clear" w:color="auto" w:fill="DCE2EF"/>
          </w:tcPr>
          <w:p>
            <w:pPr>
              <w:spacing w:after="0"/>
              <w:rPr>
                <w:sz w:val="17"/>
                <w:szCs w:val="17"/>
                <w:color w:val="auto"/>
              </w:rPr>
            </w:pPr>
          </w:p>
        </w:tc>
        <w:tc>
          <w:tcPr>
            <w:tcW w:w="378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6.4 %</w:t>
            </w:r>
          </w:p>
        </w:tc>
        <w:tc>
          <w:tcPr>
            <w:tcW w:w="100" w:type="dxa"/>
            <w:vAlign w:val="bottom"/>
            <w:shd w:val="clear" w:color="auto" w:fill="DCE2EF"/>
          </w:tcPr>
          <w:p>
            <w:pPr>
              <w:spacing w:after="0"/>
              <w:rPr>
                <w:sz w:val="17"/>
                <w:szCs w:val="17"/>
                <w:color w:val="auto"/>
              </w:rPr>
            </w:pPr>
          </w:p>
        </w:tc>
        <w:tc>
          <w:tcPr>
            <w:tcW w:w="42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9.6 %</w:t>
            </w:r>
          </w:p>
        </w:tc>
        <w:tc>
          <w:tcPr>
            <w:tcW w:w="120" w:type="dxa"/>
            <w:vAlign w:val="bottom"/>
            <w:shd w:val="clear" w:color="auto" w:fill="DCE2EF"/>
          </w:tcPr>
          <w:p>
            <w:pPr>
              <w:spacing w:after="0"/>
              <w:rPr>
                <w:sz w:val="17"/>
                <w:szCs w:val="17"/>
                <w:color w:val="auto"/>
              </w:rPr>
            </w:pPr>
          </w:p>
        </w:tc>
        <w:tc>
          <w:tcPr>
            <w:tcW w:w="540" w:type="dxa"/>
            <w:vAlign w:val="bottom"/>
            <w:shd w:val="clear" w:color="auto" w:fill="DCE2EF"/>
          </w:tcPr>
          <w:p>
            <w:pPr>
              <w:spacing w:after="0"/>
              <w:rPr>
                <w:sz w:val="17"/>
                <w:szCs w:val="17"/>
                <w:color w:val="auto"/>
              </w:rPr>
            </w:pPr>
          </w:p>
        </w:tc>
        <w:tc>
          <w:tcPr>
            <w:tcW w:w="1500" w:type="dxa"/>
            <w:vAlign w:val="bottom"/>
            <w:shd w:val="clear" w:color="auto" w:fill="DCE2EF"/>
          </w:tcPr>
          <w:p>
            <w:pPr>
              <w:jc w:val="right"/>
              <w:ind w:right="263"/>
              <w:spacing w:after="0"/>
              <w:rPr>
                <w:sz w:val="20"/>
                <w:szCs w:val="20"/>
                <w:color w:val="auto"/>
              </w:rPr>
            </w:pPr>
            <w:r>
              <w:rPr>
                <w:rFonts w:ascii="Arial" w:cs="Arial" w:eastAsia="Arial" w:hAnsi="Arial"/>
                <w:sz w:val="14"/>
                <w:szCs w:val="14"/>
                <w:i w:val="1"/>
                <w:iCs w:val="1"/>
                <w:color w:val="auto"/>
              </w:rPr>
              <w:t>(323) bps</w:t>
            </w:r>
          </w:p>
        </w:tc>
        <w:tc>
          <w:tcPr>
            <w:tcW w:w="150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Technical Solutions revenues increased by $34.0 million, or 19.3%, to $ 210.2 million during the three months ended April 30, 2025, as compared to the prior year period. Revenue growth was comprised of organic growth of 9.8% and acquisition growth of 9.5%. The organic revenue growth was primarily driven by higher project revenues due to the higher microgrid projects as well as certain infrastructure solutions projects, partially offset by a decrease in electric vehicle charging station revenues. Acquisition growth was driven by a $16.6 million revenue increase from the Quality Uptime Acquisition, which was completed in June 2024.</w:t>
      </w:r>
    </w:p>
    <w:p>
      <w:pPr>
        <w:spacing w:after="0" w:line="124"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Operating profit decreased by $3.6 million, or 20.7%, to $13.4 million during the three months ended April 30, 2025, as compared to the prior year period. Operating profit margin decreased by 323 bps to 6.4% in the three months ended April 30, 2025, from 9.6% in the prior year period. The decrease in operating profit margin was primarily attributable to adverse service mix as compared to the prior year and higher amortization of intangible assets.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Corporate</w:t>
            </w:r>
          </w:p>
        </w:tc>
        <w:tc>
          <w:tcPr>
            <w:tcW w:w="3020" w:type="dxa"/>
            <w:vAlign w:val="bottom"/>
            <w:gridSpan w:val="4"/>
            <w:vMerge w:val="restart"/>
          </w:tcPr>
          <w:p>
            <w:pPr>
              <w:jc w:val="right"/>
              <w:ind w:right="19"/>
              <w:spacing w:after="0"/>
              <w:rPr>
                <w:sz w:val="20"/>
                <w:szCs w:val="20"/>
                <w:color w:val="auto"/>
              </w:rPr>
            </w:pPr>
            <w:r>
              <w:rPr>
                <w:rFonts w:ascii="Arial" w:cs="Arial" w:eastAsia="Arial" w:hAnsi="Arial"/>
                <w:sz w:val="16"/>
                <w:szCs w:val="16"/>
                <w:b w:val="1"/>
                <w:bCs w:val="1"/>
                <w:color w:val="auto"/>
              </w:rPr>
              <w:t>Three Months Ended April 30,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20" w:type="dxa"/>
            <w:vAlign w:val="bottom"/>
            <w:tcBorders>
              <w:bottom w:val="single" w:sz="8" w:color="auto"/>
            </w:tcBorders>
            <w:gridSpan w:val="4"/>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4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1160" w:type="dxa"/>
            <w:vAlign w:val="bottom"/>
          </w:tcPr>
          <w:p>
            <w:pPr>
              <w:jc w:val="right"/>
              <w:ind w:right="39"/>
              <w:spacing w:after="0" w:line="142" w:lineRule="exact"/>
              <w:rPr>
                <w:sz w:val="20"/>
                <w:szCs w:val="20"/>
                <w:color w:val="auto"/>
              </w:rPr>
            </w:pPr>
            <w:r>
              <w:rPr>
                <w:rFonts w:ascii="Arial" w:cs="Arial" w:eastAsia="Arial" w:hAnsi="Arial"/>
                <w:sz w:val="16"/>
                <w:szCs w:val="16"/>
                <w:b w:val="1"/>
                <w:bCs w:val="1"/>
                <w:color w:val="auto"/>
              </w:rPr>
              <w:t>2025</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39"/>
              <w:spacing w:after="0" w:line="142" w:lineRule="exact"/>
              <w:rPr>
                <w:sz w:val="20"/>
                <w:szCs w:val="20"/>
                <w:color w:val="auto"/>
              </w:rPr>
            </w:pPr>
            <w:r>
              <w:rPr>
                <w:rFonts w:ascii="Arial" w:cs="Arial" w:eastAsia="Arial" w:hAnsi="Arial"/>
                <w:sz w:val="16"/>
                <w:szCs w:val="16"/>
                <w:b w:val="1"/>
                <w:bCs w:val="1"/>
                <w:color w:val="auto"/>
              </w:rPr>
              <w:t>2024</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960" w:type="dxa"/>
            <w:vAlign w:val="bottom"/>
          </w:tcPr>
          <w:p>
            <w:pPr>
              <w:jc w:val="right"/>
              <w:ind w:right="442"/>
              <w:spacing w:after="0" w:line="135" w:lineRule="exact"/>
              <w:rPr>
                <w:sz w:val="20"/>
                <w:szCs w:val="20"/>
                <w:color w:val="auto"/>
              </w:rPr>
            </w:pPr>
            <w:r>
              <w:rPr>
                <w:rFonts w:ascii="Arial" w:cs="Arial" w:eastAsia="Arial" w:hAnsi="Arial"/>
                <w:sz w:val="15"/>
                <w:szCs w:val="15"/>
                <w:b w:val="1"/>
                <w:bCs w:val="1"/>
                <w:color w:val="auto"/>
              </w:rPr>
              <w:t>Increase</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3020" w:type="dxa"/>
            <w:vAlign w:val="bottom"/>
            <w:tcBorders>
              <w:bottom w:val="single" w:sz="8" w:color="DCE2E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38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Corporate expenses</w:t>
            </w:r>
          </w:p>
        </w:tc>
        <w:tc>
          <w:tcPr>
            <w:tcW w:w="1160" w:type="dxa"/>
            <w:vAlign w:val="bottom"/>
            <w:shd w:val="clear" w:color="auto" w:fill="DCE2EF"/>
          </w:tcPr>
          <w:p>
            <w:pPr>
              <w:jc w:val="right"/>
              <w:ind w:right="959"/>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(82.9)</w:t>
            </w:r>
          </w:p>
        </w:tc>
        <w:tc>
          <w:tcPr>
            <w:tcW w:w="100" w:type="dxa"/>
            <w:vAlign w:val="bottom"/>
            <w:shd w:val="clear" w:color="auto" w:fill="DCE2EF"/>
          </w:tcPr>
          <w:p>
            <w:pPr>
              <w:spacing w:after="0"/>
              <w:rPr>
                <w:sz w:val="18"/>
                <w:szCs w:val="18"/>
                <w:color w:val="auto"/>
              </w:rPr>
            </w:pPr>
          </w:p>
        </w:tc>
        <w:tc>
          <w:tcPr>
            <w:tcW w:w="1180" w:type="dxa"/>
            <w:vAlign w:val="bottom"/>
            <w:shd w:val="clear" w:color="auto" w:fill="DCE2EF"/>
          </w:tcPr>
          <w:p>
            <w:pPr>
              <w:jc w:val="right"/>
              <w:ind w:right="979"/>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(79.7)</w:t>
            </w:r>
          </w:p>
        </w:tc>
        <w:tc>
          <w:tcPr>
            <w:tcW w:w="100" w:type="dxa"/>
            <w:vAlign w:val="bottom"/>
            <w:shd w:val="clear" w:color="auto" w:fill="DCE2EF"/>
          </w:tcPr>
          <w:p>
            <w:pPr>
              <w:spacing w:after="0"/>
              <w:rPr>
                <w:sz w:val="18"/>
                <w:szCs w:val="18"/>
                <w:color w:val="auto"/>
              </w:rPr>
            </w:pPr>
          </w:p>
        </w:tc>
        <w:tc>
          <w:tcPr>
            <w:tcW w:w="740" w:type="dxa"/>
            <w:vAlign w:val="bottom"/>
            <w:shd w:val="clear" w:color="auto" w:fill="DCE2EF"/>
          </w:tcPr>
          <w:p>
            <w:pPr>
              <w:jc w:val="right"/>
              <w:ind w:right="539"/>
              <w:spacing w:after="0"/>
              <w:rPr>
                <w:sz w:val="20"/>
                <w:szCs w:val="20"/>
                <w:color w:val="auto"/>
              </w:rPr>
            </w:pPr>
            <w:r>
              <w:rPr>
                <w:rFonts w:ascii="Arial" w:cs="Arial" w:eastAsia="Arial" w:hAnsi="Arial"/>
                <w:sz w:val="16"/>
                <w:szCs w:val="16"/>
                <w:color w:val="auto"/>
              </w:rPr>
              <w:t>$</w:t>
            </w:r>
          </w:p>
        </w:tc>
        <w:tc>
          <w:tcPr>
            <w:tcW w:w="1960" w:type="dxa"/>
            <w:vAlign w:val="bottom"/>
            <w:shd w:val="clear" w:color="auto" w:fill="DCE2EF"/>
          </w:tcPr>
          <w:p>
            <w:pPr>
              <w:jc w:val="right"/>
              <w:ind w:right="902"/>
              <w:spacing w:after="0"/>
              <w:rPr>
                <w:sz w:val="20"/>
                <w:szCs w:val="20"/>
                <w:color w:val="auto"/>
              </w:rPr>
            </w:pPr>
            <w:r>
              <w:rPr>
                <w:rFonts w:ascii="Arial" w:cs="Arial" w:eastAsia="Arial" w:hAnsi="Arial"/>
                <w:sz w:val="16"/>
                <w:szCs w:val="16"/>
                <w:color w:val="auto"/>
              </w:rPr>
              <w:t>(3.2)</w:t>
            </w:r>
          </w:p>
        </w:tc>
        <w:tc>
          <w:tcPr>
            <w:tcW w:w="10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Corporate expenses increased by $3.2 million, or 4.0%, to $82.9 million during the three months ended April 30, 2025, as compared to the prior year period. The increase in corporate expenses was primarily attributable to:</w:t>
      </w:r>
    </w:p>
    <w:p>
      <w:pPr>
        <w:spacing w:after="0" w:line="100" w:lineRule="exact"/>
        <w:rPr>
          <w:sz w:val="20"/>
          <w:szCs w:val="20"/>
          <w:color w:val="auto"/>
        </w:rPr>
      </w:pPr>
    </w:p>
    <w:p>
      <w:pPr>
        <w:ind w:left="640" w:hanging="310"/>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$2.2 million accrual for a parking tax audit settlement related to 2012-2019;</w:t>
      </w:r>
    </w:p>
    <w:p>
      <w:pPr>
        <w:spacing w:after="0" w:line="169" w:lineRule="exact"/>
        <w:rPr>
          <w:rFonts w:ascii="Arial" w:cs="Arial" w:eastAsia="Arial" w:hAnsi="Arial"/>
          <w:sz w:val="18"/>
          <w:szCs w:val="18"/>
          <w:color w:val="auto"/>
        </w:rPr>
      </w:pPr>
    </w:p>
    <w:p>
      <w:pPr>
        <w:ind w:left="640" w:hanging="310"/>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$2.0 million increase in costs associated with systems’ go-live; and</w:t>
      </w:r>
    </w:p>
    <w:p>
      <w:pPr>
        <w:spacing w:after="0" w:line="169" w:lineRule="exact"/>
        <w:rPr>
          <w:rFonts w:ascii="Arial" w:cs="Arial" w:eastAsia="Arial" w:hAnsi="Arial"/>
          <w:sz w:val="18"/>
          <w:szCs w:val="18"/>
          <w:color w:val="auto"/>
        </w:rPr>
      </w:pPr>
    </w:p>
    <w:p>
      <w:pPr>
        <w:ind w:left="660" w:right="5980" w:hanging="330"/>
        <w:spacing w:after="0" w:line="43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$1.1 million increase in acquisition and integration costs. The increase was partially offset by:</w:t>
      </w:r>
    </w:p>
    <w:p>
      <w:pPr>
        <w:ind w:left="660" w:hanging="330"/>
        <w:spacing w:after="0" w:line="285"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absence of a $4.3 million unfavorable self-insurance reserve adjustment related to prior year claims from actuarial evaluations completed in the three months ended April 30, 2024.</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0046AD"/>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80" w:lineRule="exact"/>
        <w:rPr>
          <w:sz w:val="20"/>
          <w:szCs w:val="20"/>
          <w:color w:val="auto"/>
        </w:rPr>
      </w:pPr>
    </w:p>
    <w:p>
      <w:pPr>
        <w:ind w:right="3960"/>
        <w:spacing w:after="0" w:line="367" w:lineRule="auto"/>
        <w:rPr>
          <w:sz w:val="20"/>
          <w:szCs w:val="20"/>
          <w:color w:val="auto"/>
        </w:rPr>
      </w:pPr>
      <w:r>
        <w:rPr>
          <w:rFonts w:ascii="Arial" w:cs="Arial" w:eastAsia="Arial" w:hAnsi="Arial"/>
          <w:sz w:val="18"/>
          <w:szCs w:val="18"/>
          <w:b w:val="1"/>
          <w:bCs w:val="1"/>
          <w:i w:val="1"/>
          <w:iCs w:val="1"/>
          <w:color w:val="0046AD"/>
        </w:rPr>
        <w:t>Six Months Ended April 30, 2025, Compared with the Six Months Ended April 30, 2024 Consolidated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40" w:type="dxa"/>
            <w:vAlign w:val="bottom"/>
            <w:gridSpan w:val="5"/>
          </w:tcPr>
          <w:p>
            <w:pPr>
              <w:ind w:left="280"/>
              <w:spacing w:after="0"/>
              <w:rPr>
                <w:sz w:val="20"/>
                <w:szCs w:val="20"/>
                <w:color w:val="auto"/>
              </w:rPr>
            </w:pPr>
            <w:r>
              <w:rPr>
                <w:rFonts w:ascii="Arial" w:cs="Arial" w:eastAsia="Arial" w:hAnsi="Arial"/>
                <w:sz w:val="16"/>
                <w:szCs w:val="16"/>
                <w:b w:val="1"/>
                <w:bCs w:val="1"/>
                <w:color w:val="auto"/>
              </w:rPr>
              <w:t>Six Months Ended April 30,</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522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60"/>
              <w:spacing w:after="0" w:line="142" w:lineRule="exact"/>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60"/>
              <w:spacing w:after="0" w:line="142"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2"/>
          </w:tcPr>
          <w:p>
            <w:pPr>
              <w:ind w:left="160"/>
              <w:spacing w:after="0" w:line="135" w:lineRule="exact"/>
              <w:rPr>
                <w:sz w:val="20"/>
                <w:szCs w:val="20"/>
                <w:color w:val="auto"/>
              </w:rPr>
            </w:pPr>
            <w:r>
              <w:rPr>
                <w:rFonts w:ascii="Arial" w:cs="Arial" w:eastAsia="Arial" w:hAnsi="Arial"/>
                <w:sz w:val="15"/>
                <w:szCs w:val="15"/>
                <w:b w:val="1"/>
                <w:bCs w:val="1"/>
                <w:color w:val="auto"/>
              </w:rPr>
              <w:t>Increase / (Decrease)</w:t>
            </w:r>
          </w:p>
        </w:tc>
      </w:tr>
      <w:tr>
        <w:trPr>
          <w:trHeight w:val="34"/>
        </w:trPr>
        <w:tc>
          <w:tcPr>
            <w:tcW w:w="2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4520" w:type="dxa"/>
            <w:vAlign w:val="bottom"/>
            <w:tcBorders>
              <w:bottom w:val="single" w:sz="8" w:color="DCE2E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8"/>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Revenues</w:t>
            </w:r>
          </w:p>
        </w:tc>
        <w:tc>
          <w:tcPr>
            <w:tcW w:w="380" w:type="dxa"/>
            <w:vAlign w:val="bottom"/>
            <w:shd w:val="clear" w:color="auto" w:fill="DCE2E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CE2EF"/>
          </w:tcPr>
          <w:p>
            <w:pPr>
              <w:jc w:val="right"/>
              <w:ind w:right="100"/>
              <w:spacing w:after="0"/>
              <w:rPr>
                <w:sz w:val="20"/>
                <w:szCs w:val="20"/>
                <w:color w:val="auto"/>
              </w:rPr>
            </w:pPr>
            <w:r>
              <w:rPr>
                <w:rFonts w:ascii="Arial" w:cs="Arial" w:eastAsia="Arial" w:hAnsi="Arial"/>
                <w:sz w:val="16"/>
                <w:szCs w:val="16"/>
                <w:color w:val="auto"/>
              </w:rPr>
              <w:t>4,226.6</w:t>
            </w:r>
          </w:p>
        </w:tc>
        <w:tc>
          <w:tcPr>
            <w:tcW w:w="120" w:type="dxa"/>
            <w:vAlign w:val="bottom"/>
            <w:shd w:val="clear" w:color="auto" w:fill="DCE2EF"/>
          </w:tcPr>
          <w:p>
            <w:pPr>
              <w:spacing w:after="0"/>
              <w:rPr>
                <w:sz w:val="18"/>
                <w:szCs w:val="18"/>
                <w:color w:val="auto"/>
              </w:rPr>
            </w:pPr>
          </w:p>
        </w:tc>
        <w:tc>
          <w:tcPr>
            <w:tcW w:w="380" w:type="dxa"/>
            <w:vAlign w:val="bottom"/>
            <w:shd w:val="clear" w:color="auto" w:fill="DCE2E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CE2EF"/>
          </w:tcPr>
          <w:p>
            <w:pPr>
              <w:jc w:val="right"/>
              <w:ind w:right="100"/>
              <w:spacing w:after="0"/>
              <w:rPr>
                <w:sz w:val="20"/>
                <w:szCs w:val="20"/>
                <w:color w:val="auto"/>
              </w:rPr>
            </w:pPr>
            <w:r>
              <w:rPr>
                <w:rFonts w:ascii="Arial" w:cs="Arial" w:eastAsia="Arial" w:hAnsi="Arial"/>
                <w:sz w:val="16"/>
                <w:szCs w:val="16"/>
                <w:color w:val="auto"/>
              </w:rPr>
              <w:t>4,087.8</w:t>
            </w:r>
          </w:p>
        </w:tc>
        <w:tc>
          <w:tcPr>
            <w:tcW w:w="120" w:type="dxa"/>
            <w:vAlign w:val="bottom"/>
            <w:shd w:val="clear" w:color="auto" w:fill="DCE2EF"/>
          </w:tcPr>
          <w:p>
            <w:pPr>
              <w:spacing w:after="0"/>
              <w:rPr>
                <w:sz w:val="18"/>
                <w:szCs w:val="18"/>
                <w:color w:val="auto"/>
              </w:rPr>
            </w:pPr>
          </w:p>
        </w:tc>
        <w:tc>
          <w:tcPr>
            <w:tcW w:w="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138.8</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3.4%</w:t>
            </w:r>
          </w:p>
        </w:tc>
      </w:tr>
      <w:tr>
        <w:trPr>
          <w:trHeight w:val="214"/>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3,696.1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3,589.8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106.3</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3.0%</w:t>
            </w:r>
          </w:p>
        </w:tc>
      </w:tr>
      <w:tr>
        <w:trPr>
          <w:trHeight w:val="202"/>
        </w:trPr>
        <w:tc>
          <w:tcPr>
            <w:tcW w:w="20" w:type="dxa"/>
            <w:vAlign w:val="bottom"/>
            <w:shd w:val="clear" w:color="auto" w:fill="DCE2EF"/>
          </w:tcPr>
          <w:p>
            <w:pPr>
              <w:spacing w:after="0"/>
              <w:rPr>
                <w:sz w:val="17"/>
                <w:szCs w:val="17"/>
                <w:color w:val="auto"/>
              </w:rPr>
            </w:pPr>
          </w:p>
        </w:tc>
        <w:tc>
          <w:tcPr>
            <w:tcW w:w="522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Gross margin</w:t>
            </w:r>
          </w:p>
        </w:tc>
        <w:tc>
          <w:tcPr>
            <w:tcW w:w="380" w:type="dxa"/>
            <w:vAlign w:val="bottom"/>
            <w:shd w:val="clear" w:color="auto" w:fill="DCE2EF"/>
          </w:tcPr>
          <w:p>
            <w:pPr>
              <w:spacing w:after="0"/>
              <w:rPr>
                <w:sz w:val="17"/>
                <w:szCs w:val="17"/>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12.6 %</w:t>
            </w:r>
          </w:p>
        </w:tc>
        <w:tc>
          <w:tcPr>
            <w:tcW w:w="12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12.2 %</w:t>
            </w:r>
          </w:p>
        </w:tc>
        <w:tc>
          <w:tcPr>
            <w:tcW w:w="120" w:type="dxa"/>
            <w:vAlign w:val="bottom"/>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37 bps</w:t>
            </w:r>
          </w:p>
        </w:tc>
        <w:tc>
          <w:tcPr>
            <w:tcW w:w="1280" w:type="dxa"/>
            <w:vAlign w:val="bottom"/>
            <w:shd w:val="clear" w:color="auto" w:fill="DCE2E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344.1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314.5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29.6</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9.4%</w:t>
            </w:r>
          </w:p>
        </w:tc>
      </w:tr>
      <w:tr>
        <w:trPr>
          <w:trHeight w:val="216"/>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ind w:right="100"/>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ind w:right="100"/>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DCE2EF"/>
          </w:tcPr>
          <w:p>
            <w:pPr>
              <w:spacing w:after="0"/>
              <w:rPr>
                <w:sz w:val="18"/>
                <w:szCs w:val="18"/>
                <w:color w:val="auto"/>
              </w:rPr>
            </w:pPr>
          </w:p>
        </w:tc>
        <w:tc>
          <w:tcPr>
            <w:tcW w:w="260" w:type="dxa"/>
            <w:vAlign w:val="bottom"/>
            <w:tcBorders>
              <w:bottom w:val="single" w:sz="8" w:color="auto"/>
            </w:tcBorders>
            <w:shd w:val="clear" w:color="auto" w:fill="DCE2EF"/>
          </w:tcPr>
          <w:p>
            <w:pPr>
              <w:spacing w:after="0"/>
              <w:rPr>
                <w:sz w:val="18"/>
                <w:szCs w:val="18"/>
                <w:color w:val="auto"/>
              </w:rPr>
            </w:pPr>
          </w:p>
        </w:tc>
        <w:tc>
          <w:tcPr>
            <w:tcW w:w="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7"/>
              </w:rPr>
              <w:t>(6.1)%</w:t>
            </w:r>
          </w:p>
        </w:tc>
      </w:tr>
      <w:tr>
        <w:trPr>
          <w:trHeight w:val="208"/>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b w:val="1"/>
                <w:bCs w:val="1"/>
                <w:color w:val="auto"/>
              </w:rPr>
              <w:t>Operating profit</w:t>
            </w:r>
          </w:p>
        </w:tc>
        <w:tc>
          <w:tcPr>
            <w:tcW w:w="3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159.9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155.4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2.9%</w:t>
            </w:r>
          </w:p>
        </w:tc>
      </w:tr>
      <w:tr>
        <w:trPr>
          <w:trHeight w:val="215"/>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Income from unconsolidated affiliates</w:t>
            </w: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ind w:right="10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ind w:right="100"/>
              <w:spacing w:after="0"/>
              <w:rPr>
                <w:sz w:val="20"/>
                <w:szCs w:val="20"/>
                <w:color w:val="auto"/>
              </w:rPr>
            </w:pPr>
            <w:r>
              <w:rPr>
                <w:rFonts w:ascii="Arial" w:cs="Arial" w:eastAsia="Arial" w:hAnsi="Arial"/>
                <w:sz w:val="16"/>
                <w:szCs w:val="16"/>
                <w:color w:val="auto"/>
              </w:rPr>
              <w:t>3.0</w:t>
            </w:r>
          </w:p>
        </w:tc>
        <w:tc>
          <w:tcPr>
            <w:tcW w:w="12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(0.9)</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(28.1)%</w:t>
            </w:r>
          </w:p>
        </w:tc>
      </w:tr>
      <w:tr>
        <w:trPr>
          <w:trHeight w:val="214"/>
        </w:trPr>
        <w:tc>
          <w:tcPr>
            <w:tcW w:w="20" w:type="dxa"/>
            <w:vAlign w:val="bottom"/>
            <w:tcBorders>
              <w:bottom w:val="single" w:sz="8" w:color="DCE2EF"/>
            </w:tcBorders>
          </w:tcPr>
          <w:p>
            <w:pPr>
              <w:spacing w:after="0"/>
              <w:rPr>
                <w:sz w:val="18"/>
                <w:szCs w:val="18"/>
                <w:color w:val="auto"/>
              </w:rPr>
            </w:pPr>
          </w:p>
        </w:tc>
        <w:tc>
          <w:tcPr>
            <w:tcW w:w="522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DCE2E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DCE2E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280" w:type="dxa"/>
            <w:vAlign w:val="bottom"/>
            <w:tcBorders>
              <w:bottom w:val="single" w:sz="8" w:color="DCE2EF"/>
            </w:tcBorders>
          </w:tcPr>
          <w:p>
            <w:pPr>
              <w:jc w:val="center"/>
              <w:ind w:left="19"/>
              <w:spacing w:after="0"/>
              <w:rPr>
                <w:sz w:val="20"/>
                <w:szCs w:val="20"/>
                <w:color w:val="auto"/>
              </w:rPr>
            </w:pPr>
            <w:r>
              <w:rPr>
                <w:rFonts w:ascii="Arial" w:cs="Arial" w:eastAsia="Arial" w:hAnsi="Arial"/>
                <w:sz w:val="16"/>
                <w:szCs w:val="16"/>
                <w:color w:val="auto"/>
                <w:w w:val="96"/>
              </w:rPr>
              <w:t>(11.5)%</w:t>
            </w:r>
          </w:p>
        </w:tc>
      </w:tr>
      <w:tr>
        <w:trPr>
          <w:trHeight w:val="209"/>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Income before income taxes</w:t>
            </w: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ind w:right="100"/>
              <w:spacing w:after="0"/>
              <w:rPr>
                <w:sz w:val="20"/>
                <w:szCs w:val="20"/>
                <w:color w:val="auto"/>
              </w:rPr>
            </w:pPr>
            <w:r>
              <w:rPr>
                <w:rFonts w:ascii="Arial" w:cs="Arial" w:eastAsia="Arial" w:hAnsi="Arial"/>
                <w:sz w:val="16"/>
                <w:szCs w:val="16"/>
                <w:color w:val="auto"/>
              </w:rPr>
              <w:t>115.2</w:t>
            </w:r>
          </w:p>
        </w:tc>
        <w:tc>
          <w:tcPr>
            <w:tcW w:w="12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ind w:right="100"/>
              <w:spacing w:after="0"/>
              <w:rPr>
                <w:sz w:val="20"/>
                <w:szCs w:val="20"/>
                <w:color w:val="auto"/>
              </w:rPr>
            </w:pPr>
            <w:r>
              <w:rPr>
                <w:rFonts w:ascii="Arial" w:cs="Arial" w:eastAsia="Arial" w:hAnsi="Arial"/>
                <w:sz w:val="16"/>
                <w:szCs w:val="16"/>
                <w:color w:val="auto"/>
              </w:rPr>
              <w:t>116.4</w:t>
            </w:r>
          </w:p>
        </w:tc>
        <w:tc>
          <w:tcPr>
            <w:tcW w:w="12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7"/>
              </w:rPr>
              <w:t>(1.0)%</w:t>
            </w:r>
          </w:p>
        </w:tc>
      </w:tr>
      <w:tr>
        <w:trPr>
          <w:trHeight w:val="214"/>
        </w:trPr>
        <w:tc>
          <w:tcPr>
            <w:tcW w:w="20" w:type="dxa"/>
            <w:vAlign w:val="bottom"/>
            <w:tcBorders>
              <w:bottom w:val="single" w:sz="8" w:color="DCE2EF"/>
            </w:tcBorders>
          </w:tcPr>
          <w:p>
            <w:pPr>
              <w:spacing w:after="0"/>
              <w:rPr>
                <w:sz w:val="18"/>
                <w:szCs w:val="18"/>
                <w:color w:val="auto"/>
              </w:rPr>
            </w:pPr>
          </w:p>
        </w:tc>
        <w:tc>
          <w:tcPr>
            <w:tcW w:w="522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Income tax provision</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(29.5)</w:t>
            </w:r>
          </w:p>
        </w:tc>
        <w:tc>
          <w:tcPr>
            <w:tcW w:w="120" w:type="dxa"/>
            <w:vAlign w:val="bottom"/>
            <w:tcBorders>
              <w:bottom w:val="single" w:sz="8" w:color="DCE2E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DCE2E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80" w:type="dxa"/>
            <w:vAlign w:val="bottom"/>
            <w:tcBorders>
              <w:bottom w:val="single" w:sz="8" w:color="DCE2EF"/>
            </w:tcBorders>
          </w:tcPr>
          <w:p>
            <w:pPr>
              <w:jc w:val="center"/>
              <w:ind w:left="19"/>
              <w:spacing w:after="0"/>
              <w:rPr>
                <w:sz w:val="20"/>
                <w:szCs w:val="20"/>
                <w:color w:val="auto"/>
              </w:rPr>
            </w:pPr>
            <w:r>
              <w:rPr>
                <w:rFonts w:ascii="Arial" w:cs="Arial" w:eastAsia="Arial" w:hAnsi="Arial"/>
                <w:sz w:val="16"/>
                <w:szCs w:val="16"/>
                <w:color w:val="auto"/>
                <w:w w:val="97"/>
              </w:rPr>
              <w:t>(5.3)%</w:t>
            </w:r>
          </w:p>
        </w:tc>
      </w:tr>
      <w:tr>
        <w:trPr>
          <w:trHeight w:val="209"/>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Net income</w:t>
            </w:r>
          </w:p>
        </w:tc>
        <w:tc>
          <w:tcPr>
            <w:tcW w:w="38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ind w:right="100"/>
              <w:spacing w:after="0"/>
              <w:rPr>
                <w:sz w:val="20"/>
                <w:szCs w:val="20"/>
                <w:color w:val="auto"/>
              </w:rPr>
            </w:pPr>
            <w:r>
              <w:rPr>
                <w:rFonts w:ascii="Arial" w:cs="Arial" w:eastAsia="Arial" w:hAnsi="Arial"/>
                <w:sz w:val="16"/>
                <w:szCs w:val="16"/>
                <w:color w:val="auto"/>
              </w:rPr>
              <w:t>85.8</w:t>
            </w:r>
          </w:p>
        </w:tc>
        <w:tc>
          <w:tcPr>
            <w:tcW w:w="12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ind w:right="100"/>
              <w:spacing w:after="0"/>
              <w:rPr>
                <w:sz w:val="20"/>
                <w:szCs w:val="20"/>
                <w:color w:val="auto"/>
              </w:rPr>
            </w:pPr>
            <w:r>
              <w:rPr>
                <w:rFonts w:ascii="Arial" w:cs="Arial" w:eastAsia="Arial" w:hAnsi="Arial"/>
                <w:sz w:val="16"/>
                <w:szCs w:val="16"/>
                <w:color w:val="auto"/>
              </w:rPr>
              <w:t>88.4</w:t>
            </w:r>
          </w:p>
        </w:tc>
        <w:tc>
          <w:tcPr>
            <w:tcW w:w="120" w:type="dxa"/>
            <w:vAlign w:val="bottom"/>
            <w:shd w:val="clear" w:color="auto" w:fill="DCE2EF"/>
          </w:tcPr>
          <w:p>
            <w:pPr>
              <w:spacing w:after="0"/>
              <w:rPr>
                <w:sz w:val="18"/>
                <w:szCs w:val="18"/>
                <w:color w:val="auto"/>
              </w:rPr>
            </w:pPr>
          </w:p>
        </w:tc>
        <w:tc>
          <w:tcPr>
            <w:tcW w:w="260" w:type="dxa"/>
            <w:vAlign w:val="bottom"/>
            <w:tcBorders>
              <w:bottom w:val="single" w:sz="8" w:color="auto"/>
            </w:tcBorders>
            <w:shd w:val="clear" w:color="auto" w:fill="DCE2EF"/>
          </w:tcPr>
          <w:p>
            <w:pPr>
              <w:spacing w:after="0"/>
              <w:rPr>
                <w:sz w:val="18"/>
                <w:szCs w:val="18"/>
                <w:color w:val="auto"/>
              </w:rPr>
            </w:pPr>
          </w:p>
        </w:tc>
        <w:tc>
          <w:tcPr>
            <w:tcW w:w="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(2.6)</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7"/>
              </w:rPr>
              <w:t>(3.0)%</w:t>
            </w:r>
          </w:p>
        </w:tc>
      </w:tr>
      <w:tr>
        <w:trPr>
          <w:trHeight w:val="194"/>
        </w:trPr>
        <w:tc>
          <w:tcPr>
            <w:tcW w:w="2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Other comprehensive income (loss)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6"/>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Interest rate swaps</w:t>
            </w: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ind w:right="60"/>
              <w:spacing w:after="0"/>
              <w:rPr>
                <w:sz w:val="20"/>
                <w:szCs w:val="20"/>
                <w:color w:val="auto"/>
              </w:rPr>
            </w:pPr>
            <w:r>
              <w:rPr>
                <w:rFonts w:ascii="Arial" w:cs="Arial" w:eastAsia="Arial" w:hAnsi="Arial"/>
                <w:sz w:val="16"/>
                <w:szCs w:val="16"/>
                <w:color w:val="auto"/>
              </w:rPr>
              <w:t>(6.5)</w:t>
            </w:r>
          </w:p>
        </w:tc>
        <w:tc>
          <w:tcPr>
            <w:tcW w:w="12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ind w:right="60"/>
              <w:spacing w:after="0"/>
              <w:rPr>
                <w:sz w:val="20"/>
                <w:szCs w:val="20"/>
                <w:color w:val="auto"/>
              </w:rPr>
            </w:pPr>
            <w:r>
              <w:rPr>
                <w:rFonts w:ascii="Arial" w:cs="Arial" w:eastAsia="Arial" w:hAnsi="Arial"/>
                <w:sz w:val="16"/>
                <w:szCs w:val="16"/>
                <w:color w:val="auto"/>
              </w:rPr>
              <w:t>(5.7)</w:t>
            </w:r>
          </w:p>
        </w:tc>
        <w:tc>
          <w:tcPr>
            <w:tcW w:w="12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(0.8)</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14.1%</w:t>
            </w:r>
          </w:p>
        </w:tc>
      </w:tr>
      <w:tr>
        <w:trPr>
          <w:trHeight w:val="214"/>
        </w:trPr>
        <w:tc>
          <w:tcPr>
            <w:tcW w:w="20" w:type="dxa"/>
            <w:vAlign w:val="bottom"/>
          </w:tcPr>
          <w:p>
            <w:pPr>
              <w:spacing w:after="0"/>
              <w:rPr>
                <w:sz w:val="18"/>
                <w:szCs w:val="18"/>
                <w:color w:val="auto"/>
              </w:rPr>
            </w:pPr>
          </w:p>
        </w:tc>
        <w:tc>
          <w:tcPr>
            <w:tcW w:w="5220" w:type="dxa"/>
            <w:vAlign w:val="bottom"/>
            <w:gridSpan w:val="2"/>
          </w:tcPr>
          <w:p>
            <w:pPr>
              <w:ind w:left="320"/>
              <w:spacing w:after="0"/>
              <w:rPr>
                <w:sz w:val="20"/>
                <w:szCs w:val="20"/>
                <w:color w:val="auto"/>
              </w:rPr>
            </w:pPr>
            <w:r>
              <w:rPr>
                <w:rFonts w:ascii="Arial" w:cs="Arial" w:eastAsia="Arial" w:hAnsi="Arial"/>
                <w:sz w:val="16"/>
                <w:szCs w:val="16"/>
                <w:color w:val="auto"/>
              </w:rPr>
              <w:t>Foreign currency translation and other</w:t>
            </w:r>
          </w:p>
        </w:tc>
        <w:tc>
          <w:tcPr>
            <w:tcW w:w="3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79.9%</w:t>
            </w:r>
          </w:p>
        </w:tc>
      </w:tr>
      <w:tr>
        <w:trPr>
          <w:trHeight w:val="215"/>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Income tax benefit</w:t>
            </w:r>
          </w:p>
        </w:tc>
        <w:tc>
          <w:tcPr>
            <w:tcW w:w="38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ind w:right="10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ind w:right="10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DCE2EF"/>
          </w:tcPr>
          <w:p>
            <w:pPr>
              <w:spacing w:after="0"/>
              <w:rPr>
                <w:sz w:val="18"/>
                <w:szCs w:val="18"/>
                <w:color w:val="auto"/>
              </w:rPr>
            </w:pPr>
          </w:p>
        </w:tc>
        <w:tc>
          <w:tcPr>
            <w:tcW w:w="260" w:type="dxa"/>
            <w:vAlign w:val="bottom"/>
            <w:tcBorders>
              <w:bottom w:val="single" w:sz="8" w:color="auto"/>
            </w:tcBorders>
            <w:shd w:val="clear" w:color="auto" w:fill="DCE2EF"/>
          </w:tcPr>
          <w:p>
            <w:pPr>
              <w:spacing w:after="0"/>
              <w:rPr>
                <w:sz w:val="18"/>
                <w:szCs w:val="18"/>
                <w:color w:val="auto"/>
              </w:rPr>
            </w:pPr>
          </w:p>
        </w:tc>
        <w:tc>
          <w:tcPr>
            <w:tcW w:w="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0.2</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15.8%</w:t>
            </w:r>
          </w:p>
        </w:tc>
      </w:tr>
      <w:tr>
        <w:trPr>
          <w:trHeight w:val="209"/>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b w:val="1"/>
                <w:bCs w:val="1"/>
                <w:color w:val="auto"/>
              </w:rPr>
              <w:t>Comprehensive income</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87.6</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87.9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w w:val="97"/>
              </w:rPr>
              <w:t>(0.3)%</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*Not meaningful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Revenues</w:t>
      </w:r>
    </w:p>
    <w:p>
      <w:pPr>
        <w:spacing w:after="0" w:line="167" w:lineRule="exact"/>
        <w:rPr>
          <w:sz w:val="20"/>
          <w:szCs w:val="20"/>
          <w:color w:val="auto"/>
        </w:rPr>
      </w:pPr>
    </w:p>
    <w:p>
      <w:pPr>
        <w:jc w:val="both"/>
        <w:ind w:firstLine="645"/>
        <w:spacing w:after="0" w:line="256" w:lineRule="auto"/>
        <w:rPr>
          <w:sz w:val="20"/>
          <w:szCs w:val="20"/>
          <w:color w:val="auto"/>
        </w:rPr>
      </w:pPr>
      <w:r>
        <w:rPr>
          <w:rFonts w:ascii="Arial" w:cs="Arial" w:eastAsia="Arial" w:hAnsi="Arial"/>
          <w:sz w:val="18"/>
          <w:szCs w:val="18"/>
          <w:color w:val="auto"/>
        </w:rPr>
        <w:t>Revenues increased by $138.8 million, or 3.4%, to $4,226.6 million during the six months ended April 30, 2025, as compared to the prior year period. Revenue growth was comprised of organic growth of 2.6% and acquisition growth of 0.7%. Acquisition growth was driven by a $29.3 million revenue increase from the Quality Uptime Acquisition, which was completed in June 2024. The organic revenue growth primarily driven by higher project revenues due to the higher microgrid projects within Technical Solutions and the net new business and expansion of business with existing customers within Aviation, B&amp;I, Education, and M&amp;D. The increase in revenues was partially offset by attrition of engineering customers within B&amp;I and a loss of a certain customer in M&amp;D in the first quarter of 2025.</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Operating Expenses</w:t>
      </w:r>
    </w:p>
    <w:p>
      <w:pPr>
        <w:spacing w:after="0" w:line="167"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Operating expenses increased by $106.3 million, or 3.0%, to $3,696.1 million during the six months ended April 30, 2025, as compared to the prior year period. Gross margin increased by 37 bps to 12.6% in the six months ended April 30, 2025, from 12.2% in the six months ended April 30, 2024. The increase in gross margin was primarily driven by operational efficiencies within Aviation and Education and an absence of a $9.7 million unfavorable self-insurance reserve adjustment from actuarial evaluations completed in the six months ended April 30, 2024 within Corporate. The increase in gross margin was partially offset by change in contract mix within M&amp;D.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Selling, General and Administrative Expenses</w:t>
      </w:r>
    </w:p>
    <w:p>
      <w:pPr>
        <w:spacing w:after="0" w:line="167" w:lineRule="exact"/>
        <w:rPr>
          <w:sz w:val="20"/>
          <w:szCs w:val="20"/>
          <w:color w:val="auto"/>
        </w:rPr>
      </w:pPr>
    </w:p>
    <w:p>
      <w:pPr>
        <w:jc w:val="both"/>
        <w:ind w:firstLine="237"/>
        <w:spacing w:after="0" w:line="267" w:lineRule="auto"/>
        <w:rPr>
          <w:sz w:val="20"/>
          <w:szCs w:val="20"/>
          <w:color w:val="auto"/>
        </w:rPr>
      </w:pPr>
      <w:r>
        <w:rPr>
          <w:rFonts w:ascii="Arial" w:cs="Arial" w:eastAsia="Arial" w:hAnsi="Arial"/>
          <w:sz w:val="18"/>
          <w:szCs w:val="18"/>
          <w:color w:val="auto"/>
        </w:rPr>
        <w:t>Selling, general and administrative expenses increased by $29.6 million, or 9.4%, to $344.1 million during the six months ended April 30, 2025, as compared to the six months ended April 30, 2024. The increase in selling, general and administrative expenses was primarily attributable to:</w:t>
      </w:r>
    </w:p>
    <w:p>
      <w:pPr>
        <w:spacing w:after="0" w:line="115" w:lineRule="exact"/>
        <w:rPr>
          <w:sz w:val="20"/>
          <w:szCs w:val="20"/>
          <w:color w:val="auto"/>
        </w:rPr>
      </w:pPr>
    </w:p>
    <w:p>
      <w:pPr>
        <w:jc w:val="both"/>
        <w:ind w:left="660" w:hanging="330"/>
        <w:spacing w:after="0" w:line="26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$10.2 million increase in compensation and related expenses primarily due to higher salaries, certain incentive plans, headcount expansion from recent acquisitions, and ongoing business growth within Technical Solutions during the three months ended January 31, 2025;</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34" w:name="page35"/>
    <w:bookmarkEnd w:id="34"/>
    <w:p>
      <w:pPr>
        <w:ind w:left="640" w:hanging="31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$3.4 million increase in costs associated with systems’ go-live;</w:t>
      </w:r>
    </w:p>
    <w:p>
      <w:pPr>
        <w:spacing w:after="0" w:line="169" w:lineRule="exact"/>
        <w:rPr>
          <w:rFonts w:ascii="Arial" w:cs="Arial" w:eastAsia="Arial" w:hAnsi="Arial"/>
          <w:sz w:val="18"/>
          <w:szCs w:val="18"/>
          <w:color w:val="auto"/>
        </w:rPr>
      </w:pPr>
    </w:p>
    <w:p>
      <w:pPr>
        <w:ind w:left="640" w:hanging="31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$3.1 million increase in acquisition and integration costs;</w:t>
      </w:r>
    </w:p>
    <w:p>
      <w:pPr>
        <w:spacing w:after="0" w:line="169" w:lineRule="exact"/>
        <w:rPr>
          <w:rFonts w:ascii="Arial" w:cs="Arial" w:eastAsia="Arial" w:hAnsi="Arial"/>
          <w:sz w:val="18"/>
          <w:szCs w:val="18"/>
          <w:color w:val="auto"/>
        </w:rPr>
      </w:pPr>
    </w:p>
    <w:p>
      <w:pPr>
        <w:ind w:left="660" w:right="20" w:hanging="330"/>
        <w:spacing w:after="0" w:line="285"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 $2.3 million increase in certain discrete transformational costs under our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strategy for developing the new ERP system, client-facing technology, workforce management tools, and data analytics; and</w:t>
      </w:r>
    </w:p>
    <w:p>
      <w:pPr>
        <w:spacing w:after="0" w:line="99" w:lineRule="exact"/>
        <w:rPr>
          <w:rFonts w:ascii="Arial" w:cs="Arial" w:eastAsia="Arial" w:hAnsi="Arial"/>
          <w:sz w:val="18"/>
          <w:szCs w:val="18"/>
          <w:color w:val="auto"/>
        </w:rPr>
      </w:pPr>
    </w:p>
    <w:p>
      <w:pPr>
        <w:ind w:left="640" w:hanging="31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$2.2 million accrual for a parking tax audit settlement related to 2012-2019.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Amortization of Intangible Assets</w:t>
      </w:r>
    </w:p>
    <w:p>
      <w:pPr>
        <w:spacing w:after="0" w:line="167"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Amortization of intangible assets decreased by $1.7 million, or 6.1%, to $26.5 million during the six months ended April 30, 2025, as compared to the six months ended April 30, 2024. This decrease was due to lower amortization of intangibles, primarily intangibles acquired as part of the Able Acquisition, partially offset by amortization of intangibles from the Quality Uptime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Expense</w:t>
      </w:r>
    </w:p>
    <w:p>
      <w:pPr>
        <w:spacing w:after="0" w:line="167"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Interest expense increased by $4.9 million to $46.8 million during the six months ended April 30, 2025, as compared to the six months ended April 30, 2024. The increase was driven by higher borrowings from our Amended Credit Facility to fund working capital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Income Taxes from Operations</w:t>
      </w:r>
    </w:p>
    <w:p>
      <w:pPr>
        <w:spacing w:after="0" w:line="167"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Our effective tax rates on income from operations for the six months ended April 30, 2025, and April 30, 2024, were 25.6% and 24.0%, respectively, resulting in provisions for taxes of $29.5 million and $28.0 million, respectively.</w:t>
      </w:r>
    </w:p>
    <w:p>
      <w:pPr>
        <w:spacing w:after="0" w:line="100"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Our effective tax rate for the six months ended April 30, 2025 benefited from discrete items, primarily from $4.2 million for return to provision adjustments related to our non-U.S. operations. Our effective tax rate for the six months ended April 30, 2024, benefited from discrete items, primarily from $2.4 million for uncertain tax positions, $2.2 million for share-based compensation, and $2.2 million for return to provision adjustments related to our non-U.S.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Rate Swaps</w:t>
      </w:r>
    </w:p>
    <w:p>
      <w:pPr>
        <w:spacing w:after="0" w:line="167"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We had a loss of $6.5 million during the six months ended April 30, 2025, as compared to a loss of $5.7 million during the six months ended April 30, 2024, primarily due to underlying changes in the fair value of our interest rate swaps.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Foreign Currency Translation</w:t>
      </w:r>
    </w:p>
    <w:p>
      <w:pPr>
        <w:spacing w:after="0" w:line="167" w:lineRule="exact"/>
        <w:rPr>
          <w:sz w:val="20"/>
          <w:szCs w:val="20"/>
          <w:color w:val="auto"/>
        </w:rPr>
      </w:pPr>
    </w:p>
    <w:p>
      <w:pPr>
        <w:jc w:val="both"/>
        <w:ind w:firstLine="235"/>
        <w:spacing w:after="0" w:line="261" w:lineRule="auto"/>
        <w:rPr>
          <w:sz w:val="20"/>
          <w:szCs w:val="20"/>
          <w:color w:val="auto"/>
        </w:rPr>
      </w:pPr>
      <w:r>
        <w:rPr>
          <w:rFonts w:ascii="Arial" w:cs="Arial" w:eastAsia="Arial" w:hAnsi="Arial"/>
          <w:sz w:val="18"/>
          <w:szCs w:val="18"/>
          <w:color w:val="auto"/>
        </w:rPr>
        <w:t>We had a foreign currency translation gain of $6.7 million during the six months ended April 30, 2025, as compared to a foreign currency translation gain of $3.7 million during the six months ended April 30, 2024. This change was due to fluctuations in the exchange rate between the USD and the GBP. Future gains and losses on foreign currency translation will be dependent upon changes in the relative value of foreign currencies to the USD and the extent of our foreign assets and liabilities.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0046AD"/>
        </w:rPr>
        <w:t>Segment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Information for Each Reportable Segment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gridSpan w:val="8"/>
          </w:tcPr>
          <w:p>
            <w:pPr>
              <w:ind w:left="60"/>
              <w:spacing w:after="0"/>
              <w:rPr>
                <w:sz w:val="20"/>
                <w:szCs w:val="20"/>
                <w:color w:val="auto"/>
              </w:rPr>
            </w:pPr>
            <w:r>
              <w:rPr>
                <w:rFonts w:ascii="Arial" w:cs="Arial" w:eastAsia="Arial" w:hAnsi="Arial"/>
                <w:sz w:val="16"/>
                <w:szCs w:val="16"/>
                <w:b w:val="1"/>
                <w:bCs w:val="1"/>
                <w:color w:val="auto"/>
              </w:rPr>
              <w:t>Six Months Ended April 30,</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3"/>
          </w:tcPr>
          <w:p>
            <w:pPr>
              <w:jc w:val="right"/>
              <w:ind w:right="659"/>
              <w:spacing w:after="0" w:line="142" w:lineRule="exact"/>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tcPr>
          <w:p>
            <w:pPr>
              <w:jc w:val="right"/>
              <w:ind w:right="659"/>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80" w:type="dxa"/>
            <w:vAlign w:val="bottom"/>
            <w:gridSpan w:val="2"/>
          </w:tcPr>
          <w:p>
            <w:pPr>
              <w:jc w:val="right"/>
              <w:ind w:right="339"/>
              <w:spacing w:after="0" w:line="135" w:lineRule="exact"/>
              <w:rPr>
                <w:sz w:val="20"/>
                <w:szCs w:val="20"/>
                <w:color w:val="auto"/>
              </w:rPr>
            </w:pPr>
            <w:r>
              <w:rPr>
                <w:rFonts w:ascii="Arial" w:cs="Arial" w:eastAsia="Arial" w:hAnsi="Arial"/>
                <w:sz w:val="15"/>
                <w:szCs w:val="15"/>
                <w:b w:val="1"/>
                <w:bCs w:val="1"/>
                <w:color w:val="auto"/>
              </w:rPr>
              <w:t>Increase / (Decrease)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2860" w:type="dxa"/>
            <w:vAlign w:val="bottom"/>
            <w:tcBorders>
              <w:bottom w:val="single" w:sz="8" w:color="DCE2EF"/>
            </w:tcBorders>
          </w:tcPr>
          <w:p>
            <w:pPr>
              <w:spacing w:after="0"/>
              <w:rPr>
                <w:sz w:val="2"/>
                <w:szCs w:val="2"/>
                <w:color w:val="auto"/>
              </w:rPr>
            </w:pPr>
          </w:p>
        </w:tc>
        <w:tc>
          <w:tcPr>
            <w:tcW w:w="740" w:type="dxa"/>
            <w:vAlign w:val="bottom"/>
            <w:tcBorders>
              <w:bottom w:val="single" w:sz="8" w:color="DCE2EF"/>
            </w:tcBorders>
          </w:tcPr>
          <w:p>
            <w:pPr>
              <w:spacing w:after="0"/>
              <w:rPr>
                <w:sz w:val="2"/>
                <w:szCs w:val="2"/>
                <w:color w:val="auto"/>
              </w:rPr>
            </w:pPr>
          </w:p>
        </w:tc>
        <w:tc>
          <w:tcPr>
            <w:tcW w:w="380" w:type="dxa"/>
            <w:vAlign w:val="bottom"/>
            <w:tcBorders>
              <w:bottom w:val="single" w:sz="8" w:color="DCE2E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DCE2EF"/>
          </w:tcPr>
          <w:p>
            <w:pPr>
              <w:spacing w:after="0"/>
              <w:rPr>
                <w:sz w:val="16"/>
                <w:szCs w:val="16"/>
                <w:color w:val="auto"/>
              </w:rPr>
            </w:pPr>
          </w:p>
        </w:tc>
        <w:tc>
          <w:tcPr>
            <w:tcW w:w="3680" w:type="dxa"/>
            <w:vAlign w:val="bottom"/>
            <w:gridSpan w:val="3"/>
            <w:shd w:val="clear" w:color="auto" w:fill="DCE2EF"/>
          </w:tcPr>
          <w:p>
            <w:pPr>
              <w:spacing w:after="0"/>
              <w:rPr>
                <w:sz w:val="20"/>
                <w:szCs w:val="20"/>
                <w:color w:val="auto"/>
              </w:rPr>
            </w:pPr>
            <w:r>
              <w:rPr>
                <w:rFonts w:ascii="Arial" w:cs="Arial" w:eastAsia="Arial" w:hAnsi="Arial"/>
                <w:sz w:val="16"/>
                <w:szCs w:val="16"/>
                <w:b w:val="1"/>
                <w:bCs w:val="1"/>
                <w:color w:val="auto"/>
              </w:rPr>
              <w:t>Revenues</w:t>
            </w:r>
          </w:p>
        </w:tc>
        <w:tc>
          <w:tcPr>
            <w:tcW w:w="740" w:type="dxa"/>
            <w:vAlign w:val="bottom"/>
            <w:shd w:val="clear" w:color="auto" w:fill="DCE2EF"/>
          </w:tcPr>
          <w:p>
            <w:pPr>
              <w:spacing w:after="0"/>
              <w:rPr>
                <w:sz w:val="16"/>
                <w:szCs w:val="16"/>
                <w:color w:val="auto"/>
              </w:rPr>
            </w:pPr>
          </w:p>
        </w:tc>
        <w:tc>
          <w:tcPr>
            <w:tcW w:w="38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5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9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6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9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00" w:type="dxa"/>
            <w:vAlign w:val="bottom"/>
            <w:shd w:val="clear" w:color="auto" w:fill="DCE2EF"/>
          </w:tcPr>
          <w:p>
            <w:pPr>
              <w:spacing w:after="0"/>
              <w:rPr>
                <w:sz w:val="16"/>
                <w:szCs w:val="16"/>
                <w:color w:val="auto"/>
              </w:rPr>
            </w:pPr>
          </w:p>
        </w:tc>
        <w:tc>
          <w:tcPr>
            <w:tcW w:w="1000" w:type="dxa"/>
            <w:vAlign w:val="bottom"/>
            <w:shd w:val="clear" w:color="auto" w:fill="DCE2EF"/>
          </w:tcPr>
          <w:p>
            <w:pPr>
              <w:spacing w:after="0"/>
              <w:rPr>
                <w:sz w:val="16"/>
                <w:szCs w:val="16"/>
                <w:color w:val="auto"/>
              </w:rPr>
            </w:pPr>
          </w:p>
        </w:tc>
        <w:tc>
          <w:tcPr>
            <w:tcW w:w="1280" w:type="dxa"/>
            <w:vAlign w:val="bottom"/>
            <w:shd w:val="clear" w:color="auto" w:fill="DCE2E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6"/>
                <w:szCs w:val="16"/>
                <w:color w:val="auto"/>
              </w:rPr>
              <w:t>Business &amp; Industry</w:t>
            </w:r>
          </w:p>
        </w:tc>
        <w:tc>
          <w:tcPr>
            <w:tcW w:w="7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180" w:type="dxa"/>
            <w:vAlign w:val="bottom"/>
            <w:gridSpan w:val="3"/>
          </w:tcPr>
          <w:p>
            <w:pPr>
              <w:jc w:val="right"/>
              <w:ind w:right="119"/>
              <w:spacing w:after="0"/>
              <w:rPr>
                <w:sz w:val="20"/>
                <w:szCs w:val="20"/>
                <w:color w:val="auto"/>
              </w:rPr>
            </w:pPr>
            <w:r>
              <w:rPr>
                <w:rFonts w:ascii="Arial" w:cs="Arial" w:eastAsia="Arial" w:hAnsi="Arial"/>
                <w:sz w:val="16"/>
                <w:szCs w:val="16"/>
                <w:color w:val="auto"/>
              </w:rPr>
              <w:t>2,038.4</w:t>
            </w:r>
          </w:p>
        </w:tc>
        <w:tc>
          <w:tcPr>
            <w:tcW w:w="100" w:type="dxa"/>
            <w:vAlign w:val="bottom"/>
          </w:tcPr>
          <w:p>
            <w:pPr>
              <w:spacing w:after="0"/>
              <w:rPr>
                <w:sz w:val="18"/>
                <w:szCs w:val="18"/>
                <w:color w:val="auto"/>
              </w:rPr>
            </w:pPr>
          </w:p>
        </w:tc>
        <w:tc>
          <w:tcPr>
            <w:tcW w:w="680" w:type="dxa"/>
            <w:vAlign w:val="bottom"/>
          </w:tcPr>
          <w:p>
            <w:pPr>
              <w:jc w:val="right"/>
              <w:ind w:right="501"/>
              <w:spacing w:after="0"/>
              <w:rPr>
                <w:sz w:val="20"/>
                <w:szCs w:val="20"/>
                <w:color w:val="auto"/>
              </w:rPr>
            </w:pPr>
            <w:r>
              <w:rPr>
                <w:rFonts w:ascii="Arial" w:cs="Arial" w:eastAsia="Arial" w:hAnsi="Arial"/>
                <w:sz w:val="16"/>
                <w:szCs w:val="16"/>
                <w:color w:val="auto"/>
                <w:w w:val="89"/>
              </w:rPr>
              <w:t>$</w:t>
            </w:r>
          </w:p>
        </w:tc>
        <w:tc>
          <w:tcPr>
            <w:tcW w:w="1140" w:type="dxa"/>
            <w:vAlign w:val="bottom"/>
            <w:gridSpan w:val="3"/>
          </w:tcPr>
          <w:p>
            <w:pPr>
              <w:jc w:val="right"/>
              <w:ind w:right="119"/>
              <w:spacing w:after="0"/>
              <w:rPr>
                <w:sz w:val="20"/>
                <w:szCs w:val="20"/>
                <w:color w:val="auto"/>
              </w:rPr>
            </w:pPr>
            <w:r>
              <w:rPr>
                <w:rFonts w:ascii="Arial" w:cs="Arial" w:eastAsia="Arial" w:hAnsi="Arial"/>
                <w:sz w:val="16"/>
                <w:szCs w:val="16"/>
                <w:color w:val="auto"/>
              </w:rPr>
              <w:t>2,022.8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15.6</w:t>
            </w:r>
          </w:p>
        </w:tc>
        <w:tc>
          <w:tcPr>
            <w:tcW w:w="1280" w:type="dxa"/>
            <w:vAlign w:val="bottom"/>
          </w:tcPr>
          <w:p>
            <w:pPr>
              <w:jc w:val="center"/>
              <w:ind w:left="39"/>
              <w:spacing w:after="0"/>
              <w:rPr>
                <w:sz w:val="20"/>
                <w:szCs w:val="20"/>
                <w:color w:val="auto"/>
              </w:rPr>
            </w:pPr>
            <w:r>
              <w:rPr>
                <w:rFonts w:ascii="Arial" w:cs="Arial" w:eastAsia="Arial" w:hAnsi="Arial"/>
                <w:sz w:val="16"/>
                <w:szCs w:val="16"/>
                <w:color w:val="auto"/>
                <w:w w:val="98"/>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36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Manufacturing &amp; Distribution</w:t>
            </w:r>
          </w:p>
        </w:tc>
        <w:tc>
          <w:tcPr>
            <w:tcW w:w="74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500" w:type="dxa"/>
            <w:vAlign w:val="bottom"/>
            <w:shd w:val="clear" w:color="auto" w:fill="DCE2EF"/>
          </w:tcPr>
          <w:p>
            <w:pPr>
              <w:spacing w:after="0"/>
              <w:rPr>
                <w:sz w:val="18"/>
                <w:szCs w:val="18"/>
                <w:color w:val="auto"/>
              </w:rPr>
            </w:pPr>
          </w:p>
        </w:tc>
        <w:tc>
          <w:tcPr>
            <w:tcW w:w="1180" w:type="dxa"/>
            <w:vAlign w:val="bottom"/>
            <w:gridSpan w:val="3"/>
            <w:shd w:val="clear" w:color="auto" w:fill="DCE2EF"/>
          </w:tcPr>
          <w:p>
            <w:pPr>
              <w:jc w:val="right"/>
              <w:ind w:right="119"/>
              <w:spacing w:after="0"/>
              <w:rPr>
                <w:sz w:val="20"/>
                <w:szCs w:val="20"/>
                <w:color w:val="auto"/>
              </w:rPr>
            </w:pPr>
            <w:r>
              <w:rPr>
                <w:rFonts w:ascii="Arial" w:cs="Arial" w:eastAsia="Arial" w:hAnsi="Arial"/>
                <w:sz w:val="16"/>
                <w:szCs w:val="16"/>
                <w:color w:val="auto"/>
              </w:rPr>
              <w:t>792.4</w:t>
            </w:r>
          </w:p>
        </w:tc>
        <w:tc>
          <w:tcPr>
            <w:tcW w:w="100" w:type="dxa"/>
            <w:vAlign w:val="bottom"/>
            <w:shd w:val="clear" w:color="auto" w:fill="DCE2EF"/>
          </w:tcPr>
          <w:p>
            <w:pPr>
              <w:spacing w:after="0"/>
              <w:rPr>
                <w:sz w:val="18"/>
                <w:szCs w:val="18"/>
                <w:color w:val="auto"/>
              </w:rPr>
            </w:pPr>
          </w:p>
        </w:tc>
        <w:tc>
          <w:tcPr>
            <w:tcW w:w="680" w:type="dxa"/>
            <w:vAlign w:val="bottom"/>
            <w:shd w:val="clear" w:color="auto" w:fill="DCE2EF"/>
          </w:tcPr>
          <w:p>
            <w:pPr>
              <w:spacing w:after="0"/>
              <w:rPr>
                <w:sz w:val="18"/>
                <w:szCs w:val="18"/>
                <w:color w:val="auto"/>
              </w:rPr>
            </w:pPr>
          </w:p>
        </w:tc>
        <w:tc>
          <w:tcPr>
            <w:tcW w:w="1140" w:type="dxa"/>
            <w:vAlign w:val="bottom"/>
            <w:gridSpan w:val="3"/>
            <w:shd w:val="clear" w:color="auto" w:fill="DCE2EF"/>
          </w:tcPr>
          <w:p>
            <w:pPr>
              <w:jc w:val="right"/>
              <w:ind w:right="119"/>
              <w:spacing w:after="0"/>
              <w:rPr>
                <w:sz w:val="20"/>
                <w:szCs w:val="20"/>
                <w:color w:val="auto"/>
              </w:rPr>
            </w:pPr>
            <w:r>
              <w:rPr>
                <w:rFonts w:ascii="Arial" w:cs="Arial" w:eastAsia="Arial" w:hAnsi="Arial"/>
                <w:sz w:val="16"/>
                <w:szCs w:val="16"/>
                <w:color w:val="auto"/>
              </w:rPr>
              <w:t>789.5</w:t>
            </w:r>
          </w:p>
        </w:tc>
        <w:tc>
          <w:tcPr>
            <w:tcW w:w="10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000" w:type="dxa"/>
            <w:vAlign w:val="bottom"/>
            <w:shd w:val="clear" w:color="auto" w:fill="DCE2EF"/>
          </w:tcPr>
          <w:p>
            <w:pPr>
              <w:jc w:val="right"/>
              <w:ind w:right="2"/>
              <w:spacing w:after="0"/>
              <w:rPr>
                <w:sz w:val="20"/>
                <w:szCs w:val="20"/>
                <w:color w:val="auto"/>
              </w:rPr>
            </w:pPr>
            <w:r>
              <w:rPr>
                <w:rFonts w:ascii="Arial" w:cs="Arial" w:eastAsia="Arial" w:hAnsi="Arial"/>
                <w:sz w:val="16"/>
                <w:szCs w:val="16"/>
                <w:color w:val="auto"/>
              </w:rPr>
              <w:t>2.9</w:t>
            </w:r>
          </w:p>
        </w:tc>
        <w:tc>
          <w:tcPr>
            <w:tcW w:w="128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8"/>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6"/>
                <w:szCs w:val="16"/>
                <w:color w:val="auto"/>
              </w:rPr>
              <w:t>Aviation</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3"/>
          </w:tcPr>
          <w:p>
            <w:pPr>
              <w:jc w:val="right"/>
              <w:ind w:right="119"/>
              <w:spacing w:after="0"/>
              <w:rPr>
                <w:sz w:val="20"/>
                <w:szCs w:val="20"/>
                <w:color w:val="auto"/>
              </w:rPr>
            </w:pPr>
            <w:r>
              <w:rPr>
                <w:rFonts w:ascii="Arial" w:cs="Arial" w:eastAsia="Arial" w:hAnsi="Arial"/>
                <w:sz w:val="16"/>
                <w:szCs w:val="16"/>
                <w:color w:val="auto"/>
              </w:rPr>
              <w:t>530.2</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gridSpan w:val="3"/>
          </w:tcPr>
          <w:p>
            <w:pPr>
              <w:jc w:val="right"/>
              <w:ind w:right="119"/>
              <w:spacing w:after="0"/>
              <w:rPr>
                <w:sz w:val="20"/>
                <w:szCs w:val="20"/>
                <w:color w:val="auto"/>
              </w:rPr>
            </w:pPr>
            <w:r>
              <w:rPr>
                <w:rFonts w:ascii="Arial" w:cs="Arial" w:eastAsia="Arial" w:hAnsi="Arial"/>
                <w:sz w:val="16"/>
                <w:szCs w:val="16"/>
                <w:color w:val="auto"/>
              </w:rPr>
              <w:t>487.8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42.4</w:t>
            </w:r>
          </w:p>
        </w:tc>
        <w:tc>
          <w:tcPr>
            <w:tcW w:w="1280" w:type="dxa"/>
            <w:vAlign w:val="bottom"/>
          </w:tcPr>
          <w:p>
            <w:pPr>
              <w:jc w:val="center"/>
              <w:ind w:left="39"/>
              <w:spacing w:after="0"/>
              <w:rPr>
                <w:sz w:val="20"/>
                <w:szCs w:val="20"/>
                <w:color w:val="auto"/>
              </w:rPr>
            </w:pPr>
            <w:r>
              <w:rPr>
                <w:rFonts w:ascii="Arial" w:cs="Arial" w:eastAsia="Arial" w:hAnsi="Arial"/>
                <w:sz w:val="16"/>
                <w:szCs w:val="16"/>
                <w:color w:val="auto"/>
                <w:w w:val="98"/>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36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Education</w:t>
            </w:r>
          </w:p>
        </w:tc>
        <w:tc>
          <w:tcPr>
            <w:tcW w:w="74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500" w:type="dxa"/>
            <w:vAlign w:val="bottom"/>
            <w:shd w:val="clear" w:color="auto" w:fill="DCE2EF"/>
          </w:tcPr>
          <w:p>
            <w:pPr>
              <w:spacing w:after="0"/>
              <w:rPr>
                <w:sz w:val="18"/>
                <w:szCs w:val="18"/>
                <w:color w:val="auto"/>
              </w:rPr>
            </w:pPr>
          </w:p>
        </w:tc>
        <w:tc>
          <w:tcPr>
            <w:tcW w:w="1180" w:type="dxa"/>
            <w:vAlign w:val="bottom"/>
            <w:gridSpan w:val="3"/>
            <w:shd w:val="clear" w:color="auto" w:fill="DCE2EF"/>
          </w:tcPr>
          <w:p>
            <w:pPr>
              <w:jc w:val="right"/>
              <w:ind w:right="119"/>
              <w:spacing w:after="0"/>
              <w:rPr>
                <w:sz w:val="20"/>
                <w:szCs w:val="20"/>
                <w:color w:val="auto"/>
              </w:rPr>
            </w:pPr>
            <w:r>
              <w:rPr>
                <w:rFonts w:ascii="Arial" w:cs="Arial" w:eastAsia="Arial" w:hAnsi="Arial"/>
                <w:sz w:val="16"/>
                <w:szCs w:val="16"/>
                <w:color w:val="auto"/>
              </w:rPr>
              <w:t>453.2</w:t>
            </w:r>
          </w:p>
        </w:tc>
        <w:tc>
          <w:tcPr>
            <w:tcW w:w="100" w:type="dxa"/>
            <w:vAlign w:val="bottom"/>
            <w:shd w:val="clear" w:color="auto" w:fill="DCE2EF"/>
          </w:tcPr>
          <w:p>
            <w:pPr>
              <w:spacing w:after="0"/>
              <w:rPr>
                <w:sz w:val="18"/>
                <w:szCs w:val="18"/>
                <w:color w:val="auto"/>
              </w:rPr>
            </w:pPr>
          </w:p>
        </w:tc>
        <w:tc>
          <w:tcPr>
            <w:tcW w:w="680" w:type="dxa"/>
            <w:vAlign w:val="bottom"/>
            <w:shd w:val="clear" w:color="auto" w:fill="DCE2EF"/>
          </w:tcPr>
          <w:p>
            <w:pPr>
              <w:spacing w:after="0"/>
              <w:rPr>
                <w:sz w:val="18"/>
                <w:szCs w:val="18"/>
                <w:color w:val="auto"/>
              </w:rPr>
            </w:pPr>
          </w:p>
        </w:tc>
        <w:tc>
          <w:tcPr>
            <w:tcW w:w="1140" w:type="dxa"/>
            <w:vAlign w:val="bottom"/>
            <w:gridSpan w:val="3"/>
            <w:shd w:val="clear" w:color="auto" w:fill="DCE2EF"/>
          </w:tcPr>
          <w:p>
            <w:pPr>
              <w:jc w:val="right"/>
              <w:ind w:right="119"/>
              <w:spacing w:after="0"/>
              <w:rPr>
                <w:sz w:val="20"/>
                <w:szCs w:val="20"/>
                <w:color w:val="auto"/>
              </w:rPr>
            </w:pPr>
            <w:r>
              <w:rPr>
                <w:rFonts w:ascii="Arial" w:cs="Arial" w:eastAsia="Arial" w:hAnsi="Arial"/>
                <w:sz w:val="16"/>
                <w:szCs w:val="16"/>
                <w:color w:val="auto"/>
              </w:rPr>
              <w:t>445.7</w:t>
            </w:r>
          </w:p>
        </w:tc>
        <w:tc>
          <w:tcPr>
            <w:tcW w:w="10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000" w:type="dxa"/>
            <w:vAlign w:val="bottom"/>
            <w:shd w:val="clear" w:color="auto" w:fill="DCE2EF"/>
          </w:tcPr>
          <w:p>
            <w:pPr>
              <w:jc w:val="right"/>
              <w:ind w:right="2"/>
              <w:spacing w:after="0"/>
              <w:rPr>
                <w:sz w:val="20"/>
                <w:szCs w:val="20"/>
                <w:color w:val="auto"/>
              </w:rPr>
            </w:pPr>
            <w:r>
              <w:rPr>
                <w:rFonts w:ascii="Arial" w:cs="Arial" w:eastAsia="Arial" w:hAnsi="Arial"/>
                <w:sz w:val="16"/>
                <w:szCs w:val="16"/>
                <w:color w:val="auto"/>
              </w:rPr>
              <w:t>7.5</w:t>
            </w:r>
          </w:p>
        </w:tc>
        <w:tc>
          <w:tcPr>
            <w:tcW w:w="128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8"/>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DCE2EF"/>
            </w:tcBorders>
          </w:tcPr>
          <w:p>
            <w:pPr>
              <w:spacing w:after="0"/>
              <w:rPr>
                <w:sz w:val="18"/>
                <w:szCs w:val="18"/>
                <w:color w:val="auto"/>
              </w:rPr>
            </w:pPr>
          </w:p>
        </w:tc>
        <w:tc>
          <w:tcPr>
            <w:tcW w:w="3680" w:type="dxa"/>
            <w:vAlign w:val="bottom"/>
            <w:tcBorders>
              <w:bottom w:val="single" w:sz="8" w:color="DCE2EF"/>
            </w:tcBorders>
            <w:gridSpan w:val="3"/>
          </w:tcPr>
          <w:p>
            <w:pPr>
              <w:spacing w:after="0"/>
              <w:rPr>
                <w:sz w:val="20"/>
                <w:szCs w:val="20"/>
                <w:color w:val="auto"/>
              </w:rPr>
            </w:pPr>
            <w:r>
              <w:rPr>
                <w:rFonts w:ascii="Arial" w:cs="Arial" w:eastAsia="Arial" w:hAnsi="Arial"/>
                <w:sz w:val="16"/>
                <w:szCs w:val="16"/>
                <w:color w:val="auto"/>
              </w:rPr>
              <w:t>Technical Solutions</w:t>
            </w:r>
          </w:p>
        </w:tc>
        <w:tc>
          <w:tcPr>
            <w:tcW w:w="740" w:type="dxa"/>
            <w:vAlign w:val="bottom"/>
            <w:tcBorders>
              <w:bottom w:val="single" w:sz="8" w:color="DCE2EF"/>
            </w:tcBorders>
          </w:tcPr>
          <w:p>
            <w:pPr>
              <w:spacing w:after="0"/>
              <w:rPr>
                <w:sz w:val="18"/>
                <w:szCs w:val="18"/>
                <w:color w:val="auto"/>
              </w:rPr>
            </w:pPr>
          </w:p>
        </w:tc>
        <w:tc>
          <w:tcPr>
            <w:tcW w:w="380" w:type="dxa"/>
            <w:vAlign w:val="bottom"/>
            <w:tcBorders>
              <w:bottom w:val="single" w:sz="8" w:color="DCE2E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color w:val="auto"/>
              </w:rPr>
              <w:t>412.4</w:t>
            </w:r>
          </w:p>
        </w:tc>
        <w:tc>
          <w:tcPr>
            <w:tcW w:w="100" w:type="dxa"/>
            <w:vAlign w:val="bottom"/>
            <w:tcBorders>
              <w:bottom w:val="single" w:sz="8" w:color="DCE2E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color w:val="auto"/>
              </w:rPr>
              <w:t>342.1</w:t>
            </w:r>
          </w:p>
        </w:tc>
        <w:tc>
          <w:tcPr>
            <w:tcW w:w="100" w:type="dxa"/>
            <w:vAlign w:val="bottom"/>
            <w:tcBorders>
              <w:bottom w:val="single" w:sz="8" w:color="DCE2E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70.3</w:t>
            </w:r>
          </w:p>
        </w:tc>
        <w:tc>
          <w:tcPr>
            <w:tcW w:w="1280" w:type="dxa"/>
            <w:vAlign w:val="bottom"/>
            <w:tcBorders>
              <w:bottom w:val="single" w:sz="8" w:color="DCE2EF"/>
            </w:tcBorders>
          </w:tcPr>
          <w:p>
            <w:pPr>
              <w:jc w:val="center"/>
              <w:ind w:left="19"/>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DCE2EF"/>
            </w:tcBorders>
            <w:shd w:val="clear" w:color="auto" w:fill="DCE2EF"/>
          </w:tcPr>
          <w:p>
            <w:pPr>
              <w:spacing w:after="0"/>
              <w:rPr>
                <w:sz w:val="19"/>
                <w:szCs w:val="19"/>
                <w:color w:val="auto"/>
              </w:rPr>
            </w:pPr>
          </w:p>
        </w:tc>
        <w:tc>
          <w:tcPr>
            <w:tcW w:w="700" w:type="dxa"/>
            <w:vAlign w:val="bottom"/>
            <w:tcBorders>
              <w:bottom w:val="single" w:sz="8" w:color="DCE2EF"/>
            </w:tcBorders>
            <w:shd w:val="clear" w:color="auto" w:fill="DCE2EF"/>
          </w:tcPr>
          <w:p>
            <w:pPr>
              <w:spacing w:after="0"/>
              <w:rPr>
                <w:sz w:val="19"/>
                <w:szCs w:val="19"/>
                <w:color w:val="auto"/>
              </w:rPr>
            </w:pPr>
          </w:p>
        </w:tc>
        <w:tc>
          <w:tcPr>
            <w:tcW w:w="120" w:type="dxa"/>
            <w:vAlign w:val="bottom"/>
            <w:tcBorders>
              <w:bottom w:val="single" w:sz="8" w:color="DCE2EF"/>
            </w:tcBorders>
            <w:shd w:val="clear" w:color="auto" w:fill="DCE2EF"/>
          </w:tcPr>
          <w:p>
            <w:pPr>
              <w:spacing w:after="0"/>
              <w:rPr>
                <w:sz w:val="19"/>
                <w:szCs w:val="19"/>
                <w:color w:val="auto"/>
              </w:rPr>
            </w:pPr>
          </w:p>
        </w:tc>
        <w:tc>
          <w:tcPr>
            <w:tcW w:w="2860" w:type="dxa"/>
            <w:vAlign w:val="bottom"/>
            <w:tcBorders>
              <w:bottom w:val="single" w:sz="8" w:color="DCE2EF"/>
            </w:tcBorders>
            <w:shd w:val="clear" w:color="auto" w:fill="DCE2EF"/>
          </w:tcPr>
          <w:p>
            <w:pPr>
              <w:spacing w:after="0"/>
              <w:rPr>
                <w:sz w:val="19"/>
                <w:szCs w:val="19"/>
                <w:color w:val="auto"/>
              </w:rPr>
            </w:pPr>
          </w:p>
        </w:tc>
        <w:tc>
          <w:tcPr>
            <w:tcW w:w="740" w:type="dxa"/>
            <w:vAlign w:val="bottom"/>
            <w:tcBorders>
              <w:bottom w:val="single" w:sz="8" w:color="DCE2EF"/>
            </w:tcBorders>
            <w:shd w:val="clear" w:color="auto" w:fill="DCE2EF"/>
          </w:tcPr>
          <w:p>
            <w:pPr>
              <w:spacing w:after="0"/>
              <w:rPr>
                <w:sz w:val="19"/>
                <w:szCs w:val="19"/>
                <w:color w:val="auto"/>
              </w:rPr>
            </w:pPr>
          </w:p>
        </w:tc>
        <w:tc>
          <w:tcPr>
            <w:tcW w:w="380" w:type="dxa"/>
            <w:vAlign w:val="bottom"/>
            <w:tcBorders>
              <w:bottom w:val="single" w:sz="8" w:color="DCE2EF"/>
            </w:tcBorders>
            <w:shd w:val="clear" w:color="auto" w:fill="DCE2EF"/>
          </w:tcPr>
          <w:p>
            <w:pPr>
              <w:spacing w:after="0"/>
              <w:rPr>
                <w:sz w:val="19"/>
                <w:szCs w:val="19"/>
                <w:color w:val="auto"/>
              </w:rPr>
            </w:pP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gridSpan w:val="3"/>
            <w:shd w:val="clear" w:color="auto" w:fill="DCE2EF"/>
          </w:tcPr>
          <w:p>
            <w:pPr>
              <w:jc w:val="right"/>
              <w:ind w:right="119"/>
              <w:spacing w:after="0"/>
              <w:rPr>
                <w:sz w:val="20"/>
                <w:szCs w:val="20"/>
                <w:color w:val="auto"/>
              </w:rPr>
            </w:pPr>
            <w:r>
              <w:rPr>
                <w:rFonts w:ascii="Arial" w:cs="Arial" w:eastAsia="Arial" w:hAnsi="Arial"/>
                <w:sz w:val="16"/>
                <w:szCs w:val="16"/>
                <w:color w:val="auto"/>
              </w:rPr>
              <w:t>4,226.6</w:t>
            </w:r>
          </w:p>
        </w:tc>
        <w:tc>
          <w:tcPr>
            <w:tcW w:w="100" w:type="dxa"/>
            <w:vAlign w:val="bottom"/>
            <w:tcBorders>
              <w:bottom w:val="single" w:sz="8" w:color="DCE2EF"/>
            </w:tcBorders>
            <w:shd w:val="clear" w:color="auto" w:fill="DCE2EF"/>
          </w:tcPr>
          <w:p>
            <w:pPr>
              <w:spacing w:after="0"/>
              <w:rPr>
                <w:sz w:val="19"/>
                <w:szCs w:val="19"/>
                <w:color w:val="auto"/>
              </w:rPr>
            </w:pPr>
          </w:p>
        </w:tc>
        <w:tc>
          <w:tcPr>
            <w:tcW w:w="680" w:type="dxa"/>
            <w:vAlign w:val="bottom"/>
            <w:tcBorders>
              <w:bottom w:val="single" w:sz="8" w:color="auto"/>
            </w:tcBorders>
            <w:shd w:val="clear" w:color="auto" w:fill="DCE2EF"/>
          </w:tcPr>
          <w:p>
            <w:pPr>
              <w:jc w:val="right"/>
              <w:ind w:right="50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gridSpan w:val="3"/>
            <w:shd w:val="clear" w:color="auto" w:fill="DCE2EF"/>
          </w:tcPr>
          <w:p>
            <w:pPr>
              <w:jc w:val="right"/>
              <w:ind w:right="119"/>
              <w:spacing w:after="0"/>
              <w:rPr>
                <w:sz w:val="20"/>
                <w:szCs w:val="20"/>
                <w:color w:val="auto"/>
              </w:rPr>
            </w:pPr>
            <w:r>
              <w:rPr>
                <w:rFonts w:ascii="Arial" w:cs="Arial" w:eastAsia="Arial" w:hAnsi="Arial"/>
                <w:sz w:val="16"/>
                <w:szCs w:val="16"/>
                <w:color w:val="auto"/>
              </w:rPr>
              <w:t>4,087.8</w:t>
            </w:r>
          </w:p>
        </w:tc>
        <w:tc>
          <w:tcPr>
            <w:tcW w:w="100" w:type="dxa"/>
            <w:vAlign w:val="bottom"/>
            <w:tcBorders>
              <w:bottom w:val="single" w:sz="8" w:color="DCE2EF"/>
            </w:tcBorders>
            <w:shd w:val="clear" w:color="auto" w:fill="DCE2EF"/>
          </w:tcPr>
          <w:p>
            <w:pPr>
              <w:spacing w:after="0"/>
              <w:rPr>
                <w:sz w:val="19"/>
                <w:szCs w:val="19"/>
                <w:color w:val="auto"/>
              </w:rPr>
            </w:pPr>
          </w:p>
        </w:tc>
        <w:tc>
          <w:tcPr>
            <w:tcW w:w="20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DCE2EF"/>
          </w:tcPr>
          <w:p>
            <w:pPr>
              <w:jc w:val="right"/>
              <w:ind w:right="2"/>
              <w:spacing w:after="0"/>
              <w:rPr>
                <w:sz w:val="20"/>
                <w:szCs w:val="20"/>
                <w:color w:val="auto"/>
              </w:rPr>
            </w:pPr>
            <w:r>
              <w:rPr>
                <w:rFonts w:ascii="Arial" w:cs="Arial" w:eastAsia="Arial" w:hAnsi="Arial"/>
                <w:sz w:val="16"/>
                <w:szCs w:val="16"/>
                <w:color w:val="auto"/>
              </w:rPr>
              <w:t>138.8</w:t>
            </w:r>
          </w:p>
        </w:tc>
        <w:tc>
          <w:tcPr>
            <w:tcW w:w="1280" w:type="dxa"/>
            <w:vAlign w:val="bottom"/>
            <w:tcBorders>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w w:val="98"/>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CE2EF"/>
              <w:bottom w:val="single" w:sz="8" w:color="DCE2EF"/>
            </w:tcBorders>
            <w:vMerge w:val="restart"/>
          </w:tcPr>
          <w:p>
            <w:pPr>
              <w:spacing w:after="0" w:line="20" w:lineRule="exact"/>
              <w:rPr>
                <w:sz w:val="1"/>
                <w:szCs w:val="1"/>
                <w:color w:val="auto"/>
              </w:rPr>
            </w:pPr>
          </w:p>
        </w:tc>
        <w:tc>
          <w:tcPr>
            <w:tcW w:w="3680" w:type="dxa"/>
            <w:vAlign w:val="bottom"/>
            <w:tcBorders>
              <w:top w:val="single" w:sz="8" w:color="DCE2EF"/>
              <w:bottom w:val="single" w:sz="8" w:color="DCE2EF"/>
            </w:tcBorders>
            <w:gridSpan w:val="3"/>
            <w:vMerge w:val="restart"/>
          </w:tcPr>
          <w:p>
            <w:pPr>
              <w:spacing w:after="0"/>
              <w:rPr>
                <w:sz w:val="20"/>
                <w:szCs w:val="20"/>
                <w:color w:val="auto"/>
              </w:rPr>
            </w:pPr>
            <w:r>
              <w:rPr>
                <w:rFonts w:ascii="Arial" w:cs="Arial" w:eastAsia="Arial" w:hAnsi="Arial"/>
                <w:sz w:val="16"/>
                <w:szCs w:val="16"/>
                <w:b w:val="1"/>
                <w:bCs w:val="1"/>
                <w:color w:val="auto"/>
              </w:rPr>
              <w:t>Operating profit</w:t>
            </w:r>
          </w:p>
        </w:tc>
        <w:tc>
          <w:tcPr>
            <w:tcW w:w="74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50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bottom w:val="single" w:sz="8" w:color="auto"/>
            </w:tcBorders>
          </w:tcPr>
          <w:p>
            <w:pPr>
              <w:spacing w:after="0" w:line="20" w:lineRule="exact"/>
              <w:rPr>
                <w:sz w:val="1"/>
                <w:szCs w:val="1"/>
                <w:color w:val="auto"/>
              </w:rPr>
            </w:pPr>
          </w:p>
        </w:tc>
        <w:tc>
          <w:tcPr>
            <w:tcW w:w="9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bottom w:val="single" w:sz="8" w:color="auto"/>
            </w:tcBorders>
          </w:tcPr>
          <w:p>
            <w:pPr>
              <w:spacing w:after="0" w:line="20" w:lineRule="exact"/>
              <w:rPr>
                <w:sz w:val="1"/>
                <w:szCs w:val="1"/>
                <w:color w:val="auto"/>
              </w:rPr>
            </w:pPr>
          </w:p>
        </w:tc>
        <w:tc>
          <w:tcPr>
            <w:tcW w:w="9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00" w:type="dxa"/>
            <w:vAlign w:val="bottom"/>
            <w:tcBorders>
              <w:top w:val="single" w:sz="8" w:color="DCE2EF"/>
              <w:bottom w:val="single" w:sz="8" w:color="auto"/>
            </w:tcBorders>
          </w:tcPr>
          <w:p>
            <w:pPr>
              <w:spacing w:after="0" w:line="20" w:lineRule="exact"/>
              <w:rPr>
                <w:sz w:val="1"/>
                <w:szCs w:val="1"/>
                <w:color w:val="auto"/>
              </w:rPr>
            </w:pPr>
          </w:p>
        </w:tc>
        <w:tc>
          <w:tcPr>
            <w:tcW w:w="1000" w:type="dxa"/>
            <w:vAlign w:val="bottom"/>
            <w:tcBorders>
              <w:top w:val="single" w:sz="8" w:color="DCE2EF"/>
              <w:bottom w:val="single" w:sz="8" w:color="auto"/>
            </w:tcBorders>
          </w:tcPr>
          <w:p>
            <w:pPr>
              <w:spacing w:after="0" w:line="20" w:lineRule="exact"/>
              <w:rPr>
                <w:sz w:val="1"/>
                <w:szCs w:val="1"/>
                <w:color w:val="auto"/>
              </w:rPr>
            </w:pPr>
          </w:p>
        </w:tc>
        <w:tc>
          <w:tcPr>
            <w:tcW w:w="1280" w:type="dxa"/>
            <w:vAlign w:val="bottom"/>
            <w:tcBorders>
              <w:top w:val="single" w:sz="8" w:color="DCE2E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8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36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Business &amp; Industry</w:t>
            </w:r>
          </w:p>
        </w:tc>
        <w:tc>
          <w:tcPr>
            <w:tcW w:w="740" w:type="dxa"/>
            <w:vAlign w:val="bottom"/>
            <w:shd w:val="clear" w:color="auto" w:fill="DCE2EF"/>
          </w:tcPr>
          <w:p>
            <w:pPr>
              <w:spacing w:after="0"/>
              <w:rPr>
                <w:sz w:val="18"/>
                <w:szCs w:val="18"/>
                <w:color w:val="auto"/>
              </w:rPr>
            </w:pPr>
          </w:p>
        </w:tc>
        <w:tc>
          <w:tcPr>
            <w:tcW w:w="5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DCE2EF"/>
          </w:tcPr>
          <w:p>
            <w:pPr>
              <w:spacing w:after="0"/>
              <w:rPr>
                <w:sz w:val="18"/>
                <w:szCs w:val="18"/>
                <w:color w:val="auto"/>
              </w:rPr>
            </w:pPr>
          </w:p>
        </w:tc>
        <w:tc>
          <w:tcPr>
            <w:tcW w:w="1180" w:type="dxa"/>
            <w:vAlign w:val="bottom"/>
            <w:gridSpan w:val="3"/>
            <w:shd w:val="clear" w:color="auto" w:fill="DCE2EF"/>
          </w:tcPr>
          <w:p>
            <w:pPr>
              <w:jc w:val="right"/>
              <w:ind w:right="119"/>
              <w:spacing w:after="0"/>
              <w:rPr>
                <w:sz w:val="20"/>
                <w:szCs w:val="20"/>
                <w:color w:val="auto"/>
              </w:rPr>
            </w:pPr>
            <w:r>
              <w:rPr>
                <w:rFonts w:ascii="Arial" w:cs="Arial" w:eastAsia="Arial" w:hAnsi="Arial"/>
                <w:sz w:val="16"/>
                <w:szCs w:val="16"/>
                <w:color w:val="auto"/>
              </w:rPr>
              <w:t>162.4</w:t>
            </w:r>
          </w:p>
        </w:tc>
        <w:tc>
          <w:tcPr>
            <w:tcW w:w="100" w:type="dxa"/>
            <w:vAlign w:val="bottom"/>
            <w:shd w:val="clear" w:color="auto" w:fill="DCE2EF"/>
          </w:tcPr>
          <w:p>
            <w:pPr>
              <w:spacing w:after="0"/>
              <w:rPr>
                <w:sz w:val="18"/>
                <w:szCs w:val="18"/>
                <w:color w:val="auto"/>
              </w:rPr>
            </w:pPr>
          </w:p>
        </w:tc>
        <w:tc>
          <w:tcPr>
            <w:tcW w:w="680" w:type="dxa"/>
            <w:vAlign w:val="bottom"/>
            <w:shd w:val="clear" w:color="auto" w:fill="DCE2EF"/>
          </w:tcPr>
          <w:p>
            <w:pPr>
              <w:jc w:val="right"/>
              <w:ind w:right="501"/>
              <w:spacing w:after="0"/>
              <w:rPr>
                <w:sz w:val="20"/>
                <w:szCs w:val="20"/>
                <w:color w:val="auto"/>
              </w:rPr>
            </w:pPr>
            <w:r>
              <w:rPr>
                <w:rFonts w:ascii="Arial" w:cs="Arial" w:eastAsia="Arial" w:hAnsi="Arial"/>
                <w:sz w:val="16"/>
                <w:szCs w:val="16"/>
                <w:color w:val="auto"/>
                <w:w w:val="89"/>
              </w:rPr>
              <w:t>$</w:t>
            </w:r>
          </w:p>
        </w:tc>
        <w:tc>
          <w:tcPr>
            <w:tcW w:w="1140" w:type="dxa"/>
            <w:vAlign w:val="bottom"/>
            <w:gridSpan w:val="3"/>
            <w:shd w:val="clear" w:color="auto" w:fill="DCE2EF"/>
          </w:tcPr>
          <w:p>
            <w:pPr>
              <w:jc w:val="right"/>
              <w:ind w:right="119"/>
              <w:spacing w:after="0"/>
              <w:rPr>
                <w:sz w:val="20"/>
                <w:szCs w:val="20"/>
                <w:color w:val="auto"/>
              </w:rPr>
            </w:pPr>
            <w:r>
              <w:rPr>
                <w:rFonts w:ascii="Arial" w:cs="Arial" w:eastAsia="Arial" w:hAnsi="Arial"/>
                <w:sz w:val="16"/>
                <w:szCs w:val="16"/>
                <w:color w:val="auto"/>
              </w:rPr>
              <w:t>157.2</w:t>
            </w:r>
          </w:p>
        </w:tc>
        <w:tc>
          <w:tcPr>
            <w:tcW w:w="100" w:type="dxa"/>
            <w:vAlign w:val="bottom"/>
            <w:shd w:val="clear" w:color="auto" w:fill="DCE2EF"/>
          </w:tcPr>
          <w:p>
            <w:pPr>
              <w:spacing w:after="0"/>
              <w:rPr>
                <w:sz w:val="18"/>
                <w:szCs w:val="18"/>
                <w:color w:val="auto"/>
              </w:rPr>
            </w:pPr>
          </w:p>
        </w:tc>
        <w:tc>
          <w:tcPr>
            <w:tcW w:w="2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CE2EF"/>
          </w:tcPr>
          <w:p>
            <w:pPr>
              <w:jc w:val="right"/>
              <w:ind w:right="2"/>
              <w:spacing w:after="0"/>
              <w:rPr>
                <w:sz w:val="20"/>
                <w:szCs w:val="20"/>
                <w:color w:val="auto"/>
              </w:rPr>
            </w:pPr>
            <w:r>
              <w:rPr>
                <w:rFonts w:ascii="Arial" w:cs="Arial" w:eastAsia="Arial" w:hAnsi="Arial"/>
                <w:sz w:val="16"/>
                <w:szCs w:val="16"/>
                <w:color w:val="auto"/>
              </w:rPr>
              <w:t>5.2</w:t>
            </w:r>
          </w:p>
        </w:tc>
        <w:tc>
          <w:tcPr>
            <w:tcW w:w="128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8"/>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i w:val="1"/>
                <w:iCs w:val="1"/>
                <w:color w:val="auto"/>
              </w:rPr>
              <w:t>8.0 %</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i w:val="1"/>
                <w:iCs w:val="1"/>
                <w:color w:val="auto"/>
              </w:rPr>
              <w:t>7.8 %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20 bps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36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Manufacturing &amp; Distribution</w:t>
            </w:r>
          </w:p>
        </w:tc>
        <w:tc>
          <w:tcPr>
            <w:tcW w:w="74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14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180" w:type="dxa"/>
            <w:vAlign w:val="bottom"/>
            <w:gridSpan w:val="3"/>
            <w:shd w:val="clear" w:color="auto" w:fill="DCE2EF"/>
          </w:tcPr>
          <w:p>
            <w:pPr>
              <w:jc w:val="right"/>
              <w:ind w:right="119"/>
              <w:spacing w:after="0"/>
              <w:rPr>
                <w:sz w:val="20"/>
                <w:szCs w:val="20"/>
                <w:color w:val="auto"/>
              </w:rPr>
            </w:pPr>
            <w:r>
              <w:rPr>
                <w:rFonts w:ascii="Arial" w:cs="Arial" w:eastAsia="Arial" w:hAnsi="Arial"/>
                <w:sz w:val="16"/>
                <w:szCs w:val="16"/>
                <w:color w:val="auto"/>
              </w:rPr>
              <w:t>79.3</w:t>
            </w:r>
          </w:p>
        </w:tc>
        <w:tc>
          <w:tcPr>
            <w:tcW w:w="100" w:type="dxa"/>
            <w:vAlign w:val="bottom"/>
            <w:shd w:val="clear" w:color="auto" w:fill="DCE2EF"/>
          </w:tcPr>
          <w:p>
            <w:pPr>
              <w:spacing w:after="0"/>
              <w:rPr>
                <w:sz w:val="19"/>
                <w:szCs w:val="19"/>
                <w:color w:val="auto"/>
              </w:rPr>
            </w:pPr>
          </w:p>
        </w:tc>
        <w:tc>
          <w:tcPr>
            <w:tcW w:w="680" w:type="dxa"/>
            <w:vAlign w:val="bottom"/>
            <w:shd w:val="clear" w:color="auto" w:fill="DCE2EF"/>
          </w:tcPr>
          <w:p>
            <w:pPr>
              <w:spacing w:after="0"/>
              <w:rPr>
                <w:sz w:val="19"/>
                <w:szCs w:val="19"/>
                <w:color w:val="auto"/>
              </w:rPr>
            </w:pPr>
          </w:p>
        </w:tc>
        <w:tc>
          <w:tcPr>
            <w:tcW w:w="1140" w:type="dxa"/>
            <w:vAlign w:val="bottom"/>
            <w:gridSpan w:val="3"/>
            <w:shd w:val="clear" w:color="auto" w:fill="DCE2EF"/>
          </w:tcPr>
          <w:p>
            <w:pPr>
              <w:jc w:val="right"/>
              <w:ind w:right="119"/>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(5.7)</w:t>
            </w:r>
          </w:p>
        </w:tc>
        <w:tc>
          <w:tcPr>
            <w:tcW w:w="128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i w:val="1"/>
                <w:iCs w:val="1"/>
                <w:color w:val="auto"/>
              </w:rPr>
              <w:t>10.0 %</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i w:val="1"/>
                <w:iCs w:val="1"/>
                <w:color w:val="auto"/>
              </w:rPr>
              <w:t>10.8 %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(76) bps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36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Aviation</w:t>
            </w:r>
          </w:p>
        </w:tc>
        <w:tc>
          <w:tcPr>
            <w:tcW w:w="74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14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180" w:type="dxa"/>
            <w:vAlign w:val="bottom"/>
            <w:gridSpan w:val="3"/>
            <w:shd w:val="clear" w:color="auto" w:fill="DCE2EF"/>
          </w:tcPr>
          <w:p>
            <w:pPr>
              <w:jc w:val="right"/>
              <w:ind w:right="119"/>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DCE2EF"/>
          </w:tcPr>
          <w:p>
            <w:pPr>
              <w:spacing w:after="0"/>
              <w:rPr>
                <w:sz w:val="19"/>
                <w:szCs w:val="19"/>
                <w:color w:val="auto"/>
              </w:rPr>
            </w:pPr>
          </w:p>
        </w:tc>
        <w:tc>
          <w:tcPr>
            <w:tcW w:w="680" w:type="dxa"/>
            <w:vAlign w:val="bottom"/>
            <w:shd w:val="clear" w:color="auto" w:fill="DCE2EF"/>
          </w:tcPr>
          <w:p>
            <w:pPr>
              <w:spacing w:after="0"/>
              <w:rPr>
                <w:sz w:val="19"/>
                <w:szCs w:val="19"/>
                <w:color w:val="auto"/>
              </w:rPr>
            </w:pPr>
          </w:p>
        </w:tc>
        <w:tc>
          <w:tcPr>
            <w:tcW w:w="1140" w:type="dxa"/>
            <w:vAlign w:val="bottom"/>
            <w:gridSpan w:val="3"/>
            <w:shd w:val="clear" w:color="auto" w:fill="DCE2EF"/>
          </w:tcPr>
          <w:p>
            <w:pPr>
              <w:jc w:val="right"/>
              <w:ind w:right="119"/>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000" w:type="dxa"/>
            <w:vAlign w:val="bottom"/>
            <w:shd w:val="clear" w:color="auto" w:fill="DCE2EF"/>
          </w:tcPr>
          <w:p>
            <w:pPr>
              <w:jc w:val="right"/>
              <w:ind w:right="2"/>
              <w:spacing w:after="0"/>
              <w:rPr>
                <w:sz w:val="20"/>
                <w:szCs w:val="20"/>
                <w:color w:val="auto"/>
              </w:rPr>
            </w:pPr>
            <w:r>
              <w:rPr>
                <w:rFonts w:ascii="Arial" w:cs="Arial" w:eastAsia="Arial" w:hAnsi="Arial"/>
                <w:sz w:val="16"/>
                <w:szCs w:val="16"/>
                <w:color w:val="auto"/>
              </w:rPr>
              <w:t>5.9</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i w:val="1"/>
                <w:iCs w:val="1"/>
                <w:color w:val="auto"/>
              </w:rPr>
              <w:t>5.4 %</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i w:val="1"/>
                <w:iCs w:val="1"/>
                <w:color w:val="auto"/>
              </w:rPr>
              <w:t>4.7 %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75 bps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36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Education</w:t>
            </w:r>
          </w:p>
        </w:tc>
        <w:tc>
          <w:tcPr>
            <w:tcW w:w="74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14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180" w:type="dxa"/>
            <w:vAlign w:val="bottom"/>
            <w:gridSpan w:val="3"/>
            <w:shd w:val="clear" w:color="auto" w:fill="DCE2EF"/>
          </w:tcPr>
          <w:p>
            <w:pPr>
              <w:jc w:val="right"/>
              <w:ind w:right="119"/>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DCE2EF"/>
          </w:tcPr>
          <w:p>
            <w:pPr>
              <w:spacing w:after="0"/>
              <w:rPr>
                <w:sz w:val="19"/>
                <w:szCs w:val="19"/>
                <w:color w:val="auto"/>
              </w:rPr>
            </w:pPr>
          </w:p>
        </w:tc>
        <w:tc>
          <w:tcPr>
            <w:tcW w:w="680" w:type="dxa"/>
            <w:vAlign w:val="bottom"/>
            <w:shd w:val="clear" w:color="auto" w:fill="DCE2EF"/>
          </w:tcPr>
          <w:p>
            <w:pPr>
              <w:spacing w:after="0"/>
              <w:rPr>
                <w:sz w:val="19"/>
                <w:szCs w:val="19"/>
                <w:color w:val="auto"/>
              </w:rPr>
            </w:pPr>
          </w:p>
        </w:tc>
        <w:tc>
          <w:tcPr>
            <w:tcW w:w="1140" w:type="dxa"/>
            <w:vAlign w:val="bottom"/>
            <w:gridSpan w:val="3"/>
            <w:shd w:val="clear" w:color="auto" w:fill="DCE2EF"/>
          </w:tcPr>
          <w:p>
            <w:pPr>
              <w:jc w:val="right"/>
              <w:ind w:right="119"/>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000" w:type="dxa"/>
            <w:vAlign w:val="bottom"/>
            <w:shd w:val="clear" w:color="auto" w:fill="DCE2EF"/>
          </w:tcPr>
          <w:p>
            <w:pPr>
              <w:jc w:val="right"/>
              <w:ind w:right="2"/>
              <w:spacing w:after="0"/>
              <w:rPr>
                <w:sz w:val="20"/>
                <w:szCs w:val="20"/>
                <w:color w:val="auto"/>
              </w:rPr>
            </w:pPr>
            <w:r>
              <w:rPr>
                <w:rFonts w:ascii="Arial" w:cs="Arial" w:eastAsia="Arial" w:hAnsi="Arial"/>
                <w:sz w:val="16"/>
                <w:szCs w:val="16"/>
                <w:color w:val="auto"/>
              </w:rPr>
              <w:t>3.5</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i w:val="1"/>
                <w:iCs w:val="1"/>
                <w:color w:val="auto"/>
              </w:rPr>
              <w:t>6.1 %</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i w:val="1"/>
                <w:iCs w:val="1"/>
                <w:color w:val="auto"/>
              </w:rPr>
              <w:t>5.4 %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68 bps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36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Technical Solutions</w:t>
            </w:r>
          </w:p>
        </w:tc>
        <w:tc>
          <w:tcPr>
            <w:tcW w:w="74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14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180" w:type="dxa"/>
            <w:vAlign w:val="bottom"/>
            <w:gridSpan w:val="3"/>
            <w:shd w:val="clear" w:color="auto" w:fill="DCE2EF"/>
          </w:tcPr>
          <w:p>
            <w:pPr>
              <w:jc w:val="right"/>
              <w:ind w:right="119"/>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DCE2EF"/>
          </w:tcPr>
          <w:p>
            <w:pPr>
              <w:spacing w:after="0"/>
              <w:rPr>
                <w:sz w:val="19"/>
                <w:szCs w:val="19"/>
                <w:color w:val="auto"/>
              </w:rPr>
            </w:pPr>
          </w:p>
        </w:tc>
        <w:tc>
          <w:tcPr>
            <w:tcW w:w="680" w:type="dxa"/>
            <w:vAlign w:val="bottom"/>
            <w:shd w:val="clear" w:color="auto" w:fill="DCE2EF"/>
          </w:tcPr>
          <w:p>
            <w:pPr>
              <w:spacing w:after="0"/>
              <w:rPr>
                <w:sz w:val="19"/>
                <w:szCs w:val="19"/>
                <w:color w:val="auto"/>
              </w:rPr>
            </w:pPr>
          </w:p>
        </w:tc>
        <w:tc>
          <w:tcPr>
            <w:tcW w:w="1140" w:type="dxa"/>
            <w:vAlign w:val="bottom"/>
            <w:gridSpan w:val="3"/>
            <w:shd w:val="clear" w:color="auto" w:fill="DCE2EF"/>
          </w:tcPr>
          <w:p>
            <w:pPr>
              <w:jc w:val="right"/>
              <w:ind w:right="119"/>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000" w:type="dxa"/>
            <w:vAlign w:val="bottom"/>
            <w:shd w:val="clear" w:color="auto" w:fill="DCE2EF"/>
          </w:tcPr>
          <w:p>
            <w:pPr>
              <w:jc w:val="right"/>
              <w:ind w:right="2"/>
              <w:spacing w:after="0"/>
              <w:rPr>
                <w:sz w:val="20"/>
                <w:szCs w:val="20"/>
                <w:color w:val="auto"/>
              </w:rPr>
            </w:pPr>
            <w:r>
              <w:rPr>
                <w:rFonts w:ascii="Arial" w:cs="Arial" w:eastAsia="Arial" w:hAnsi="Arial"/>
                <w:sz w:val="16"/>
                <w:szCs w:val="16"/>
                <w:color w:val="auto"/>
              </w:rPr>
              <w:t>6.5</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i w:val="1"/>
                <w:iCs w:val="1"/>
                <w:color w:val="auto"/>
              </w:rPr>
              <w:t>7.3 %</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i w:val="1"/>
                <w:iCs w:val="1"/>
                <w:color w:val="auto"/>
              </w:rPr>
              <w:t>6.9 %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40 bps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36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Corporate</w:t>
            </w:r>
          </w:p>
        </w:tc>
        <w:tc>
          <w:tcPr>
            <w:tcW w:w="74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14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180" w:type="dxa"/>
            <w:vAlign w:val="bottom"/>
            <w:gridSpan w:val="3"/>
            <w:shd w:val="clear" w:color="auto" w:fill="DCE2EF"/>
          </w:tcPr>
          <w:p>
            <w:pPr>
              <w:jc w:val="right"/>
              <w:ind w:right="79"/>
              <w:spacing w:after="0"/>
              <w:rPr>
                <w:sz w:val="20"/>
                <w:szCs w:val="20"/>
                <w:color w:val="auto"/>
              </w:rPr>
            </w:pPr>
            <w:r>
              <w:rPr>
                <w:rFonts w:ascii="Arial" w:cs="Arial" w:eastAsia="Arial" w:hAnsi="Arial"/>
                <w:sz w:val="16"/>
                <w:szCs w:val="16"/>
                <w:color w:val="auto"/>
              </w:rPr>
              <w:t>(166.1)</w:t>
            </w:r>
          </w:p>
        </w:tc>
        <w:tc>
          <w:tcPr>
            <w:tcW w:w="100" w:type="dxa"/>
            <w:vAlign w:val="bottom"/>
            <w:shd w:val="clear" w:color="auto" w:fill="DCE2EF"/>
          </w:tcPr>
          <w:p>
            <w:pPr>
              <w:spacing w:after="0"/>
              <w:rPr>
                <w:sz w:val="19"/>
                <w:szCs w:val="19"/>
                <w:color w:val="auto"/>
              </w:rPr>
            </w:pPr>
          </w:p>
        </w:tc>
        <w:tc>
          <w:tcPr>
            <w:tcW w:w="680" w:type="dxa"/>
            <w:vAlign w:val="bottom"/>
            <w:shd w:val="clear" w:color="auto" w:fill="DCE2EF"/>
          </w:tcPr>
          <w:p>
            <w:pPr>
              <w:spacing w:after="0"/>
              <w:rPr>
                <w:sz w:val="19"/>
                <w:szCs w:val="19"/>
                <w:color w:val="auto"/>
              </w:rPr>
            </w:pPr>
          </w:p>
        </w:tc>
        <w:tc>
          <w:tcPr>
            <w:tcW w:w="1140" w:type="dxa"/>
            <w:vAlign w:val="bottom"/>
            <w:gridSpan w:val="3"/>
            <w:shd w:val="clear" w:color="auto" w:fill="DCE2EF"/>
          </w:tcPr>
          <w:p>
            <w:pPr>
              <w:jc w:val="right"/>
              <w:ind w:right="79"/>
              <w:spacing w:after="0"/>
              <w:rPr>
                <w:sz w:val="20"/>
                <w:szCs w:val="20"/>
                <w:color w:val="auto"/>
              </w:rPr>
            </w:pPr>
            <w:r>
              <w:rPr>
                <w:rFonts w:ascii="Arial" w:cs="Arial" w:eastAsia="Arial" w:hAnsi="Arial"/>
                <w:sz w:val="16"/>
                <w:szCs w:val="16"/>
                <w:color w:val="auto"/>
              </w:rPr>
              <w:t>(154.4)</w:t>
            </w: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(11.7)</w:t>
            </w:r>
          </w:p>
        </w:tc>
        <w:tc>
          <w:tcPr>
            <w:tcW w:w="128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40" w:type="dxa"/>
            <w:vAlign w:val="bottom"/>
            <w:gridSpan w:val="6"/>
          </w:tcPr>
          <w:p>
            <w:pPr>
              <w:spacing w:after="0" w:line="161" w:lineRule="exact"/>
              <w:rPr>
                <w:sz w:val="20"/>
                <w:szCs w:val="20"/>
                <w:color w:val="auto"/>
              </w:rPr>
            </w:pPr>
            <w:r>
              <w:rPr>
                <w:rFonts w:ascii="Arial" w:cs="Arial" w:eastAsia="Arial" w:hAnsi="Arial"/>
                <w:sz w:val="16"/>
                <w:szCs w:val="16"/>
                <w:color w:val="auto"/>
              </w:rPr>
              <w:t>Adjustment for income from unconsolidated affiliates, included in</w:t>
            </w:r>
          </w:p>
        </w:tc>
        <w:tc>
          <w:tcPr>
            <w:tcW w:w="500" w:type="dxa"/>
            <w:vAlign w:val="bottom"/>
          </w:tcPr>
          <w:p>
            <w:pPr>
              <w:spacing w:after="0"/>
              <w:rPr>
                <w:sz w:val="14"/>
                <w:szCs w:val="14"/>
                <w:color w:val="auto"/>
              </w:rPr>
            </w:pPr>
          </w:p>
        </w:tc>
        <w:tc>
          <w:tcPr>
            <w:tcW w:w="1180" w:type="dxa"/>
            <w:vAlign w:val="bottom"/>
            <w:gridSpan w:val="3"/>
            <w:vMerge w:val="restart"/>
          </w:tcPr>
          <w:p>
            <w:pPr>
              <w:jc w:val="right"/>
              <w:ind w:right="7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3"/>
            <w:vMerge w:val="restart"/>
          </w:tcPr>
          <w:p>
            <w:pPr>
              <w:jc w:val="right"/>
              <w:ind w:right="7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ind w:right="2"/>
              <w:spacing w:after="0"/>
              <w:rPr>
                <w:sz w:val="20"/>
                <w:szCs w:val="20"/>
                <w:color w:val="auto"/>
              </w:rPr>
            </w:pPr>
            <w:r>
              <w:rPr>
                <w:rFonts w:ascii="Arial" w:cs="Arial" w:eastAsia="Arial" w:hAnsi="Arial"/>
                <w:sz w:val="16"/>
                <w:szCs w:val="16"/>
                <w:color w:val="auto"/>
              </w:rPr>
              <w:t>0.8</w:t>
            </w:r>
          </w:p>
        </w:tc>
        <w:tc>
          <w:tcPr>
            <w:tcW w:w="1280" w:type="dxa"/>
            <w:vAlign w:val="bottom"/>
            <w:vMerge w:val="restart"/>
          </w:tcPr>
          <w:p>
            <w:pPr>
              <w:jc w:val="center"/>
              <w:ind w:left="19"/>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80" w:type="dxa"/>
            <w:vAlign w:val="bottom"/>
            <w:gridSpan w:val="3"/>
          </w:tcPr>
          <w:p>
            <w:pPr>
              <w:ind w:left="160"/>
              <w:spacing w:after="0"/>
              <w:rPr>
                <w:sz w:val="20"/>
                <w:szCs w:val="20"/>
                <w:color w:val="auto"/>
              </w:rPr>
            </w:pPr>
            <w:r>
              <w:rPr>
                <w:rFonts w:ascii="Arial" w:cs="Arial" w:eastAsia="Arial" w:hAnsi="Arial"/>
                <w:sz w:val="16"/>
                <w:szCs w:val="16"/>
                <w:color w:val="auto"/>
              </w:rPr>
              <w:t>Aviation and Technical Solutions</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DCE2EF"/>
          </w:tcPr>
          <w:p>
            <w:pPr>
              <w:spacing w:after="0"/>
              <w:rPr>
                <w:sz w:val="14"/>
                <w:szCs w:val="14"/>
                <w:color w:val="auto"/>
              </w:rPr>
            </w:pPr>
          </w:p>
        </w:tc>
        <w:tc>
          <w:tcPr>
            <w:tcW w:w="4420" w:type="dxa"/>
            <w:vAlign w:val="bottom"/>
            <w:gridSpan w:val="4"/>
            <w:shd w:val="clear" w:color="auto" w:fill="DCE2EF"/>
          </w:tcPr>
          <w:p>
            <w:pPr>
              <w:spacing w:after="0" w:line="162" w:lineRule="exact"/>
              <w:rPr>
                <w:sz w:val="20"/>
                <w:szCs w:val="20"/>
                <w:color w:val="auto"/>
              </w:rPr>
            </w:pPr>
            <w:r>
              <w:rPr>
                <w:rFonts w:ascii="Arial" w:cs="Arial" w:eastAsia="Arial" w:hAnsi="Arial"/>
                <w:sz w:val="16"/>
                <w:szCs w:val="16"/>
                <w:color w:val="auto"/>
              </w:rPr>
              <w:t>Adjustment for tax deductions for energy efficient government</w:t>
            </w:r>
          </w:p>
        </w:tc>
        <w:tc>
          <w:tcPr>
            <w:tcW w:w="380" w:type="dxa"/>
            <w:vAlign w:val="bottom"/>
            <w:shd w:val="clear" w:color="auto" w:fill="DCE2EF"/>
          </w:tcPr>
          <w:p>
            <w:pPr>
              <w:spacing w:after="0"/>
              <w:rPr>
                <w:sz w:val="14"/>
                <w:szCs w:val="14"/>
                <w:color w:val="auto"/>
              </w:rPr>
            </w:pPr>
          </w:p>
        </w:tc>
        <w:tc>
          <w:tcPr>
            <w:tcW w:w="140" w:type="dxa"/>
            <w:vAlign w:val="bottom"/>
            <w:shd w:val="clear" w:color="auto" w:fill="DCE2EF"/>
          </w:tcPr>
          <w:p>
            <w:pPr>
              <w:spacing w:after="0"/>
              <w:rPr>
                <w:sz w:val="14"/>
                <w:szCs w:val="14"/>
                <w:color w:val="auto"/>
              </w:rPr>
            </w:pPr>
          </w:p>
        </w:tc>
        <w:tc>
          <w:tcPr>
            <w:tcW w:w="500" w:type="dxa"/>
            <w:vAlign w:val="bottom"/>
            <w:shd w:val="clear" w:color="auto" w:fill="DCE2EF"/>
          </w:tcPr>
          <w:p>
            <w:pPr>
              <w:spacing w:after="0"/>
              <w:rPr>
                <w:sz w:val="14"/>
                <w:szCs w:val="14"/>
                <w:color w:val="auto"/>
              </w:rPr>
            </w:pPr>
          </w:p>
        </w:tc>
        <w:tc>
          <w:tcPr>
            <w:tcW w:w="1180" w:type="dxa"/>
            <w:vAlign w:val="bottom"/>
            <w:gridSpan w:val="3"/>
            <w:vMerge w:val="restart"/>
            <w:shd w:val="clear" w:color="auto" w:fill="DCE2EF"/>
          </w:tcPr>
          <w:p>
            <w:pPr>
              <w:jc w:val="right"/>
              <w:ind w:right="7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DCE2EF"/>
          </w:tcPr>
          <w:p>
            <w:pPr>
              <w:spacing w:after="0"/>
              <w:rPr>
                <w:sz w:val="14"/>
                <w:szCs w:val="14"/>
                <w:color w:val="auto"/>
              </w:rPr>
            </w:pPr>
          </w:p>
        </w:tc>
        <w:tc>
          <w:tcPr>
            <w:tcW w:w="68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1000" w:type="dxa"/>
            <w:vAlign w:val="bottom"/>
            <w:gridSpan w:val="2"/>
            <w:vMerge w:val="restart"/>
            <w:shd w:val="clear" w:color="auto" w:fill="DCE2E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DCE2EF"/>
          </w:tcPr>
          <w:p>
            <w:pPr>
              <w:spacing w:after="0"/>
              <w:rPr>
                <w:sz w:val="14"/>
                <w:szCs w:val="14"/>
                <w:color w:val="auto"/>
              </w:rPr>
            </w:pPr>
          </w:p>
        </w:tc>
        <w:tc>
          <w:tcPr>
            <w:tcW w:w="100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1280" w:type="dxa"/>
            <w:vAlign w:val="bottom"/>
            <w:vMerge w:val="restart"/>
            <w:shd w:val="clear" w:color="auto" w:fill="DCE2EF"/>
          </w:tcPr>
          <w:p>
            <w:pPr>
              <w:jc w:val="right"/>
              <w:ind w:right="339"/>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3680" w:type="dxa"/>
            <w:vAlign w:val="bottom"/>
            <w:gridSpan w:val="3"/>
            <w:shd w:val="clear" w:color="auto" w:fill="DCE2EF"/>
          </w:tcPr>
          <w:p>
            <w:pPr>
              <w:ind w:left="160"/>
              <w:spacing w:after="0"/>
              <w:rPr>
                <w:sz w:val="20"/>
                <w:szCs w:val="20"/>
                <w:color w:val="auto"/>
              </w:rPr>
            </w:pPr>
            <w:r>
              <w:rPr>
                <w:rFonts w:ascii="Arial" w:cs="Arial" w:eastAsia="Arial" w:hAnsi="Arial"/>
                <w:sz w:val="16"/>
                <w:szCs w:val="16"/>
                <w:color w:val="auto"/>
              </w:rPr>
              <w:t>buildings, included in Technical Solutions</w:t>
            </w:r>
          </w:p>
        </w:tc>
        <w:tc>
          <w:tcPr>
            <w:tcW w:w="74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500" w:type="dxa"/>
            <w:vAlign w:val="bottom"/>
            <w:shd w:val="clear" w:color="auto" w:fill="DCE2EF"/>
          </w:tcPr>
          <w:p>
            <w:pPr>
              <w:spacing w:after="0"/>
              <w:rPr>
                <w:sz w:val="18"/>
                <w:szCs w:val="18"/>
                <w:color w:val="auto"/>
              </w:rPr>
            </w:pPr>
          </w:p>
        </w:tc>
        <w:tc>
          <w:tcPr>
            <w:tcW w:w="1180" w:type="dxa"/>
            <w:vAlign w:val="bottom"/>
            <w:gridSpan w:val="3"/>
            <w:vMerge w:val="continue"/>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68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00" w:type="dxa"/>
            <w:vAlign w:val="bottom"/>
            <w:gridSpan w:val="2"/>
            <w:vMerge w:val="continue"/>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000" w:type="dxa"/>
            <w:vAlign w:val="bottom"/>
            <w:vMerge w:val="continue"/>
            <w:shd w:val="clear" w:color="auto" w:fill="DCE2EF"/>
          </w:tcPr>
          <w:p>
            <w:pPr>
              <w:spacing w:after="0"/>
              <w:rPr>
                <w:sz w:val="18"/>
                <w:szCs w:val="18"/>
                <w:color w:val="auto"/>
              </w:rPr>
            </w:pPr>
          </w:p>
        </w:tc>
        <w:tc>
          <w:tcPr>
            <w:tcW w:w="1280" w:type="dxa"/>
            <w:vAlign w:val="bottom"/>
            <w:vMerge w:val="continue"/>
            <w:shd w:val="clear" w:color="auto" w:fill="DCE2E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3"/>
          </w:tcPr>
          <w:p>
            <w:pPr>
              <w:jc w:val="right"/>
              <w:ind w:right="119"/>
              <w:spacing w:after="0"/>
              <w:rPr>
                <w:sz w:val="20"/>
                <w:szCs w:val="20"/>
                <w:color w:val="auto"/>
              </w:rPr>
            </w:pPr>
            <w:r>
              <w:rPr>
                <w:rFonts w:ascii="Arial" w:cs="Arial" w:eastAsia="Arial" w:hAnsi="Arial"/>
                <w:sz w:val="16"/>
                <w:szCs w:val="16"/>
                <w:color w:val="auto"/>
              </w:rPr>
              <w:t>159.9</w:t>
            </w:r>
          </w:p>
        </w:tc>
        <w:tc>
          <w:tcPr>
            <w:tcW w:w="1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gridSpan w:val="3"/>
          </w:tcPr>
          <w:p>
            <w:pPr>
              <w:jc w:val="right"/>
              <w:ind w:right="119"/>
              <w:spacing w:after="0"/>
              <w:rPr>
                <w:sz w:val="20"/>
                <w:szCs w:val="20"/>
                <w:color w:val="auto"/>
              </w:rPr>
            </w:pPr>
            <w:r>
              <w:rPr>
                <w:rFonts w:ascii="Arial" w:cs="Arial" w:eastAsia="Arial" w:hAnsi="Arial"/>
                <w:sz w:val="16"/>
                <w:szCs w:val="16"/>
                <w:color w:val="auto"/>
              </w:rPr>
              <w:t>155.4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4.5</w:t>
            </w:r>
          </w:p>
        </w:tc>
        <w:tc>
          <w:tcPr>
            <w:tcW w:w="1280" w:type="dxa"/>
            <w:vAlign w:val="bottom"/>
          </w:tcPr>
          <w:p>
            <w:pPr>
              <w:jc w:val="center"/>
              <w:ind w:left="39"/>
              <w:spacing w:after="0"/>
              <w:rPr>
                <w:sz w:val="20"/>
                <w:szCs w:val="20"/>
                <w:color w:val="auto"/>
              </w:rPr>
            </w:pPr>
            <w:r>
              <w:rPr>
                <w:rFonts w:ascii="Arial" w:cs="Arial" w:eastAsia="Arial" w:hAnsi="Arial"/>
                <w:sz w:val="16"/>
                <w:szCs w:val="16"/>
                <w:color w:val="auto"/>
                <w:w w:val="98"/>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gridSpan w:val="4"/>
            <w:vMerge w:val="restart"/>
          </w:tcPr>
          <w:p>
            <w:pPr>
              <w:spacing w:after="0"/>
              <w:rPr>
                <w:sz w:val="20"/>
                <w:szCs w:val="20"/>
                <w:color w:val="auto"/>
              </w:rPr>
            </w:pPr>
            <w:r>
              <w:rPr>
                <w:rFonts w:ascii="Arial" w:cs="Arial" w:eastAsia="Arial" w:hAnsi="Arial"/>
                <w:sz w:val="16"/>
                <w:szCs w:val="16"/>
                <w:color w:val="auto"/>
              </w:rPr>
              <w:t>*Not meaningful</w:t>
            </w: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3700" w:type="dxa"/>
            <w:vAlign w:val="bottom"/>
            <w:gridSpan w:val="4"/>
            <w:vMerge w:val="continue"/>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680" w:type="dxa"/>
            <w:vAlign w:val="bottom"/>
            <w:gridSpan w:val="3"/>
          </w:tcPr>
          <w:p>
            <w:pPr>
              <w:spacing w:after="0"/>
              <w:rPr>
                <w:sz w:val="20"/>
                <w:szCs w:val="20"/>
                <w:color w:val="auto"/>
              </w:rPr>
            </w:pPr>
            <w:r>
              <w:rPr>
                <w:rFonts w:ascii="Arial" w:cs="Arial" w:eastAsia="Arial" w:hAnsi="Arial"/>
                <w:sz w:val="16"/>
                <w:szCs w:val="16"/>
                <w:b w:val="1"/>
                <w:bCs w:val="1"/>
                <w:i w:val="1"/>
                <w:iCs w:val="1"/>
                <w:color w:val="0046AD"/>
              </w:rPr>
              <w:t>Business &amp; Industry</w:t>
            </w:r>
          </w:p>
        </w:tc>
        <w:tc>
          <w:tcPr>
            <w:tcW w:w="740" w:type="dxa"/>
            <w:vAlign w:val="bottom"/>
          </w:tcPr>
          <w:p>
            <w:pPr>
              <w:spacing w:after="0"/>
              <w:rPr>
                <w:sz w:val="24"/>
                <w:szCs w:val="24"/>
                <w:color w:val="auto"/>
              </w:rPr>
            </w:pPr>
          </w:p>
        </w:tc>
        <w:tc>
          <w:tcPr>
            <w:tcW w:w="2300" w:type="dxa"/>
            <w:vAlign w:val="bottom"/>
            <w:gridSpan w:val="7"/>
            <w:vMerge w:val="restart"/>
          </w:tcPr>
          <w:p>
            <w:pPr>
              <w:ind w:left="140"/>
              <w:spacing w:after="0"/>
              <w:rPr>
                <w:sz w:val="20"/>
                <w:szCs w:val="20"/>
                <w:color w:val="auto"/>
              </w:rPr>
            </w:pPr>
            <w:r>
              <w:rPr>
                <w:rFonts w:ascii="Arial" w:cs="Arial" w:eastAsia="Arial" w:hAnsi="Arial"/>
                <w:sz w:val="16"/>
                <w:szCs w:val="16"/>
                <w:b w:val="1"/>
                <w:bCs w:val="1"/>
                <w:color w:val="auto"/>
              </w:rPr>
              <w:t>Six Months Ended April 30,</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7"/>
            <w:vMerge w:val="continue"/>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740" w:type="dxa"/>
            <w:vAlign w:val="bottom"/>
          </w:tcPr>
          <w:p>
            <w:pPr>
              <w:spacing w:after="0"/>
              <w:rPr>
                <w:sz w:val="13"/>
                <w:szCs w:val="13"/>
                <w:color w:val="auto"/>
              </w:rPr>
            </w:pPr>
          </w:p>
        </w:tc>
        <w:tc>
          <w:tcPr>
            <w:tcW w:w="520" w:type="dxa"/>
            <w:vAlign w:val="bottom"/>
            <w:gridSpan w:val="2"/>
          </w:tcPr>
          <w:p>
            <w:pPr>
              <w:jc w:val="right"/>
              <w:ind w:right="59"/>
              <w:spacing w:after="0" w:line="142" w:lineRule="exact"/>
              <w:rPr>
                <w:sz w:val="20"/>
                <w:szCs w:val="20"/>
                <w:color w:val="auto"/>
              </w:rPr>
            </w:pPr>
            <w:r>
              <w:rPr>
                <w:rFonts w:ascii="Arial" w:cs="Arial" w:eastAsia="Arial" w:hAnsi="Arial"/>
                <w:sz w:val="16"/>
                <w:szCs w:val="16"/>
                <w:b w:val="1"/>
                <w:bCs w:val="1"/>
                <w:color w:val="auto"/>
              </w:rPr>
              <w:t>2025</w:t>
            </w:r>
          </w:p>
        </w:tc>
        <w:tc>
          <w:tcPr>
            <w:tcW w:w="500" w:type="dxa"/>
            <w:vAlign w:val="bottom"/>
          </w:tcPr>
          <w:p>
            <w:pPr>
              <w:spacing w:after="0"/>
              <w:rPr>
                <w:sz w:val="13"/>
                <w:szCs w:val="13"/>
                <w:color w:val="auto"/>
              </w:rPr>
            </w:pPr>
          </w:p>
        </w:tc>
        <w:tc>
          <w:tcPr>
            <w:tcW w:w="1960" w:type="dxa"/>
            <w:vAlign w:val="bottom"/>
            <w:gridSpan w:val="5"/>
          </w:tcPr>
          <w:p>
            <w:pPr>
              <w:jc w:val="right"/>
              <w:ind w:right="541"/>
              <w:spacing w:after="0" w:line="142"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2"/>
              <w:spacing w:after="0" w:line="135" w:lineRule="exact"/>
              <w:rPr>
                <w:sz w:val="20"/>
                <w:szCs w:val="20"/>
                <w:color w:val="auto"/>
              </w:rPr>
            </w:pPr>
            <w:r>
              <w:rPr>
                <w:rFonts w:ascii="Arial" w:cs="Arial" w:eastAsia="Arial" w:hAnsi="Arial"/>
                <w:sz w:val="15"/>
                <w:szCs w:val="15"/>
                <w:b w:val="1"/>
                <w:bCs w:val="1"/>
                <w:color w:val="auto"/>
              </w:rPr>
              <w:t>Increase</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120" w:type="dxa"/>
            <w:vAlign w:val="bottom"/>
            <w:tcBorders>
              <w:top w:val="single" w:sz="8" w:color="auto"/>
              <w:bottom w:val="single" w:sz="8" w:color="DCE2EF"/>
            </w:tcBorders>
          </w:tcPr>
          <w:p>
            <w:pPr>
              <w:spacing w:after="0"/>
              <w:rPr>
                <w:sz w:val="2"/>
                <w:szCs w:val="2"/>
                <w:color w:val="auto"/>
              </w:rPr>
            </w:pPr>
          </w:p>
        </w:tc>
        <w:tc>
          <w:tcPr>
            <w:tcW w:w="2860" w:type="dxa"/>
            <w:vAlign w:val="bottom"/>
            <w:tcBorders>
              <w:bottom w:val="single" w:sz="8" w:color="DCE2E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3680" w:type="dxa"/>
            <w:vAlign w:val="bottom"/>
            <w:gridSpan w:val="3"/>
            <w:shd w:val="clear" w:color="auto" w:fill="DCE2EF"/>
          </w:tcPr>
          <w:p>
            <w:pPr>
              <w:spacing w:after="0"/>
              <w:rPr>
                <w:sz w:val="20"/>
                <w:szCs w:val="20"/>
                <w:color w:val="auto"/>
              </w:rPr>
            </w:pPr>
            <w:r>
              <w:rPr>
                <w:rFonts w:ascii="Arial" w:cs="Arial" w:eastAsia="Arial" w:hAnsi="Arial"/>
                <w:sz w:val="16"/>
                <w:szCs w:val="16"/>
                <w:color w:val="auto"/>
              </w:rPr>
              <w:t>Revenues</w:t>
            </w:r>
          </w:p>
        </w:tc>
        <w:tc>
          <w:tcPr>
            <w:tcW w:w="740" w:type="dxa"/>
            <w:vAlign w:val="bottom"/>
            <w:shd w:val="clear" w:color="auto" w:fill="DCE2EF"/>
          </w:tcPr>
          <w:p>
            <w:pPr>
              <w:jc w:val="right"/>
              <w:ind w:right="539"/>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DCE2EF"/>
          </w:tcPr>
          <w:p>
            <w:pPr>
              <w:jc w:val="right"/>
              <w:spacing w:after="0"/>
              <w:rPr>
                <w:sz w:val="20"/>
                <w:szCs w:val="20"/>
                <w:color w:val="auto"/>
              </w:rPr>
            </w:pPr>
            <w:r>
              <w:rPr>
                <w:rFonts w:ascii="Arial" w:cs="Arial" w:eastAsia="Arial" w:hAnsi="Arial"/>
                <w:sz w:val="16"/>
                <w:szCs w:val="16"/>
                <w:color w:val="auto"/>
              </w:rPr>
              <w:t>2,038.4</w:t>
            </w:r>
          </w:p>
        </w:tc>
        <w:tc>
          <w:tcPr>
            <w:tcW w:w="1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940" w:type="dxa"/>
            <w:vAlign w:val="bottom"/>
            <w:shd w:val="clear" w:color="auto" w:fill="DCE2EF"/>
          </w:tcPr>
          <w:p>
            <w:pPr>
              <w:jc w:val="right"/>
              <w:ind w:right="75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DCE2EF"/>
          </w:tcPr>
          <w:p>
            <w:pPr>
              <w:spacing w:after="0"/>
              <w:rPr>
                <w:sz w:val="18"/>
                <w:szCs w:val="18"/>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2,022.8</w:t>
            </w:r>
          </w:p>
        </w:tc>
        <w:tc>
          <w:tcPr>
            <w:tcW w:w="1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900" w:type="dxa"/>
            <w:vAlign w:val="bottom"/>
            <w:shd w:val="clear" w:color="auto" w:fill="DCE2EF"/>
          </w:tcPr>
          <w:p>
            <w:pPr>
              <w:jc w:val="right"/>
              <w:ind w:right="71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000" w:type="dxa"/>
            <w:vAlign w:val="bottom"/>
            <w:shd w:val="clear" w:color="auto" w:fill="DCE2EF"/>
          </w:tcPr>
          <w:p>
            <w:pPr>
              <w:jc w:val="right"/>
              <w:ind w:right="442"/>
              <w:spacing w:after="0"/>
              <w:rPr>
                <w:sz w:val="20"/>
                <w:szCs w:val="20"/>
                <w:color w:val="auto"/>
              </w:rPr>
            </w:pPr>
            <w:r>
              <w:rPr>
                <w:rFonts w:ascii="Arial" w:cs="Arial" w:eastAsia="Arial" w:hAnsi="Arial"/>
                <w:sz w:val="16"/>
                <w:szCs w:val="16"/>
                <w:color w:val="auto"/>
              </w:rPr>
              <w:t>15.6</w:t>
            </w:r>
          </w:p>
        </w:tc>
        <w:tc>
          <w:tcPr>
            <w:tcW w:w="1280" w:type="dxa"/>
            <w:vAlign w:val="bottom"/>
            <w:shd w:val="clear" w:color="auto" w:fill="DCE2EF"/>
          </w:tcPr>
          <w:p>
            <w:pPr>
              <w:jc w:val="right"/>
              <w:ind w:right="499"/>
              <w:spacing w:after="0"/>
              <w:rPr>
                <w:sz w:val="20"/>
                <w:szCs w:val="20"/>
                <w:color w:val="auto"/>
              </w:rPr>
            </w:pPr>
            <w:r>
              <w:rPr>
                <w:rFonts w:ascii="Arial" w:cs="Arial" w:eastAsia="Arial" w:hAnsi="Arial"/>
                <w:sz w:val="16"/>
                <w:szCs w:val="16"/>
                <w:color w:val="auto"/>
              </w:rPr>
              <w:t>0.8%</w:t>
            </w:r>
          </w:p>
        </w:tc>
        <w:tc>
          <w:tcPr>
            <w:tcW w:w="10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6"/>
                <w:szCs w:val="16"/>
                <w:color w:val="auto"/>
              </w:rPr>
              <w:t>Operating profit</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442"/>
              <w:spacing w:after="0"/>
              <w:rPr>
                <w:sz w:val="20"/>
                <w:szCs w:val="20"/>
                <w:color w:val="auto"/>
              </w:rPr>
            </w:pPr>
            <w:r>
              <w:rPr>
                <w:rFonts w:ascii="Arial" w:cs="Arial" w:eastAsia="Arial" w:hAnsi="Arial"/>
                <w:sz w:val="16"/>
                <w:szCs w:val="16"/>
                <w:color w:val="auto"/>
              </w:rPr>
              <w:t>5.2</w:t>
            </w:r>
          </w:p>
        </w:tc>
        <w:tc>
          <w:tcPr>
            <w:tcW w:w="1280" w:type="dxa"/>
            <w:vAlign w:val="bottom"/>
          </w:tcPr>
          <w:p>
            <w:pPr>
              <w:jc w:val="right"/>
              <w:ind w:right="49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DCE2EF"/>
          </w:tcPr>
          <w:p>
            <w:pPr>
              <w:spacing w:after="0"/>
              <w:rPr>
                <w:sz w:val="17"/>
                <w:szCs w:val="17"/>
                <w:color w:val="auto"/>
              </w:rPr>
            </w:pPr>
          </w:p>
        </w:tc>
        <w:tc>
          <w:tcPr>
            <w:tcW w:w="3680" w:type="dxa"/>
            <w:vAlign w:val="bottom"/>
            <w:gridSpan w:val="3"/>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74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620" w:type="dxa"/>
            <w:vAlign w:val="bottom"/>
            <w:gridSpan w:val="2"/>
            <w:shd w:val="clear" w:color="auto" w:fill="DCE2EF"/>
          </w:tcPr>
          <w:p>
            <w:pPr>
              <w:jc w:val="right"/>
              <w:spacing w:after="0"/>
              <w:rPr>
                <w:sz w:val="20"/>
                <w:szCs w:val="20"/>
                <w:color w:val="auto"/>
              </w:rPr>
            </w:pPr>
            <w:r>
              <w:rPr>
                <w:rFonts w:ascii="Arial" w:cs="Arial" w:eastAsia="Arial" w:hAnsi="Arial"/>
                <w:sz w:val="14"/>
                <w:szCs w:val="14"/>
                <w:i w:val="1"/>
                <w:iCs w:val="1"/>
                <w:color w:val="auto"/>
              </w:rPr>
              <w:t>8.0 %</w:t>
            </w:r>
          </w:p>
        </w:tc>
        <w:tc>
          <w:tcPr>
            <w:tcW w:w="120" w:type="dxa"/>
            <w:vAlign w:val="bottom"/>
            <w:shd w:val="clear" w:color="auto" w:fill="DCE2EF"/>
          </w:tcPr>
          <w:p>
            <w:pPr>
              <w:spacing w:after="0"/>
              <w:rPr>
                <w:sz w:val="17"/>
                <w:szCs w:val="17"/>
                <w:color w:val="auto"/>
              </w:rPr>
            </w:pPr>
          </w:p>
        </w:tc>
        <w:tc>
          <w:tcPr>
            <w:tcW w:w="9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800" w:type="dxa"/>
            <w:vAlign w:val="bottom"/>
            <w:gridSpan w:val="2"/>
            <w:shd w:val="clear" w:color="auto" w:fill="DCE2EF"/>
          </w:tcPr>
          <w:p>
            <w:pPr>
              <w:jc w:val="right"/>
              <w:spacing w:after="0"/>
              <w:rPr>
                <w:sz w:val="20"/>
                <w:szCs w:val="20"/>
                <w:color w:val="auto"/>
              </w:rPr>
            </w:pPr>
            <w:r>
              <w:rPr>
                <w:rFonts w:ascii="Arial" w:cs="Arial" w:eastAsia="Arial" w:hAnsi="Arial"/>
                <w:sz w:val="14"/>
                <w:szCs w:val="14"/>
                <w:i w:val="1"/>
                <w:iCs w:val="1"/>
                <w:color w:val="auto"/>
              </w:rPr>
              <w:t>7.8 %</w:t>
            </w:r>
          </w:p>
        </w:tc>
        <w:tc>
          <w:tcPr>
            <w:tcW w:w="120" w:type="dxa"/>
            <w:vAlign w:val="bottom"/>
            <w:shd w:val="clear" w:color="auto" w:fill="DCE2EF"/>
          </w:tcPr>
          <w:p>
            <w:pPr>
              <w:spacing w:after="0"/>
              <w:rPr>
                <w:sz w:val="17"/>
                <w:szCs w:val="17"/>
                <w:color w:val="auto"/>
              </w:rPr>
            </w:pPr>
          </w:p>
        </w:tc>
        <w:tc>
          <w:tcPr>
            <w:tcW w:w="9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00" w:type="dxa"/>
            <w:vAlign w:val="bottom"/>
            <w:shd w:val="clear" w:color="auto" w:fill="DCE2EF"/>
          </w:tcPr>
          <w:p>
            <w:pPr>
              <w:spacing w:after="0"/>
              <w:rPr>
                <w:sz w:val="17"/>
                <w:szCs w:val="17"/>
                <w:color w:val="auto"/>
              </w:rPr>
            </w:pPr>
          </w:p>
        </w:tc>
        <w:tc>
          <w:tcPr>
            <w:tcW w:w="1000" w:type="dxa"/>
            <w:vAlign w:val="bottom"/>
            <w:shd w:val="clear" w:color="auto" w:fill="DCE2EF"/>
          </w:tcPr>
          <w:p>
            <w:pPr>
              <w:jc w:val="right"/>
              <w:ind w:right="382"/>
              <w:spacing w:after="0"/>
              <w:rPr>
                <w:sz w:val="20"/>
                <w:szCs w:val="20"/>
                <w:color w:val="auto"/>
              </w:rPr>
            </w:pPr>
            <w:r>
              <w:rPr>
                <w:rFonts w:ascii="Arial" w:cs="Arial" w:eastAsia="Arial" w:hAnsi="Arial"/>
                <w:sz w:val="14"/>
                <w:szCs w:val="14"/>
                <w:i w:val="1"/>
                <w:iCs w:val="1"/>
                <w:color w:val="auto"/>
              </w:rPr>
              <w:t>20 bps</w:t>
            </w:r>
          </w:p>
        </w:tc>
        <w:tc>
          <w:tcPr>
            <w:tcW w:w="12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B&amp;I revenues increased by $15.6 million, or 0.8%, to $2,038.4 million during the six months ended April 30, 2025, as compared to the prior year period. The revenue increase was primarily driven by client expansions both domestic and international, partially offset by attrition of certain engineering clients. Management reimbursement revenues for this segment totaled $143.1 million and $139.1 million for the six months ended April 30, 2025 and 2024, respectively.</w:t>
      </w:r>
    </w:p>
    <w:p>
      <w:pPr>
        <w:spacing w:after="0" w:line="121"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Operating profit increased by $5.2 million, or 3.3%, to $162.4 million during the six months ended April 30, 2025, as compared to the prior year period. Operating profit margin increased by 20 bps to 8.0% in the six months ended April 30, 2025, from 7.8% in the six months ended April 30, 2024. The increase in operating profit margin was primarily driven by the contract and service mix and lower amortization of intangible assets.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Manufacturing &amp; Distribution</w:t>
            </w:r>
          </w:p>
        </w:tc>
        <w:tc>
          <w:tcPr>
            <w:tcW w:w="440" w:type="dxa"/>
            <w:vAlign w:val="bottom"/>
          </w:tcPr>
          <w:p>
            <w:pPr>
              <w:spacing w:after="0"/>
              <w:rPr>
                <w:sz w:val="19"/>
                <w:szCs w:val="19"/>
                <w:color w:val="auto"/>
              </w:rPr>
            </w:pPr>
          </w:p>
        </w:tc>
        <w:tc>
          <w:tcPr>
            <w:tcW w:w="3500" w:type="dxa"/>
            <w:vAlign w:val="bottom"/>
            <w:gridSpan w:val="5"/>
            <w:vMerge w:val="restart"/>
          </w:tcPr>
          <w:p>
            <w:pPr>
              <w:ind w:left="440"/>
              <w:spacing w:after="0"/>
              <w:rPr>
                <w:sz w:val="20"/>
                <w:szCs w:val="20"/>
                <w:color w:val="auto"/>
              </w:rPr>
            </w:pPr>
            <w:r>
              <w:rPr>
                <w:rFonts w:ascii="Arial" w:cs="Arial" w:eastAsia="Arial" w:hAnsi="Arial"/>
                <w:sz w:val="16"/>
                <w:szCs w:val="16"/>
                <w:b w:val="1"/>
                <w:bCs w:val="1"/>
                <w:color w:val="auto"/>
              </w:rPr>
              <w:t>Six Months Ended April 30,</w:t>
            </w:r>
          </w:p>
        </w:tc>
        <w:tc>
          <w:tcPr>
            <w:tcW w:w="5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gridSpan w:val="5"/>
            <w:vMerge w:val="continue"/>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0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681"/>
              <w:spacing w:after="0" w:line="142" w:lineRule="exact"/>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2"/>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20" w:type="dxa"/>
            <w:vAlign w:val="bottom"/>
            <w:gridSpan w:val="2"/>
          </w:tcPr>
          <w:p>
            <w:pPr>
              <w:jc w:val="right"/>
              <w:ind w:right="899"/>
              <w:spacing w:after="0" w:line="135" w:lineRule="exact"/>
              <w:rPr>
                <w:sz w:val="20"/>
                <w:szCs w:val="20"/>
                <w:color w:val="auto"/>
              </w:rPr>
            </w:pPr>
            <w:r>
              <w:rPr>
                <w:rFonts w:ascii="Arial" w:cs="Arial" w:eastAsia="Arial" w:hAnsi="Arial"/>
                <w:sz w:val="15"/>
                <w:szCs w:val="15"/>
                <w:b w:val="1"/>
                <w:bCs w:val="1"/>
                <w:color w:val="auto"/>
              </w:rPr>
              <w:t>Increase / (Decrease)</w:t>
            </w: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2880" w:type="dxa"/>
            <w:vAlign w:val="bottom"/>
            <w:tcBorders>
              <w:bottom w:val="single" w:sz="8" w:color="DCE2E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37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Revenues</w:t>
            </w:r>
          </w:p>
        </w:tc>
        <w:tc>
          <w:tcPr>
            <w:tcW w:w="440" w:type="dxa"/>
            <w:vAlign w:val="bottom"/>
            <w:shd w:val="clear" w:color="auto" w:fill="DCE2E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792.4</w:t>
            </w:r>
          </w:p>
        </w:tc>
        <w:tc>
          <w:tcPr>
            <w:tcW w:w="100" w:type="dxa"/>
            <w:vAlign w:val="bottom"/>
            <w:shd w:val="clear" w:color="auto" w:fill="DCE2EF"/>
          </w:tcPr>
          <w:p>
            <w:pPr>
              <w:spacing w:after="0"/>
              <w:rPr>
                <w:sz w:val="18"/>
                <w:szCs w:val="18"/>
                <w:color w:val="auto"/>
              </w:rPr>
            </w:pPr>
          </w:p>
        </w:tc>
        <w:tc>
          <w:tcPr>
            <w:tcW w:w="44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DCE2EF"/>
          </w:tcPr>
          <w:p>
            <w:pPr>
              <w:jc w:val="right"/>
              <w:ind w:right="122"/>
              <w:spacing w:after="0"/>
              <w:rPr>
                <w:sz w:val="20"/>
                <w:szCs w:val="20"/>
                <w:color w:val="auto"/>
              </w:rPr>
            </w:pPr>
            <w:r>
              <w:rPr>
                <w:rFonts w:ascii="Arial" w:cs="Arial" w:eastAsia="Arial" w:hAnsi="Arial"/>
                <w:sz w:val="16"/>
                <w:szCs w:val="16"/>
                <w:color w:val="auto"/>
              </w:rPr>
              <w:t>789.5</w:t>
            </w:r>
          </w:p>
        </w:tc>
        <w:tc>
          <w:tcPr>
            <w:tcW w:w="100" w:type="dxa"/>
            <w:vAlign w:val="bottom"/>
            <w:shd w:val="clear" w:color="auto" w:fill="DCE2EF"/>
          </w:tcPr>
          <w:p>
            <w:pPr>
              <w:spacing w:after="0"/>
              <w:rPr>
                <w:sz w:val="18"/>
                <w:szCs w:val="18"/>
                <w:color w:val="auto"/>
              </w:rPr>
            </w:pPr>
          </w:p>
        </w:tc>
        <w:tc>
          <w:tcPr>
            <w:tcW w:w="560" w:type="dxa"/>
            <w:vAlign w:val="bottom"/>
            <w:shd w:val="clear" w:color="auto" w:fill="DCE2EF"/>
          </w:tcPr>
          <w:p>
            <w:pPr>
              <w:jc w:val="right"/>
              <w:ind w:right="3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DCE2EF"/>
          </w:tcPr>
          <w:p>
            <w:pPr>
              <w:jc w:val="right"/>
              <w:ind w:right="343"/>
              <w:spacing w:after="0"/>
              <w:rPr>
                <w:sz w:val="20"/>
                <w:szCs w:val="20"/>
                <w:color w:val="auto"/>
              </w:rPr>
            </w:pPr>
            <w:r>
              <w:rPr>
                <w:rFonts w:ascii="Arial" w:cs="Arial" w:eastAsia="Arial" w:hAnsi="Arial"/>
                <w:sz w:val="16"/>
                <w:szCs w:val="16"/>
                <w:color w:val="auto"/>
              </w:rPr>
              <w:t>2.9</w:t>
            </w:r>
          </w:p>
        </w:tc>
        <w:tc>
          <w:tcPr>
            <w:tcW w:w="1480" w:type="dxa"/>
            <w:vAlign w:val="bottom"/>
            <w:shd w:val="clear" w:color="auto" w:fill="DCE2EF"/>
          </w:tcPr>
          <w:p>
            <w:pPr>
              <w:jc w:val="right"/>
              <w:ind w:right="59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6"/>
                <w:szCs w:val="16"/>
                <w:color w:val="auto"/>
              </w:rPr>
              <w:t>Operating profit</w:t>
            </w:r>
          </w:p>
        </w:tc>
        <w:tc>
          <w:tcPr>
            <w:tcW w:w="440" w:type="dxa"/>
            <w:vAlign w:val="bottom"/>
          </w:tcPr>
          <w:p>
            <w:pPr>
              <w:spacing w:after="0"/>
              <w:rPr>
                <w:sz w:val="18"/>
                <w:szCs w:val="18"/>
                <w:color w:val="auto"/>
              </w:rPr>
            </w:pPr>
          </w:p>
        </w:tc>
        <w:tc>
          <w:tcPr>
            <w:tcW w:w="1440" w:type="dxa"/>
            <w:vAlign w:val="bottom"/>
          </w:tcPr>
          <w:p>
            <w:pPr>
              <w:jc w:val="right"/>
              <w:ind w:right="121"/>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122"/>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jc w:val="right"/>
              <w:ind w:right="303"/>
              <w:spacing w:after="0"/>
              <w:rPr>
                <w:sz w:val="20"/>
                <w:szCs w:val="20"/>
                <w:color w:val="auto"/>
              </w:rPr>
            </w:pPr>
            <w:r>
              <w:rPr>
                <w:rFonts w:ascii="Arial" w:cs="Arial" w:eastAsia="Arial" w:hAnsi="Arial"/>
                <w:sz w:val="16"/>
                <w:szCs w:val="16"/>
                <w:color w:val="auto"/>
              </w:rPr>
              <w:t>(5.7)</w:t>
            </w:r>
          </w:p>
        </w:tc>
        <w:tc>
          <w:tcPr>
            <w:tcW w:w="1480" w:type="dxa"/>
            <w:vAlign w:val="bottom"/>
          </w:tcPr>
          <w:p>
            <w:pPr>
              <w:jc w:val="right"/>
              <w:ind w:right="53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2"/>
        </w:trPr>
        <w:tc>
          <w:tcPr>
            <w:tcW w:w="20" w:type="dxa"/>
            <w:vAlign w:val="bottom"/>
            <w:shd w:val="clear" w:color="auto" w:fill="DCE2EF"/>
          </w:tcPr>
          <w:p>
            <w:pPr>
              <w:spacing w:after="0"/>
              <w:rPr>
                <w:sz w:val="17"/>
                <w:szCs w:val="17"/>
                <w:color w:val="auto"/>
              </w:rPr>
            </w:pPr>
          </w:p>
        </w:tc>
        <w:tc>
          <w:tcPr>
            <w:tcW w:w="37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40" w:type="dxa"/>
            <w:vAlign w:val="bottom"/>
            <w:shd w:val="clear" w:color="auto" w:fill="DCE2EF"/>
          </w:tcPr>
          <w:p>
            <w:pPr>
              <w:spacing w:after="0"/>
              <w:rPr>
                <w:sz w:val="17"/>
                <w:szCs w:val="17"/>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10.0 %</w:t>
            </w:r>
          </w:p>
        </w:tc>
        <w:tc>
          <w:tcPr>
            <w:tcW w:w="100" w:type="dxa"/>
            <w:vAlign w:val="bottom"/>
            <w:shd w:val="clear" w:color="auto" w:fill="DCE2EF"/>
          </w:tcPr>
          <w:p>
            <w:pPr>
              <w:spacing w:after="0"/>
              <w:rPr>
                <w:sz w:val="17"/>
                <w:szCs w:val="17"/>
                <w:color w:val="auto"/>
              </w:rPr>
            </w:pPr>
          </w:p>
        </w:tc>
        <w:tc>
          <w:tcPr>
            <w:tcW w:w="44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10.8 %</w:t>
            </w:r>
          </w:p>
        </w:tc>
        <w:tc>
          <w:tcPr>
            <w:tcW w:w="100" w:type="dxa"/>
            <w:vAlign w:val="bottom"/>
            <w:shd w:val="clear" w:color="auto" w:fill="DCE2EF"/>
          </w:tcPr>
          <w:p>
            <w:pPr>
              <w:spacing w:after="0"/>
              <w:rPr>
                <w:sz w:val="17"/>
                <w:szCs w:val="17"/>
                <w:color w:val="auto"/>
              </w:rPr>
            </w:pPr>
          </w:p>
        </w:tc>
        <w:tc>
          <w:tcPr>
            <w:tcW w:w="560" w:type="dxa"/>
            <w:vAlign w:val="bottom"/>
            <w:shd w:val="clear" w:color="auto" w:fill="DCE2EF"/>
          </w:tcPr>
          <w:p>
            <w:pPr>
              <w:spacing w:after="0"/>
              <w:rPr>
                <w:sz w:val="17"/>
                <w:szCs w:val="17"/>
                <w:color w:val="auto"/>
              </w:rPr>
            </w:pPr>
          </w:p>
        </w:tc>
        <w:tc>
          <w:tcPr>
            <w:tcW w:w="1540" w:type="dxa"/>
            <w:vAlign w:val="bottom"/>
            <w:shd w:val="clear" w:color="auto" w:fill="DCE2EF"/>
          </w:tcPr>
          <w:p>
            <w:pPr>
              <w:ind w:left="660"/>
              <w:spacing w:after="0"/>
              <w:rPr>
                <w:sz w:val="20"/>
                <w:szCs w:val="20"/>
                <w:color w:val="auto"/>
              </w:rPr>
            </w:pPr>
            <w:r>
              <w:rPr>
                <w:rFonts w:ascii="Arial" w:cs="Arial" w:eastAsia="Arial" w:hAnsi="Arial"/>
                <w:sz w:val="14"/>
                <w:szCs w:val="14"/>
                <w:i w:val="1"/>
                <w:iCs w:val="1"/>
                <w:color w:val="auto"/>
              </w:rPr>
              <w:t>(76) bps</w:t>
            </w:r>
          </w:p>
        </w:tc>
        <w:tc>
          <w:tcPr>
            <w:tcW w:w="14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M&amp;D revenues increased by $2.9 million, or 0.4%, to $792.4 million during the six months ended April 30, 2025, as compared to the prior year period. The increase was primarily attributable to the expansion of business with existing customers, partially offset by a loss of a certain customer in the first quarter of 2025.</w:t>
      </w:r>
    </w:p>
    <w:p>
      <w:pPr>
        <w:spacing w:after="0" w:line="75"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Operating profit decreased by $5.7 million, or 6.7%, to $79.3 million during the six months ended April 30, 2025, as compared to the prior year period. Operating profit margin decreased by 76 bps to 10.0% in the six months ended April 30, 2025, from 10.8% in the six months ended April 30, 2024. The decrease in operating profit margin was primarily attributable to the change in the contract mix and investments made in the fourth quarter of 2024 to hire certain technical expertise to support future growth.</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360" w:type="dxa"/>
        <w:tblCellMar>
          <w:top w:w="0" w:type="dxa"/>
          <w:left w:w="0" w:type="dxa"/>
          <w:bottom w:w="0" w:type="dxa"/>
          <w:right w:w="0" w:type="dxa"/>
        </w:tblCellMar>
      </w:tblPr>
      <w:tr>
        <w:trPr>
          <w:trHeight w:val="220"/>
        </w:trPr>
        <w:tc>
          <w:tcPr>
            <w:tcW w:w="288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Aviation</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9"/>
        </w:trPr>
        <w:tc>
          <w:tcPr>
            <w:tcW w:w="8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20" w:type="dxa"/>
            <w:vAlign w:val="bottom"/>
            <w:gridSpan w:val="5"/>
          </w:tcPr>
          <w:p>
            <w:pPr>
              <w:ind w:left="240"/>
              <w:spacing w:after="0"/>
              <w:rPr>
                <w:sz w:val="20"/>
                <w:szCs w:val="20"/>
                <w:color w:val="auto"/>
              </w:rPr>
            </w:pPr>
            <w:r>
              <w:rPr>
                <w:rFonts w:ascii="Arial" w:cs="Arial" w:eastAsia="Arial" w:hAnsi="Arial"/>
                <w:sz w:val="16"/>
                <w:szCs w:val="16"/>
                <w:b w:val="1"/>
                <w:bCs w:val="1"/>
                <w:color w:val="auto"/>
              </w:rPr>
              <w:t>Six Months Ended April 30,</w:t>
            </w: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182"/>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501"/>
              <w:spacing w:after="0" w:line="168" w:lineRule="exact"/>
              <w:rPr>
                <w:sz w:val="20"/>
                <w:szCs w:val="20"/>
                <w:color w:val="auto"/>
              </w:rPr>
            </w:pPr>
            <w:r>
              <w:rPr>
                <w:rFonts w:ascii="Arial" w:cs="Arial" w:eastAsia="Arial" w:hAnsi="Arial"/>
                <w:sz w:val="16"/>
                <w:szCs w:val="16"/>
                <w:b w:val="1"/>
                <w:bCs w:val="1"/>
                <w:color w:val="auto"/>
              </w:rPr>
              <w:t>2025</w:t>
            </w:r>
          </w:p>
        </w:tc>
        <w:tc>
          <w:tcPr>
            <w:tcW w:w="1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02"/>
              <w:spacing w:after="0" w:line="168" w:lineRule="exact"/>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80" w:type="dxa"/>
            <w:vAlign w:val="bottom"/>
          </w:tcPr>
          <w:p>
            <w:pPr>
              <w:jc w:val="right"/>
              <w:ind w:right="42"/>
              <w:spacing w:after="0" w:line="168" w:lineRule="exact"/>
              <w:rPr>
                <w:sz w:val="20"/>
                <w:szCs w:val="20"/>
                <w:color w:val="auto"/>
              </w:rPr>
            </w:pPr>
            <w:r>
              <w:rPr>
                <w:rFonts w:ascii="Arial" w:cs="Arial" w:eastAsia="Arial" w:hAnsi="Arial"/>
                <w:sz w:val="16"/>
                <w:szCs w:val="16"/>
                <w:b w:val="1"/>
                <w:bCs w:val="1"/>
                <w:color w:val="auto"/>
              </w:rPr>
              <w:t>Increase</w:t>
            </w:r>
          </w:p>
        </w:tc>
        <w:tc>
          <w:tcPr>
            <w:tcW w:w="1020" w:type="dxa"/>
            <w:vAlign w:val="bottom"/>
          </w:tcPr>
          <w:p>
            <w:pPr>
              <w:spacing w:after="0"/>
              <w:rPr>
                <w:sz w:val="15"/>
                <w:szCs w:val="15"/>
                <w:color w:val="auto"/>
              </w:rPr>
            </w:pPr>
          </w:p>
        </w:tc>
      </w:tr>
      <w:tr>
        <w:trPr>
          <w:trHeight w:val="34"/>
        </w:trPr>
        <w:tc>
          <w:tcPr>
            <w:tcW w:w="820" w:type="dxa"/>
            <w:vAlign w:val="bottom"/>
            <w:tcBorders>
              <w:top w:val="single" w:sz="8" w:color="auto"/>
              <w:bottom w:val="single" w:sz="8" w:color="DCE2EF"/>
            </w:tcBorders>
          </w:tcPr>
          <w:p>
            <w:pPr>
              <w:spacing w:after="0"/>
              <w:rPr>
                <w:sz w:val="2"/>
                <w:szCs w:val="2"/>
                <w:color w:val="auto"/>
              </w:rPr>
            </w:pPr>
          </w:p>
        </w:tc>
        <w:tc>
          <w:tcPr>
            <w:tcW w:w="206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DCE2E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5"/>
        </w:trPr>
        <w:tc>
          <w:tcPr>
            <w:tcW w:w="28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DCE2E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CE2EF"/>
          </w:tcPr>
          <w:p>
            <w:pPr>
              <w:jc w:val="right"/>
              <w:ind w:right="101"/>
              <w:spacing w:after="0"/>
              <w:rPr>
                <w:sz w:val="20"/>
                <w:szCs w:val="20"/>
                <w:color w:val="auto"/>
              </w:rPr>
            </w:pPr>
            <w:r>
              <w:rPr>
                <w:rFonts w:ascii="Arial" w:cs="Arial" w:eastAsia="Arial" w:hAnsi="Arial"/>
                <w:sz w:val="16"/>
                <w:szCs w:val="16"/>
                <w:color w:val="auto"/>
              </w:rPr>
              <w:t>530.2</w:t>
            </w:r>
          </w:p>
        </w:tc>
        <w:tc>
          <w:tcPr>
            <w:tcW w:w="140" w:type="dxa"/>
            <w:vAlign w:val="bottom"/>
            <w:shd w:val="clear" w:color="auto" w:fill="DCE2EF"/>
          </w:tcPr>
          <w:p>
            <w:pPr>
              <w:spacing w:after="0"/>
              <w:rPr>
                <w:sz w:val="20"/>
                <w:szCs w:val="20"/>
                <w:color w:val="auto"/>
              </w:rPr>
            </w:pPr>
          </w:p>
        </w:tc>
        <w:tc>
          <w:tcPr>
            <w:tcW w:w="36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DCE2EF"/>
          </w:tcPr>
          <w:p>
            <w:pPr>
              <w:jc w:val="right"/>
              <w:ind w:right="102"/>
              <w:spacing w:after="0"/>
              <w:rPr>
                <w:sz w:val="20"/>
                <w:szCs w:val="20"/>
                <w:color w:val="auto"/>
              </w:rPr>
            </w:pPr>
            <w:r>
              <w:rPr>
                <w:rFonts w:ascii="Arial" w:cs="Arial" w:eastAsia="Arial" w:hAnsi="Arial"/>
                <w:sz w:val="16"/>
                <w:szCs w:val="16"/>
                <w:color w:val="auto"/>
              </w:rPr>
              <w:t>487.8</w:t>
            </w:r>
          </w:p>
        </w:tc>
        <w:tc>
          <w:tcPr>
            <w:tcW w:w="140" w:type="dxa"/>
            <w:vAlign w:val="bottom"/>
            <w:shd w:val="clear" w:color="auto" w:fill="DCE2EF"/>
          </w:tcPr>
          <w:p>
            <w:pPr>
              <w:spacing w:after="0"/>
              <w:rPr>
                <w:sz w:val="20"/>
                <w:szCs w:val="20"/>
                <w:color w:val="auto"/>
              </w:rPr>
            </w:pPr>
          </w:p>
        </w:tc>
        <w:tc>
          <w:tcPr>
            <w:tcW w:w="540" w:type="dxa"/>
            <w:vAlign w:val="bottom"/>
            <w:shd w:val="clear" w:color="auto" w:fill="DCE2EF"/>
          </w:tcPr>
          <w:p>
            <w:pPr>
              <w:jc w:val="right"/>
              <w:ind w:right="35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DCE2EF"/>
          </w:tcPr>
          <w:p>
            <w:pPr>
              <w:jc w:val="right"/>
              <w:ind w:right="482"/>
              <w:spacing w:after="0"/>
              <w:rPr>
                <w:sz w:val="20"/>
                <w:szCs w:val="20"/>
                <w:color w:val="auto"/>
              </w:rPr>
            </w:pPr>
            <w:r>
              <w:rPr>
                <w:rFonts w:ascii="Arial" w:cs="Arial" w:eastAsia="Arial" w:hAnsi="Arial"/>
                <w:sz w:val="16"/>
                <w:szCs w:val="16"/>
                <w:color w:val="auto"/>
              </w:rPr>
              <w:t>42.4</w:t>
            </w:r>
          </w:p>
        </w:tc>
        <w:tc>
          <w:tcPr>
            <w:tcW w:w="1020" w:type="dxa"/>
            <w:vAlign w:val="bottom"/>
            <w:shd w:val="clear" w:color="auto" w:fill="DCE2EF"/>
          </w:tcPr>
          <w:p>
            <w:pPr>
              <w:jc w:val="right"/>
              <w:ind w:right="419"/>
              <w:spacing w:after="0"/>
              <w:rPr>
                <w:sz w:val="20"/>
                <w:szCs w:val="20"/>
                <w:color w:val="auto"/>
              </w:rPr>
            </w:pPr>
            <w:r>
              <w:rPr>
                <w:rFonts w:ascii="Arial" w:cs="Arial" w:eastAsia="Arial" w:hAnsi="Arial"/>
                <w:sz w:val="16"/>
                <w:szCs w:val="16"/>
                <w:color w:val="auto"/>
              </w:rPr>
              <w:t>8.7%</w:t>
            </w:r>
          </w:p>
        </w:tc>
      </w:tr>
      <w:tr>
        <w:trPr>
          <w:trHeight w:val="254"/>
        </w:trPr>
        <w:tc>
          <w:tcPr>
            <w:tcW w:w="2880" w:type="dxa"/>
            <w:vAlign w:val="bottom"/>
            <w:gridSpan w:val="2"/>
          </w:tcPr>
          <w:p>
            <w:pPr>
              <w:spacing w:after="0"/>
              <w:rPr>
                <w:sz w:val="20"/>
                <w:szCs w:val="20"/>
                <w:color w:val="auto"/>
              </w:rPr>
            </w:pPr>
            <w:r>
              <w:rPr>
                <w:rFonts w:ascii="Arial" w:cs="Arial" w:eastAsia="Arial" w:hAnsi="Arial"/>
                <w:sz w:val="16"/>
                <w:szCs w:val="16"/>
                <w:color w:val="auto"/>
              </w:rPr>
              <w:t>Operating profit</w:t>
            </w:r>
          </w:p>
        </w:tc>
        <w:tc>
          <w:tcPr>
            <w:tcW w:w="340" w:type="dxa"/>
            <w:vAlign w:val="bottom"/>
          </w:tcPr>
          <w:p>
            <w:pPr>
              <w:spacing w:after="0"/>
              <w:rPr>
                <w:sz w:val="22"/>
                <w:szCs w:val="22"/>
                <w:color w:val="auto"/>
              </w:rPr>
            </w:pPr>
          </w:p>
        </w:tc>
        <w:tc>
          <w:tcPr>
            <w:tcW w:w="1200" w:type="dxa"/>
            <w:vAlign w:val="bottom"/>
          </w:tcPr>
          <w:p>
            <w:pPr>
              <w:jc w:val="right"/>
              <w:ind w:right="101"/>
              <w:spacing w:after="0"/>
              <w:rPr>
                <w:sz w:val="20"/>
                <w:szCs w:val="20"/>
                <w:color w:val="auto"/>
              </w:rPr>
            </w:pPr>
            <w:r>
              <w:rPr>
                <w:rFonts w:ascii="Arial" w:cs="Arial" w:eastAsia="Arial" w:hAnsi="Arial"/>
                <w:sz w:val="16"/>
                <w:szCs w:val="16"/>
                <w:color w:val="auto"/>
              </w:rPr>
              <w:t>28.7</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22.8</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80" w:type="dxa"/>
            <w:vAlign w:val="bottom"/>
          </w:tcPr>
          <w:p>
            <w:pPr>
              <w:jc w:val="right"/>
              <w:ind w:right="482"/>
              <w:spacing w:after="0"/>
              <w:rPr>
                <w:sz w:val="20"/>
                <w:szCs w:val="20"/>
                <w:color w:val="auto"/>
              </w:rPr>
            </w:pPr>
            <w:r>
              <w:rPr>
                <w:rFonts w:ascii="Arial" w:cs="Arial" w:eastAsia="Arial" w:hAnsi="Arial"/>
                <w:sz w:val="16"/>
                <w:szCs w:val="16"/>
                <w:color w:val="auto"/>
              </w:rPr>
              <w:t>5.9</w:t>
            </w:r>
          </w:p>
        </w:tc>
        <w:tc>
          <w:tcPr>
            <w:tcW w:w="1020" w:type="dxa"/>
            <w:vAlign w:val="bottom"/>
          </w:tcPr>
          <w:p>
            <w:pPr>
              <w:jc w:val="right"/>
              <w:ind w:right="379"/>
              <w:spacing w:after="0"/>
              <w:rPr>
                <w:sz w:val="20"/>
                <w:szCs w:val="20"/>
                <w:color w:val="auto"/>
              </w:rPr>
            </w:pPr>
            <w:r>
              <w:rPr>
                <w:rFonts w:ascii="Arial" w:cs="Arial" w:eastAsia="Arial" w:hAnsi="Arial"/>
                <w:sz w:val="16"/>
                <w:szCs w:val="16"/>
                <w:color w:val="auto"/>
              </w:rPr>
              <w:t>26.1%</w:t>
            </w:r>
          </w:p>
        </w:tc>
      </w:tr>
      <w:tr>
        <w:trPr>
          <w:trHeight w:val="216"/>
        </w:trPr>
        <w:tc>
          <w:tcPr>
            <w:tcW w:w="288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40" w:type="dxa"/>
            <w:vAlign w:val="bottom"/>
            <w:shd w:val="clear" w:color="auto" w:fill="DCE2EF"/>
          </w:tcPr>
          <w:p>
            <w:pPr>
              <w:spacing w:after="0"/>
              <w:rPr>
                <w:sz w:val="18"/>
                <w:szCs w:val="18"/>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5.4 %</w:t>
            </w:r>
          </w:p>
        </w:tc>
        <w:tc>
          <w:tcPr>
            <w:tcW w:w="14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4.7 %</w:t>
            </w:r>
          </w:p>
        </w:tc>
        <w:tc>
          <w:tcPr>
            <w:tcW w:w="140" w:type="dxa"/>
            <w:vAlign w:val="bottom"/>
            <w:shd w:val="clear" w:color="auto" w:fill="DCE2EF"/>
          </w:tcPr>
          <w:p>
            <w:pPr>
              <w:spacing w:after="0"/>
              <w:rPr>
                <w:sz w:val="18"/>
                <w:szCs w:val="18"/>
                <w:color w:val="auto"/>
              </w:rPr>
            </w:pPr>
          </w:p>
        </w:tc>
        <w:tc>
          <w:tcPr>
            <w:tcW w:w="540" w:type="dxa"/>
            <w:vAlign w:val="bottom"/>
            <w:shd w:val="clear" w:color="auto" w:fill="DCE2EF"/>
          </w:tcPr>
          <w:p>
            <w:pPr>
              <w:spacing w:after="0"/>
              <w:rPr>
                <w:sz w:val="18"/>
                <w:szCs w:val="18"/>
                <w:color w:val="auto"/>
              </w:rPr>
            </w:pPr>
          </w:p>
        </w:tc>
        <w:tc>
          <w:tcPr>
            <w:tcW w:w="1380" w:type="dxa"/>
            <w:vAlign w:val="bottom"/>
            <w:shd w:val="clear" w:color="auto" w:fill="DCE2EF"/>
          </w:tcPr>
          <w:p>
            <w:pPr>
              <w:jc w:val="right"/>
              <w:ind w:right="422"/>
              <w:spacing w:after="0"/>
              <w:rPr>
                <w:sz w:val="20"/>
                <w:szCs w:val="20"/>
                <w:color w:val="auto"/>
              </w:rPr>
            </w:pPr>
            <w:r>
              <w:rPr>
                <w:rFonts w:ascii="Arial" w:cs="Arial" w:eastAsia="Arial" w:hAnsi="Arial"/>
                <w:sz w:val="14"/>
                <w:szCs w:val="14"/>
                <w:i w:val="1"/>
                <w:iCs w:val="1"/>
                <w:color w:val="auto"/>
              </w:rPr>
              <w:t>75 bps</w:t>
            </w:r>
          </w:p>
        </w:tc>
        <w:tc>
          <w:tcPr>
            <w:tcW w:w="1020" w:type="dxa"/>
            <w:vAlign w:val="bottom"/>
            <w:shd w:val="clear" w:color="auto" w:fill="DCE2EF"/>
          </w:tcPr>
          <w:p>
            <w:pPr>
              <w:spacing w:after="0"/>
              <w:rPr>
                <w:sz w:val="18"/>
                <w:szCs w:val="18"/>
                <w:color w:val="auto"/>
              </w:rPr>
            </w:pPr>
          </w:p>
        </w:tc>
      </w:tr>
    </w:tbl>
    <w:p>
      <w:pPr>
        <w:spacing w:after="0" w:line="290"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Aviation revenues increased by $42.4 million, or 8.7%, to $530.2 million during the six months ended April 30, 2025, as compared to the prior year period. The increase was primarily attributable to new business and scope expansions with the existing clients both domestically and internationally. Management reimbursement revenues for this segment totaled $23.2 million and $17.7 million for the six months ended April 30, 2025 and 2024, respectively.</w:t>
      </w:r>
    </w:p>
    <w:p>
      <w:pPr>
        <w:spacing w:after="0" w:line="175"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Operating profit increased by $5.9 million, or 26.1%, to $28.7 million during the six months ended April 30, 2025, as compared to the prior year period. Operating profit margin increased by 75 bps to 5.4% in the six months ended April 30, 2025, from 4.7% in the six months ended April 30, 2024. The increase was primarily attributable to contract mix and operational efficiencies, particularly in managing overhead costs, partially offset by base wage increases.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Education</w:t>
            </w:r>
          </w:p>
        </w:tc>
        <w:tc>
          <w:tcPr>
            <w:tcW w:w="440" w:type="dxa"/>
            <w:vAlign w:val="bottom"/>
          </w:tcPr>
          <w:p>
            <w:pPr>
              <w:spacing w:after="0"/>
              <w:rPr>
                <w:sz w:val="19"/>
                <w:szCs w:val="19"/>
                <w:color w:val="auto"/>
              </w:rPr>
            </w:pPr>
          </w:p>
        </w:tc>
        <w:tc>
          <w:tcPr>
            <w:tcW w:w="3500" w:type="dxa"/>
            <w:vAlign w:val="bottom"/>
            <w:gridSpan w:val="5"/>
            <w:vMerge w:val="restart"/>
          </w:tcPr>
          <w:p>
            <w:pPr>
              <w:ind w:left="440"/>
              <w:spacing w:after="0"/>
              <w:rPr>
                <w:sz w:val="20"/>
                <w:szCs w:val="20"/>
                <w:color w:val="auto"/>
              </w:rPr>
            </w:pPr>
            <w:r>
              <w:rPr>
                <w:rFonts w:ascii="Arial" w:cs="Arial" w:eastAsia="Arial" w:hAnsi="Arial"/>
                <w:sz w:val="16"/>
                <w:szCs w:val="16"/>
                <w:b w:val="1"/>
                <w:bCs w:val="1"/>
                <w:color w:val="auto"/>
              </w:rPr>
              <w:t>Six Months Ended April 30,</w:t>
            </w: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gridSpan w:val="5"/>
            <w:vMerge w:val="continue"/>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0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681"/>
              <w:spacing w:after="0" w:line="142" w:lineRule="exact"/>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2"/>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0" w:type="dxa"/>
            <w:vAlign w:val="bottom"/>
            <w:gridSpan w:val="2"/>
          </w:tcPr>
          <w:p>
            <w:pPr>
              <w:ind w:left="760"/>
              <w:spacing w:after="0" w:line="135" w:lineRule="exact"/>
              <w:rPr>
                <w:sz w:val="20"/>
                <w:szCs w:val="20"/>
                <w:color w:val="auto"/>
              </w:rPr>
            </w:pPr>
            <w:r>
              <w:rPr>
                <w:rFonts w:ascii="Arial" w:cs="Arial" w:eastAsia="Arial" w:hAnsi="Arial"/>
                <w:sz w:val="15"/>
                <w:szCs w:val="15"/>
                <w:b w:val="1"/>
                <w:bCs w:val="1"/>
                <w:color w:val="auto"/>
              </w:rPr>
              <w:t>Increase</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DCE3EF"/>
            </w:tcBorders>
          </w:tcPr>
          <w:p>
            <w:pPr>
              <w:spacing w:after="0"/>
              <w:rPr>
                <w:sz w:val="2"/>
                <w:szCs w:val="2"/>
                <w:color w:val="auto"/>
              </w:rPr>
            </w:pPr>
          </w:p>
        </w:tc>
        <w:tc>
          <w:tcPr>
            <w:tcW w:w="820" w:type="dxa"/>
            <w:vAlign w:val="bottom"/>
            <w:tcBorders>
              <w:top w:val="single" w:sz="8" w:color="auto"/>
              <w:bottom w:val="single" w:sz="8" w:color="DCE3EF"/>
            </w:tcBorders>
          </w:tcPr>
          <w:p>
            <w:pPr>
              <w:spacing w:after="0"/>
              <w:rPr>
                <w:sz w:val="2"/>
                <w:szCs w:val="2"/>
                <w:color w:val="auto"/>
              </w:rPr>
            </w:pPr>
          </w:p>
        </w:tc>
        <w:tc>
          <w:tcPr>
            <w:tcW w:w="2880" w:type="dxa"/>
            <w:vAlign w:val="bottom"/>
            <w:tcBorders>
              <w:bottom w:val="single" w:sz="8" w:color="DCE3E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CE3E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3E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DCE3EF"/>
          </w:tcPr>
          <w:p>
            <w:pPr>
              <w:spacing w:after="0"/>
              <w:rPr>
                <w:sz w:val="18"/>
                <w:szCs w:val="18"/>
                <w:color w:val="auto"/>
              </w:rPr>
            </w:pPr>
          </w:p>
        </w:tc>
        <w:tc>
          <w:tcPr>
            <w:tcW w:w="3700" w:type="dxa"/>
            <w:vAlign w:val="bottom"/>
            <w:gridSpan w:val="2"/>
            <w:shd w:val="clear" w:color="auto" w:fill="DCE3EF"/>
          </w:tcPr>
          <w:p>
            <w:pPr>
              <w:spacing w:after="0"/>
              <w:rPr>
                <w:sz w:val="20"/>
                <w:szCs w:val="20"/>
                <w:color w:val="auto"/>
              </w:rPr>
            </w:pPr>
            <w:r>
              <w:rPr>
                <w:rFonts w:ascii="Arial" w:cs="Arial" w:eastAsia="Arial" w:hAnsi="Arial"/>
                <w:sz w:val="16"/>
                <w:szCs w:val="16"/>
                <w:color w:val="auto"/>
              </w:rPr>
              <w:t>Revenues</w:t>
            </w:r>
          </w:p>
        </w:tc>
        <w:tc>
          <w:tcPr>
            <w:tcW w:w="440" w:type="dxa"/>
            <w:vAlign w:val="bottom"/>
            <w:shd w:val="clear" w:color="auto" w:fill="DCE3E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DCE3EF"/>
          </w:tcPr>
          <w:p>
            <w:pPr>
              <w:jc w:val="right"/>
              <w:ind w:right="121"/>
              <w:spacing w:after="0"/>
              <w:rPr>
                <w:sz w:val="20"/>
                <w:szCs w:val="20"/>
                <w:color w:val="auto"/>
              </w:rPr>
            </w:pPr>
            <w:r>
              <w:rPr>
                <w:rFonts w:ascii="Arial" w:cs="Arial" w:eastAsia="Arial" w:hAnsi="Arial"/>
                <w:sz w:val="16"/>
                <w:szCs w:val="16"/>
                <w:color w:val="auto"/>
              </w:rPr>
              <w:t>453.2</w:t>
            </w:r>
          </w:p>
        </w:tc>
        <w:tc>
          <w:tcPr>
            <w:tcW w:w="100" w:type="dxa"/>
            <w:vAlign w:val="bottom"/>
            <w:shd w:val="clear" w:color="auto" w:fill="DCE3EF"/>
          </w:tcPr>
          <w:p>
            <w:pPr>
              <w:spacing w:after="0"/>
              <w:rPr>
                <w:sz w:val="18"/>
                <w:szCs w:val="18"/>
                <w:color w:val="auto"/>
              </w:rPr>
            </w:pPr>
          </w:p>
        </w:tc>
        <w:tc>
          <w:tcPr>
            <w:tcW w:w="440" w:type="dxa"/>
            <w:vAlign w:val="bottom"/>
            <w:shd w:val="clear" w:color="auto" w:fill="DCE3EF"/>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DCE3EF"/>
          </w:tcPr>
          <w:p>
            <w:pPr>
              <w:jc w:val="right"/>
              <w:ind w:right="122"/>
              <w:spacing w:after="0"/>
              <w:rPr>
                <w:sz w:val="20"/>
                <w:szCs w:val="20"/>
                <w:color w:val="auto"/>
              </w:rPr>
            </w:pPr>
            <w:r>
              <w:rPr>
                <w:rFonts w:ascii="Arial" w:cs="Arial" w:eastAsia="Arial" w:hAnsi="Arial"/>
                <w:sz w:val="16"/>
                <w:szCs w:val="16"/>
                <w:color w:val="auto"/>
              </w:rPr>
              <w:t>445.7</w:t>
            </w:r>
          </w:p>
        </w:tc>
        <w:tc>
          <w:tcPr>
            <w:tcW w:w="100" w:type="dxa"/>
            <w:vAlign w:val="bottom"/>
            <w:shd w:val="clear" w:color="auto" w:fill="DCE3EF"/>
          </w:tcPr>
          <w:p>
            <w:pPr>
              <w:spacing w:after="0"/>
              <w:rPr>
                <w:sz w:val="18"/>
                <w:szCs w:val="18"/>
                <w:color w:val="auto"/>
              </w:rPr>
            </w:pPr>
          </w:p>
        </w:tc>
        <w:tc>
          <w:tcPr>
            <w:tcW w:w="700" w:type="dxa"/>
            <w:vAlign w:val="bottom"/>
            <w:shd w:val="clear" w:color="auto" w:fill="DCE2EF"/>
          </w:tcPr>
          <w:p>
            <w:pPr>
              <w:jc w:val="right"/>
              <w:ind w:right="4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CE2EF"/>
          </w:tcPr>
          <w:p>
            <w:pPr>
              <w:ind w:left="760"/>
              <w:spacing w:after="0"/>
              <w:rPr>
                <w:sz w:val="20"/>
                <w:szCs w:val="20"/>
                <w:color w:val="auto"/>
              </w:rPr>
            </w:pPr>
            <w:r>
              <w:rPr>
                <w:rFonts w:ascii="Arial" w:cs="Arial" w:eastAsia="Arial" w:hAnsi="Arial"/>
                <w:sz w:val="16"/>
                <w:szCs w:val="16"/>
                <w:color w:val="auto"/>
              </w:rPr>
              <w:t>7.5</w:t>
            </w:r>
          </w:p>
        </w:tc>
        <w:tc>
          <w:tcPr>
            <w:tcW w:w="540" w:type="dxa"/>
            <w:vAlign w:val="bottom"/>
            <w:shd w:val="clear" w:color="auto" w:fill="DCE3EF"/>
          </w:tcPr>
          <w:p>
            <w:pPr>
              <w:spacing w:after="0"/>
              <w:rPr>
                <w:sz w:val="18"/>
                <w:szCs w:val="18"/>
                <w:color w:val="auto"/>
              </w:rPr>
            </w:pPr>
          </w:p>
        </w:tc>
        <w:tc>
          <w:tcPr>
            <w:tcW w:w="1280" w:type="dxa"/>
            <w:vAlign w:val="bottom"/>
            <w:shd w:val="clear" w:color="auto" w:fill="DCE3EF"/>
          </w:tcPr>
          <w:p>
            <w:pPr>
              <w:jc w:val="right"/>
              <w:ind w:right="59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6"/>
                <w:szCs w:val="16"/>
                <w:color w:val="auto"/>
              </w:rPr>
              <w:t>Operating profit</w:t>
            </w:r>
          </w:p>
        </w:tc>
        <w:tc>
          <w:tcPr>
            <w:tcW w:w="440" w:type="dxa"/>
            <w:vAlign w:val="bottom"/>
          </w:tcPr>
          <w:p>
            <w:pPr>
              <w:spacing w:after="0"/>
              <w:rPr>
                <w:sz w:val="18"/>
                <w:szCs w:val="18"/>
                <w:color w:val="auto"/>
              </w:rPr>
            </w:pPr>
          </w:p>
        </w:tc>
        <w:tc>
          <w:tcPr>
            <w:tcW w:w="1440" w:type="dxa"/>
            <w:vAlign w:val="bottom"/>
          </w:tcPr>
          <w:p>
            <w:pPr>
              <w:jc w:val="right"/>
              <w:ind w:right="121"/>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122"/>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ind w:left="760"/>
              <w:spacing w:after="0"/>
              <w:rPr>
                <w:sz w:val="20"/>
                <w:szCs w:val="20"/>
                <w:color w:val="auto"/>
              </w:rPr>
            </w:pPr>
            <w:r>
              <w:rPr>
                <w:rFonts w:ascii="Arial" w:cs="Arial" w:eastAsia="Arial" w:hAnsi="Arial"/>
                <w:sz w:val="16"/>
                <w:szCs w:val="16"/>
                <w:color w:val="auto"/>
              </w:rPr>
              <w:t>3.5</w:t>
            </w:r>
          </w:p>
        </w:tc>
        <w:tc>
          <w:tcPr>
            <w:tcW w:w="540" w:type="dxa"/>
            <w:vAlign w:val="bottom"/>
          </w:tcPr>
          <w:p>
            <w:pPr>
              <w:spacing w:after="0"/>
              <w:rPr>
                <w:sz w:val="18"/>
                <w:szCs w:val="18"/>
                <w:color w:val="auto"/>
              </w:rPr>
            </w:pPr>
          </w:p>
        </w:tc>
        <w:tc>
          <w:tcPr>
            <w:tcW w:w="1280" w:type="dxa"/>
            <w:vAlign w:val="bottom"/>
          </w:tcPr>
          <w:p>
            <w:pPr>
              <w:jc w:val="right"/>
              <w:ind w:right="55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02"/>
        </w:trPr>
        <w:tc>
          <w:tcPr>
            <w:tcW w:w="20" w:type="dxa"/>
            <w:vAlign w:val="bottom"/>
            <w:shd w:val="clear" w:color="auto" w:fill="DCE2EF"/>
          </w:tcPr>
          <w:p>
            <w:pPr>
              <w:spacing w:after="0"/>
              <w:rPr>
                <w:sz w:val="17"/>
                <w:szCs w:val="17"/>
                <w:color w:val="auto"/>
              </w:rPr>
            </w:pPr>
          </w:p>
        </w:tc>
        <w:tc>
          <w:tcPr>
            <w:tcW w:w="37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40" w:type="dxa"/>
            <w:vAlign w:val="bottom"/>
            <w:shd w:val="clear" w:color="auto" w:fill="DCE2EF"/>
          </w:tcPr>
          <w:p>
            <w:pPr>
              <w:spacing w:after="0"/>
              <w:rPr>
                <w:sz w:val="17"/>
                <w:szCs w:val="17"/>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6.1 %</w:t>
            </w:r>
          </w:p>
        </w:tc>
        <w:tc>
          <w:tcPr>
            <w:tcW w:w="100" w:type="dxa"/>
            <w:vAlign w:val="bottom"/>
            <w:shd w:val="clear" w:color="auto" w:fill="DCE2EF"/>
          </w:tcPr>
          <w:p>
            <w:pPr>
              <w:spacing w:after="0"/>
              <w:rPr>
                <w:sz w:val="17"/>
                <w:szCs w:val="17"/>
                <w:color w:val="auto"/>
              </w:rPr>
            </w:pPr>
          </w:p>
        </w:tc>
        <w:tc>
          <w:tcPr>
            <w:tcW w:w="44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5.4 %</w:t>
            </w:r>
          </w:p>
        </w:tc>
        <w:tc>
          <w:tcPr>
            <w:tcW w:w="100" w:type="dxa"/>
            <w:vAlign w:val="bottom"/>
            <w:shd w:val="clear" w:color="auto" w:fill="DCE2EF"/>
          </w:tcPr>
          <w:p>
            <w:pPr>
              <w:spacing w:after="0"/>
              <w:rPr>
                <w:sz w:val="17"/>
                <w:szCs w:val="17"/>
                <w:color w:val="auto"/>
              </w:rPr>
            </w:pPr>
          </w:p>
        </w:tc>
        <w:tc>
          <w:tcPr>
            <w:tcW w:w="700" w:type="dxa"/>
            <w:vAlign w:val="bottom"/>
            <w:shd w:val="clear" w:color="auto" w:fill="DCE2EF"/>
          </w:tcPr>
          <w:p>
            <w:pPr>
              <w:spacing w:after="0"/>
              <w:rPr>
                <w:sz w:val="17"/>
                <w:szCs w:val="17"/>
                <w:color w:val="auto"/>
              </w:rPr>
            </w:pPr>
          </w:p>
        </w:tc>
        <w:tc>
          <w:tcPr>
            <w:tcW w:w="1600" w:type="dxa"/>
            <w:vAlign w:val="bottom"/>
            <w:gridSpan w:val="2"/>
            <w:shd w:val="clear" w:color="auto" w:fill="DCE2EF"/>
          </w:tcPr>
          <w:p>
            <w:pPr>
              <w:ind w:left="600"/>
              <w:spacing w:after="0"/>
              <w:rPr>
                <w:sz w:val="20"/>
                <w:szCs w:val="20"/>
                <w:color w:val="auto"/>
              </w:rPr>
            </w:pPr>
            <w:r>
              <w:rPr>
                <w:rFonts w:ascii="Arial" w:cs="Arial" w:eastAsia="Arial" w:hAnsi="Arial"/>
                <w:sz w:val="14"/>
                <w:szCs w:val="14"/>
                <w:i w:val="1"/>
                <w:iCs w:val="1"/>
                <w:color w:val="auto"/>
              </w:rPr>
              <w:t>68 bps</w:t>
            </w:r>
          </w:p>
        </w:tc>
        <w:tc>
          <w:tcPr>
            <w:tcW w:w="12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Education revenues increased by $7.5 million, or 1.7%, to $453.2 million during the six months ended April 30, 2025, as compared to the prior year period. The increase was primarily attributable to net new business and expansion of business with existing customers and increase in work orders.</w:t>
      </w:r>
    </w:p>
    <w:p>
      <w:pPr>
        <w:spacing w:after="0" w:line="115"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Operating profit increased by $3.5 million, or 14.4%, during the six months ended April 30, 2025, as compared to the prior year period. Operating profit margin increased by 68 bps to 6.1% in the six months ended April 30, 2025, from 5.4% in the six months ended April 30, 2024. The increase in operating profit margin was primarily attributable to operational efficiencies, particularly in managing overtime, materials and supplies, and general and administrative headcount, partially offset by base wage increases.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37" w:name="page38"/>
    <w:bookmarkEnd w:id="37"/>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Technical Solutions</w:t>
            </w:r>
          </w:p>
        </w:tc>
        <w:tc>
          <w:tcPr>
            <w:tcW w:w="440" w:type="dxa"/>
            <w:vAlign w:val="bottom"/>
          </w:tcPr>
          <w:p>
            <w:pPr>
              <w:spacing w:after="0"/>
              <w:rPr>
                <w:sz w:val="19"/>
                <w:szCs w:val="19"/>
                <w:color w:val="auto"/>
              </w:rPr>
            </w:pPr>
          </w:p>
        </w:tc>
        <w:tc>
          <w:tcPr>
            <w:tcW w:w="3520" w:type="dxa"/>
            <w:vAlign w:val="bottom"/>
            <w:gridSpan w:val="5"/>
            <w:vMerge w:val="restart"/>
          </w:tcPr>
          <w:p>
            <w:pPr>
              <w:ind w:left="440"/>
              <w:spacing w:after="0"/>
              <w:rPr>
                <w:sz w:val="20"/>
                <w:szCs w:val="20"/>
                <w:color w:val="auto"/>
              </w:rPr>
            </w:pPr>
            <w:r>
              <w:rPr>
                <w:rFonts w:ascii="Arial" w:cs="Arial" w:eastAsia="Arial" w:hAnsi="Arial"/>
                <w:sz w:val="16"/>
                <w:szCs w:val="16"/>
                <w:b w:val="1"/>
                <w:bCs w:val="1"/>
                <w:color w:val="auto"/>
              </w:rPr>
              <w:t>Six Months Ended April 30,</w:t>
            </w:r>
          </w:p>
        </w:tc>
        <w:tc>
          <w:tcPr>
            <w:tcW w:w="7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20" w:type="dxa"/>
            <w:vAlign w:val="bottom"/>
            <w:gridSpan w:val="5"/>
            <w:vMerge w:val="continue"/>
          </w:tcPr>
          <w:p>
            <w:pPr>
              <w:spacing w:after="0"/>
              <w:rPr>
                <w:sz w:val="18"/>
                <w:szCs w:val="18"/>
                <w:color w:val="auto"/>
              </w:rPr>
            </w:pPr>
          </w:p>
        </w:tc>
        <w:tc>
          <w:tcPr>
            <w:tcW w:w="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681"/>
              <w:spacing w:after="0" w:line="142" w:lineRule="exact"/>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2"/>
              <w:spacing w:after="0" w:line="142"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0" w:type="dxa"/>
            <w:vAlign w:val="bottom"/>
          </w:tcPr>
          <w:p>
            <w:pPr>
              <w:jc w:val="right"/>
              <w:ind w:right="103"/>
              <w:spacing w:after="0" w:line="135" w:lineRule="exact"/>
              <w:rPr>
                <w:sz w:val="20"/>
                <w:szCs w:val="20"/>
                <w:color w:val="auto"/>
              </w:rPr>
            </w:pPr>
            <w:r>
              <w:rPr>
                <w:rFonts w:ascii="Arial" w:cs="Arial" w:eastAsia="Arial" w:hAnsi="Arial"/>
                <w:sz w:val="15"/>
                <w:szCs w:val="15"/>
                <w:b w:val="1"/>
                <w:bCs w:val="1"/>
                <w:color w:val="auto"/>
              </w:rPr>
              <w:t>Increase</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2860" w:type="dxa"/>
            <w:vAlign w:val="bottom"/>
            <w:tcBorders>
              <w:bottom w:val="single" w:sz="8" w:color="DCE2E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36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Revenues</w:t>
            </w:r>
          </w:p>
        </w:tc>
        <w:tc>
          <w:tcPr>
            <w:tcW w:w="44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DCE2EF"/>
          </w:tcPr>
          <w:p>
            <w:pPr>
              <w:jc w:val="right"/>
              <w:ind w:right="101"/>
              <w:spacing w:after="0"/>
              <w:rPr>
                <w:sz w:val="20"/>
                <w:szCs w:val="20"/>
                <w:color w:val="auto"/>
              </w:rPr>
            </w:pPr>
            <w:r>
              <w:rPr>
                <w:rFonts w:ascii="Arial" w:cs="Arial" w:eastAsia="Arial" w:hAnsi="Arial"/>
                <w:sz w:val="16"/>
                <w:szCs w:val="16"/>
                <w:color w:val="auto"/>
              </w:rPr>
              <w:t>412.4</w:t>
            </w:r>
          </w:p>
        </w:tc>
        <w:tc>
          <w:tcPr>
            <w:tcW w:w="120" w:type="dxa"/>
            <w:vAlign w:val="bottom"/>
            <w:shd w:val="clear" w:color="auto" w:fill="DCE2EF"/>
          </w:tcPr>
          <w:p>
            <w:pPr>
              <w:spacing w:after="0"/>
              <w:rPr>
                <w:sz w:val="18"/>
                <w:szCs w:val="18"/>
                <w:color w:val="auto"/>
              </w:rPr>
            </w:pP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CE2EF"/>
          </w:tcPr>
          <w:p>
            <w:pPr>
              <w:jc w:val="right"/>
              <w:ind w:right="102"/>
              <w:spacing w:after="0"/>
              <w:rPr>
                <w:sz w:val="20"/>
                <w:szCs w:val="20"/>
                <w:color w:val="auto"/>
              </w:rPr>
            </w:pPr>
            <w:r>
              <w:rPr>
                <w:rFonts w:ascii="Arial" w:cs="Arial" w:eastAsia="Arial" w:hAnsi="Arial"/>
                <w:sz w:val="16"/>
                <w:szCs w:val="16"/>
                <w:color w:val="auto"/>
              </w:rPr>
              <w:t>342.1</w:t>
            </w:r>
          </w:p>
        </w:tc>
        <w:tc>
          <w:tcPr>
            <w:tcW w:w="120" w:type="dxa"/>
            <w:vAlign w:val="bottom"/>
            <w:shd w:val="clear" w:color="auto" w:fill="DCE2EF"/>
          </w:tcPr>
          <w:p>
            <w:pPr>
              <w:spacing w:after="0"/>
              <w:rPr>
                <w:sz w:val="18"/>
                <w:szCs w:val="18"/>
                <w:color w:val="auto"/>
              </w:rPr>
            </w:pPr>
          </w:p>
        </w:tc>
        <w:tc>
          <w:tcPr>
            <w:tcW w:w="700" w:type="dxa"/>
            <w:vAlign w:val="bottom"/>
            <w:shd w:val="clear" w:color="auto" w:fill="DCE2EF"/>
          </w:tcPr>
          <w:p>
            <w:pPr>
              <w:jc w:val="right"/>
              <w:ind w:right="51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DCE2EF"/>
          </w:tcPr>
          <w:p>
            <w:pPr>
              <w:jc w:val="right"/>
              <w:ind w:right="543"/>
              <w:spacing w:after="0"/>
              <w:rPr>
                <w:sz w:val="20"/>
                <w:szCs w:val="20"/>
                <w:color w:val="auto"/>
              </w:rPr>
            </w:pPr>
            <w:r>
              <w:rPr>
                <w:rFonts w:ascii="Arial" w:cs="Arial" w:eastAsia="Arial" w:hAnsi="Arial"/>
                <w:sz w:val="16"/>
                <w:szCs w:val="16"/>
                <w:color w:val="auto"/>
              </w:rPr>
              <w:t>70.3</w:t>
            </w:r>
          </w:p>
        </w:tc>
        <w:tc>
          <w:tcPr>
            <w:tcW w:w="1280" w:type="dxa"/>
            <w:vAlign w:val="bottom"/>
            <w:shd w:val="clear" w:color="auto" w:fill="DCE2EF"/>
          </w:tcPr>
          <w:p>
            <w:pPr>
              <w:jc w:val="right"/>
              <w:ind w:right="559"/>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Operating profit</w:t>
            </w:r>
          </w:p>
        </w:tc>
        <w:tc>
          <w:tcPr>
            <w:tcW w:w="440" w:type="dxa"/>
            <w:vAlign w:val="bottom"/>
          </w:tcPr>
          <w:p>
            <w:pPr>
              <w:spacing w:after="0"/>
              <w:rPr>
                <w:sz w:val="18"/>
                <w:szCs w:val="18"/>
                <w:color w:val="auto"/>
              </w:rPr>
            </w:pPr>
          </w:p>
        </w:tc>
        <w:tc>
          <w:tcPr>
            <w:tcW w:w="1440" w:type="dxa"/>
            <w:vAlign w:val="bottom"/>
          </w:tcPr>
          <w:p>
            <w:pPr>
              <w:jc w:val="right"/>
              <w:ind w:right="101"/>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02"/>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0" w:type="dxa"/>
            <w:vAlign w:val="bottom"/>
          </w:tcPr>
          <w:p>
            <w:pPr>
              <w:jc w:val="right"/>
              <w:ind w:right="543"/>
              <w:spacing w:after="0"/>
              <w:rPr>
                <w:sz w:val="20"/>
                <w:szCs w:val="20"/>
                <w:color w:val="auto"/>
              </w:rPr>
            </w:pPr>
            <w:r>
              <w:rPr>
                <w:rFonts w:ascii="Arial" w:cs="Arial" w:eastAsia="Arial" w:hAnsi="Arial"/>
                <w:sz w:val="16"/>
                <w:szCs w:val="16"/>
                <w:color w:val="auto"/>
              </w:rPr>
              <w:t>6.5</w:t>
            </w:r>
          </w:p>
        </w:tc>
        <w:tc>
          <w:tcPr>
            <w:tcW w:w="1280" w:type="dxa"/>
            <w:vAlign w:val="bottom"/>
          </w:tcPr>
          <w:p>
            <w:pPr>
              <w:jc w:val="right"/>
              <w:ind w:right="559"/>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02"/>
        </w:trPr>
        <w:tc>
          <w:tcPr>
            <w:tcW w:w="20" w:type="dxa"/>
            <w:vAlign w:val="bottom"/>
            <w:shd w:val="clear" w:color="auto" w:fill="DCE2EF"/>
          </w:tcPr>
          <w:p>
            <w:pPr>
              <w:spacing w:after="0"/>
              <w:rPr>
                <w:sz w:val="17"/>
                <w:szCs w:val="17"/>
                <w:color w:val="auto"/>
              </w:rPr>
            </w:pPr>
          </w:p>
        </w:tc>
        <w:tc>
          <w:tcPr>
            <w:tcW w:w="368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40" w:type="dxa"/>
            <w:vAlign w:val="bottom"/>
            <w:shd w:val="clear" w:color="auto" w:fill="DCE2EF"/>
          </w:tcPr>
          <w:p>
            <w:pPr>
              <w:spacing w:after="0"/>
              <w:rPr>
                <w:sz w:val="17"/>
                <w:szCs w:val="17"/>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7.3 %</w:t>
            </w:r>
          </w:p>
        </w:tc>
        <w:tc>
          <w:tcPr>
            <w:tcW w:w="120" w:type="dxa"/>
            <w:vAlign w:val="bottom"/>
            <w:shd w:val="clear" w:color="auto" w:fill="DCE2EF"/>
          </w:tcPr>
          <w:p>
            <w:pPr>
              <w:spacing w:after="0"/>
              <w:rPr>
                <w:sz w:val="17"/>
                <w:szCs w:val="17"/>
                <w:color w:val="auto"/>
              </w:rPr>
            </w:pPr>
          </w:p>
        </w:tc>
        <w:tc>
          <w:tcPr>
            <w:tcW w:w="42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6.9 %</w:t>
            </w:r>
          </w:p>
        </w:tc>
        <w:tc>
          <w:tcPr>
            <w:tcW w:w="120" w:type="dxa"/>
            <w:vAlign w:val="bottom"/>
            <w:shd w:val="clear" w:color="auto" w:fill="DCE2EF"/>
          </w:tcPr>
          <w:p>
            <w:pPr>
              <w:spacing w:after="0"/>
              <w:rPr>
                <w:sz w:val="17"/>
                <w:szCs w:val="17"/>
                <w:color w:val="auto"/>
              </w:rPr>
            </w:pPr>
          </w:p>
        </w:tc>
        <w:tc>
          <w:tcPr>
            <w:tcW w:w="700" w:type="dxa"/>
            <w:vAlign w:val="bottom"/>
            <w:shd w:val="clear" w:color="auto" w:fill="DCE2EF"/>
          </w:tcPr>
          <w:p>
            <w:pPr>
              <w:spacing w:after="0"/>
              <w:rPr>
                <w:sz w:val="17"/>
                <w:szCs w:val="17"/>
                <w:color w:val="auto"/>
              </w:rPr>
            </w:pPr>
          </w:p>
        </w:tc>
        <w:tc>
          <w:tcPr>
            <w:tcW w:w="1600" w:type="dxa"/>
            <w:vAlign w:val="bottom"/>
            <w:shd w:val="clear" w:color="auto" w:fill="DCE2EF"/>
          </w:tcPr>
          <w:p>
            <w:pPr>
              <w:jc w:val="right"/>
              <w:ind w:right="483"/>
              <w:spacing w:after="0"/>
              <w:rPr>
                <w:sz w:val="20"/>
                <w:szCs w:val="20"/>
                <w:color w:val="auto"/>
              </w:rPr>
            </w:pPr>
            <w:r>
              <w:rPr>
                <w:rFonts w:ascii="Arial" w:cs="Arial" w:eastAsia="Arial" w:hAnsi="Arial"/>
                <w:sz w:val="14"/>
                <w:szCs w:val="14"/>
                <w:i w:val="1"/>
                <w:iCs w:val="1"/>
                <w:color w:val="auto"/>
              </w:rPr>
              <w:t>40 bps</w:t>
            </w:r>
          </w:p>
        </w:tc>
        <w:tc>
          <w:tcPr>
            <w:tcW w:w="12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Technical Solutions revenues increased by $70.3 million, or 20.5%, to $412.4 million during the six months ended April 30, 2025, as compared to the prior year period. Revenue growth was comprised of organic growth of 12.0% and acquisition growth of 8.5%. The organic revenue increase was primarily driven by higher project revenues due to the higher microgrid systems projects, partially offset by a decrease in electric vehicle charging station revenues. Acquisition growth was driven by an $29.3 million revenue increase from the Quality Uptime Acquisition, which was completed in June 2024.</w:t>
      </w:r>
    </w:p>
    <w:p>
      <w:pPr>
        <w:spacing w:after="0" w:line="124"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Operating profit increased by $6.5 million, or 27.6%, to $30.0 million during the six months ended April 30, 2025, as compared to the prior year period. Operating profit margin increased by 40 bps to 7.3% in the six months ended April 30, 2025, from 6.9% in the six months ended April 30, 2024. The increase in operating profit margin was primarily attributable to the contract mix, partially offset by higher amortization of intangible assets.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Corporate</w:t>
            </w:r>
          </w:p>
        </w:tc>
        <w:tc>
          <w:tcPr>
            <w:tcW w:w="3040" w:type="dxa"/>
            <w:vAlign w:val="bottom"/>
            <w:gridSpan w:val="4"/>
            <w:vMerge w:val="restart"/>
          </w:tcPr>
          <w:p>
            <w:pPr>
              <w:jc w:val="right"/>
              <w:ind w:right="79"/>
              <w:spacing w:after="0"/>
              <w:rPr>
                <w:sz w:val="20"/>
                <w:szCs w:val="20"/>
                <w:color w:val="auto"/>
              </w:rPr>
            </w:pPr>
            <w:r>
              <w:rPr>
                <w:rFonts w:ascii="Arial" w:cs="Arial" w:eastAsia="Arial" w:hAnsi="Arial"/>
                <w:sz w:val="16"/>
                <w:szCs w:val="16"/>
                <w:b w:val="1"/>
                <w:bCs w:val="1"/>
                <w:color w:val="auto"/>
              </w:rPr>
              <w:t>Six Months Ended April 30,</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40" w:type="dxa"/>
            <w:vAlign w:val="bottom"/>
            <w:tcBorders>
              <w:bottom w:val="single" w:sz="8" w:color="auto"/>
            </w:tcBorders>
            <w:gridSpan w:val="4"/>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1160" w:type="dxa"/>
            <w:vAlign w:val="bottom"/>
          </w:tcPr>
          <w:p>
            <w:pPr>
              <w:jc w:val="right"/>
              <w:ind w:right="19"/>
              <w:spacing w:after="0" w:line="142" w:lineRule="exact"/>
              <w:rPr>
                <w:sz w:val="20"/>
                <w:szCs w:val="20"/>
                <w:color w:val="auto"/>
              </w:rPr>
            </w:pPr>
            <w:r>
              <w:rPr>
                <w:rFonts w:ascii="Arial" w:cs="Arial" w:eastAsia="Arial" w:hAnsi="Arial"/>
                <w:sz w:val="16"/>
                <w:szCs w:val="16"/>
                <w:b w:val="1"/>
                <w:bCs w:val="1"/>
                <w:color w:val="auto"/>
              </w:rPr>
              <w:t>2025</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6"/>
                <w:szCs w:val="16"/>
                <w:b w:val="1"/>
                <w:bCs w:val="1"/>
                <w:color w:val="auto"/>
              </w:rPr>
              <w:t>2024</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20" w:type="dxa"/>
            <w:vAlign w:val="bottom"/>
          </w:tcPr>
          <w:p>
            <w:pPr>
              <w:jc w:val="right"/>
              <w:ind w:right="102"/>
              <w:spacing w:after="0" w:line="135" w:lineRule="exact"/>
              <w:rPr>
                <w:sz w:val="20"/>
                <w:szCs w:val="20"/>
                <w:color w:val="auto"/>
              </w:rPr>
            </w:pPr>
            <w:r>
              <w:rPr>
                <w:rFonts w:ascii="Arial" w:cs="Arial" w:eastAsia="Arial" w:hAnsi="Arial"/>
                <w:sz w:val="15"/>
                <w:szCs w:val="15"/>
                <w:b w:val="1"/>
                <w:bCs w:val="1"/>
                <w:color w:val="auto"/>
              </w:rPr>
              <w:t>Increase</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2960" w:type="dxa"/>
            <w:vAlign w:val="bottom"/>
            <w:tcBorders>
              <w:bottom w:val="single" w:sz="8" w:color="DCE2E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37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Corporate expenses</w:t>
            </w:r>
          </w:p>
        </w:tc>
        <w:tc>
          <w:tcPr>
            <w:tcW w:w="1160" w:type="dxa"/>
            <w:vAlign w:val="bottom"/>
            <w:shd w:val="clear" w:color="auto" w:fill="DCE2EF"/>
          </w:tcPr>
          <w:p>
            <w:pPr>
              <w:jc w:val="right"/>
              <w:ind w:right="97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(166.1)</w:t>
            </w:r>
          </w:p>
        </w:tc>
        <w:tc>
          <w:tcPr>
            <w:tcW w:w="12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95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(154.4)</w:t>
            </w:r>
          </w:p>
        </w:tc>
        <w:tc>
          <w:tcPr>
            <w:tcW w:w="120" w:type="dxa"/>
            <w:vAlign w:val="bottom"/>
            <w:shd w:val="clear" w:color="auto" w:fill="DCE2EF"/>
          </w:tcPr>
          <w:p>
            <w:pPr>
              <w:spacing w:after="0"/>
              <w:rPr>
                <w:sz w:val="18"/>
                <w:szCs w:val="18"/>
                <w:color w:val="auto"/>
              </w:rPr>
            </w:pPr>
          </w:p>
        </w:tc>
        <w:tc>
          <w:tcPr>
            <w:tcW w:w="720" w:type="dxa"/>
            <w:vAlign w:val="bottom"/>
            <w:shd w:val="clear" w:color="auto" w:fill="DCE2EF"/>
          </w:tcPr>
          <w:p>
            <w:pPr>
              <w:jc w:val="right"/>
              <w:ind w:right="53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DCE2EF"/>
          </w:tcPr>
          <w:p>
            <w:pPr>
              <w:jc w:val="right"/>
              <w:ind w:right="502"/>
              <w:spacing w:after="0"/>
              <w:rPr>
                <w:sz w:val="20"/>
                <w:szCs w:val="20"/>
                <w:color w:val="auto"/>
              </w:rPr>
            </w:pPr>
            <w:r>
              <w:rPr>
                <w:rFonts w:ascii="Arial" w:cs="Arial" w:eastAsia="Arial" w:hAnsi="Arial"/>
                <w:sz w:val="16"/>
                <w:szCs w:val="16"/>
                <w:color w:val="auto"/>
              </w:rPr>
              <w:t>(11.7)</w:t>
            </w:r>
          </w:p>
        </w:tc>
        <w:tc>
          <w:tcPr>
            <w:tcW w:w="1320" w:type="dxa"/>
            <w:vAlign w:val="bottom"/>
            <w:shd w:val="clear" w:color="auto" w:fill="DCE2EF"/>
          </w:tcPr>
          <w:p>
            <w:pPr>
              <w:jc w:val="right"/>
              <w:ind w:right="55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right="20" w:firstLine="212"/>
        <w:spacing w:after="0" w:line="285" w:lineRule="auto"/>
        <w:rPr>
          <w:sz w:val="20"/>
          <w:szCs w:val="20"/>
          <w:color w:val="auto"/>
        </w:rPr>
      </w:pPr>
      <w:r>
        <w:rPr>
          <w:rFonts w:ascii="Arial" w:cs="Arial" w:eastAsia="Arial" w:hAnsi="Arial"/>
          <w:sz w:val="18"/>
          <w:szCs w:val="18"/>
          <w:color w:val="auto"/>
        </w:rPr>
        <w:t>Corporate expenses increased by $11.7 million, or 7.6%, to $166.1 million during the six months ended April 30, 2025, as compared to the prior year period. The increase in corporate expenses was primarily attributable to:</w:t>
      </w:r>
    </w:p>
    <w:p>
      <w:pPr>
        <w:spacing w:after="0" w:line="100" w:lineRule="exact"/>
        <w:rPr>
          <w:sz w:val="20"/>
          <w:szCs w:val="20"/>
          <w:color w:val="auto"/>
        </w:rPr>
      </w:pPr>
    </w:p>
    <w:p>
      <w:pPr>
        <w:ind w:left="640" w:hanging="310"/>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$4.8 million increase in accruals for actual and potential legal settlements;</w:t>
      </w:r>
    </w:p>
    <w:p>
      <w:pPr>
        <w:spacing w:after="0" w:line="169" w:lineRule="exact"/>
        <w:rPr>
          <w:rFonts w:ascii="Arial" w:cs="Arial" w:eastAsia="Arial" w:hAnsi="Arial"/>
          <w:sz w:val="18"/>
          <w:szCs w:val="18"/>
          <w:color w:val="auto"/>
        </w:rPr>
      </w:pPr>
    </w:p>
    <w:p>
      <w:pPr>
        <w:ind w:left="640" w:hanging="310"/>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$4.3 million increase in compensation and related expenses primarily due to higher salaries and certain incentive plans;</w:t>
      </w:r>
    </w:p>
    <w:p>
      <w:pPr>
        <w:spacing w:after="0" w:line="169" w:lineRule="exact"/>
        <w:rPr>
          <w:rFonts w:ascii="Arial" w:cs="Arial" w:eastAsia="Arial" w:hAnsi="Arial"/>
          <w:sz w:val="18"/>
          <w:szCs w:val="18"/>
          <w:color w:val="auto"/>
        </w:rPr>
      </w:pPr>
    </w:p>
    <w:p>
      <w:pPr>
        <w:ind w:left="640" w:hanging="310"/>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$3.1 million increase in acquisition and integration costs;</w:t>
      </w:r>
    </w:p>
    <w:p>
      <w:pPr>
        <w:spacing w:after="0" w:line="169" w:lineRule="exact"/>
        <w:rPr>
          <w:rFonts w:ascii="Arial" w:cs="Arial" w:eastAsia="Arial" w:hAnsi="Arial"/>
          <w:sz w:val="18"/>
          <w:szCs w:val="18"/>
          <w:color w:val="auto"/>
        </w:rPr>
      </w:pPr>
    </w:p>
    <w:p>
      <w:pPr>
        <w:ind w:left="640" w:hanging="310"/>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$3.0 million increase in costs associated with systems’ go-live;</w:t>
      </w:r>
    </w:p>
    <w:p>
      <w:pPr>
        <w:spacing w:after="0" w:line="169" w:lineRule="exact"/>
        <w:rPr>
          <w:rFonts w:ascii="Arial" w:cs="Arial" w:eastAsia="Arial" w:hAnsi="Arial"/>
          <w:sz w:val="18"/>
          <w:szCs w:val="18"/>
          <w:color w:val="auto"/>
        </w:rPr>
      </w:pPr>
    </w:p>
    <w:p>
      <w:pPr>
        <w:ind w:left="660" w:right="20" w:hanging="330"/>
        <w:spacing w:after="0" w:line="285"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 $2.3 million increase in in certain discrete transformational costs under our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strategy for developing the new ERP system, client-facing technology, workforce management tools, and data analytics; and</w:t>
      </w:r>
    </w:p>
    <w:p>
      <w:pPr>
        <w:spacing w:after="0" w:line="99" w:lineRule="exact"/>
        <w:rPr>
          <w:rFonts w:ascii="Arial" w:cs="Arial" w:eastAsia="Arial" w:hAnsi="Arial"/>
          <w:sz w:val="18"/>
          <w:szCs w:val="18"/>
          <w:color w:val="auto"/>
        </w:rPr>
      </w:pPr>
    </w:p>
    <w:p>
      <w:pPr>
        <w:ind w:left="640" w:hanging="310"/>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$2.2 million accrual for a parking tax audit settlement related to 2012-2019.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69" w:lineRule="exact"/>
        <w:rPr>
          <w:sz w:val="20"/>
          <w:szCs w:val="20"/>
          <w:color w:val="auto"/>
        </w:rPr>
      </w:pPr>
    </w:p>
    <w:p>
      <w:pPr>
        <w:ind w:left="660" w:hanging="330"/>
        <w:spacing w:after="0" w:line="285"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absence of a $9.7 million unfavorable self-insurance reserve adjustment related to prior year claims from actuarial evaluations completed in the six months ended April 30, 2024.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64" w:lineRule="exact"/>
        <w:rPr>
          <w:sz w:val="20"/>
          <w:szCs w:val="20"/>
          <w:color w:val="auto"/>
        </w:rPr>
      </w:pPr>
    </w:p>
    <w:p>
      <w:pPr>
        <w:ind w:firstLine="645"/>
        <w:spacing w:after="0" w:line="285" w:lineRule="auto"/>
        <w:rPr>
          <w:sz w:val="20"/>
          <w:szCs w:val="20"/>
          <w:color w:val="auto"/>
        </w:rPr>
      </w:pPr>
      <w:r>
        <w:rPr>
          <w:rFonts w:ascii="Arial" w:cs="Arial" w:eastAsia="Arial" w:hAnsi="Arial"/>
          <w:sz w:val="18"/>
          <w:szCs w:val="18"/>
          <w:color w:val="auto"/>
        </w:rPr>
        <w:t>Our primary sources of liquidity are operating cash flows and borrowing capacity under our Amended Credit Facility. We assess our liquidity in terms of our ability to generate cash to fund our short- and long-term cash</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jc w:val="both"/>
        <w:spacing w:after="0" w:line="285" w:lineRule="auto"/>
        <w:rPr>
          <w:sz w:val="20"/>
          <w:szCs w:val="20"/>
          <w:color w:val="auto"/>
        </w:rPr>
      </w:pPr>
      <w:r>
        <w:rPr>
          <w:rFonts w:ascii="Arial" w:cs="Arial" w:eastAsia="Arial" w:hAnsi="Arial"/>
          <w:sz w:val="18"/>
          <w:szCs w:val="18"/>
          <w:color w:val="auto"/>
        </w:rPr>
        <w:t>requirements. As such, we project our anticipated cash requirements as well as cash flows generated from operating activities to meet those needs.</w:t>
      </w:r>
    </w:p>
    <w:p>
      <w:pPr>
        <w:spacing w:after="0" w:line="100"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 xml:space="preserve">In addition to normal working capital requirements, we anticipate that our short- and long-term cash requirements will include funding legal settlements, insurance claims, dividend payments, capital expenditures, share repurchases, mandatory loan repayments, contingent consideration payments from acquisitions, and systems and technology transformation initiatives under our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strategy. We anticipate long-term cash uses may also include strategic acquisitions. On a long-term basis, we will continue to rely on our Amended Credit Facility for any long-term funding not provided by operating cash flows.</w:t>
      </w:r>
    </w:p>
    <w:p>
      <w:pPr>
        <w:spacing w:after="0" w:line="124"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We believe that our operating cash flows and borrowing capacity under our Amended Credit Facility are sufficient to fund our cash requirements for the next 12 months. In the event that our plans change or our cash requirements are greater than we anticipate, we may need to access the capital markets to finance future cash requirements. However, there can be no assurance that such financing will be available to us should we need it or, if available, that the terms will be satisfactory to us and not dilutive to existing shareholders.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Credit Facility</w:t>
      </w:r>
    </w:p>
    <w:p>
      <w:pPr>
        <w:spacing w:after="0" w:line="167"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On September 1, 2017, we refinanced and replaced our then-existing $800.0 million credit facility with a new senior, secured five-year syndicated credit facility, consisting of a $900.0 million revolver and an $800.0 million amortizing term loan. In accordance with terms of the Credit Facility, the revolver was reduced to $800.0 million on September 1, 2018.On February 26, 2025, we amended and restated the Credit Facility (the “Amended Credit Facility”), extending the maturity date to February 26, 2030, and increasing the capacity of the revolving credit facility from $1.3 billion to $1.6 billion and the then-remaining term loan outstanding from $528.1 million to $600.0 million. The Amended Credit Facility provides for the issuance of up to $250.0 million for standby letters of credit and the issuance of up to $100.0 million in swingline advances.</w:t>
      </w:r>
    </w:p>
    <w:p>
      <w:pPr>
        <w:spacing w:after="0" w:line="127" w:lineRule="exact"/>
        <w:rPr>
          <w:sz w:val="20"/>
          <w:szCs w:val="20"/>
          <w:color w:val="auto"/>
        </w:rPr>
      </w:pPr>
    </w:p>
    <w:p>
      <w:pPr>
        <w:jc w:val="both"/>
        <w:ind w:firstLine="645"/>
        <w:spacing w:after="0" w:line="256" w:lineRule="auto"/>
        <w:rPr>
          <w:sz w:val="20"/>
          <w:szCs w:val="20"/>
          <w:color w:val="auto"/>
        </w:rPr>
      </w:pPr>
      <w:r>
        <w:rPr>
          <w:rFonts w:ascii="Arial" w:cs="Arial" w:eastAsia="Arial" w:hAnsi="Arial"/>
          <w:sz w:val="18"/>
          <w:szCs w:val="18"/>
          <w:color w:val="auto"/>
        </w:rPr>
        <w:t>The Amended Credit Facility contains certain covenants, including a maximum total net leverage ratio of 5.00 to 1.00, a maximum secured net leverage ratio of 4.00 to 1.00, and a minimum interest coverage ratio of 1.50 to 1.00, as well as other financial and non-financial covenants. In the event of a material acquisition, as defined in the Amended Credit Facility, we may elect to increase the maximum total net leverage ratio to 5.50 to 1.00 for a total of four fiscal quarters and increase the maximum secured net leverage ratio to 4.50 to 1.00 for a total of four fiscal quarters. Our borrowing capacity is subject to, and limited by, compliance with the covenants described above. At April 30, 2025, we were in compliance with these covenants.</w:t>
      </w:r>
    </w:p>
    <w:p>
      <w:pPr>
        <w:spacing w:after="0" w:line="126"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During the six months ended April 30, 2025, we made principal payments under the term loan of $8.1 million. At April 30, 2025, the total outstanding borrowings under our Amended Credit Facility in the form of cash borrowings and standby letters of credit were $1.6 billion and $29.7 million, respectively, and our weighted average interest rate on all outstanding borrowings, excluding letters of credit, was 6.07%. At April 30, 2025, we had up to $599.1 million of borrowing capacity.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Reinvestment of Foreign Earnings</w:t>
      </w:r>
    </w:p>
    <w:p>
      <w:pPr>
        <w:spacing w:after="0" w:line="167"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We plan to reinvest our foreign earnings to fund future non-U.S. growth and expansion, and we do not anticipate remitting such earnings to the United States.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IFM Insurance Company</w:t>
      </w:r>
    </w:p>
    <w:p>
      <w:pPr>
        <w:spacing w:after="0" w:line="167"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IFM Assurance Company (“IFM”) is a wholly owned captive insurance company that we formed in 2015. IFM is part of our enterprise-wide, multiyear insurance strategy that is intended to better position our risk and safety programs and provide us with increased flexibility in the end-to-end management of our insurance programs. IFM began providing coverage to us as of January 1,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Share Repurchases</w:t>
      </w:r>
    </w:p>
    <w:p>
      <w:pPr>
        <w:spacing w:after="0" w:line="167"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We did not repurchase shares under the share repurchase program during the three months ended April 30, 2025. Share repurchases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39" w:name="page40"/>
    <w:bookmarkEnd w:id="39"/>
    <w:p>
      <w:pPr>
        <w:jc w:val="both"/>
        <w:spacing w:after="0" w:line="285" w:lineRule="auto"/>
        <w:rPr>
          <w:sz w:val="20"/>
          <w:szCs w:val="20"/>
          <w:color w:val="auto"/>
        </w:rPr>
      </w:pPr>
      <w:r>
        <w:rPr>
          <w:rFonts w:ascii="Arial" w:cs="Arial" w:eastAsia="Arial" w:hAnsi="Arial"/>
          <w:sz w:val="18"/>
          <w:szCs w:val="18"/>
          <w:color w:val="auto"/>
        </w:rPr>
        <w:t>unissued status. The share repurchase program may be suspended or discontinued at any time without prior notice. At April 30, 2025, authorization for $133.2 million of repurchases remained under our share repurchase program.</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Cash Flows</w:t>
      </w:r>
    </w:p>
    <w:p>
      <w:pPr>
        <w:spacing w:after="0" w:line="167"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In addition to revenues and operating profit, our management views operating cash flows as a good indicator of financial performance, because strong operating cash flows provide opportunities for growth both organically and through acquisitions. Operating cash flows primarily depend on: revenue levels; the quality and timing of collections of accounts receivable; the timing of payments to suppliers and other vendors; the timing and amount of income tax payments; and the timing and amount of payments on insurance claims and legal settlements.</w:t>
      </w:r>
    </w:p>
    <w:p>
      <w:pPr>
        <w:spacing w:after="0" w:line="169" w:lineRule="exact"/>
        <w:rPr>
          <w:sz w:val="20"/>
          <w:szCs w:val="20"/>
          <w:color w:val="auto"/>
        </w:rPr>
      </w:pPr>
    </w:p>
    <w:p>
      <w:pPr>
        <w:ind w:left="8340"/>
        <w:spacing w:after="0"/>
        <w:rPr>
          <w:sz w:val="20"/>
          <w:szCs w:val="20"/>
          <w:color w:val="auto"/>
        </w:rPr>
      </w:pPr>
      <w:r>
        <w:rPr>
          <w:rFonts w:ascii="Arial" w:cs="Arial" w:eastAsia="Arial" w:hAnsi="Arial"/>
          <w:sz w:val="16"/>
          <w:szCs w:val="16"/>
          <w:b w:val="1"/>
          <w:bCs w:val="1"/>
          <w:color w:val="auto"/>
        </w:rPr>
        <w:t>Six Months Ended April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74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4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639"/>
              <w:spacing w:after="0" w:line="155" w:lineRule="exact"/>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639"/>
              <w:spacing w:after="0" w:line="155" w:lineRule="exact"/>
              <w:rPr>
                <w:sz w:val="20"/>
                <w:szCs w:val="20"/>
                <w:color w:val="auto"/>
              </w:rPr>
            </w:pPr>
            <w:r>
              <w:rPr>
                <w:rFonts w:ascii="Arial" w:cs="Arial" w:eastAsia="Arial" w:hAnsi="Arial"/>
                <w:sz w:val="16"/>
                <w:szCs w:val="16"/>
                <w:b w:val="1"/>
                <w:bCs w:val="1"/>
                <w:color w:val="auto"/>
              </w:rPr>
              <w:t>2024</w:t>
            </w:r>
          </w:p>
        </w:tc>
      </w:tr>
      <w:tr>
        <w:trPr>
          <w:trHeight w:val="34"/>
        </w:trPr>
        <w:tc>
          <w:tcPr>
            <w:tcW w:w="2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678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8"/>
        </w:trPr>
        <w:tc>
          <w:tcPr>
            <w:tcW w:w="20" w:type="dxa"/>
            <w:vAlign w:val="bottom"/>
            <w:shd w:val="clear" w:color="auto" w:fill="DCE2EF"/>
          </w:tcPr>
          <w:p>
            <w:pPr>
              <w:spacing w:after="0"/>
              <w:rPr>
                <w:sz w:val="18"/>
                <w:szCs w:val="18"/>
                <w:color w:val="auto"/>
              </w:rPr>
            </w:pPr>
          </w:p>
        </w:tc>
        <w:tc>
          <w:tcPr>
            <w:tcW w:w="74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Net cash (used in) provided by operating activities</w:t>
            </w:r>
          </w:p>
        </w:tc>
        <w:tc>
          <w:tcPr>
            <w:tcW w:w="420" w:type="dxa"/>
            <w:vAlign w:val="bottom"/>
            <w:shd w:val="clear" w:color="auto" w:fill="DCE2E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DCE2EF"/>
          </w:tcPr>
          <w:p>
            <w:pPr>
              <w:jc w:val="center"/>
              <w:ind w:left="859"/>
              <w:spacing w:after="0"/>
              <w:rPr>
                <w:sz w:val="20"/>
                <w:szCs w:val="20"/>
                <w:color w:val="auto"/>
              </w:rPr>
            </w:pPr>
            <w:r>
              <w:rPr>
                <w:rFonts w:ascii="Arial" w:cs="Arial" w:eastAsia="Arial" w:hAnsi="Arial"/>
                <w:sz w:val="16"/>
                <w:szCs w:val="16"/>
                <w:color w:val="auto"/>
              </w:rPr>
              <w:t>(73.9)</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DCE2EF"/>
          </w:tcPr>
          <w:p>
            <w:pPr>
              <w:ind w:left="940"/>
              <w:spacing w:after="0"/>
              <w:rPr>
                <w:sz w:val="20"/>
                <w:szCs w:val="20"/>
                <w:color w:val="auto"/>
              </w:rPr>
            </w:pPr>
            <w:r>
              <w:rPr>
                <w:rFonts w:ascii="Arial" w:cs="Arial" w:eastAsia="Arial" w:hAnsi="Arial"/>
                <w:sz w:val="16"/>
                <w:szCs w:val="16"/>
                <w:color w:val="auto"/>
              </w:rPr>
              <w:t>116.9</w:t>
            </w:r>
          </w:p>
        </w:tc>
      </w:tr>
      <w:tr>
        <w:trPr>
          <w:trHeight w:val="214"/>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Pr>
          <w:p>
            <w:pPr>
              <w:spacing w:after="0"/>
              <w:rPr>
                <w:sz w:val="18"/>
                <w:szCs w:val="18"/>
                <w:color w:val="auto"/>
              </w:rPr>
            </w:pPr>
          </w:p>
        </w:tc>
        <w:tc>
          <w:tcPr>
            <w:tcW w:w="1400" w:type="dxa"/>
            <w:vAlign w:val="bottom"/>
          </w:tcPr>
          <w:p>
            <w:pPr>
              <w:jc w:val="center"/>
              <w:ind w:left="859"/>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ind w:left="960"/>
              <w:spacing w:after="0"/>
              <w:rPr>
                <w:sz w:val="20"/>
                <w:szCs w:val="20"/>
                <w:color w:val="auto"/>
              </w:rPr>
            </w:pPr>
            <w:r>
              <w:rPr>
                <w:rFonts w:ascii="Arial" w:cs="Arial" w:eastAsia="Arial" w:hAnsi="Arial"/>
                <w:sz w:val="16"/>
                <w:szCs w:val="16"/>
                <w:color w:val="auto"/>
              </w:rPr>
              <w:t>(28.6)</w:t>
            </w:r>
          </w:p>
        </w:tc>
      </w:tr>
      <w:tr>
        <w:trPr>
          <w:trHeight w:val="216"/>
        </w:trPr>
        <w:tc>
          <w:tcPr>
            <w:tcW w:w="20" w:type="dxa"/>
            <w:vAlign w:val="bottom"/>
            <w:shd w:val="clear" w:color="auto" w:fill="DCE2EF"/>
          </w:tcPr>
          <w:p>
            <w:pPr>
              <w:spacing w:after="0"/>
              <w:rPr>
                <w:sz w:val="18"/>
                <w:szCs w:val="18"/>
                <w:color w:val="auto"/>
              </w:rPr>
            </w:pPr>
          </w:p>
        </w:tc>
        <w:tc>
          <w:tcPr>
            <w:tcW w:w="74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Net cash provided by (used in) financing activities</w:t>
            </w:r>
          </w:p>
        </w:tc>
        <w:tc>
          <w:tcPr>
            <w:tcW w:w="420" w:type="dxa"/>
            <w:vAlign w:val="bottom"/>
            <w:shd w:val="clear" w:color="auto" w:fill="DCE2EF"/>
          </w:tcPr>
          <w:p>
            <w:pPr>
              <w:spacing w:after="0"/>
              <w:rPr>
                <w:sz w:val="18"/>
                <w:szCs w:val="18"/>
                <w:color w:val="auto"/>
              </w:rPr>
            </w:pPr>
          </w:p>
        </w:tc>
        <w:tc>
          <w:tcPr>
            <w:tcW w:w="1400" w:type="dxa"/>
            <w:vAlign w:val="bottom"/>
            <w:shd w:val="clear" w:color="auto" w:fill="DCE2EF"/>
          </w:tcPr>
          <w:p>
            <w:pPr>
              <w:jc w:val="center"/>
              <w:ind w:left="859"/>
              <w:spacing w:after="0"/>
              <w:rPr>
                <w:sz w:val="20"/>
                <w:szCs w:val="20"/>
                <w:color w:val="auto"/>
              </w:rPr>
            </w:pPr>
            <w:r>
              <w:rPr>
                <w:rFonts w:ascii="Arial" w:cs="Arial" w:eastAsia="Arial" w:hAnsi="Arial"/>
                <w:sz w:val="16"/>
                <w:szCs w:val="16"/>
                <w:color w:val="auto"/>
                <w:w w:val="96"/>
              </w:rPr>
              <w:t>98.7</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1400" w:type="dxa"/>
            <w:vAlign w:val="bottom"/>
            <w:shd w:val="clear" w:color="auto" w:fill="DCE2EF"/>
          </w:tcPr>
          <w:p>
            <w:pPr>
              <w:ind w:left="960"/>
              <w:spacing w:after="0"/>
              <w:rPr>
                <w:sz w:val="20"/>
                <w:szCs w:val="20"/>
                <w:color w:val="auto"/>
              </w:rPr>
            </w:pPr>
            <w:r>
              <w:rPr>
                <w:rFonts w:ascii="Arial" w:cs="Arial" w:eastAsia="Arial" w:hAnsi="Arial"/>
                <w:sz w:val="16"/>
                <w:szCs w:val="16"/>
                <w:color w:val="auto"/>
              </w:rPr>
              <w:t>(98.0)</w:t>
            </w:r>
          </w:p>
        </w:tc>
      </w:tr>
    </w:tbl>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167"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Net cash used in operating activities was $73.9 million during the six months ended April 30, 2025, as compared to net cash provided by operating activities of $116.9 million during the prior year period. The change was primarily driven by an increase in working capital due to the transition to the Company’s new ERP systems for our Business and Industry and Manufacturing and Distribution segments that temporarily delayed invoicing to certain clients within these industry groups. We anticipate continued improvement in our operating cash flows and full normalization in the second half of fiscal year 2025.</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167"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Net cash used in investing activities increased by $3.0 million during the six months ended April 30, 2025, as compared to the prior year period. This quarter’s activity was primarily related to purchases of property, plant and equipment.</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67"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Net cash provided by financing activities was $98.7 million during the six months ended April 30, 2025, as compared to net cash used in financing activities of $98.0 million during the prior year period. The change was primarily related to an increase in net borrowings from our Amended Credit Facility to fund $73.9 million of net cash used by operating activities.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64"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For disclosures on contingencies, see Note 10, “Commitments and Contingencies,” of the Notes to unaudited Consolidated Financial Statements included in Part I, Item 1 of this Form 10-Q.</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0046AD"/>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Our Financial Statements are prepared in accordance with U.S. GAAP, which require us to make certain estimates in the application of our accounting policies based on the best assumptions, judgments, and opinions of our management. There have been no significant changes to our critical accounting policies and estimates. For a description of our critical accounting policies, see Item 7., “Management’s Discussion and Analysis of Financial Condition and Results of Operations,” in our Annual Report on Form 10-K for the year ended October 31, 2024.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Recently Issued Accounting Pronouncements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Accounting</w:t>
            </w: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Effective Date/</w:t>
            </w:r>
          </w:p>
        </w:tc>
        <w:tc>
          <w:tcPr>
            <w:tcW w:w="0" w:type="dxa"/>
            <w:vAlign w:val="bottom"/>
          </w:tcPr>
          <w:p>
            <w:pPr>
              <w:spacing w:after="0"/>
              <w:rPr>
                <w:sz w:val="1"/>
                <w:szCs w:val="1"/>
                <w:color w:val="auto"/>
              </w:rPr>
            </w:pPr>
          </w:p>
        </w:tc>
      </w:tr>
      <w:tr>
        <w:trPr>
          <w:trHeight w:val="161"/>
        </w:trPr>
        <w:tc>
          <w:tcPr>
            <w:tcW w:w="1320" w:type="dxa"/>
            <w:vAlign w:val="bottom"/>
            <w:gridSpan w:val="2"/>
          </w:tcPr>
          <w:p>
            <w:pPr>
              <w:jc w:val="center"/>
              <w:ind w:right="100"/>
              <w:spacing w:after="0" w:line="161" w:lineRule="exact"/>
              <w:rPr>
                <w:sz w:val="20"/>
                <w:szCs w:val="20"/>
                <w:color w:val="auto"/>
              </w:rPr>
            </w:pPr>
            <w:r>
              <w:rPr>
                <w:rFonts w:ascii="Arial" w:cs="Arial" w:eastAsia="Arial" w:hAnsi="Arial"/>
                <w:sz w:val="16"/>
                <w:szCs w:val="16"/>
                <w:b w:val="1"/>
                <w:bCs w:val="1"/>
                <w:color w:val="auto"/>
              </w:rPr>
              <w:t>Standard</w:t>
            </w:r>
          </w:p>
        </w:tc>
        <w:tc>
          <w:tcPr>
            <w:tcW w:w="2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Topic</w:t>
            </w:r>
          </w:p>
        </w:tc>
        <w:tc>
          <w:tcPr>
            <w:tcW w:w="100" w:type="dxa"/>
            <w:vAlign w:val="bottom"/>
            <w:vMerge w:val="restart"/>
          </w:tcPr>
          <w:p>
            <w:pPr>
              <w:spacing w:after="0"/>
              <w:rPr>
                <w:sz w:val="14"/>
                <w:szCs w:val="14"/>
                <w:color w:val="auto"/>
              </w:rPr>
            </w:pPr>
          </w:p>
        </w:tc>
        <w:tc>
          <w:tcPr>
            <w:tcW w:w="4980" w:type="dxa"/>
            <w:vAlign w:val="bottom"/>
            <w:vMerge w:val="restart"/>
          </w:tcPr>
          <w:p>
            <w:pPr>
              <w:ind w:left="2120"/>
              <w:spacing w:after="0"/>
              <w:rPr>
                <w:sz w:val="20"/>
                <w:szCs w:val="20"/>
                <w:color w:val="auto"/>
              </w:rPr>
            </w:pPr>
            <w:r>
              <w:rPr>
                <w:rFonts w:ascii="Arial" w:cs="Arial" w:eastAsia="Arial" w:hAnsi="Arial"/>
                <w:sz w:val="16"/>
                <w:szCs w:val="16"/>
                <w:b w:val="1"/>
                <w:bCs w:val="1"/>
                <w:color w:val="auto"/>
              </w:rPr>
              <w:t>Summary</w:t>
            </w:r>
          </w:p>
        </w:tc>
        <w:tc>
          <w:tcPr>
            <w:tcW w:w="100" w:type="dxa"/>
            <w:vAlign w:val="bottom"/>
            <w:vMerge w:val="restart"/>
          </w:tcPr>
          <w:p>
            <w:pPr>
              <w:spacing w:after="0"/>
              <w:rPr>
                <w:sz w:val="14"/>
                <w:szCs w:val="14"/>
                <w:color w:val="auto"/>
              </w:rPr>
            </w:pPr>
          </w:p>
        </w:tc>
        <w:tc>
          <w:tcPr>
            <w:tcW w:w="2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Updates</w:t>
            </w:r>
          </w:p>
        </w:tc>
        <w:tc>
          <w:tcPr>
            <w:tcW w:w="120" w:type="dxa"/>
            <w:vAlign w:val="bottom"/>
          </w:tcPr>
          <w:p>
            <w:pPr>
              <w:spacing w:after="0"/>
              <w:rPr>
                <w:sz w:val="18"/>
                <w:szCs w:val="18"/>
                <w:color w:val="auto"/>
              </w:rPr>
            </w:pPr>
          </w:p>
        </w:tc>
        <w:tc>
          <w:tcPr>
            <w:tcW w:w="23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49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38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Method of Adoption</w:t>
            </w:r>
          </w:p>
        </w:tc>
        <w:tc>
          <w:tcPr>
            <w:tcW w:w="0" w:type="dxa"/>
            <w:vAlign w:val="bottom"/>
          </w:tcPr>
          <w:p>
            <w:pPr>
              <w:spacing w:after="0"/>
              <w:rPr>
                <w:sz w:val="1"/>
                <w:szCs w:val="1"/>
                <w:color w:val="auto"/>
              </w:rPr>
            </w:pPr>
          </w:p>
        </w:tc>
      </w:tr>
      <w:tr>
        <w:trPr>
          <w:trHeight w:val="155"/>
        </w:trPr>
        <w:tc>
          <w:tcPr>
            <w:tcW w:w="1200" w:type="dxa"/>
            <w:vAlign w:val="bottom"/>
          </w:tcPr>
          <w:p>
            <w:pPr>
              <w:jc w:val="center"/>
              <w:spacing w:after="0" w:line="155" w:lineRule="exact"/>
              <w:rPr>
                <w:sz w:val="20"/>
                <w:szCs w:val="20"/>
                <w:color w:val="auto"/>
              </w:rPr>
            </w:pPr>
            <w:r>
              <w:rPr>
                <w:rFonts w:ascii="Arial" w:cs="Arial" w:eastAsia="Arial" w:hAnsi="Arial"/>
                <w:sz w:val="16"/>
                <w:szCs w:val="16"/>
                <w:color w:val="auto"/>
                <w:w w:val="98"/>
              </w:rPr>
              <w:t>2023-07</w:t>
            </w:r>
          </w:p>
        </w:tc>
        <w:tc>
          <w:tcPr>
            <w:tcW w:w="120" w:type="dxa"/>
            <w:vAlign w:val="bottom"/>
          </w:tcPr>
          <w:p>
            <w:pPr>
              <w:spacing w:after="0"/>
              <w:rPr>
                <w:sz w:val="13"/>
                <w:szCs w:val="13"/>
                <w:color w:val="auto"/>
              </w:rPr>
            </w:pPr>
          </w:p>
        </w:tc>
        <w:tc>
          <w:tcPr>
            <w:tcW w:w="2460" w:type="dxa"/>
            <w:vAlign w:val="bottom"/>
            <w:gridSpan w:val="2"/>
          </w:tcPr>
          <w:p>
            <w:pPr>
              <w:jc w:val="center"/>
              <w:ind w:right="120"/>
              <w:spacing w:after="0" w:line="155" w:lineRule="exact"/>
              <w:rPr>
                <w:sz w:val="20"/>
                <w:szCs w:val="20"/>
                <w:color w:val="auto"/>
              </w:rPr>
            </w:pPr>
            <w:r>
              <w:rPr>
                <w:rFonts w:ascii="Arial" w:cs="Arial" w:eastAsia="Arial" w:hAnsi="Arial"/>
                <w:sz w:val="16"/>
                <w:szCs w:val="16"/>
                <w:color w:val="auto"/>
                <w:w w:val="97"/>
              </w:rPr>
              <w:t>Segment Reporting (Topic 280):</w:t>
            </w:r>
          </w:p>
        </w:tc>
        <w:tc>
          <w:tcPr>
            <w:tcW w:w="508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This ASU, issued in November 2023, improves reportable segment</w:t>
            </w:r>
          </w:p>
        </w:tc>
        <w:tc>
          <w:tcPr>
            <w:tcW w:w="2380" w:type="dxa"/>
            <w:vAlign w:val="bottom"/>
          </w:tcPr>
          <w:p>
            <w:pPr>
              <w:ind w:left="20"/>
              <w:spacing w:after="0" w:line="155" w:lineRule="exact"/>
              <w:rPr>
                <w:sz w:val="20"/>
                <w:szCs w:val="20"/>
                <w:color w:val="auto"/>
              </w:rPr>
            </w:pPr>
            <w:r>
              <w:rPr>
                <w:rFonts w:ascii="Arial" w:cs="Arial" w:eastAsia="Arial" w:hAnsi="Arial"/>
                <w:sz w:val="16"/>
                <w:szCs w:val="16"/>
                <w:color w:val="auto"/>
              </w:rPr>
              <w:t>This ASU is effective for fiscal</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jc w:val="center"/>
              <w:ind w:right="120"/>
              <w:spacing w:after="0" w:line="152" w:lineRule="exact"/>
              <w:rPr>
                <w:sz w:val="20"/>
                <w:szCs w:val="20"/>
                <w:color w:val="auto"/>
              </w:rPr>
            </w:pPr>
            <w:r>
              <w:rPr>
                <w:rFonts w:ascii="Arial" w:cs="Arial" w:eastAsia="Arial" w:hAnsi="Arial"/>
                <w:sz w:val="16"/>
                <w:szCs w:val="16"/>
                <w:color w:val="auto"/>
                <w:w w:val="98"/>
              </w:rPr>
              <w:t>Improvements to Reportable</w:t>
            </w:r>
          </w:p>
        </w:tc>
        <w:tc>
          <w:tcPr>
            <w:tcW w:w="508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disclosure requirements, primarily through enhanced disclosures</w:t>
            </w:r>
          </w:p>
        </w:tc>
        <w:tc>
          <w:tcPr>
            <w:tcW w:w="2380" w:type="dxa"/>
            <w:vAlign w:val="bottom"/>
          </w:tcPr>
          <w:p>
            <w:pPr>
              <w:ind w:left="20"/>
              <w:spacing w:after="0" w:line="152" w:lineRule="exact"/>
              <w:rPr>
                <w:sz w:val="20"/>
                <w:szCs w:val="20"/>
                <w:color w:val="auto"/>
              </w:rPr>
            </w:pPr>
            <w:r>
              <w:rPr>
                <w:rFonts w:ascii="Arial" w:cs="Arial" w:eastAsia="Arial" w:hAnsi="Arial"/>
                <w:sz w:val="16"/>
                <w:szCs w:val="16"/>
                <w:color w:val="auto"/>
              </w:rPr>
              <w:t>years beginning after December</w:t>
            </w:r>
          </w:p>
        </w:tc>
        <w:tc>
          <w:tcPr>
            <w:tcW w:w="0" w:type="dxa"/>
            <w:vAlign w:val="bottom"/>
          </w:tcPr>
          <w:p>
            <w:pPr>
              <w:spacing w:after="0"/>
              <w:rPr>
                <w:sz w:val="1"/>
                <w:szCs w:val="1"/>
                <w:color w:val="auto"/>
              </w:rPr>
            </w:pPr>
          </w:p>
        </w:tc>
      </w:tr>
      <w:tr>
        <w:trPr>
          <w:trHeight w:val="161"/>
        </w:trPr>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2"/>
          </w:tcPr>
          <w:p>
            <w:pPr>
              <w:jc w:val="center"/>
              <w:ind w:right="120"/>
              <w:spacing w:after="0" w:line="161" w:lineRule="exact"/>
              <w:rPr>
                <w:sz w:val="20"/>
                <w:szCs w:val="20"/>
                <w:color w:val="auto"/>
              </w:rPr>
            </w:pPr>
            <w:r>
              <w:rPr>
                <w:rFonts w:ascii="Arial" w:cs="Arial" w:eastAsia="Arial" w:hAnsi="Arial"/>
                <w:sz w:val="16"/>
                <w:szCs w:val="16"/>
                <w:color w:val="auto"/>
                <w:w w:val="99"/>
              </w:rPr>
              <w:t>Segment Disclosures</w:t>
            </w:r>
          </w:p>
        </w:tc>
        <w:tc>
          <w:tcPr>
            <w:tcW w:w="50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about significant segment expenses. This standard requires</w:t>
            </w:r>
          </w:p>
        </w:tc>
        <w:tc>
          <w:tcPr>
            <w:tcW w:w="2380" w:type="dxa"/>
            <w:vAlign w:val="bottom"/>
          </w:tcPr>
          <w:p>
            <w:pPr>
              <w:ind w:left="20"/>
              <w:spacing w:after="0" w:line="161" w:lineRule="exact"/>
              <w:rPr>
                <w:sz w:val="20"/>
                <w:szCs w:val="20"/>
                <w:color w:val="auto"/>
              </w:rPr>
            </w:pPr>
            <w:r>
              <w:rPr>
                <w:rFonts w:ascii="Arial" w:cs="Arial" w:eastAsia="Arial" w:hAnsi="Arial"/>
                <w:sz w:val="16"/>
                <w:szCs w:val="16"/>
                <w:color w:val="auto"/>
              </w:rPr>
              <w:t>15, 2023, and interim periods</w:t>
            </w:r>
          </w:p>
        </w:tc>
        <w:tc>
          <w:tcPr>
            <w:tcW w:w="0" w:type="dxa"/>
            <w:vAlign w:val="bottom"/>
          </w:tcPr>
          <w:p>
            <w:pPr>
              <w:spacing w:after="0"/>
              <w:rPr>
                <w:sz w:val="1"/>
                <w:szCs w:val="1"/>
                <w:color w:val="auto"/>
              </w:rPr>
            </w:pPr>
          </w:p>
        </w:tc>
      </w:tr>
      <w:tr>
        <w:trPr>
          <w:trHeight w:val="161"/>
        </w:trPr>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disclosure, on an annual and interim basis, of significant segment</w:t>
            </w:r>
          </w:p>
        </w:tc>
        <w:tc>
          <w:tcPr>
            <w:tcW w:w="2380" w:type="dxa"/>
            <w:vAlign w:val="bottom"/>
          </w:tcPr>
          <w:p>
            <w:pPr>
              <w:ind w:left="20"/>
              <w:spacing w:after="0" w:line="161" w:lineRule="exact"/>
              <w:rPr>
                <w:sz w:val="20"/>
                <w:szCs w:val="20"/>
                <w:color w:val="auto"/>
              </w:rPr>
            </w:pPr>
            <w:r>
              <w:rPr>
                <w:rFonts w:ascii="Arial" w:cs="Arial" w:eastAsia="Arial" w:hAnsi="Arial"/>
                <w:sz w:val="16"/>
                <w:szCs w:val="16"/>
                <w:color w:val="auto"/>
                <w:w w:val="99"/>
              </w:rPr>
              <w:t>within fiscal years beginning after</w:t>
            </w: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gridSpan w:val="2"/>
          </w:tcPr>
          <w:p>
            <w:pPr>
              <w:ind w:left="20"/>
              <w:spacing w:after="0" w:line="157" w:lineRule="exact"/>
              <w:rPr>
                <w:sz w:val="20"/>
                <w:szCs w:val="20"/>
                <w:color w:val="auto"/>
              </w:rPr>
            </w:pPr>
            <w:r>
              <w:rPr>
                <w:rFonts w:ascii="Arial" w:cs="Arial" w:eastAsia="Arial" w:hAnsi="Arial"/>
                <w:sz w:val="16"/>
                <w:szCs w:val="16"/>
                <w:color w:val="auto"/>
              </w:rPr>
              <w:t>expenses that are regularly provided to the chief operating decision</w:t>
            </w:r>
          </w:p>
        </w:tc>
        <w:tc>
          <w:tcPr>
            <w:tcW w:w="2380" w:type="dxa"/>
            <w:vAlign w:val="bottom"/>
          </w:tcPr>
          <w:p>
            <w:pPr>
              <w:ind w:left="20"/>
              <w:spacing w:after="0" w:line="157" w:lineRule="exact"/>
              <w:rPr>
                <w:sz w:val="20"/>
                <w:szCs w:val="20"/>
                <w:color w:val="auto"/>
              </w:rPr>
            </w:pPr>
            <w:r>
              <w:rPr>
                <w:rFonts w:ascii="Arial" w:cs="Arial" w:eastAsia="Arial" w:hAnsi="Arial"/>
                <w:sz w:val="16"/>
                <w:szCs w:val="16"/>
                <w:color w:val="auto"/>
              </w:rPr>
              <w:t>December 15, 2024, with early</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maker (“CODM”) and are included within each reported measure of</w:t>
            </w:r>
          </w:p>
        </w:tc>
        <w:tc>
          <w:tcPr>
            <w:tcW w:w="2380" w:type="dxa"/>
            <w:vAlign w:val="bottom"/>
          </w:tcPr>
          <w:p>
            <w:pPr>
              <w:ind w:left="20"/>
              <w:spacing w:after="0" w:line="152" w:lineRule="exact"/>
              <w:rPr>
                <w:sz w:val="20"/>
                <w:szCs w:val="20"/>
                <w:color w:val="auto"/>
              </w:rPr>
            </w:pPr>
            <w:r>
              <w:rPr>
                <w:rFonts w:ascii="Arial" w:cs="Arial" w:eastAsia="Arial" w:hAnsi="Arial"/>
                <w:sz w:val="16"/>
                <w:szCs w:val="16"/>
                <w:color w:val="auto"/>
              </w:rPr>
              <w:t>adoption permitted.</w:t>
            </w:r>
          </w:p>
        </w:tc>
        <w:tc>
          <w:tcPr>
            <w:tcW w:w="0" w:type="dxa"/>
            <w:vAlign w:val="bottom"/>
          </w:tcPr>
          <w:p>
            <w:pPr>
              <w:spacing w:after="0"/>
              <w:rPr>
                <w:sz w:val="1"/>
                <w:szCs w:val="1"/>
                <w:color w:val="auto"/>
              </w:rPr>
            </w:pPr>
          </w:p>
        </w:tc>
      </w:tr>
      <w:tr>
        <w:trPr>
          <w:trHeight w:val="161"/>
        </w:trPr>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segment profit and loss, as well as the total amount of any other items</w:t>
            </w: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gridSpan w:val="2"/>
          </w:tcPr>
          <w:p>
            <w:pPr>
              <w:ind w:left="20"/>
              <w:spacing w:after="0" w:line="157" w:lineRule="exact"/>
              <w:rPr>
                <w:sz w:val="20"/>
                <w:szCs w:val="20"/>
                <w:color w:val="auto"/>
              </w:rPr>
            </w:pPr>
            <w:r>
              <w:rPr>
                <w:rFonts w:ascii="Arial" w:cs="Arial" w:eastAsia="Arial" w:hAnsi="Arial"/>
                <w:sz w:val="16"/>
                <w:szCs w:val="16"/>
                <w:color w:val="auto"/>
              </w:rPr>
              <w:t>included in segment operating results which were not deemed to be</w:t>
            </w: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significant expenses for separate disclosure, along with a qualitative</w:t>
            </w: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description of the composition of these other items. The amended</w:t>
            </w: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disclosure requirements are required to be applied retrospectively.</w:t>
            </w: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gridSpan w:val="2"/>
          </w:tcPr>
          <w:p>
            <w:pPr>
              <w:ind w:left="20"/>
              <w:spacing w:after="0" w:line="157" w:lineRule="exact"/>
              <w:rPr>
                <w:sz w:val="20"/>
                <w:szCs w:val="20"/>
                <w:color w:val="auto"/>
              </w:rPr>
            </w:pPr>
            <w:r>
              <w:rPr>
                <w:rFonts w:ascii="Arial" w:cs="Arial" w:eastAsia="Arial" w:hAnsi="Arial"/>
                <w:sz w:val="16"/>
                <w:szCs w:val="16"/>
                <w:color w:val="auto"/>
              </w:rPr>
              <w:t>Beginning with the Company’s Form 10-K that will be filed for the</w:t>
            </w: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annual period ending October 31, 2025, this ASU will result in</w:t>
            </w: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expanded disclosures related to each reportable segment, but will</w:t>
            </w: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gridSpan w:val="2"/>
          </w:tcPr>
          <w:p>
            <w:pPr>
              <w:ind w:left="20"/>
              <w:spacing w:after="0" w:line="157" w:lineRule="exact"/>
              <w:rPr>
                <w:sz w:val="20"/>
                <w:szCs w:val="20"/>
                <w:color w:val="auto"/>
              </w:rPr>
            </w:pPr>
            <w:r>
              <w:rPr>
                <w:rFonts w:ascii="Arial" w:cs="Arial" w:eastAsia="Arial" w:hAnsi="Arial"/>
                <w:sz w:val="16"/>
                <w:szCs w:val="16"/>
                <w:color w:val="auto"/>
              </w:rPr>
              <w:t>have no impact on the Company’s financial position or results of</w:t>
            </w: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operations.</w:t>
            </w:r>
          </w:p>
        </w:tc>
        <w:tc>
          <w:tcPr>
            <w:tcW w:w="10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200" w:type="dxa"/>
            <w:vAlign w:val="bottom"/>
          </w:tcPr>
          <w:p>
            <w:pPr>
              <w:jc w:val="center"/>
              <w:spacing w:after="0" w:line="159" w:lineRule="exact"/>
              <w:rPr>
                <w:sz w:val="20"/>
                <w:szCs w:val="20"/>
                <w:color w:val="auto"/>
              </w:rPr>
            </w:pPr>
            <w:r>
              <w:rPr>
                <w:rFonts w:ascii="Arial" w:cs="Arial" w:eastAsia="Arial" w:hAnsi="Arial"/>
                <w:sz w:val="16"/>
                <w:szCs w:val="16"/>
                <w:color w:val="auto"/>
                <w:w w:val="98"/>
              </w:rPr>
              <w:t>2023-09</w:t>
            </w:r>
          </w:p>
        </w:tc>
        <w:tc>
          <w:tcPr>
            <w:tcW w:w="120" w:type="dxa"/>
            <w:vAlign w:val="bottom"/>
          </w:tcPr>
          <w:p>
            <w:pPr>
              <w:spacing w:after="0"/>
              <w:rPr>
                <w:sz w:val="13"/>
                <w:szCs w:val="13"/>
                <w:color w:val="auto"/>
              </w:rPr>
            </w:pPr>
          </w:p>
        </w:tc>
        <w:tc>
          <w:tcPr>
            <w:tcW w:w="2460" w:type="dxa"/>
            <w:vAlign w:val="bottom"/>
            <w:gridSpan w:val="2"/>
          </w:tcPr>
          <w:p>
            <w:pPr>
              <w:jc w:val="center"/>
              <w:ind w:right="100"/>
              <w:spacing w:after="0" w:line="159" w:lineRule="exact"/>
              <w:rPr>
                <w:sz w:val="20"/>
                <w:szCs w:val="20"/>
                <w:color w:val="auto"/>
              </w:rPr>
            </w:pPr>
            <w:r>
              <w:rPr>
                <w:rFonts w:ascii="Arial" w:cs="Arial" w:eastAsia="Arial" w:hAnsi="Arial"/>
                <w:sz w:val="16"/>
                <w:szCs w:val="16"/>
                <w:color w:val="auto"/>
                <w:w w:val="96"/>
              </w:rPr>
              <w:t>Income Taxes (Topic 740):</w:t>
            </w:r>
          </w:p>
        </w:tc>
        <w:tc>
          <w:tcPr>
            <w:tcW w:w="508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This ASU, issued in December 2023, is intended to enhance the</w:t>
            </w:r>
          </w:p>
        </w:tc>
        <w:tc>
          <w:tcPr>
            <w:tcW w:w="2380" w:type="dxa"/>
            <w:vAlign w:val="bottom"/>
          </w:tcPr>
          <w:p>
            <w:pPr>
              <w:ind w:left="20"/>
              <w:spacing w:after="0" w:line="159" w:lineRule="exact"/>
              <w:rPr>
                <w:sz w:val="20"/>
                <w:szCs w:val="20"/>
                <w:color w:val="auto"/>
              </w:rPr>
            </w:pPr>
            <w:r>
              <w:rPr>
                <w:rFonts w:ascii="Arial" w:cs="Arial" w:eastAsia="Arial" w:hAnsi="Arial"/>
                <w:sz w:val="16"/>
                <w:szCs w:val="16"/>
                <w:color w:val="auto"/>
              </w:rPr>
              <w:t>This ASU is effective for fiscal</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jc w:val="center"/>
              <w:ind w:right="120"/>
              <w:spacing w:after="0" w:line="152" w:lineRule="exact"/>
              <w:rPr>
                <w:sz w:val="20"/>
                <w:szCs w:val="20"/>
                <w:color w:val="auto"/>
              </w:rPr>
            </w:pPr>
            <w:r>
              <w:rPr>
                <w:rFonts w:ascii="Arial" w:cs="Arial" w:eastAsia="Arial" w:hAnsi="Arial"/>
                <w:sz w:val="16"/>
                <w:szCs w:val="16"/>
                <w:color w:val="auto"/>
                <w:w w:val="97"/>
              </w:rPr>
              <w:t>Improvements to Income Tax</w:t>
            </w:r>
          </w:p>
        </w:tc>
        <w:tc>
          <w:tcPr>
            <w:tcW w:w="508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transparency and decision usefulness of income tax disclosures. The</w:t>
            </w:r>
          </w:p>
        </w:tc>
        <w:tc>
          <w:tcPr>
            <w:tcW w:w="2380" w:type="dxa"/>
            <w:vAlign w:val="bottom"/>
          </w:tcPr>
          <w:p>
            <w:pPr>
              <w:ind w:left="20"/>
              <w:spacing w:after="0" w:line="152" w:lineRule="exact"/>
              <w:rPr>
                <w:sz w:val="20"/>
                <w:szCs w:val="20"/>
                <w:color w:val="auto"/>
              </w:rPr>
            </w:pPr>
            <w:r>
              <w:rPr>
                <w:rFonts w:ascii="Arial" w:cs="Arial" w:eastAsia="Arial" w:hAnsi="Arial"/>
                <w:sz w:val="16"/>
                <w:szCs w:val="16"/>
                <w:color w:val="auto"/>
              </w:rPr>
              <w:t>years beginning after December</w:t>
            </w:r>
          </w:p>
        </w:tc>
        <w:tc>
          <w:tcPr>
            <w:tcW w:w="0" w:type="dxa"/>
            <w:vAlign w:val="bottom"/>
          </w:tcPr>
          <w:p>
            <w:pPr>
              <w:spacing w:after="0"/>
              <w:rPr>
                <w:sz w:val="1"/>
                <w:szCs w:val="1"/>
                <w:color w:val="auto"/>
              </w:rPr>
            </w:pPr>
          </w:p>
        </w:tc>
      </w:tr>
      <w:tr>
        <w:trPr>
          <w:trHeight w:val="161"/>
        </w:trPr>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2"/>
          </w:tcPr>
          <w:p>
            <w:pPr>
              <w:jc w:val="center"/>
              <w:ind w:right="120"/>
              <w:spacing w:after="0" w:line="161" w:lineRule="exact"/>
              <w:rPr>
                <w:sz w:val="20"/>
                <w:szCs w:val="20"/>
                <w:color w:val="auto"/>
              </w:rPr>
            </w:pPr>
            <w:r>
              <w:rPr>
                <w:rFonts w:ascii="Arial" w:cs="Arial" w:eastAsia="Arial" w:hAnsi="Arial"/>
                <w:sz w:val="16"/>
                <w:szCs w:val="16"/>
                <w:color w:val="auto"/>
                <w:w w:val="99"/>
              </w:rPr>
              <w:t>Disclosures</w:t>
            </w:r>
          </w:p>
        </w:tc>
        <w:tc>
          <w:tcPr>
            <w:tcW w:w="50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amendments in this ASU address investor requests for enhanced</w:t>
            </w:r>
          </w:p>
        </w:tc>
        <w:tc>
          <w:tcPr>
            <w:tcW w:w="2380" w:type="dxa"/>
            <w:vAlign w:val="bottom"/>
          </w:tcPr>
          <w:p>
            <w:pPr>
              <w:ind w:left="20"/>
              <w:spacing w:after="0" w:line="161" w:lineRule="exact"/>
              <w:rPr>
                <w:sz w:val="20"/>
                <w:szCs w:val="20"/>
                <w:color w:val="auto"/>
              </w:rPr>
            </w:pPr>
            <w:r>
              <w:rPr>
                <w:rFonts w:ascii="Arial" w:cs="Arial" w:eastAsia="Arial" w:hAnsi="Arial"/>
                <w:sz w:val="16"/>
                <w:szCs w:val="16"/>
                <w:color w:val="auto"/>
              </w:rPr>
              <w:t>15, 2024, with early adoption</w:t>
            </w:r>
          </w:p>
        </w:tc>
        <w:tc>
          <w:tcPr>
            <w:tcW w:w="0" w:type="dxa"/>
            <w:vAlign w:val="bottom"/>
          </w:tcPr>
          <w:p>
            <w:pPr>
              <w:spacing w:after="0"/>
              <w:rPr>
                <w:sz w:val="1"/>
                <w:szCs w:val="1"/>
                <w:color w:val="auto"/>
              </w:rPr>
            </w:pPr>
          </w:p>
        </w:tc>
      </w:tr>
      <w:tr>
        <w:trPr>
          <w:trHeight w:val="161"/>
        </w:trPr>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income tax information primarily through changes to the rate</w:t>
            </w:r>
          </w:p>
        </w:tc>
        <w:tc>
          <w:tcPr>
            <w:tcW w:w="2380" w:type="dxa"/>
            <w:vAlign w:val="bottom"/>
          </w:tcPr>
          <w:p>
            <w:pPr>
              <w:ind w:left="20"/>
              <w:spacing w:after="0" w:line="161" w:lineRule="exact"/>
              <w:rPr>
                <w:sz w:val="20"/>
                <w:szCs w:val="20"/>
                <w:color w:val="auto"/>
              </w:rPr>
            </w:pPr>
            <w:r>
              <w:rPr>
                <w:rFonts w:ascii="Arial" w:cs="Arial" w:eastAsia="Arial" w:hAnsi="Arial"/>
                <w:sz w:val="16"/>
                <w:szCs w:val="16"/>
                <w:color w:val="auto"/>
              </w:rPr>
              <w:t>permitted.</w:t>
            </w: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gridSpan w:val="2"/>
          </w:tcPr>
          <w:p>
            <w:pPr>
              <w:ind w:left="20"/>
              <w:spacing w:after="0" w:line="157" w:lineRule="exact"/>
              <w:rPr>
                <w:sz w:val="20"/>
                <w:szCs w:val="20"/>
                <w:color w:val="auto"/>
              </w:rPr>
            </w:pPr>
            <w:r>
              <w:rPr>
                <w:rFonts w:ascii="Arial" w:cs="Arial" w:eastAsia="Arial" w:hAnsi="Arial"/>
                <w:sz w:val="16"/>
                <w:szCs w:val="16"/>
                <w:color w:val="auto"/>
              </w:rPr>
              <w:t>reconciliation and income taxes paid information. We are currently</w:t>
            </w: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evaluating the impact of implementing this guidance on our financial</w:t>
            </w: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statements.</w:t>
            </w:r>
          </w:p>
        </w:tc>
        <w:tc>
          <w:tcPr>
            <w:tcW w:w="10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200" w:type="dxa"/>
            <w:vAlign w:val="bottom"/>
          </w:tcPr>
          <w:p>
            <w:pPr>
              <w:jc w:val="center"/>
              <w:spacing w:after="0" w:line="157" w:lineRule="exact"/>
              <w:rPr>
                <w:sz w:val="20"/>
                <w:szCs w:val="20"/>
                <w:color w:val="auto"/>
              </w:rPr>
            </w:pPr>
            <w:r>
              <w:rPr>
                <w:rFonts w:ascii="Arial" w:cs="Arial" w:eastAsia="Arial" w:hAnsi="Arial"/>
                <w:sz w:val="16"/>
                <w:szCs w:val="16"/>
                <w:color w:val="auto"/>
                <w:w w:val="98"/>
              </w:rPr>
              <w:t>2024-03</w:t>
            </w:r>
          </w:p>
        </w:tc>
        <w:tc>
          <w:tcPr>
            <w:tcW w:w="120" w:type="dxa"/>
            <w:vAlign w:val="bottom"/>
          </w:tcPr>
          <w:p>
            <w:pPr>
              <w:spacing w:after="0"/>
              <w:rPr>
                <w:sz w:val="13"/>
                <w:szCs w:val="13"/>
                <w:color w:val="auto"/>
              </w:rPr>
            </w:pPr>
          </w:p>
        </w:tc>
        <w:tc>
          <w:tcPr>
            <w:tcW w:w="2460" w:type="dxa"/>
            <w:vAlign w:val="bottom"/>
            <w:gridSpan w:val="2"/>
          </w:tcPr>
          <w:p>
            <w:pPr>
              <w:jc w:val="center"/>
              <w:ind w:right="100"/>
              <w:spacing w:after="0" w:line="157" w:lineRule="exact"/>
              <w:rPr>
                <w:sz w:val="20"/>
                <w:szCs w:val="20"/>
                <w:color w:val="auto"/>
              </w:rPr>
            </w:pPr>
            <w:r>
              <w:rPr>
                <w:rFonts w:ascii="Arial" w:cs="Arial" w:eastAsia="Arial" w:hAnsi="Arial"/>
                <w:sz w:val="16"/>
                <w:szCs w:val="16"/>
                <w:color w:val="auto"/>
                <w:w w:val="98"/>
              </w:rPr>
              <w:t>Income Statement Reporting</w:t>
            </w:r>
          </w:p>
        </w:tc>
        <w:tc>
          <w:tcPr>
            <w:tcW w:w="5080" w:type="dxa"/>
            <w:vAlign w:val="bottom"/>
            <w:gridSpan w:val="2"/>
          </w:tcPr>
          <w:p>
            <w:pPr>
              <w:ind w:left="20"/>
              <w:spacing w:after="0" w:line="157" w:lineRule="exact"/>
              <w:rPr>
                <w:sz w:val="20"/>
                <w:szCs w:val="20"/>
                <w:color w:val="auto"/>
              </w:rPr>
            </w:pPr>
            <w:r>
              <w:rPr>
                <w:rFonts w:ascii="Arial" w:cs="Arial" w:eastAsia="Arial" w:hAnsi="Arial"/>
                <w:sz w:val="16"/>
                <w:szCs w:val="16"/>
                <w:color w:val="auto"/>
              </w:rPr>
              <w:t>This ASU, issued in November 2024, is intended to improve financial</w:t>
            </w:r>
          </w:p>
        </w:tc>
        <w:tc>
          <w:tcPr>
            <w:tcW w:w="2380" w:type="dxa"/>
            <w:vAlign w:val="bottom"/>
          </w:tcPr>
          <w:p>
            <w:pPr>
              <w:ind w:left="20"/>
              <w:spacing w:after="0" w:line="157" w:lineRule="exact"/>
              <w:rPr>
                <w:sz w:val="20"/>
                <w:szCs w:val="20"/>
                <w:color w:val="auto"/>
              </w:rPr>
            </w:pPr>
            <w:r>
              <w:rPr>
                <w:rFonts w:ascii="Arial" w:cs="Arial" w:eastAsia="Arial" w:hAnsi="Arial"/>
                <w:sz w:val="16"/>
                <w:szCs w:val="16"/>
                <w:color w:val="auto"/>
              </w:rPr>
              <w:t>This ASU is effective for fiscal</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jc w:val="center"/>
              <w:ind w:right="100"/>
              <w:spacing w:after="0" w:line="152" w:lineRule="exact"/>
              <w:rPr>
                <w:sz w:val="20"/>
                <w:szCs w:val="20"/>
                <w:color w:val="auto"/>
              </w:rPr>
            </w:pPr>
            <w:r>
              <w:rPr>
                <w:rFonts w:ascii="Arial" w:cs="Arial" w:eastAsia="Arial" w:hAnsi="Arial"/>
                <w:sz w:val="16"/>
                <w:szCs w:val="16"/>
                <w:color w:val="auto"/>
                <w:w w:val="98"/>
              </w:rPr>
              <w:t>Comprehensive Income Expense</w:t>
            </w:r>
          </w:p>
        </w:tc>
        <w:tc>
          <w:tcPr>
            <w:tcW w:w="508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reporting by requiring public entities to disclose additional information</w:t>
            </w:r>
          </w:p>
        </w:tc>
        <w:tc>
          <w:tcPr>
            <w:tcW w:w="2380" w:type="dxa"/>
            <w:vAlign w:val="bottom"/>
          </w:tcPr>
          <w:p>
            <w:pPr>
              <w:ind w:left="20"/>
              <w:spacing w:after="0" w:line="152" w:lineRule="exact"/>
              <w:rPr>
                <w:sz w:val="20"/>
                <w:szCs w:val="20"/>
                <w:color w:val="auto"/>
              </w:rPr>
            </w:pPr>
            <w:r>
              <w:rPr>
                <w:rFonts w:ascii="Arial" w:cs="Arial" w:eastAsia="Arial" w:hAnsi="Arial"/>
                <w:sz w:val="16"/>
                <w:szCs w:val="16"/>
                <w:color w:val="auto"/>
              </w:rPr>
              <w:t>years beginning after December</w:t>
            </w:r>
          </w:p>
        </w:tc>
        <w:tc>
          <w:tcPr>
            <w:tcW w:w="0" w:type="dxa"/>
            <w:vAlign w:val="bottom"/>
          </w:tcPr>
          <w:p>
            <w:pPr>
              <w:spacing w:after="0"/>
              <w:rPr>
                <w:sz w:val="1"/>
                <w:szCs w:val="1"/>
                <w:color w:val="auto"/>
              </w:rPr>
            </w:pPr>
          </w:p>
        </w:tc>
      </w:tr>
      <w:tr>
        <w:trPr>
          <w:trHeight w:val="161"/>
        </w:trPr>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2"/>
          </w:tcPr>
          <w:p>
            <w:pPr>
              <w:jc w:val="center"/>
              <w:ind w:right="100"/>
              <w:spacing w:after="0" w:line="161" w:lineRule="exact"/>
              <w:rPr>
                <w:sz w:val="20"/>
                <w:szCs w:val="20"/>
                <w:color w:val="auto"/>
              </w:rPr>
            </w:pPr>
            <w:r>
              <w:rPr>
                <w:rFonts w:ascii="Arial" w:cs="Arial" w:eastAsia="Arial" w:hAnsi="Arial"/>
                <w:sz w:val="16"/>
                <w:szCs w:val="16"/>
                <w:color w:val="auto"/>
                <w:w w:val="98"/>
              </w:rPr>
              <w:t>Disaggregation Disclosures</w:t>
            </w:r>
          </w:p>
        </w:tc>
        <w:tc>
          <w:tcPr>
            <w:tcW w:w="50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about specific expense categories in the notes to the financial</w:t>
            </w:r>
          </w:p>
        </w:tc>
        <w:tc>
          <w:tcPr>
            <w:tcW w:w="2380" w:type="dxa"/>
            <w:vAlign w:val="bottom"/>
          </w:tcPr>
          <w:p>
            <w:pPr>
              <w:ind w:left="20"/>
              <w:spacing w:after="0" w:line="161" w:lineRule="exact"/>
              <w:rPr>
                <w:sz w:val="20"/>
                <w:szCs w:val="20"/>
                <w:color w:val="auto"/>
              </w:rPr>
            </w:pPr>
            <w:r>
              <w:rPr>
                <w:rFonts w:ascii="Arial" w:cs="Arial" w:eastAsia="Arial" w:hAnsi="Arial"/>
                <w:sz w:val="16"/>
                <w:szCs w:val="16"/>
                <w:color w:val="auto"/>
              </w:rPr>
              <w:t>15, 2026, and interim periods</w:t>
            </w:r>
          </w:p>
        </w:tc>
        <w:tc>
          <w:tcPr>
            <w:tcW w:w="0" w:type="dxa"/>
            <w:vAlign w:val="bottom"/>
          </w:tcPr>
          <w:p>
            <w:pPr>
              <w:spacing w:after="0"/>
              <w:rPr>
                <w:sz w:val="1"/>
                <w:szCs w:val="1"/>
                <w:color w:val="auto"/>
              </w:rPr>
            </w:pPr>
          </w:p>
        </w:tc>
      </w:tr>
      <w:tr>
        <w:trPr>
          <w:trHeight w:val="161"/>
        </w:trPr>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2"/>
          </w:tcPr>
          <w:p>
            <w:pPr>
              <w:jc w:val="center"/>
              <w:ind w:right="120"/>
              <w:spacing w:after="0" w:line="161" w:lineRule="exact"/>
              <w:rPr>
                <w:sz w:val="20"/>
                <w:szCs w:val="20"/>
                <w:color w:val="auto"/>
              </w:rPr>
            </w:pPr>
            <w:r>
              <w:rPr>
                <w:rFonts w:ascii="Arial" w:cs="Arial" w:eastAsia="Arial" w:hAnsi="Arial"/>
                <w:sz w:val="16"/>
                <w:szCs w:val="16"/>
                <w:color w:val="auto"/>
                <w:w w:val="98"/>
              </w:rPr>
              <w:t>(Subtopic 220-40):</w:t>
            </w:r>
          </w:p>
        </w:tc>
        <w:tc>
          <w:tcPr>
            <w:tcW w:w="50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statements at interim and annual reporting periods. We are currently</w:t>
            </w:r>
          </w:p>
        </w:tc>
        <w:tc>
          <w:tcPr>
            <w:tcW w:w="2380" w:type="dxa"/>
            <w:vAlign w:val="bottom"/>
          </w:tcPr>
          <w:p>
            <w:pPr>
              <w:ind w:left="20"/>
              <w:spacing w:after="0" w:line="161" w:lineRule="exact"/>
              <w:rPr>
                <w:sz w:val="20"/>
                <w:szCs w:val="20"/>
                <w:color w:val="auto"/>
              </w:rPr>
            </w:pPr>
            <w:r>
              <w:rPr>
                <w:rFonts w:ascii="Arial" w:cs="Arial" w:eastAsia="Arial" w:hAnsi="Arial"/>
                <w:sz w:val="16"/>
                <w:szCs w:val="16"/>
                <w:color w:val="auto"/>
                <w:w w:val="99"/>
              </w:rPr>
              <w:t>within fiscal years beginning after</w:t>
            </w: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jc w:val="center"/>
              <w:ind w:right="100"/>
              <w:spacing w:after="0" w:line="157" w:lineRule="exact"/>
              <w:rPr>
                <w:sz w:val="20"/>
                <w:szCs w:val="20"/>
                <w:color w:val="auto"/>
              </w:rPr>
            </w:pPr>
            <w:r>
              <w:rPr>
                <w:rFonts w:ascii="Arial" w:cs="Arial" w:eastAsia="Arial" w:hAnsi="Arial"/>
                <w:sz w:val="16"/>
                <w:szCs w:val="16"/>
                <w:color w:val="auto"/>
                <w:w w:val="98"/>
              </w:rPr>
              <w:t>Disaggregation of Income</w:t>
            </w:r>
          </w:p>
        </w:tc>
        <w:tc>
          <w:tcPr>
            <w:tcW w:w="5080" w:type="dxa"/>
            <w:vAlign w:val="bottom"/>
            <w:gridSpan w:val="2"/>
          </w:tcPr>
          <w:p>
            <w:pPr>
              <w:ind w:left="20"/>
              <w:spacing w:after="0" w:line="157" w:lineRule="exact"/>
              <w:rPr>
                <w:sz w:val="20"/>
                <w:szCs w:val="20"/>
                <w:color w:val="auto"/>
              </w:rPr>
            </w:pPr>
            <w:r>
              <w:rPr>
                <w:rFonts w:ascii="Arial" w:cs="Arial" w:eastAsia="Arial" w:hAnsi="Arial"/>
                <w:sz w:val="16"/>
                <w:szCs w:val="16"/>
                <w:color w:val="auto"/>
              </w:rPr>
              <w:t>evaluating the impact of implementing this guidance on our financial</w:t>
            </w:r>
          </w:p>
        </w:tc>
        <w:tc>
          <w:tcPr>
            <w:tcW w:w="2380" w:type="dxa"/>
            <w:vAlign w:val="bottom"/>
          </w:tcPr>
          <w:p>
            <w:pPr>
              <w:ind w:left="20"/>
              <w:spacing w:after="0" w:line="157" w:lineRule="exact"/>
              <w:rPr>
                <w:sz w:val="20"/>
                <w:szCs w:val="20"/>
                <w:color w:val="auto"/>
              </w:rPr>
            </w:pPr>
            <w:r>
              <w:rPr>
                <w:rFonts w:ascii="Arial" w:cs="Arial" w:eastAsia="Arial" w:hAnsi="Arial"/>
                <w:sz w:val="16"/>
                <w:szCs w:val="16"/>
                <w:color w:val="auto"/>
              </w:rPr>
              <w:t>December 15, 2027, with early</w:t>
            </w:r>
          </w:p>
        </w:tc>
        <w:tc>
          <w:tcPr>
            <w:tcW w:w="0" w:type="dxa"/>
            <w:vAlign w:val="bottom"/>
          </w:tcPr>
          <w:p>
            <w:pPr>
              <w:spacing w:after="0"/>
              <w:rPr>
                <w:sz w:val="1"/>
                <w:szCs w:val="1"/>
                <w:color w:val="auto"/>
              </w:rPr>
            </w:pPr>
          </w:p>
        </w:tc>
      </w:tr>
      <w:tr>
        <w:trPr>
          <w:trHeight w:val="202"/>
        </w:trPr>
        <w:tc>
          <w:tcPr>
            <w:tcW w:w="1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Statement Expenses</w:t>
            </w:r>
          </w:p>
        </w:tc>
        <w:tc>
          <w:tcPr>
            <w:tcW w:w="100" w:type="dxa"/>
            <w:vAlign w:val="bottom"/>
          </w:tcPr>
          <w:p>
            <w:pPr>
              <w:spacing w:after="0"/>
              <w:rPr>
                <w:sz w:val="17"/>
                <w:szCs w:val="17"/>
                <w:color w:val="auto"/>
              </w:rPr>
            </w:pP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statements.</w:t>
            </w:r>
          </w:p>
        </w:tc>
        <w:tc>
          <w:tcPr>
            <w:tcW w:w="100" w:type="dxa"/>
            <w:vAlign w:val="bottom"/>
          </w:tcPr>
          <w:p>
            <w:pPr>
              <w:spacing w:after="0"/>
              <w:rPr>
                <w:sz w:val="17"/>
                <w:szCs w:val="17"/>
                <w:color w:val="auto"/>
              </w:rPr>
            </w:pPr>
          </w:p>
        </w:tc>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adoption permitted.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0046AD"/>
        </w:rPr>
        <w:t>ITEM 3. QUANTITATIVE AND QUALITATIVE DISCLOSURES ABOUT MARKET RISK.</w:t>
      </w:r>
    </w:p>
    <w:p>
      <w:pPr>
        <w:spacing w:after="0" w:line="169"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There are no material changes related to market risk from the disclosures in our Annual Report on Form 10-K for the year ended October 31, 2024.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4. CONTROLS AND PROCEDURES.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 Disclosure Controls and Procedures.</w:t>
      </w:r>
    </w:p>
    <w:p>
      <w:pPr>
        <w:spacing w:after="0" w:line="169"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 Changes in Internal Control Over Financial Reporting.</w:t>
      </w:r>
    </w:p>
    <w:p>
      <w:pPr>
        <w:spacing w:after="0" w:line="169" w:lineRule="exact"/>
        <w:rPr>
          <w:sz w:val="20"/>
          <w:szCs w:val="20"/>
          <w:color w:val="auto"/>
        </w:rPr>
      </w:pPr>
    </w:p>
    <w:p>
      <w:pPr>
        <w:jc w:val="both"/>
        <w:ind w:firstLine="645"/>
        <w:spacing w:after="0" w:line="252" w:lineRule="auto"/>
        <w:rPr>
          <w:sz w:val="20"/>
          <w:szCs w:val="20"/>
          <w:color w:val="auto"/>
        </w:rPr>
      </w:pPr>
      <w:r>
        <w:rPr>
          <w:rFonts w:ascii="Arial" w:cs="Arial" w:eastAsia="Arial" w:hAnsi="Arial"/>
          <w:sz w:val="18"/>
          <w:szCs w:val="18"/>
          <w:color w:val="auto"/>
        </w:rPr>
        <w:t>To support the growth of our financial shared service capabilities and standardize our financial systems, we continue to update several key platforms, including our HR information systems, enterprise resource planning (“ERP”) system, and labor management system. The implementation of several key platforms involves changes in the systems that include internal controls. During the third quarter of 2023 and first quarter of 2025, we had a change in our internal control over financial reporting as a result of our implementation of a new ERP and key boundary systems for the Education, Business &amp; Industry, and Manufacturing &amp; Distribution industry groups that has materially affected, or is reasonably likely to materially affect, our internal control over financial reporting. The new ERP system and key boundary systems for these industry groups is replacing our legacy system in which a significant portion of our business transactions originate, are processed, and recorded. The rest of our industry groups will transition to our new ERP system and key boundary systems over the next several years. Our new ERP system and key boundary systems are intended to provide us with enhanced transactional processing and management tools, as compared with our legacy system, and is intended to enhance internal controls over financial reporting. We believe our new ERP system and key boundary systems will facilitate better transactional reporting and oversight, enhance our internal control over financial reporting, and function as an important component of our disclosure controls and procedures. Although some of the transitions have proceeded to date without material adverse effects, the possibility exists that they could adversely affect our internal controls over financial reporting and procedures.</w:t>
      </w:r>
    </w:p>
    <w:p>
      <w:pPr>
        <w:spacing w:after="0" w:line="128"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There were no other changes in our internal control over financial reporting during the second quarter of 2025 identified in connection with the evaluation required by Rules 13a-15(d) and 15d-15(d) of the Exchange Act that has materially affected, or is reasonably likely to materially affect, our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PART II. OTHER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 LEGAL PROCEEDINGS.</w:t>
      </w:r>
    </w:p>
    <w:p>
      <w:pPr>
        <w:spacing w:after="0" w:line="169" w:lineRule="exact"/>
        <w:rPr>
          <w:sz w:val="20"/>
          <w:szCs w:val="20"/>
          <w:color w:val="auto"/>
        </w:rPr>
      </w:pPr>
    </w:p>
    <w:p>
      <w:pPr>
        <w:jc w:val="both"/>
        <w:ind w:right="20" w:firstLine="645"/>
        <w:spacing w:after="0" w:line="285" w:lineRule="auto"/>
        <w:rPr>
          <w:sz w:val="20"/>
          <w:szCs w:val="20"/>
          <w:color w:val="auto"/>
        </w:rPr>
      </w:pPr>
      <w:r>
        <w:rPr>
          <w:rFonts w:ascii="Arial" w:cs="Arial" w:eastAsia="Arial" w:hAnsi="Arial"/>
          <w:sz w:val="18"/>
          <w:szCs w:val="18"/>
          <w:color w:val="auto"/>
        </w:rPr>
        <w:t>A discussion of material developments in our litigation matters occurring in the period covered by this report is found in Note 10, “Commitments and Contingencies,” to the unaudited Consolidated Financial Statements in this Form 10-Q.</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1A. RISK FACTORS.</w:t>
      </w:r>
    </w:p>
    <w:p>
      <w:pPr>
        <w:spacing w:after="0" w:line="156" w:lineRule="exact"/>
        <w:rPr>
          <w:sz w:val="20"/>
          <w:szCs w:val="20"/>
          <w:color w:val="auto"/>
        </w:rPr>
      </w:pPr>
    </w:p>
    <w:p>
      <w:pPr>
        <w:jc w:val="both"/>
        <w:ind w:right="20" w:firstLine="645"/>
        <w:spacing w:after="0" w:line="269" w:lineRule="auto"/>
        <w:rPr>
          <w:sz w:val="20"/>
          <w:szCs w:val="20"/>
          <w:color w:val="auto"/>
        </w:rPr>
      </w:pPr>
      <w:r>
        <w:rPr>
          <w:rFonts w:ascii="Arial" w:cs="Arial" w:eastAsia="Arial" w:hAnsi="Arial"/>
          <w:sz w:val="18"/>
          <w:szCs w:val="18"/>
          <w:color w:val="auto"/>
        </w:rPr>
        <w:t>There have been no material changes to the risk factors identified in our Annual Report on Form 10-K for the year ended October 31, 2024, in response to Item 1A., “Risk Factors,” of Part I of the Annual Report.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2. UNREGISTERED SALES OF EQUITY SECURITIES AND USE OF PROCEEDS.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Common Stock Repurchases</w:t>
      </w:r>
    </w:p>
    <w:p>
      <w:pPr>
        <w:spacing w:after="0" w:line="169"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Effective December 13, 2023, our Board of Directors expanded our existing share repurchase program by an additional $150.0 million. Share repurchases may take place on the open market or otherwise, and all or part of</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42" w:name="page43"/>
    <w:bookmarkEnd w:id="42"/>
    <w:p>
      <w:pPr>
        <w:jc w:val="both"/>
        <w:ind w:right="20"/>
        <w:spacing w:after="0" w:line="258" w:lineRule="auto"/>
        <w:rPr>
          <w:sz w:val="20"/>
          <w:szCs w:val="20"/>
          <w:color w:val="auto"/>
        </w:rPr>
      </w:pPr>
      <w:r>
        <w:rPr>
          <w:rFonts w:ascii="Arial" w:cs="Arial" w:eastAsia="Arial" w:hAnsi="Arial"/>
          <w:sz w:val="18"/>
          <w:szCs w:val="18"/>
          <w:color w:val="auto"/>
        </w:rPr>
        <w:t>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 unissued status. The repurchase program may be suspended or discontinued at any time without prior notice. No shares were repurchased during the three months ended April 30, 2025. At April 30, 2025, authorization for $133.2 million of repurchases remained under our share repurchase program.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3. DEFAULTS UPON SENIOR SECURITIES.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4. MINE SAFETY DISCLOSURES.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5. OTHER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Trading Arrangements</w:t>
      </w:r>
    </w:p>
    <w:p>
      <w:pPr>
        <w:spacing w:after="0" w:line="169" w:lineRule="exact"/>
        <w:rPr>
          <w:sz w:val="20"/>
          <w:szCs w:val="20"/>
          <w:color w:val="auto"/>
        </w:rPr>
      </w:pPr>
    </w:p>
    <w:p>
      <w:pPr>
        <w:jc w:val="both"/>
        <w:ind w:right="20" w:firstLine="645"/>
        <w:spacing w:after="0" w:line="267" w:lineRule="auto"/>
        <w:rPr>
          <w:sz w:val="20"/>
          <w:szCs w:val="20"/>
          <w:color w:val="auto"/>
        </w:rPr>
      </w:pPr>
      <w:r>
        <w:rPr>
          <w:rFonts w:ascii="Arial" w:cs="Arial" w:eastAsia="Arial" w:hAnsi="Arial"/>
          <w:sz w:val="18"/>
          <w:szCs w:val="18"/>
          <w:color w:val="auto"/>
        </w:rPr>
        <w:t>During the three months ended April 30, 2025, certain of our “officers,” as defined in Rule 16a-1(f) of the Exchange Act, and directors adopted, modified, or terminated a “Rule 10b5-1 trading arrangement” or a “non-Rule 10b5-1 trading arrangement,” as each term is defined in Item 408 of Regulation S-K,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7141210" cy="11436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210" cy="114363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Trading Arrangements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2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4"/>
                <w:szCs w:val="14"/>
                <w:color w:val="auto"/>
              </w:rPr>
              <w:t>Name and Title</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Action</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Date of Action</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Rule 10b5-1</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Non-Rule 10b5-1</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Aggregate Number</w:t>
            </w: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Aggregate Number</w:t>
            </w:r>
          </w:p>
        </w:tc>
        <w:tc>
          <w:tcPr>
            <w:tcW w:w="1900" w:type="dxa"/>
            <w:vAlign w:val="bottom"/>
            <w:tcBorders>
              <w:top w:val="single" w:sz="8" w:color="auto"/>
            </w:tcBorders>
          </w:tcPr>
          <w:p>
            <w:pPr>
              <w:ind w:left="660"/>
              <w:spacing w:after="0"/>
              <w:rPr>
                <w:sz w:val="20"/>
                <w:szCs w:val="20"/>
                <w:color w:val="auto"/>
              </w:rPr>
            </w:pPr>
            <w:r>
              <w:rPr>
                <w:rFonts w:ascii="Arial" w:cs="Arial" w:eastAsia="Arial" w:hAnsi="Arial"/>
                <w:sz w:val="14"/>
                <w:szCs w:val="14"/>
                <w:color w:val="auto"/>
              </w:rPr>
              <w:t>Duration</w:t>
            </w:r>
          </w:p>
        </w:tc>
      </w:tr>
      <w:tr>
        <w:trPr>
          <w:trHeight w:val="144"/>
        </w:trPr>
        <w:tc>
          <w:tcPr>
            <w:tcW w:w="19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4"/>
                <w:szCs w:val="14"/>
                <w:color w:val="auto"/>
              </w:rPr>
              <w:t>Trading</w:t>
            </w:r>
          </w:p>
        </w:tc>
        <w:tc>
          <w:tcPr>
            <w:tcW w:w="13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4"/>
                <w:szCs w:val="14"/>
                <w:color w:val="auto"/>
              </w:rPr>
              <w:t>Trading</w:t>
            </w:r>
          </w:p>
        </w:tc>
        <w:tc>
          <w:tcPr>
            <w:tcW w:w="13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4"/>
                <w:szCs w:val="14"/>
                <w:color w:val="auto"/>
              </w:rPr>
              <w:t>of Securities to Be</w:t>
            </w:r>
          </w:p>
        </w:tc>
        <w:tc>
          <w:tcPr>
            <w:tcW w:w="132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4"/>
                <w:szCs w:val="14"/>
                <w:color w:val="auto"/>
              </w:rPr>
              <w:t>of Securities to Be</w:t>
            </w:r>
          </w:p>
        </w:tc>
        <w:tc>
          <w:tcPr>
            <w:tcW w:w="1900" w:type="dxa"/>
            <w:vAlign w:val="bottom"/>
          </w:tcPr>
          <w:p>
            <w:pPr>
              <w:spacing w:after="0"/>
              <w:rPr>
                <w:sz w:val="12"/>
                <w:szCs w:val="12"/>
                <w:color w:val="auto"/>
              </w:rPr>
            </w:pPr>
          </w:p>
        </w:tc>
      </w:tr>
      <w:tr>
        <w:trPr>
          <w:trHeight w:val="228"/>
        </w:trPr>
        <w:tc>
          <w:tcPr>
            <w:tcW w:w="19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line="229" w:lineRule="exact"/>
              <w:rPr>
                <w:sz w:val="20"/>
                <w:szCs w:val="20"/>
                <w:color w:val="auto"/>
              </w:rPr>
            </w:pPr>
            <w:r>
              <w:rPr>
                <w:rFonts w:ascii="Arial" w:cs="Arial" w:eastAsia="Arial" w:hAnsi="Arial"/>
                <w:sz w:val="14"/>
                <w:szCs w:val="14"/>
                <w:color w:val="auto"/>
                <w:w w:val="98"/>
              </w:rPr>
              <w:t>Arrangement</w:t>
            </w:r>
            <w:r>
              <w:rPr>
                <w:rFonts w:ascii="Arial" w:cs="Arial" w:eastAsia="Arial" w:hAnsi="Arial"/>
                <w:sz w:val="23"/>
                <w:szCs w:val="23"/>
                <w:color w:val="auto"/>
                <w:w w:val="98"/>
                <w:vertAlign w:val="superscript"/>
              </w:rPr>
              <w:t>1</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Arrangement</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Sold</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Purchased</w:t>
            </w:r>
          </w:p>
        </w:tc>
        <w:tc>
          <w:tcPr>
            <w:tcW w:w="1900" w:type="dxa"/>
            <w:vAlign w:val="bottom"/>
            <w:tcBorders>
              <w:bottom w:val="single" w:sz="8" w:color="auto"/>
            </w:tcBorders>
          </w:tcPr>
          <w:p>
            <w:pPr>
              <w:spacing w:after="0"/>
              <w:rPr>
                <w:sz w:val="19"/>
                <w:szCs w:val="19"/>
                <w:color w:val="auto"/>
              </w:rPr>
            </w:pPr>
          </w:p>
        </w:tc>
      </w:tr>
      <w:tr>
        <w:trPr>
          <w:trHeight w:val="186"/>
        </w:trPr>
        <w:tc>
          <w:tcPr>
            <w:tcW w:w="19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Rene Jacobsen, Executive</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Adoption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April 4, 2025</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17,250 shares of</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900" w:type="dxa"/>
            <w:vAlign w:val="bottom"/>
          </w:tcPr>
          <w:p>
            <w:pPr>
              <w:spacing w:after="0"/>
              <w:rPr>
                <w:sz w:val="20"/>
                <w:szCs w:val="20"/>
                <w:color w:val="auto"/>
              </w:rPr>
            </w:pPr>
            <w:r>
              <w:rPr>
                <w:rFonts w:ascii="Arial" w:cs="Arial" w:eastAsia="Arial" w:hAnsi="Arial"/>
                <w:sz w:val="14"/>
                <w:szCs w:val="14"/>
                <w:color w:val="auto"/>
              </w:rPr>
              <w:t>From July 7, 2025, until the</w:t>
            </w:r>
          </w:p>
        </w:tc>
      </w:tr>
      <w:tr>
        <w:trPr>
          <w:trHeight w:val="175"/>
        </w:trPr>
        <w:tc>
          <w:tcPr>
            <w:tcW w:w="19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Vice President and Chief</w:t>
            </w:r>
          </w:p>
        </w:tc>
        <w:tc>
          <w:tcPr>
            <w:tcW w:w="9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common stock</w:t>
            </w:r>
          </w:p>
        </w:tc>
        <w:tc>
          <w:tcPr>
            <w:tcW w:w="1320" w:type="dxa"/>
            <w:vAlign w:val="bottom"/>
            <w:tcBorders>
              <w:right w:val="single" w:sz="8" w:color="auto"/>
            </w:tcBorders>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earlier of (i) the date when all</w:t>
            </w:r>
          </w:p>
        </w:tc>
      </w:tr>
      <w:tr>
        <w:trPr>
          <w:trHeight w:val="161"/>
        </w:trPr>
        <w:tc>
          <w:tcPr>
            <w:tcW w:w="19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Operating Officer</w:t>
            </w:r>
          </w:p>
        </w:tc>
        <w:tc>
          <w:tcPr>
            <w:tcW w:w="96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the shares under the plan</w:t>
            </w:r>
          </w:p>
        </w:tc>
      </w:tr>
      <w:tr>
        <w:trPr>
          <w:trHeight w:val="175"/>
        </w:trPr>
        <w:tc>
          <w:tcPr>
            <w:tcW w:w="192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are sold and (ii)</w:t>
            </w:r>
          </w:p>
        </w:tc>
      </w:tr>
      <w:tr>
        <w:trPr>
          <w:trHeight w:val="190"/>
        </w:trPr>
        <w:tc>
          <w:tcPr>
            <w:tcW w:w="19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December 31, 2025</w:t>
            </w:r>
          </w:p>
        </w:tc>
      </w:tr>
      <w:tr>
        <w:trPr>
          <w:trHeight w:val="21"/>
        </w:trPr>
        <w:tc>
          <w:tcPr>
            <w:tcW w:w="19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ind w:left="180" w:hanging="173"/>
        <w:spacing w:after="0"/>
        <w:tabs>
          <w:tab w:leader="none" w:pos="18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Intended to satisfy the affirmative defense conditions of Rule 10b5-1(c).</w:t>
      </w: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49"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46"/>
        </w:trPr>
        <w:tc>
          <w:tcPr>
            <w:tcW w:w="11240" w:type="dxa"/>
            <w:vAlign w:val="bottom"/>
            <w:gridSpan w:val="9"/>
          </w:tcPr>
          <w:p>
            <w:pPr>
              <w:spacing w:after="0"/>
              <w:rPr>
                <w:sz w:val="20"/>
                <w:szCs w:val="20"/>
                <w:color w:val="auto"/>
              </w:rPr>
            </w:pPr>
            <w:r>
              <w:rPr>
                <w:rFonts w:ascii="Arial" w:cs="Arial" w:eastAsia="Arial" w:hAnsi="Arial"/>
                <w:sz w:val="18"/>
                <w:szCs w:val="18"/>
                <w:b w:val="1"/>
                <w:bCs w:val="1"/>
                <w:color w:val="0046AD"/>
              </w:rPr>
              <w:t>ITEM 6. EXHIBITS.</w:t>
            </w:r>
          </w:p>
        </w:tc>
      </w:tr>
      <w:tr>
        <w:trPr>
          <w:trHeight w:val="368"/>
        </w:trPr>
        <w:tc>
          <w:tcPr>
            <w:tcW w:w="11240" w:type="dxa"/>
            <w:vAlign w:val="bottom"/>
            <w:gridSpan w:val="9"/>
          </w:tcPr>
          <w:p>
            <w:pPr>
              <w:ind w:left="660"/>
              <w:spacing w:after="0"/>
              <w:rPr>
                <w:sz w:val="20"/>
                <w:szCs w:val="20"/>
                <w:color w:val="auto"/>
              </w:rPr>
            </w:pPr>
            <w:r>
              <w:rPr>
                <w:rFonts w:ascii="Arial" w:cs="Arial" w:eastAsia="Arial" w:hAnsi="Arial"/>
                <w:sz w:val="18"/>
                <w:szCs w:val="18"/>
                <w:color w:val="auto"/>
              </w:rPr>
              <w:t>(a) Exhibits</w:t>
            </w:r>
          </w:p>
        </w:tc>
      </w:tr>
      <w:tr>
        <w:trPr>
          <w:trHeight w:val="184"/>
        </w:trPr>
        <w:tc>
          <w:tcPr>
            <w:tcW w:w="138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15"/>
        </w:trPr>
        <w:tc>
          <w:tcPr>
            <w:tcW w:w="1380" w:type="dxa"/>
            <w:vAlign w:val="bottom"/>
            <w:shd w:val="clear" w:color="auto" w:fill="DCE2EF"/>
          </w:tcPr>
          <w:p>
            <w:pPr>
              <w:ind w:left="20"/>
              <w:spacing w:after="0"/>
              <w:rPr>
                <w:sz w:val="20"/>
                <w:szCs w:val="20"/>
                <w:color w:val="auto"/>
              </w:rPr>
            </w:pPr>
            <w:r>
              <w:rPr>
                <w:rFonts w:ascii="Arial" w:cs="Arial" w:eastAsia="Arial" w:hAnsi="Arial"/>
                <w:sz w:val="16"/>
                <w:szCs w:val="16"/>
                <w:b w:val="1"/>
                <w:bCs w:val="1"/>
                <w:color w:val="auto"/>
              </w:rPr>
              <w:t>Exhibit No.</w:t>
            </w:r>
          </w:p>
        </w:tc>
        <w:tc>
          <w:tcPr>
            <w:tcW w:w="9860" w:type="dxa"/>
            <w:vAlign w:val="bottom"/>
            <w:gridSpan w:val="8"/>
            <w:shd w:val="clear" w:color="auto" w:fill="DCE2EF"/>
          </w:tcPr>
          <w:p>
            <w:pPr>
              <w:ind w:left="4180"/>
              <w:spacing w:after="0"/>
              <w:rPr>
                <w:sz w:val="20"/>
                <w:szCs w:val="20"/>
                <w:color w:val="auto"/>
              </w:rPr>
            </w:pPr>
            <w:r>
              <w:rPr>
                <w:rFonts w:ascii="Arial" w:cs="Arial" w:eastAsia="Arial" w:hAnsi="Arial"/>
                <w:sz w:val="16"/>
                <w:szCs w:val="16"/>
                <w:b w:val="1"/>
                <w:bCs w:val="1"/>
                <w:color w:val="auto"/>
              </w:rPr>
              <w:t>Exhibit Description</w:t>
            </w:r>
          </w:p>
        </w:tc>
      </w:tr>
      <w:tr>
        <w:trPr>
          <w:trHeight w:val="175"/>
        </w:trPr>
        <w:tc>
          <w:tcPr>
            <w:tcW w:w="1380" w:type="dxa"/>
            <w:vAlign w:val="bottom"/>
          </w:tcPr>
          <w:p>
            <w:pPr>
              <w:ind w:left="20"/>
              <w:spacing w:after="0" w:line="175" w:lineRule="exact"/>
              <w:rPr>
                <w:sz w:val="20"/>
                <w:szCs w:val="20"/>
                <w:color w:val="auto"/>
              </w:rPr>
            </w:pPr>
            <w:r>
              <w:rPr>
                <w:rFonts w:ascii="Arial" w:cs="Arial" w:eastAsia="Arial" w:hAnsi="Arial"/>
                <w:sz w:val="16"/>
                <w:szCs w:val="16"/>
                <w:color w:val="auto"/>
              </w:rPr>
              <w:t>10.1</w:t>
            </w:r>
          </w:p>
        </w:tc>
        <w:tc>
          <w:tcPr>
            <w:tcW w:w="9860" w:type="dxa"/>
            <w:vAlign w:val="bottom"/>
            <w:gridSpan w:val="8"/>
          </w:tcPr>
          <w:p>
            <w:pPr>
              <w:spacing w:after="0" w:line="175" w:lineRule="exact"/>
              <w:rPr>
                <w:rFonts w:ascii="Arial" w:cs="Arial" w:eastAsia="Arial" w:hAnsi="Arial"/>
                <w:sz w:val="16"/>
                <w:szCs w:val="16"/>
                <w:color w:val="0000FF"/>
              </w:rPr>
            </w:pPr>
            <w:hyperlink r:id="rId79">
              <w:r>
                <w:rPr>
                  <w:rFonts w:ascii="Arial" w:cs="Arial" w:eastAsia="Arial" w:hAnsi="Arial"/>
                  <w:sz w:val="16"/>
                  <w:szCs w:val="16"/>
                  <w:color w:val="0000FF"/>
                </w:rPr>
                <w:t>Amended and Restated Credit Agreement, dated as of February 26, 2025, among ABM Industries Incorporated, ABM Aviation UK</w:t>
              </w:r>
            </w:hyperlink>
          </w:p>
        </w:tc>
      </w:tr>
      <w:tr>
        <w:trPr>
          <w:trHeight w:val="20"/>
        </w:trPr>
        <w:tc>
          <w:tcPr>
            <w:tcW w:w="1380" w:type="dxa"/>
            <w:vAlign w:val="bottom"/>
          </w:tcPr>
          <w:p>
            <w:pPr>
              <w:spacing w:after="0" w:line="20" w:lineRule="exact"/>
              <w:rPr>
                <w:sz w:val="1"/>
                <w:szCs w:val="1"/>
                <w:color w:val="auto"/>
              </w:rPr>
            </w:pPr>
          </w:p>
        </w:tc>
        <w:tc>
          <w:tcPr>
            <w:tcW w:w="7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41"/>
        </w:trPr>
        <w:tc>
          <w:tcPr>
            <w:tcW w:w="1380" w:type="dxa"/>
            <w:vAlign w:val="bottom"/>
          </w:tcPr>
          <w:p>
            <w:pPr>
              <w:spacing w:after="0"/>
              <w:rPr>
                <w:sz w:val="12"/>
                <w:szCs w:val="12"/>
                <w:color w:val="auto"/>
              </w:rPr>
            </w:pPr>
          </w:p>
        </w:tc>
        <w:tc>
          <w:tcPr>
            <w:tcW w:w="9860" w:type="dxa"/>
            <w:vAlign w:val="bottom"/>
            <w:gridSpan w:val="8"/>
          </w:tcPr>
          <w:p>
            <w:pPr>
              <w:spacing w:after="0" w:line="142" w:lineRule="exact"/>
              <w:rPr>
                <w:rFonts w:ascii="Arial" w:cs="Arial" w:eastAsia="Arial" w:hAnsi="Arial"/>
                <w:sz w:val="16"/>
                <w:szCs w:val="16"/>
                <w:color w:val="0000FF"/>
              </w:rPr>
            </w:pPr>
            <w:hyperlink r:id="rId79">
              <w:r>
                <w:rPr>
                  <w:rFonts w:ascii="Arial" w:cs="Arial" w:eastAsia="Arial" w:hAnsi="Arial"/>
                  <w:sz w:val="16"/>
                  <w:szCs w:val="16"/>
                  <w:color w:val="0000FF"/>
                </w:rPr>
                <w:t>Limited, each of the other subsidiaries of ABM Industries Incorporated from time to time party thereto, the financial institutions listed on</w:t>
              </w:r>
            </w:hyperlink>
          </w:p>
        </w:tc>
      </w:tr>
      <w:tr>
        <w:trPr>
          <w:trHeight w:val="141"/>
        </w:trPr>
        <w:tc>
          <w:tcPr>
            <w:tcW w:w="1380" w:type="dxa"/>
            <w:vAlign w:val="bottom"/>
          </w:tcPr>
          <w:p>
            <w:pPr>
              <w:spacing w:after="0"/>
              <w:rPr>
                <w:sz w:val="12"/>
                <w:szCs w:val="12"/>
                <w:color w:val="auto"/>
              </w:rPr>
            </w:pPr>
          </w:p>
        </w:tc>
        <w:tc>
          <w:tcPr>
            <w:tcW w:w="958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79">
              <w:r>
                <w:rPr>
                  <w:rFonts w:ascii="Arial" w:cs="Arial" w:eastAsia="Arial" w:hAnsi="Arial"/>
                  <w:sz w:val="16"/>
                  <w:szCs w:val="16"/>
                  <w:color w:val="0000FF"/>
                </w:rPr>
                <w:t>the signature pages thereof as lenders and Bank of America, N.A. as administrative agent and collateral agent for the lenders</w:t>
              </w:r>
            </w:hyperlink>
          </w:p>
        </w:tc>
        <w:tc>
          <w:tcPr>
            <w:tcW w:w="280" w:type="dxa"/>
            <w:vAlign w:val="bottom"/>
          </w:tcPr>
          <w:p>
            <w:pPr>
              <w:spacing w:after="0"/>
              <w:rPr>
                <w:sz w:val="12"/>
                <w:szCs w:val="12"/>
                <w:color w:val="auto"/>
              </w:rPr>
            </w:pPr>
          </w:p>
        </w:tc>
      </w:tr>
      <w:tr>
        <w:trPr>
          <w:trHeight w:val="141"/>
        </w:trPr>
        <w:tc>
          <w:tcPr>
            <w:tcW w:w="1380" w:type="dxa"/>
            <w:vAlign w:val="bottom"/>
          </w:tcPr>
          <w:p>
            <w:pPr>
              <w:spacing w:after="0"/>
              <w:rPr>
                <w:sz w:val="12"/>
                <w:szCs w:val="12"/>
                <w:color w:val="auto"/>
              </w:rPr>
            </w:pPr>
          </w:p>
        </w:tc>
        <w:tc>
          <w:tcPr>
            <w:tcW w:w="8920" w:type="dxa"/>
            <w:vAlign w:val="bottom"/>
            <w:tcBorders>
              <w:top w:val="single" w:sz="8" w:color="0000FF"/>
            </w:tcBorders>
            <w:gridSpan w:val="5"/>
          </w:tcPr>
          <w:p>
            <w:pPr>
              <w:spacing w:after="0" w:line="142" w:lineRule="exact"/>
              <w:rPr>
                <w:rFonts w:ascii="Arial" w:cs="Arial" w:eastAsia="Arial" w:hAnsi="Arial"/>
                <w:sz w:val="16"/>
                <w:szCs w:val="16"/>
                <w:color w:val="0000FF"/>
              </w:rPr>
            </w:pPr>
            <w:hyperlink r:id="rId79">
              <w:r>
                <w:rPr>
                  <w:rFonts w:ascii="Arial" w:cs="Arial" w:eastAsia="Arial" w:hAnsi="Arial"/>
                  <w:sz w:val="16"/>
                  <w:szCs w:val="16"/>
                  <w:color w:val="0000FF"/>
                </w:rPr>
                <w:t>(incorporated by reference to Exhibit 10.1 to the Company's Current Report on Form 8-K, filed on February 28, 2025)</w:t>
              </w:r>
            </w:hyperlink>
          </w:p>
        </w:tc>
        <w:tc>
          <w:tcPr>
            <w:tcW w:w="940" w:type="dxa"/>
            <w:vAlign w:val="bottom"/>
            <w:gridSpan w:val="3"/>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7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2"/>
        </w:trPr>
        <w:tc>
          <w:tcPr>
            <w:tcW w:w="1380" w:type="dxa"/>
            <w:vAlign w:val="bottom"/>
            <w:tcBorders>
              <w:bottom w:val="single" w:sz="8" w:color="DCE2EF"/>
            </w:tcBorders>
            <w:shd w:val="clear" w:color="auto" w:fill="DCE2EF"/>
          </w:tcPr>
          <w:p>
            <w:pPr>
              <w:ind w:left="20"/>
              <w:spacing w:after="0" w:line="175" w:lineRule="exact"/>
              <w:rPr>
                <w:sz w:val="20"/>
                <w:szCs w:val="20"/>
                <w:color w:val="auto"/>
              </w:rPr>
            </w:pPr>
            <w:r>
              <w:rPr>
                <w:rFonts w:ascii="Arial" w:cs="Arial" w:eastAsia="Arial" w:hAnsi="Arial"/>
                <w:sz w:val="16"/>
                <w:szCs w:val="16"/>
                <w:color w:val="auto"/>
              </w:rPr>
              <w:t>31.1†</w:t>
            </w:r>
          </w:p>
        </w:tc>
        <w:tc>
          <w:tcPr>
            <w:tcW w:w="7220" w:type="dxa"/>
            <w:vAlign w:val="bottom"/>
            <w:tcBorders>
              <w:bottom w:val="single" w:sz="8" w:color="0000FF"/>
            </w:tcBorders>
            <w:gridSpan w:val="2"/>
            <w:shd w:val="clear" w:color="auto" w:fill="DCE2EF"/>
          </w:tcPr>
          <w:p>
            <w:pPr>
              <w:spacing w:after="0" w:line="175" w:lineRule="exact"/>
              <w:rPr>
                <w:sz w:val="20"/>
                <w:szCs w:val="20"/>
                <w:color w:val="auto"/>
              </w:rPr>
            </w:pPr>
            <w:r>
              <w:rPr>
                <w:rFonts w:ascii="Arial" w:cs="Arial" w:eastAsia="Arial" w:hAnsi="Arial"/>
                <w:sz w:val="16"/>
                <w:szCs w:val="16"/>
                <w:color w:val="0000FF"/>
              </w:rPr>
              <w:t>Certification of Principal Executive Officer pursuant to Section 302 of the Sarbanes-Oxley Act of 2002</w:t>
            </w:r>
          </w:p>
        </w:tc>
        <w:tc>
          <w:tcPr>
            <w:tcW w:w="2640" w:type="dxa"/>
            <w:vAlign w:val="bottom"/>
            <w:tcBorders>
              <w:bottom w:val="single" w:sz="8" w:color="DCE2EF"/>
            </w:tcBorders>
            <w:gridSpan w:val="6"/>
            <w:shd w:val="clear" w:color="auto" w:fill="DCE2EF"/>
          </w:tcPr>
          <w:p>
            <w:pPr>
              <w:spacing w:after="0"/>
              <w:rPr>
                <w:sz w:val="19"/>
                <w:szCs w:val="19"/>
                <w:color w:val="auto"/>
              </w:rPr>
            </w:pPr>
          </w:p>
        </w:tc>
      </w:tr>
      <w:tr>
        <w:trPr>
          <w:trHeight w:val="175"/>
        </w:trPr>
        <w:tc>
          <w:tcPr>
            <w:tcW w:w="1380" w:type="dxa"/>
            <w:vAlign w:val="bottom"/>
          </w:tcPr>
          <w:p>
            <w:pPr>
              <w:ind w:left="20"/>
              <w:spacing w:after="0" w:line="175" w:lineRule="exact"/>
              <w:rPr>
                <w:sz w:val="20"/>
                <w:szCs w:val="20"/>
                <w:color w:val="auto"/>
              </w:rPr>
            </w:pPr>
            <w:r>
              <w:rPr>
                <w:rFonts w:ascii="Arial" w:cs="Arial" w:eastAsia="Arial" w:hAnsi="Arial"/>
                <w:sz w:val="16"/>
                <w:szCs w:val="16"/>
                <w:color w:val="auto"/>
              </w:rPr>
              <w:t>31.2†</w:t>
            </w:r>
          </w:p>
        </w:tc>
        <w:tc>
          <w:tcPr>
            <w:tcW w:w="9860" w:type="dxa"/>
            <w:vAlign w:val="bottom"/>
            <w:gridSpan w:val="8"/>
          </w:tcPr>
          <w:p>
            <w:pPr>
              <w:spacing w:after="0" w:line="175" w:lineRule="exact"/>
              <w:rPr>
                <w:sz w:val="20"/>
                <w:szCs w:val="20"/>
                <w:color w:val="auto"/>
              </w:rPr>
            </w:pPr>
            <w:r>
              <w:rPr>
                <w:rFonts w:ascii="Arial" w:cs="Arial" w:eastAsia="Arial" w:hAnsi="Arial"/>
                <w:sz w:val="16"/>
                <w:szCs w:val="16"/>
                <w:color w:val="0000FF"/>
              </w:rPr>
              <w:t>Certification of Principal Financial Officer pursuant to Section 302 of the Sarbanes-Oxley Act of 2002</w:t>
            </w:r>
          </w:p>
        </w:tc>
      </w:tr>
      <w:tr>
        <w:trPr>
          <w:trHeight w:val="20"/>
        </w:trPr>
        <w:tc>
          <w:tcPr>
            <w:tcW w:w="1380" w:type="dxa"/>
            <w:vAlign w:val="bottom"/>
          </w:tcPr>
          <w:p>
            <w:pPr>
              <w:spacing w:after="0" w:line="20" w:lineRule="exact"/>
              <w:rPr>
                <w:sz w:val="1"/>
                <w:szCs w:val="1"/>
                <w:color w:val="auto"/>
              </w:rPr>
            </w:pPr>
          </w:p>
        </w:tc>
        <w:tc>
          <w:tcPr>
            <w:tcW w:w="7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5"/>
        </w:trPr>
        <w:tc>
          <w:tcPr>
            <w:tcW w:w="1380" w:type="dxa"/>
            <w:vAlign w:val="bottom"/>
            <w:tcBorders>
              <w:bottom w:val="single" w:sz="8" w:color="DCE2EF"/>
            </w:tcBorders>
            <w:shd w:val="clear" w:color="auto" w:fill="DCE2EF"/>
          </w:tcPr>
          <w:p>
            <w:pPr>
              <w:ind w:left="20"/>
              <w:spacing w:after="0" w:line="175" w:lineRule="exact"/>
              <w:rPr>
                <w:sz w:val="20"/>
                <w:szCs w:val="20"/>
                <w:color w:val="auto"/>
              </w:rPr>
            </w:pPr>
            <w:r>
              <w:rPr>
                <w:rFonts w:ascii="Arial" w:cs="Arial" w:eastAsia="Arial" w:hAnsi="Arial"/>
                <w:sz w:val="16"/>
                <w:szCs w:val="16"/>
                <w:color w:val="auto"/>
              </w:rPr>
              <w:t>32‡</w:t>
            </w:r>
          </w:p>
        </w:tc>
        <w:tc>
          <w:tcPr>
            <w:tcW w:w="8580" w:type="dxa"/>
            <w:vAlign w:val="bottom"/>
            <w:tcBorders>
              <w:bottom w:val="single" w:sz="8" w:color="0000FF"/>
            </w:tcBorders>
            <w:gridSpan w:val="4"/>
            <w:shd w:val="clear" w:color="auto" w:fill="DCE2EF"/>
          </w:tcPr>
          <w:p>
            <w:pPr>
              <w:spacing w:after="0" w:line="175" w:lineRule="exact"/>
              <w:rPr>
                <w:sz w:val="20"/>
                <w:szCs w:val="20"/>
                <w:color w:val="auto"/>
              </w:rPr>
            </w:pPr>
            <w:r>
              <w:rPr>
                <w:rFonts w:ascii="Arial" w:cs="Arial" w:eastAsia="Arial" w:hAnsi="Arial"/>
                <w:sz w:val="16"/>
                <w:szCs w:val="16"/>
                <w:color w:val="0000FF"/>
              </w:rPr>
              <w:t>Certification pursuant to 18 U.S.C. Section 1350, as adopted pursuant to Section 906 of the Sarbanes-Oxley Act of 2002</w:t>
            </w:r>
          </w:p>
        </w:tc>
        <w:tc>
          <w:tcPr>
            <w:tcW w:w="1280" w:type="dxa"/>
            <w:vAlign w:val="bottom"/>
            <w:tcBorders>
              <w:bottom w:val="single" w:sz="8" w:color="DCE2EF"/>
            </w:tcBorders>
            <w:gridSpan w:val="4"/>
            <w:shd w:val="clear" w:color="auto" w:fill="DCE2EF"/>
          </w:tcPr>
          <w:p>
            <w:pPr>
              <w:spacing w:after="0"/>
              <w:rPr>
                <w:sz w:val="16"/>
                <w:szCs w:val="16"/>
                <w:color w:val="auto"/>
              </w:rPr>
            </w:pPr>
          </w:p>
        </w:tc>
      </w:tr>
      <w:tr>
        <w:trPr>
          <w:trHeight w:val="161"/>
        </w:trPr>
        <w:tc>
          <w:tcPr>
            <w:tcW w:w="1380" w:type="dxa"/>
            <w:vAlign w:val="bottom"/>
          </w:tcPr>
          <w:p>
            <w:pPr>
              <w:ind w:left="20"/>
              <w:spacing w:after="0" w:line="161" w:lineRule="exact"/>
              <w:rPr>
                <w:sz w:val="20"/>
                <w:szCs w:val="20"/>
                <w:color w:val="auto"/>
              </w:rPr>
            </w:pPr>
            <w:r>
              <w:rPr>
                <w:rFonts w:ascii="Arial" w:cs="Arial" w:eastAsia="Arial" w:hAnsi="Arial"/>
                <w:sz w:val="16"/>
                <w:szCs w:val="16"/>
                <w:color w:val="auto"/>
              </w:rPr>
              <w:t>101.INS†</w:t>
            </w:r>
          </w:p>
        </w:tc>
        <w:tc>
          <w:tcPr>
            <w:tcW w:w="9860" w:type="dxa"/>
            <w:vAlign w:val="bottom"/>
            <w:gridSpan w:val="8"/>
          </w:tcPr>
          <w:p>
            <w:pPr>
              <w:spacing w:after="0" w:line="161" w:lineRule="exact"/>
              <w:rPr>
                <w:sz w:val="20"/>
                <w:szCs w:val="20"/>
                <w:color w:val="auto"/>
              </w:rPr>
            </w:pPr>
            <w:r>
              <w:rPr>
                <w:rFonts w:ascii="Arial" w:cs="Arial" w:eastAsia="Arial" w:hAnsi="Arial"/>
                <w:sz w:val="16"/>
                <w:szCs w:val="16"/>
                <w:color w:val="auto"/>
              </w:rPr>
              <w:t>Inline XBRL Instance Document (the instance document does not appear in the Interactive Data File because its XBRL tags are</w:t>
            </w:r>
          </w:p>
        </w:tc>
      </w:tr>
      <w:tr>
        <w:trPr>
          <w:trHeight w:val="214"/>
        </w:trPr>
        <w:tc>
          <w:tcPr>
            <w:tcW w:w="1380" w:type="dxa"/>
            <w:vAlign w:val="bottom"/>
          </w:tcPr>
          <w:p>
            <w:pPr>
              <w:spacing w:after="0"/>
              <w:rPr>
                <w:sz w:val="18"/>
                <w:szCs w:val="18"/>
                <w:color w:val="auto"/>
              </w:rPr>
            </w:pPr>
          </w:p>
        </w:tc>
        <w:tc>
          <w:tcPr>
            <w:tcW w:w="9860" w:type="dxa"/>
            <w:vAlign w:val="bottom"/>
            <w:gridSpan w:val="8"/>
          </w:tcPr>
          <w:p>
            <w:pPr>
              <w:spacing w:after="0"/>
              <w:rPr>
                <w:sz w:val="20"/>
                <w:szCs w:val="20"/>
                <w:color w:val="auto"/>
              </w:rPr>
            </w:pPr>
            <w:r>
              <w:rPr>
                <w:rFonts w:ascii="Arial" w:cs="Arial" w:eastAsia="Arial" w:hAnsi="Arial"/>
                <w:sz w:val="16"/>
                <w:szCs w:val="16"/>
                <w:color w:val="auto"/>
              </w:rPr>
              <w:t>embedded within the Inline XBRL document)</w:t>
            </w:r>
          </w:p>
        </w:tc>
      </w:tr>
      <w:tr>
        <w:trPr>
          <w:trHeight w:val="216"/>
        </w:trPr>
        <w:tc>
          <w:tcPr>
            <w:tcW w:w="1380" w:type="dxa"/>
            <w:vAlign w:val="bottom"/>
            <w:shd w:val="clear" w:color="auto" w:fill="DCE2EF"/>
          </w:tcPr>
          <w:p>
            <w:pPr>
              <w:ind w:left="20"/>
              <w:spacing w:after="0"/>
              <w:rPr>
                <w:sz w:val="20"/>
                <w:szCs w:val="20"/>
                <w:color w:val="auto"/>
              </w:rPr>
            </w:pPr>
            <w:r>
              <w:rPr>
                <w:rFonts w:ascii="Arial" w:cs="Arial" w:eastAsia="Arial" w:hAnsi="Arial"/>
                <w:sz w:val="16"/>
                <w:szCs w:val="16"/>
                <w:color w:val="auto"/>
              </w:rPr>
              <w:t>101.SCH†</w:t>
            </w:r>
          </w:p>
        </w:tc>
        <w:tc>
          <w:tcPr>
            <w:tcW w:w="9860" w:type="dxa"/>
            <w:vAlign w:val="bottom"/>
            <w:gridSpan w:val="8"/>
            <w:shd w:val="clear" w:color="auto" w:fill="DCE2EF"/>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14"/>
        </w:trPr>
        <w:tc>
          <w:tcPr>
            <w:tcW w:w="1380" w:type="dxa"/>
            <w:vAlign w:val="bottom"/>
          </w:tcPr>
          <w:p>
            <w:pPr>
              <w:ind w:left="20"/>
              <w:spacing w:after="0"/>
              <w:rPr>
                <w:sz w:val="20"/>
                <w:szCs w:val="20"/>
                <w:color w:val="auto"/>
              </w:rPr>
            </w:pPr>
            <w:r>
              <w:rPr>
                <w:rFonts w:ascii="Arial" w:cs="Arial" w:eastAsia="Arial" w:hAnsi="Arial"/>
                <w:sz w:val="16"/>
                <w:szCs w:val="16"/>
                <w:color w:val="auto"/>
              </w:rPr>
              <w:t>101.CAL†</w:t>
            </w:r>
          </w:p>
        </w:tc>
        <w:tc>
          <w:tcPr>
            <w:tcW w:w="9860" w:type="dxa"/>
            <w:vAlign w:val="bottom"/>
            <w:gridSpan w:val="8"/>
          </w:tcPr>
          <w:p>
            <w:pPr>
              <w:spacing w:after="0"/>
              <w:rPr>
                <w:sz w:val="20"/>
                <w:szCs w:val="20"/>
                <w:color w:val="auto"/>
              </w:rPr>
            </w:pPr>
            <w:r>
              <w:rPr>
                <w:rFonts w:ascii="Arial" w:cs="Arial" w:eastAsia="Arial" w:hAnsi="Arial"/>
                <w:sz w:val="16"/>
                <w:szCs w:val="16"/>
                <w:color w:val="auto"/>
              </w:rPr>
              <w:t>Inline XBRL Taxonomy Calculation Linkbase Document</w:t>
            </w:r>
          </w:p>
        </w:tc>
      </w:tr>
      <w:tr>
        <w:trPr>
          <w:trHeight w:val="216"/>
        </w:trPr>
        <w:tc>
          <w:tcPr>
            <w:tcW w:w="1380" w:type="dxa"/>
            <w:vAlign w:val="bottom"/>
            <w:shd w:val="clear" w:color="auto" w:fill="DCE2EF"/>
          </w:tcPr>
          <w:p>
            <w:pPr>
              <w:ind w:left="20"/>
              <w:spacing w:after="0"/>
              <w:rPr>
                <w:sz w:val="20"/>
                <w:szCs w:val="20"/>
                <w:color w:val="auto"/>
              </w:rPr>
            </w:pPr>
            <w:r>
              <w:rPr>
                <w:rFonts w:ascii="Arial" w:cs="Arial" w:eastAsia="Arial" w:hAnsi="Arial"/>
                <w:sz w:val="16"/>
                <w:szCs w:val="16"/>
                <w:color w:val="auto"/>
              </w:rPr>
              <w:t>101.DEF†</w:t>
            </w:r>
          </w:p>
        </w:tc>
        <w:tc>
          <w:tcPr>
            <w:tcW w:w="9860" w:type="dxa"/>
            <w:vAlign w:val="bottom"/>
            <w:gridSpan w:val="8"/>
            <w:shd w:val="clear" w:color="auto" w:fill="DCE2EF"/>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14"/>
        </w:trPr>
        <w:tc>
          <w:tcPr>
            <w:tcW w:w="1380" w:type="dxa"/>
            <w:vAlign w:val="bottom"/>
          </w:tcPr>
          <w:p>
            <w:pPr>
              <w:ind w:left="20"/>
              <w:spacing w:after="0"/>
              <w:rPr>
                <w:sz w:val="20"/>
                <w:szCs w:val="20"/>
                <w:color w:val="auto"/>
              </w:rPr>
            </w:pPr>
            <w:r>
              <w:rPr>
                <w:rFonts w:ascii="Arial" w:cs="Arial" w:eastAsia="Arial" w:hAnsi="Arial"/>
                <w:sz w:val="16"/>
                <w:szCs w:val="16"/>
                <w:color w:val="auto"/>
              </w:rPr>
              <w:t>101.LAB†</w:t>
            </w:r>
          </w:p>
        </w:tc>
        <w:tc>
          <w:tcPr>
            <w:tcW w:w="9860" w:type="dxa"/>
            <w:vAlign w:val="bottom"/>
            <w:gridSpan w:val="8"/>
          </w:tcPr>
          <w:p>
            <w:pPr>
              <w:spacing w:after="0"/>
              <w:rPr>
                <w:sz w:val="20"/>
                <w:szCs w:val="20"/>
                <w:color w:val="auto"/>
              </w:rPr>
            </w:pPr>
            <w:r>
              <w:rPr>
                <w:rFonts w:ascii="Arial" w:cs="Arial" w:eastAsia="Arial" w:hAnsi="Arial"/>
                <w:sz w:val="16"/>
                <w:szCs w:val="16"/>
                <w:color w:val="auto"/>
              </w:rPr>
              <w:t>Inline XBRL Taxonomy Label Linkbase Document</w:t>
            </w:r>
          </w:p>
        </w:tc>
      </w:tr>
      <w:tr>
        <w:trPr>
          <w:trHeight w:val="216"/>
        </w:trPr>
        <w:tc>
          <w:tcPr>
            <w:tcW w:w="1380" w:type="dxa"/>
            <w:vAlign w:val="bottom"/>
            <w:shd w:val="clear" w:color="auto" w:fill="DCE2EF"/>
          </w:tcPr>
          <w:p>
            <w:pPr>
              <w:ind w:left="20"/>
              <w:spacing w:after="0"/>
              <w:rPr>
                <w:sz w:val="20"/>
                <w:szCs w:val="20"/>
                <w:color w:val="auto"/>
              </w:rPr>
            </w:pPr>
            <w:r>
              <w:rPr>
                <w:rFonts w:ascii="Arial" w:cs="Arial" w:eastAsia="Arial" w:hAnsi="Arial"/>
                <w:sz w:val="16"/>
                <w:szCs w:val="16"/>
                <w:color w:val="auto"/>
              </w:rPr>
              <w:t>101.PRE†</w:t>
            </w:r>
          </w:p>
        </w:tc>
        <w:tc>
          <w:tcPr>
            <w:tcW w:w="9860" w:type="dxa"/>
            <w:vAlign w:val="bottom"/>
            <w:gridSpan w:val="8"/>
            <w:shd w:val="clear" w:color="auto" w:fill="DCE2EF"/>
          </w:tcPr>
          <w:p>
            <w:pPr>
              <w:spacing w:after="0"/>
              <w:rPr>
                <w:sz w:val="20"/>
                <w:szCs w:val="20"/>
                <w:color w:val="auto"/>
              </w:rPr>
            </w:pPr>
            <w:r>
              <w:rPr>
                <w:rFonts w:ascii="Arial" w:cs="Arial" w:eastAsia="Arial" w:hAnsi="Arial"/>
                <w:sz w:val="16"/>
                <w:szCs w:val="16"/>
                <w:color w:val="auto"/>
              </w:rPr>
              <w:t>Inline XBRL Presentation Linkbase Document</w:t>
            </w:r>
          </w:p>
        </w:tc>
      </w:tr>
      <w:tr>
        <w:trPr>
          <w:trHeight w:val="214"/>
        </w:trPr>
        <w:tc>
          <w:tcPr>
            <w:tcW w:w="1380" w:type="dxa"/>
            <w:vAlign w:val="bottom"/>
          </w:tcPr>
          <w:p>
            <w:pPr>
              <w:ind w:left="20"/>
              <w:spacing w:after="0"/>
              <w:rPr>
                <w:sz w:val="20"/>
                <w:szCs w:val="20"/>
                <w:color w:val="auto"/>
              </w:rPr>
            </w:pPr>
            <w:r>
              <w:rPr>
                <w:rFonts w:ascii="Arial" w:cs="Arial" w:eastAsia="Arial" w:hAnsi="Arial"/>
                <w:sz w:val="16"/>
                <w:szCs w:val="16"/>
                <w:color w:val="auto"/>
              </w:rPr>
              <w:t>104†</w:t>
            </w:r>
          </w:p>
        </w:tc>
        <w:tc>
          <w:tcPr>
            <w:tcW w:w="9860" w:type="dxa"/>
            <w:vAlign w:val="bottom"/>
            <w:gridSpan w:val="8"/>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283" w:lineRule="exact"/>
        <w:rPr>
          <w:sz w:val="20"/>
          <w:szCs w:val="20"/>
          <w:color w:val="auto"/>
        </w:rPr>
      </w:pPr>
    </w:p>
    <w:p>
      <w:pPr>
        <w:ind w:left="720" w:hanging="641"/>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contract, or arrangement.</w:t>
      </w:r>
    </w:p>
    <w:p>
      <w:pPr>
        <w:spacing w:after="0" w:line="44"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6"/>
          <w:szCs w:val="16"/>
          <w:color w:val="auto"/>
        </w:rPr>
        <w:t>†Indicates filed herewith.</w:t>
      </w:r>
    </w:p>
    <w:p>
      <w:pPr>
        <w:spacing w:after="0" w:line="84"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6"/>
          <w:szCs w:val="16"/>
          <w:color w:val="auto"/>
        </w:rPr>
        <w:t>‡Indicates furnished herewith.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9"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1"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ABM Industries Incorporated</w:t>
      </w:r>
    </w:p>
    <w:p>
      <w:pPr>
        <w:spacing w:after="0" w:line="200" w:lineRule="exact"/>
        <w:rPr>
          <w:sz w:val="20"/>
          <w:szCs w:val="20"/>
          <w:color w:val="auto"/>
        </w:rPr>
      </w:pPr>
    </w:p>
    <w:p>
      <w:pPr>
        <w:spacing w:after="0" w:line="382" w:lineRule="exact"/>
        <w:rPr>
          <w:sz w:val="20"/>
          <w:szCs w:val="20"/>
          <w:color w:val="auto"/>
        </w:rPr>
      </w:pPr>
    </w:p>
    <w:p>
      <w:pPr>
        <w:ind w:left="20"/>
        <w:spacing w:after="0"/>
        <w:tabs>
          <w:tab w:leader="none" w:pos="6420" w:val="left"/>
        </w:tabs>
        <w:rPr>
          <w:sz w:val="20"/>
          <w:szCs w:val="20"/>
          <w:color w:val="auto"/>
        </w:rPr>
      </w:pPr>
      <w:r>
        <w:rPr>
          <w:rFonts w:ascii="Arial" w:cs="Arial" w:eastAsia="Arial" w:hAnsi="Arial"/>
          <w:sz w:val="16"/>
          <w:szCs w:val="16"/>
          <w:u w:val="single" w:color="auto"/>
          <w:color w:val="auto"/>
        </w:rPr>
        <w:t>June 6, 2025</w:t>
      </w:r>
      <w:r>
        <w:rPr>
          <w:sz w:val="20"/>
          <w:szCs w:val="20"/>
          <w:color w:val="auto"/>
        </w:rPr>
        <w:tab/>
      </w:r>
      <w:r>
        <w:rPr>
          <w:rFonts w:ascii="Arial" w:cs="Arial" w:eastAsia="Arial" w:hAnsi="Arial"/>
          <w:sz w:val="16"/>
          <w:szCs w:val="16"/>
          <w:u w:val="single" w:color="auto"/>
          <w:color w:val="auto"/>
        </w:rPr>
        <w:t>/s/ Earl R. Ellis</w:t>
      </w:r>
    </w:p>
    <w:p>
      <w:pPr>
        <w:spacing w:after="0" w:line="24"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Earl R. Ellis</w:t>
      </w:r>
    </w:p>
    <w:p>
      <w:pPr>
        <w:ind w:left="6440"/>
        <w:spacing w:after="0" w:line="210" w:lineRule="auto"/>
        <w:rPr>
          <w:sz w:val="20"/>
          <w:szCs w:val="20"/>
          <w:color w:val="auto"/>
        </w:rPr>
      </w:pPr>
      <w:r>
        <w:rPr>
          <w:rFonts w:ascii="Arial" w:cs="Arial" w:eastAsia="Arial" w:hAnsi="Arial"/>
          <w:sz w:val="16"/>
          <w:szCs w:val="16"/>
          <w:color w:val="auto"/>
        </w:rPr>
        <w:t>Executive Vice President and Chief Financial Officer</w:t>
      </w:r>
    </w:p>
    <w:p>
      <w:pPr>
        <w:ind w:left="6440"/>
        <w:spacing w:after="0"/>
        <w:rPr>
          <w:sz w:val="20"/>
          <w:szCs w:val="20"/>
          <w:color w:val="auto"/>
        </w:rPr>
      </w:pPr>
      <w:r>
        <w:rPr>
          <w:rFonts w:ascii="Arial" w:cs="Arial" w:eastAsia="Arial" w:hAnsi="Arial"/>
          <w:sz w:val="16"/>
          <w:szCs w:val="16"/>
          <w:color w:val="auto"/>
        </w:rPr>
        <w:t>(Duly Authorized Officer)</w:t>
      </w:r>
    </w:p>
    <w:p>
      <w:pPr>
        <w:spacing w:after="0" w:line="200" w:lineRule="exact"/>
        <w:rPr>
          <w:sz w:val="20"/>
          <w:szCs w:val="20"/>
          <w:color w:val="auto"/>
        </w:rPr>
      </w:pPr>
    </w:p>
    <w:p>
      <w:pPr>
        <w:spacing w:after="0" w:line="366" w:lineRule="exact"/>
        <w:rPr>
          <w:sz w:val="20"/>
          <w:szCs w:val="20"/>
          <w:color w:val="auto"/>
        </w:rPr>
      </w:pPr>
    </w:p>
    <w:p>
      <w:pPr>
        <w:ind w:left="20"/>
        <w:spacing w:after="0"/>
        <w:tabs>
          <w:tab w:leader="none" w:pos="6420" w:val="left"/>
        </w:tabs>
        <w:rPr>
          <w:sz w:val="20"/>
          <w:szCs w:val="20"/>
          <w:color w:val="auto"/>
        </w:rPr>
      </w:pPr>
      <w:r>
        <w:rPr>
          <w:rFonts w:ascii="Arial" w:cs="Arial" w:eastAsia="Arial" w:hAnsi="Arial"/>
          <w:sz w:val="16"/>
          <w:szCs w:val="16"/>
          <w:u w:val="single" w:color="auto"/>
          <w:color w:val="auto"/>
        </w:rPr>
        <w:t>June 6, 2025</w:t>
      </w:r>
      <w:r>
        <w:rPr>
          <w:sz w:val="20"/>
          <w:szCs w:val="20"/>
          <w:color w:val="auto"/>
        </w:rPr>
        <w:tab/>
      </w:r>
      <w:r>
        <w:rPr>
          <w:rFonts w:ascii="Arial" w:cs="Arial" w:eastAsia="Arial" w:hAnsi="Arial"/>
          <w:sz w:val="16"/>
          <w:szCs w:val="16"/>
          <w:u w:val="single" w:color="auto"/>
          <w:color w:val="auto"/>
        </w:rPr>
        <w:t>/s/ Dean A. Chin</w:t>
      </w:r>
    </w:p>
    <w:p>
      <w:pPr>
        <w:spacing w:after="0" w:line="24"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Dean A. Chin</w:t>
      </w:r>
    </w:p>
    <w:p>
      <w:pPr>
        <w:ind w:left="6440"/>
        <w:spacing w:after="0" w:line="210" w:lineRule="auto"/>
        <w:rPr>
          <w:sz w:val="20"/>
          <w:szCs w:val="20"/>
          <w:color w:val="auto"/>
        </w:rPr>
      </w:pPr>
      <w:r>
        <w:rPr>
          <w:rFonts w:ascii="Arial" w:cs="Arial" w:eastAsia="Arial" w:hAnsi="Arial"/>
          <w:sz w:val="16"/>
          <w:szCs w:val="16"/>
          <w:color w:val="auto"/>
        </w:rPr>
        <w:t>Senior Vice President, Chief Accounting Officer, Corporate</w:t>
      </w:r>
    </w:p>
    <w:p>
      <w:pPr>
        <w:ind w:left="6440"/>
        <w:spacing w:after="0" w:line="210" w:lineRule="auto"/>
        <w:rPr>
          <w:sz w:val="20"/>
          <w:szCs w:val="20"/>
          <w:color w:val="auto"/>
        </w:rPr>
      </w:pPr>
      <w:r>
        <w:rPr>
          <w:rFonts w:ascii="Arial" w:cs="Arial" w:eastAsia="Arial" w:hAnsi="Arial"/>
          <w:sz w:val="16"/>
          <w:szCs w:val="16"/>
          <w:color w:val="auto"/>
        </w:rPr>
        <w:t>Controller and Treasurer</w:t>
      </w:r>
    </w:p>
    <w:p>
      <w:pPr>
        <w:spacing w:after="0" w:line="1"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249"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EXHIBIT 31.1</w:t>
      </w:r>
    </w:p>
    <w:p>
      <w:pPr>
        <w:jc w:val="center"/>
        <w:spacing w:after="0" w:line="232" w:lineRule="auto"/>
        <w:rPr>
          <w:sz w:val="20"/>
          <w:szCs w:val="20"/>
          <w:color w:val="auto"/>
        </w:rPr>
      </w:pPr>
      <w:r>
        <w:rPr>
          <w:rFonts w:ascii="Arial" w:cs="Arial" w:eastAsia="Arial" w:hAnsi="Arial"/>
          <w:sz w:val="18"/>
          <w:szCs w:val="18"/>
          <w:b w:val="1"/>
          <w:bCs w:val="1"/>
          <w:color w:val="auto"/>
        </w:rPr>
        <w:t>CERTIFICATION OF CHIEF EXECUTIVE OFFICER</w:t>
      </w:r>
    </w:p>
    <w:p>
      <w:pPr>
        <w:jc w:val="center"/>
        <w:spacing w:after="0" w:line="218" w:lineRule="auto"/>
        <w:rPr>
          <w:sz w:val="20"/>
          <w:szCs w:val="20"/>
          <w:color w:val="auto"/>
        </w:rPr>
      </w:pPr>
      <w:r>
        <w:rPr>
          <w:rFonts w:ascii="Arial" w:cs="Arial" w:eastAsia="Arial" w:hAnsi="Arial"/>
          <w:sz w:val="18"/>
          <w:szCs w:val="18"/>
          <w:b w:val="1"/>
          <w:bCs w:val="1"/>
          <w:color w:val="auto"/>
        </w:rPr>
        <w:t>PURSUANT TO SECURITIES 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 Scott Salmirs, certify that:</w:t>
      </w:r>
    </w:p>
    <w:p>
      <w:pPr>
        <w:spacing w:after="0" w:line="183" w:lineRule="exact"/>
        <w:rPr>
          <w:sz w:val="20"/>
          <w:szCs w:val="20"/>
          <w:color w:val="auto"/>
        </w:rPr>
      </w:pPr>
    </w:p>
    <w:p>
      <w:pPr>
        <w:ind w:left="340" w:hanging="333"/>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196" w:lineRule="exact"/>
        <w:rPr>
          <w:rFonts w:ascii="Arial" w:cs="Arial" w:eastAsia="Arial" w:hAnsi="Arial"/>
          <w:sz w:val="18"/>
          <w:szCs w:val="18"/>
          <w:color w:val="auto"/>
        </w:rPr>
      </w:pPr>
    </w:p>
    <w:p>
      <w:pPr>
        <w:jc w:val="both"/>
        <w:ind w:left="340" w:hanging="333"/>
        <w:spacing w:after="0" w:line="227" w:lineRule="auto"/>
        <w:tabs>
          <w:tab w:leader="none" w:pos="3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Arial" w:cs="Arial" w:eastAsia="Arial" w:hAnsi="Arial"/>
          <w:sz w:val="18"/>
          <w:szCs w:val="18"/>
          <w:color w:val="auto"/>
        </w:rPr>
      </w:pPr>
    </w:p>
    <w:p>
      <w:pPr>
        <w:ind w:left="340" w:hanging="333"/>
        <w:spacing w:after="0" w:line="239" w:lineRule="auto"/>
        <w:tabs>
          <w:tab w:leader="none" w:pos="426"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8"/>
          <w:szCs w:val="18"/>
          <w:color w:val="auto"/>
        </w:rPr>
      </w:pPr>
    </w:p>
    <w:p>
      <w:pPr>
        <w:jc w:val="both"/>
        <w:ind w:left="340" w:hanging="333"/>
        <w:spacing w:after="0" w:line="220" w:lineRule="auto"/>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64" w:lineRule="exact"/>
        <w:rPr>
          <w:rFonts w:ascii="Arial" w:cs="Arial" w:eastAsia="Arial" w:hAnsi="Arial"/>
          <w:sz w:val="18"/>
          <w:szCs w:val="18"/>
          <w:color w:val="auto"/>
        </w:rPr>
      </w:pPr>
    </w:p>
    <w:p>
      <w:pPr>
        <w:jc w:val="both"/>
        <w:ind w:left="660" w:hanging="330"/>
        <w:spacing w:after="0" w:line="232" w:lineRule="auto"/>
        <w:tabs>
          <w:tab w:leader="none" w:pos="743"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Arial" w:cs="Arial" w:eastAsia="Arial" w:hAnsi="Arial"/>
          <w:sz w:val="18"/>
          <w:szCs w:val="18"/>
          <w:color w:val="auto"/>
        </w:rPr>
      </w:pPr>
    </w:p>
    <w:p>
      <w:pPr>
        <w:jc w:val="both"/>
        <w:ind w:left="660" w:hanging="330"/>
        <w:spacing w:after="0" w:line="232" w:lineRule="auto"/>
        <w:tabs>
          <w:tab w:leader="none" w:pos="703"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Arial" w:cs="Arial" w:eastAsia="Arial" w:hAnsi="Arial"/>
          <w:sz w:val="18"/>
          <w:szCs w:val="18"/>
          <w:color w:val="auto"/>
        </w:rPr>
      </w:pPr>
    </w:p>
    <w:p>
      <w:pPr>
        <w:jc w:val="both"/>
        <w:ind w:left="660" w:hanging="330"/>
        <w:spacing w:after="0" w:line="232" w:lineRule="auto"/>
        <w:tabs>
          <w:tab w:leader="none" w:pos="679"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8"/>
          <w:szCs w:val="18"/>
          <w:color w:val="auto"/>
        </w:rPr>
      </w:pPr>
    </w:p>
    <w:p>
      <w:pPr>
        <w:jc w:val="both"/>
        <w:ind w:left="660" w:hanging="330"/>
        <w:spacing w:after="0" w:line="232" w:lineRule="auto"/>
        <w:tabs>
          <w:tab w:leader="none" w:pos="743"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Arial" w:cs="Arial" w:eastAsia="Arial" w:hAnsi="Arial"/>
          <w:sz w:val="18"/>
          <w:szCs w:val="18"/>
          <w:color w:val="auto"/>
        </w:rPr>
      </w:pPr>
    </w:p>
    <w:p>
      <w:pPr>
        <w:jc w:val="both"/>
        <w:ind w:left="340" w:hanging="333"/>
        <w:spacing w:after="0" w:line="232" w:lineRule="auto"/>
        <w:tabs>
          <w:tab w:leader="none" w:pos="42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8"/>
          <w:szCs w:val="18"/>
          <w:color w:val="auto"/>
        </w:rPr>
      </w:pPr>
    </w:p>
    <w:p>
      <w:pPr>
        <w:ind w:left="660" w:hanging="330"/>
        <w:spacing w:after="0" w:line="254" w:lineRule="auto"/>
        <w:tabs>
          <w:tab w:leader="none" w:pos="73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8"/>
          <w:szCs w:val="18"/>
          <w:color w:val="auto"/>
        </w:rPr>
      </w:pPr>
    </w:p>
    <w:p>
      <w:pPr>
        <w:ind w:left="660" w:hanging="330"/>
        <w:spacing w:after="0" w:line="239" w:lineRule="auto"/>
        <w:tabs>
          <w:tab w:leader="none" w:pos="756"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June 6, 2025</w:t>
      </w:r>
    </w:p>
    <w:p>
      <w:pPr>
        <w:ind w:left="4200"/>
        <w:spacing w:after="0" w:line="202" w:lineRule="auto"/>
        <w:rPr>
          <w:sz w:val="20"/>
          <w:szCs w:val="20"/>
          <w:color w:val="auto"/>
        </w:rPr>
      </w:pPr>
      <w:r>
        <w:rPr>
          <w:rFonts w:ascii="Arial" w:cs="Arial" w:eastAsia="Arial" w:hAnsi="Arial"/>
          <w:sz w:val="18"/>
          <w:szCs w:val="18"/>
          <w:color w:val="auto"/>
        </w:rPr>
        <w:t>Scott Salmirs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1057275</wp:posOffset>
            </wp:positionH>
            <wp:positionV relativeFrom="paragraph">
              <wp:posOffset>-109220</wp:posOffset>
            </wp:positionV>
            <wp:extent cx="7581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58190" cy="8255"/>
                    </a:xfrm>
                    <a:prstGeom prst="rect">
                      <a:avLst/>
                    </a:prstGeom>
                    <a:noFill/>
                  </pic:spPr>
                </pic:pic>
              </a:graphicData>
            </a:graphic>
          </wp:anchor>
        </w:drawing>
      </w:r>
    </w:p>
    <w:p>
      <w:pPr>
        <w:ind w:left="4200"/>
        <w:spacing w:after="0" w:line="218"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1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EXHIBIT 31.2</w:t>
      </w:r>
    </w:p>
    <w:p>
      <w:pPr>
        <w:jc w:val="center"/>
        <w:spacing w:after="0" w:line="202" w:lineRule="auto"/>
        <w:rPr>
          <w:sz w:val="20"/>
          <w:szCs w:val="20"/>
          <w:color w:val="auto"/>
        </w:rPr>
      </w:pPr>
      <w:r>
        <w:rPr>
          <w:rFonts w:ascii="Arial" w:cs="Arial" w:eastAsia="Arial" w:hAnsi="Arial"/>
          <w:sz w:val="18"/>
          <w:szCs w:val="18"/>
          <w:b w:val="1"/>
          <w:bCs w:val="1"/>
          <w:color w:val="auto"/>
        </w:rPr>
        <w:t>CERTIFICATION OF CHIEF FINANCIAL OFFICER</w:t>
      </w:r>
    </w:p>
    <w:p>
      <w:pPr>
        <w:jc w:val="center"/>
        <w:spacing w:after="0" w:line="218" w:lineRule="auto"/>
        <w:rPr>
          <w:sz w:val="20"/>
          <w:szCs w:val="20"/>
          <w:color w:val="auto"/>
        </w:rPr>
      </w:pPr>
      <w:r>
        <w:rPr>
          <w:rFonts w:ascii="Arial" w:cs="Arial" w:eastAsia="Arial" w:hAnsi="Arial"/>
          <w:sz w:val="18"/>
          <w:szCs w:val="18"/>
          <w:b w:val="1"/>
          <w:bCs w:val="1"/>
          <w:color w:val="auto"/>
        </w:rPr>
        <w:t>PURSUANT TO SECURITIES 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 Earl R. Ellis, certify that:</w:t>
      </w:r>
    </w:p>
    <w:p>
      <w:pPr>
        <w:spacing w:after="0" w:line="183" w:lineRule="exact"/>
        <w:rPr>
          <w:sz w:val="20"/>
          <w:szCs w:val="20"/>
          <w:color w:val="auto"/>
        </w:rPr>
      </w:pPr>
    </w:p>
    <w:p>
      <w:pPr>
        <w:ind w:left="340" w:hanging="333"/>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196" w:lineRule="exact"/>
        <w:rPr>
          <w:rFonts w:ascii="Arial" w:cs="Arial" w:eastAsia="Arial" w:hAnsi="Arial"/>
          <w:sz w:val="18"/>
          <w:szCs w:val="18"/>
          <w:color w:val="auto"/>
        </w:rPr>
      </w:pPr>
    </w:p>
    <w:p>
      <w:pPr>
        <w:jc w:val="both"/>
        <w:ind w:left="340" w:hanging="333"/>
        <w:spacing w:after="0" w:line="227" w:lineRule="auto"/>
        <w:tabs>
          <w:tab w:leader="none" w:pos="3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Arial" w:cs="Arial" w:eastAsia="Arial" w:hAnsi="Arial"/>
          <w:sz w:val="18"/>
          <w:szCs w:val="18"/>
          <w:color w:val="auto"/>
        </w:rPr>
      </w:pPr>
    </w:p>
    <w:p>
      <w:pPr>
        <w:ind w:left="340" w:hanging="333"/>
        <w:spacing w:after="0" w:line="239" w:lineRule="auto"/>
        <w:tabs>
          <w:tab w:leader="none" w:pos="426"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8"/>
          <w:szCs w:val="18"/>
          <w:color w:val="auto"/>
        </w:rPr>
      </w:pPr>
    </w:p>
    <w:p>
      <w:pPr>
        <w:jc w:val="both"/>
        <w:ind w:left="340" w:hanging="333"/>
        <w:spacing w:after="0" w:line="220" w:lineRule="auto"/>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64" w:lineRule="exact"/>
        <w:rPr>
          <w:rFonts w:ascii="Arial" w:cs="Arial" w:eastAsia="Arial" w:hAnsi="Arial"/>
          <w:sz w:val="18"/>
          <w:szCs w:val="18"/>
          <w:color w:val="auto"/>
        </w:rPr>
      </w:pPr>
    </w:p>
    <w:p>
      <w:pPr>
        <w:jc w:val="both"/>
        <w:ind w:left="660" w:hanging="330"/>
        <w:spacing w:after="0" w:line="232" w:lineRule="auto"/>
        <w:tabs>
          <w:tab w:leader="none" w:pos="743"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Arial" w:cs="Arial" w:eastAsia="Arial" w:hAnsi="Arial"/>
          <w:sz w:val="18"/>
          <w:szCs w:val="18"/>
          <w:color w:val="auto"/>
        </w:rPr>
      </w:pPr>
    </w:p>
    <w:p>
      <w:pPr>
        <w:jc w:val="both"/>
        <w:ind w:left="660" w:hanging="330"/>
        <w:spacing w:after="0" w:line="232" w:lineRule="auto"/>
        <w:tabs>
          <w:tab w:leader="none" w:pos="703"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Arial" w:cs="Arial" w:eastAsia="Arial" w:hAnsi="Arial"/>
          <w:sz w:val="18"/>
          <w:szCs w:val="18"/>
          <w:color w:val="auto"/>
        </w:rPr>
      </w:pPr>
    </w:p>
    <w:p>
      <w:pPr>
        <w:jc w:val="both"/>
        <w:ind w:left="660" w:hanging="330"/>
        <w:spacing w:after="0" w:line="232" w:lineRule="auto"/>
        <w:tabs>
          <w:tab w:leader="none" w:pos="679"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8"/>
          <w:szCs w:val="18"/>
          <w:color w:val="auto"/>
        </w:rPr>
      </w:pPr>
    </w:p>
    <w:p>
      <w:pPr>
        <w:jc w:val="both"/>
        <w:ind w:left="660" w:hanging="330"/>
        <w:spacing w:after="0" w:line="232" w:lineRule="auto"/>
        <w:tabs>
          <w:tab w:leader="none" w:pos="743"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Arial" w:cs="Arial" w:eastAsia="Arial" w:hAnsi="Arial"/>
          <w:sz w:val="18"/>
          <w:szCs w:val="18"/>
          <w:color w:val="auto"/>
        </w:rPr>
      </w:pPr>
    </w:p>
    <w:p>
      <w:pPr>
        <w:jc w:val="both"/>
        <w:ind w:left="340" w:hanging="333"/>
        <w:spacing w:after="0" w:line="232" w:lineRule="auto"/>
        <w:tabs>
          <w:tab w:leader="none" w:pos="42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8"/>
          <w:szCs w:val="18"/>
          <w:color w:val="auto"/>
        </w:rPr>
      </w:pPr>
    </w:p>
    <w:p>
      <w:pPr>
        <w:ind w:left="660" w:hanging="330"/>
        <w:spacing w:after="0" w:line="239" w:lineRule="auto"/>
        <w:tabs>
          <w:tab w:leader="none" w:pos="73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8"/>
          <w:szCs w:val="18"/>
          <w:color w:val="auto"/>
        </w:rPr>
      </w:pPr>
    </w:p>
    <w:p>
      <w:pPr>
        <w:ind w:left="660" w:hanging="330"/>
        <w:spacing w:after="0" w:line="239" w:lineRule="auto"/>
        <w:tabs>
          <w:tab w:leader="none" w:pos="75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June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1174115</wp:posOffset>
            </wp:positionH>
            <wp:positionV relativeFrom="paragraph">
              <wp:posOffset>-7620</wp:posOffset>
            </wp:positionV>
            <wp:extent cx="7581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58190" cy="8255"/>
                    </a:xfrm>
                    <a:prstGeom prst="rect">
                      <a:avLst/>
                    </a:prstGeom>
                    <a:noFill/>
                  </pic:spPr>
                </pic:pic>
              </a:graphicData>
            </a:graphic>
          </wp:anchor>
        </w:drawing>
      </w:r>
    </w:p>
    <w:p>
      <w:pPr>
        <w:ind w:left="4200"/>
        <w:spacing w:after="0" w:line="202" w:lineRule="auto"/>
        <w:rPr>
          <w:sz w:val="20"/>
          <w:szCs w:val="20"/>
          <w:color w:val="auto"/>
        </w:rPr>
      </w:pPr>
      <w:r>
        <w:rPr>
          <w:rFonts w:ascii="Arial" w:cs="Arial" w:eastAsia="Arial" w:hAnsi="Arial"/>
          <w:sz w:val="18"/>
          <w:szCs w:val="18"/>
          <w:color w:val="auto"/>
        </w:rPr>
        <w:t>Earl R. Ellis</w:t>
      </w:r>
    </w:p>
    <w:p>
      <w:pPr>
        <w:ind w:left="4200"/>
        <w:spacing w:after="0" w:line="203" w:lineRule="auto"/>
        <w:rPr>
          <w:sz w:val="20"/>
          <w:szCs w:val="20"/>
          <w:color w:val="auto"/>
        </w:rPr>
      </w:pPr>
      <w:r>
        <w:rPr>
          <w:rFonts w:ascii="Arial" w:cs="Arial" w:eastAsia="Arial" w:hAnsi="Arial"/>
          <w:sz w:val="18"/>
          <w:szCs w:val="18"/>
          <w:color w:val="auto"/>
        </w:rPr>
        <w:t>Chief Financial Officer</w:t>
      </w:r>
    </w:p>
    <w:p>
      <w:pPr>
        <w:ind w:left="4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11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EXHIBIT 32</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jc w:val="center"/>
        <w:ind w:right="-19"/>
        <w:spacing w:after="0" w:line="218" w:lineRule="auto"/>
        <w:rPr>
          <w:sz w:val="20"/>
          <w:szCs w:val="20"/>
          <w:color w:val="auto"/>
        </w:rPr>
      </w:pPr>
      <w:r>
        <w:rPr>
          <w:rFonts w:ascii="Arial" w:cs="Arial" w:eastAsia="Arial" w:hAnsi="Arial"/>
          <w:sz w:val="18"/>
          <w:szCs w:val="18"/>
          <w:b w:val="1"/>
          <w:bCs w:val="1"/>
          <w:color w:val="auto"/>
        </w:rPr>
        <w:t>RULE 13a-14(b) OR 15d-14(b) AND</w:t>
      </w:r>
    </w:p>
    <w:p>
      <w:pPr>
        <w:jc w:val="center"/>
        <w:ind w:right="-19"/>
        <w:spacing w:after="0" w:line="202" w:lineRule="auto"/>
        <w:rPr>
          <w:sz w:val="20"/>
          <w:szCs w:val="20"/>
          <w:color w:val="auto"/>
        </w:rPr>
      </w:pPr>
      <w:r>
        <w:rPr>
          <w:rFonts w:ascii="Arial" w:cs="Arial" w:eastAsia="Arial" w:hAnsi="Arial"/>
          <w:sz w:val="18"/>
          <w:szCs w:val="18"/>
          <w:b w:val="1"/>
          <w:bCs w:val="1"/>
          <w:color w:val="auto"/>
        </w:rPr>
        <w:t>18 U.S.C. SECTION 1350,</w:t>
      </w:r>
    </w:p>
    <w:p>
      <w:pPr>
        <w:jc w:val="center"/>
        <w:ind w:right="-19"/>
        <w:spacing w:after="0" w:line="203" w:lineRule="auto"/>
        <w:rPr>
          <w:sz w:val="20"/>
          <w:szCs w:val="20"/>
          <w:color w:val="auto"/>
        </w:rPr>
      </w:pPr>
      <w:r>
        <w:rPr>
          <w:rFonts w:ascii="Arial" w:cs="Arial" w:eastAsia="Arial" w:hAnsi="Arial"/>
          <w:sz w:val="18"/>
          <w:szCs w:val="18"/>
          <w:b w:val="1"/>
          <w:bCs w:val="1"/>
          <w:color w:val="auto"/>
        </w:rPr>
        <w:t>AS ADOPTED PURSUANT TO</w:t>
      </w: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In connection with the Quarterly Report of ABM Industries Incorporated (the “Company”) for the quarter ended January 31, 2024, as filed with the Securities and Exchange Commission on the date hereof (the “Report”), Scott Salmirs, Chief Executive Officer of the Company, and Earl R. Ellis, Chief Financial Officer of the Company, each certifies for the purpose of complying with Rule 13a-14(b) or Rule 15d-14(b) of the</w:t>
      </w:r>
    </w:p>
    <w:p>
      <w:pPr>
        <w:spacing w:after="0" w:line="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Securities Exchange Act of 1934, as amended (the “Exchange Act”), and Section 1350 of Chapter 63 of Title 18 of the United States Code, that:</w:t>
      </w:r>
    </w:p>
    <w:p>
      <w:pPr>
        <w:spacing w:after="0" w:line="99" w:lineRule="exact"/>
        <w:rPr>
          <w:sz w:val="20"/>
          <w:szCs w:val="20"/>
          <w:color w:val="auto"/>
        </w:rPr>
      </w:pPr>
    </w:p>
    <w:p>
      <w:pPr>
        <w:ind w:left="1060" w:hanging="408"/>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42" w:lineRule="exact"/>
        <w:rPr>
          <w:rFonts w:ascii="Arial" w:cs="Arial" w:eastAsia="Arial" w:hAnsi="Arial"/>
          <w:sz w:val="18"/>
          <w:szCs w:val="18"/>
          <w:color w:val="auto"/>
        </w:rPr>
      </w:pPr>
    </w:p>
    <w:p>
      <w:pPr>
        <w:ind w:left="1300" w:right="20" w:hanging="648"/>
        <w:spacing w:after="0" w:line="239" w:lineRule="auto"/>
        <w:tabs>
          <w:tab w:leader="none" w:pos="10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June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1183640</wp:posOffset>
            </wp:positionH>
            <wp:positionV relativeFrom="paragraph">
              <wp:posOffset>-7620</wp:posOffset>
            </wp:positionV>
            <wp:extent cx="7581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58190" cy="8255"/>
                    </a:xfrm>
                    <a:prstGeom prst="rect">
                      <a:avLst/>
                    </a:prstGeom>
                    <a:noFill/>
                  </pic:spPr>
                </pic:pic>
              </a:graphicData>
            </a:graphic>
          </wp:anchor>
        </w:drawing>
      </w:r>
    </w:p>
    <w:p>
      <w:pPr>
        <w:ind w:left="4200"/>
        <w:spacing w:after="0" w:line="202" w:lineRule="auto"/>
        <w:rPr>
          <w:sz w:val="20"/>
          <w:szCs w:val="20"/>
          <w:color w:val="auto"/>
        </w:rPr>
      </w:pPr>
      <w:r>
        <w:rPr>
          <w:rFonts w:ascii="Arial" w:cs="Arial" w:eastAsia="Arial" w:hAnsi="Arial"/>
          <w:sz w:val="18"/>
          <w:szCs w:val="18"/>
          <w:color w:val="auto"/>
        </w:rPr>
        <w:t>Scott Salmirs</w:t>
      </w:r>
    </w:p>
    <w:p>
      <w:pPr>
        <w:ind w:left="4200"/>
        <w:spacing w:after="0" w:line="203" w:lineRule="auto"/>
        <w:rPr>
          <w:sz w:val="20"/>
          <w:szCs w:val="20"/>
          <w:color w:val="auto"/>
        </w:rPr>
      </w:pPr>
      <w:r>
        <w:rPr>
          <w:rFonts w:ascii="Arial" w:cs="Arial" w:eastAsia="Arial" w:hAnsi="Arial"/>
          <w:sz w:val="18"/>
          <w:szCs w:val="18"/>
          <w:color w:val="auto"/>
        </w:rPr>
        <w:t>Chief Executive Officer</w:t>
      </w:r>
    </w:p>
    <w:p>
      <w:pPr>
        <w:ind w:left="42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June 6, 2025</w:t>
      </w:r>
    </w:p>
    <w:p>
      <w:pPr>
        <w:ind w:left="4200"/>
        <w:spacing w:after="0" w:line="202" w:lineRule="auto"/>
        <w:rPr>
          <w:sz w:val="20"/>
          <w:szCs w:val="20"/>
          <w:color w:val="auto"/>
        </w:rPr>
      </w:pPr>
      <w:r>
        <w:rPr>
          <w:rFonts w:ascii="Arial" w:cs="Arial" w:eastAsia="Arial" w:hAnsi="Arial"/>
          <w:sz w:val="18"/>
          <w:szCs w:val="18"/>
          <w:color w:val="auto"/>
        </w:rPr>
        <w:t>Earl R.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1287780</wp:posOffset>
            </wp:positionH>
            <wp:positionV relativeFrom="paragraph">
              <wp:posOffset>-109220</wp:posOffset>
            </wp:positionV>
            <wp:extent cx="7581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58190" cy="8255"/>
                    </a:xfrm>
                    <a:prstGeom prst="rect">
                      <a:avLst/>
                    </a:prstGeom>
                    <a:noFill/>
                  </pic:spPr>
                </pic:pic>
              </a:graphicData>
            </a:graphic>
          </wp:anchor>
        </w:drawing>
      </w:r>
    </w:p>
    <w:p>
      <w:pPr>
        <w:ind w:left="4200"/>
        <w:spacing w:after="0" w:line="203" w:lineRule="auto"/>
        <w:rPr>
          <w:sz w:val="20"/>
          <w:szCs w:val="20"/>
          <w:color w:val="auto"/>
        </w:rPr>
      </w:pPr>
      <w:r>
        <w:rPr>
          <w:rFonts w:ascii="Arial" w:cs="Arial" w:eastAsia="Arial" w:hAnsi="Arial"/>
          <w:sz w:val="18"/>
          <w:szCs w:val="18"/>
          <w:color w:val="auto"/>
        </w:rPr>
        <w:t>Chief Financial Officer</w:t>
      </w:r>
    </w:p>
    <w:p>
      <w:pPr>
        <w:ind w:left="42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1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lvl w:ilvl="1">
      <w:lvlJc w:val="left"/>
      <w:lvlText w:val="◦"/>
      <w:numFmt w:val="bullet"/>
      <w:start w:val="1"/>
    </w:lvl>
  </w:abstractNum>
  <w:abstractNum w:abstractNumId="13">
    <w:nsid w:val="62BBD95A"/>
    <w:multiLevelType w:val="hybridMultilevel"/>
    <w:lvl w:ilvl="0">
      <w:lvlJc w:val="left"/>
      <w:lvlText w:val="•"/>
      <w:numFmt w:val="bullet"/>
      <w:start w:val="1"/>
    </w:lvl>
    <w:lvl w:ilvl="1">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79" Type="http://schemas.openxmlformats.org/officeDocument/2006/relationships/hyperlink" Target="https://www.sec.gov/Archives/edgar/data/771497/000095017025030050/abm-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2025-06-06T07:35:20Z</dcterms:created>
  <dcterms:modified xsi:type="dcterms:W3CDTF">2025-06-06T07:35:20Z</dcterms:modified>
</cp:coreProperties>
</file>