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3"/>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5"/>
              </w:rPr>
              <w:t>SECURITIES AND EXCHANGE COMMISSION</w:t>
            </w:r>
          </w:p>
        </w:tc>
        <w:tc>
          <w:tcPr>
            <w:tcW w:w="184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80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40" w:type="dxa"/>
            <w:vAlign w:val="bottom"/>
            <w:gridSpan w:val="2"/>
            <w:vMerge w:val="restart"/>
          </w:tcPr>
          <w:p>
            <w:pPr>
              <w:jc w:val="center"/>
              <w:ind w:right="1020"/>
              <w:spacing w:after="0"/>
              <w:rPr>
                <w:sz w:val="20"/>
                <w:szCs w:val="20"/>
                <w:color w:val="auto"/>
              </w:rPr>
            </w:pPr>
            <w:r>
              <w:rPr>
                <w:rFonts w:ascii="Arial" w:cs="Arial" w:eastAsia="Arial" w:hAnsi="Arial"/>
                <w:sz w:val="22"/>
                <w:szCs w:val="22"/>
                <w:color w:val="auto"/>
                <w:w w:val="89"/>
              </w:rPr>
              <w:t>Washington, D.C. 20549</w:t>
            </w:r>
          </w:p>
        </w:tc>
        <w:tc>
          <w:tcPr>
            <w:tcW w:w="1840" w:type="dxa"/>
            <w:vAlign w:val="bottom"/>
          </w:tcPr>
          <w:p>
            <w:pPr>
              <w:ind w:left="60"/>
              <w:spacing w:after="0"/>
              <w:rPr>
                <w:sz w:val="20"/>
                <w:szCs w:val="20"/>
                <w:color w:val="auto"/>
              </w:rPr>
            </w:pPr>
            <w:r>
              <w:rPr>
                <w:rFonts w:ascii="Arial" w:cs="Arial" w:eastAsia="Arial" w:hAnsi="Arial"/>
                <w:sz w:val="22"/>
                <w:szCs w:val="22"/>
                <w:color w:val="auto"/>
              </w:rPr>
              <w:t>Expires:</w:t>
            </w:r>
          </w:p>
        </w:tc>
        <w:tc>
          <w:tcPr>
            <w:tcW w:w="1800" w:type="dxa"/>
            <w:vAlign w:val="bottom"/>
          </w:tcPr>
          <w:p>
            <w:pPr>
              <w:ind w:left="12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4"/>
              </w:rPr>
              <w:t>FORM 25</w:t>
            </w:r>
          </w:p>
        </w:tc>
        <w:tc>
          <w:tcPr>
            <w:tcW w:w="184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89"/>
              </w:rPr>
              <w:t>hours per response:</w:t>
            </w:r>
          </w:p>
        </w:tc>
        <w:tc>
          <w:tcPr>
            <w:tcW w:w="180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4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398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001-08929</w:t>
        </w:r>
      </w:hyperlink>
    </w:p>
    <w:p>
      <w:pPr>
        <w:spacing w:after="0" w:line="125" w:lineRule="exact"/>
        <w:rPr>
          <w:sz w:val="24"/>
          <w:szCs w:val="24"/>
          <w:color w:val="auto"/>
        </w:rPr>
      </w:pPr>
    </w:p>
    <w:p>
      <w:pPr>
        <w:ind w:left="2720"/>
        <w:spacing w:after="0"/>
        <w:tabs>
          <w:tab w:leader="none" w:pos="368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ABM INDUSTRIES INC /DE/</w:t>
        </w:r>
      </w:hyperlink>
    </w:p>
    <w:p>
      <w:pPr>
        <w:spacing w:after="0" w:line="44" w:lineRule="exact"/>
        <w:rPr>
          <w:sz w:val="24"/>
          <w:szCs w:val="24"/>
          <w:color w:val="auto"/>
        </w:rPr>
      </w:pPr>
    </w:p>
    <w:p>
      <w:pPr>
        <w:ind w:left="2720"/>
        <w:spacing w:after="0"/>
        <w:rPr>
          <w:sz w:val="20"/>
          <w:szCs w:val="20"/>
          <w:color w:val="auto"/>
        </w:rPr>
      </w:pPr>
      <w:r>
        <w:rPr>
          <w:rFonts w:ascii="Arial" w:cs="Arial" w:eastAsia="Arial" w:hAnsi="Arial"/>
          <w:sz w:val="22"/>
          <w:szCs w:val="22"/>
          <w:color w:val="auto"/>
        </w:rPr>
        <w:t>Exchange: NEW YORK STOCK EXCHANGE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3040"/>
        <w:spacing w:after="0"/>
        <w:rPr>
          <w:sz w:val="20"/>
          <w:szCs w:val="20"/>
          <w:color w:val="auto"/>
        </w:rPr>
      </w:pPr>
      <w:r>
        <w:rPr>
          <w:rFonts w:ascii="Arial" w:cs="Arial" w:eastAsia="Arial" w:hAnsi="Arial"/>
          <w:sz w:val="22"/>
          <w:szCs w:val="22"/>
          <w:color w:val="auto"/>
        </w:rPr>
        <w:t>Address: 551 Fith Avenue, Suite 300</w:t>
      </w:r>
    </w:p>
    <w:p>
      <w:pPr>
        <w:spacing w:after="0" w:line="44" w:lineRule="exact"/>
        <w:rPr>
          <w:sz w:val="24"/>
          <w:szCs w:val="24"/>
          <w:color w:val="auto"/>
        </w:rPr>
      </w:pPr>
    </w:p>
    <w:p>
      <w:pPr>
        <w:ind w:left="3860"/>
        <w:spacing w:after="0"/>
        <w:rPr>
          <w:sz w:val="20"/>
          <w:szCs w:val="20"/>
          <w:color w:val="auto"/>
        </w:rPr>
      </w:pPr>
      <w:r>
        <w:rPr>
          <w:rFonts w:ascii="Arial" w:cs="Arial" w:eastAsia="Arial" w:hAnsi="Arial"/>
          <w:sz w:val="22"/>
          <w:szCs w:val="22"/>
          <w:color w:val="auto"/>
        </w:rPr>
        <w:t>New York NEW YORK 10176</w:t>
      </w:r>
    </w:p>
    <w:p>
      <w:pPr>
        <w:spacing w:after="0" w:line="44" w:lineRule="exact"/>
        <w:rPr>
          <w:sz w:val="24"/>
          <w:szCs w:val="24"/>
          <w:color w:val="auto"/>
        </w:rPr>
      </w:pPr>
    </w:p>
    <w:tbl>
      <w:tblPr>
        <w:tblLayout w:type="fixed"/>
        <w:tblInd w:w="2140" w:type="dxa"/>
        <w:tblCellMar>
          <w:top w:w="0" w:type="dxa"/>
          <w:left w:w="0" w:type="dxa"/>
          <w:bottom w:w="0" w:type="dxa"/>
          <w:right w:w="0" w:type="dxa"/>
        </w:tblCellMar>
      </w:tblPr>
      <w:tr>
        <w:trPr>
          <w:trHeight w:val="275"/>
        </w:trPr>
        <w:tc>
          <w:tcPr>
            <w:tcW w:w="3080" w:type="dxa"/>
            <w:vAlign w:val="bottom"/>
          </w:tcPr>
          <w:p>
            <w:pPr>
              <w:spacing w:after="0"/>
              <w:rPr>
                <w:sz w:val="20"/>
                <w:szCs w:val="20"/>
                <w:color w:val="auto"/>
              </w:rPr>
            </w:pPr>
            <w:r>
              <w:rPr>
                <w:rFonts w:ascii="Arial" w:cs="Arial" w:eastAsia="Arial" w:hAnsi="Arial"/>
                <w:sz w:val="22"/>
                <w:szCs w:val="22"/>
                <w:color w:val="auto"/>
              </w:rPr>
              <w:t>Telephone number:</w:t>
            </w:r>
          </w:p>
        </w:tc>
        <w:tc>
          <w:tcPr>
            <w:tcW w:w="2640" w:type="dxa"/>
            <w:vAlign w:val="bottom"/>
          </w:tcPr>
          <w:p>
            <w:pPr>
              <w:jc w:val="right"/>
              <w:spacing w:after="0"/>
              <w:rPr>
                <w:sz w:val="20"/>
                <w:szCs w:val="20"/>
                <w:color w:val="auto"/>
              </w:rPr>
            </w:pPr>
            <w:r>
              <w:rPr>
                <w:rFonts w:ascii="Arial" w:cs="Arial" w:eastAsia="Arial" w:hAnsi="Arial"/>
                <w:sz w:val="22"/>
                <w:szCs w:val="22"/>
                <w:color w:val="auto"/>
              </w:rPr>
              <w:t>212-297-0200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27940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70" w:lineRule="exact"/>
        <w:rPr>
          <w:sz w:val="24"/>
          <w:szCs w:val="24"/>
          <w:color w:val="auto"/>
        </w:rPr>
      </w:pPr>
    </w:p>
    <w:p>
      <w:pPr>
        <w:jc w:val="center"/>
        <w:ind w:right="20"/>
        <w:spacing w:after="0" w:line="251"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Preferred Stock Purchase Rights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15875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7"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60" w:right="1200" w:firstLine="61"/>
        <w:spacing w:after="0" w:line="287" w:lineRule="auto"/>
        <w:rPr>
          <w:rFonts w:ascii="Arial" w:cs="Arial" w:eastAsia="Arial" w:hAnsi="Arial"/>
          <w:sz w:val="20"/>
          <w:szCs w:val="20"/>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3"/>
            <w:szCs w:val="33"/>
            <w:u w:val="single" w:color="auto"/>
            <w:color w:val="0000EE"/>
            <w:vertAlign w:val="superscript"/>
          </w:rPr>
          <w:t>1</w:t>
        </w:r>
      </w:hyperlink>
    </w:p>
    <w:p>
      <w:pPr>
        <w:spacing w:after="0" w:line="1" w:lineRule="exact"/>
        <w:rPr>
          <w:sz w:val="24"/>
          <w:szCs w:val="24"/>
          <w:color w:val="auto"/>
        </w:rPr>
      </w:pPr>
    </w:p>
    <w:p>
      <w:pPr>
        <w:ind w:left="760" w:right="800" w:firstLine="61"/>
        <w:spacing w:after="0"/>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6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INC certifies that it has reasonable grounds to believe that it meets all of the requirements for filing the Form 25 and has caused this notification to be signed on its behalf by the undersigned duly authorized person.</w:t>
      </w:r>
    </w:p>
    <w:p>
      <w:pPr>
        <w:spacing w:after="0" w:line="13"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2008-06-27</w:t>
            </w:r>
          </w:p>
        </w:tc>
        <w:tc>
          <w:tcPr>
            <w:tcW w:w="920" w:type="dxa"/>
            <w:vAlign w:val="bottom"/>
          </w:tcPr>
          <w:p>
            <w:pPr>
              <w:ind w:left="640"/>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1140"/>
              <w:spacing w:after="0"/>
              <w:rPr>
                <w:sz w:val="20"/>
                <w:szCs w:val="20"/>
                <w:color w:val="auto"/>
              </w:rPr>
            </w:pPr>
            <w:r>
              <w:rPr>
                <w:rFonts w:ascii="Arial" w:cs="Arial" w:eastAsia="Arial" w:hAnsi="Arial"/>
                <w:sz w:val="22"/>
                <w:szCs w:val="22"/>
                <w:color w:val="auto"/>
              </w:rPr>
              <w:t>Paras Madho</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3"/>
              </w:rPr>
              <w:t>Director</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20" w:type="dxa"/>
            <w:vAlign w:val="bottom"/>
          </w:tcPr>
          <w:p>
            <w:pPr>
              <w:spacing w:after="0"/>
              <w:rPr>
                <w:sz w:val="24"/>
                <w:szCs w:val="24"/>
                <w:color w:val="auto"/>
              </w:rPr>
            </w:pPr>
          </w:p>
        </w:tc>
        <w:tc>
          <w:tcPr>
            <w:tcW w:w="342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40" w:right="900" w:hanging="588"/>
        <w:spacing w:after="0" w:line="251"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2"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sectPr>
      </w:pPr>
    </w:p>
    <w:bookmarkStart w:id="1" w:name="page2"/>
    <w:bookmarkEnd w:id="1"/>
    <w:p>
      <w:pPr>
        <w:spacing w:after="0" w:line="248" w:lineRule="auto"/>
        <w:rPr>
          <w:sz w:val="20"/>
          <w:szCs w:val="20"/>
          <w:color w:val="auto"/>
        </w:rPr>
      </w:pPr>
      <w:r>
        <w:rPr>
          <w:rFonts w:ascii="Arial" w:cs="Arial" w:eastAsia="Arial" w:hAnsi="Arial"/>
          <w:sz w:val="21"/>
          <w:szCs w:val="21"/>
          <w:color w:val="auto"/>
        </w:rPr>
        <w:t>The New York Stock Exchange hereby notifies the SEC of its intention to remove the entire class of the stated securities from listing and registration on the Exchange at the opening of business on July 7, 2008, pursuant to the provisions of Rule 12d2-2 (a). [ X ] 17 CFR 240.12d2-2 (a) (4) That all rights pertaining to the entire class of this security were extinguished on April 22, 2008. Pursuant to the terms of the Rights of ABM Industries Incorporated, the Rights expired and became null and void on April 22, 2008. The Exchange also notifies the Securities and Exchange Commission that as a result of the above indicated conditions this security was suspended from trading on April 22, 2008.</w:t>
      </w:r>
    </w:p>
    <w:sectPr>
      <w:pgSz w:w="11900" w:h="16838" w:orient="portrait"/>
      <w:cols w:equalWidth="0" w:num="1">
        <w:col w:w="11320"/>
      </w:cols>
      <w:pgMar w:left="24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08929" TargetMode="External"/><Relationship Id="rId10"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2019-12-11T14:26:57Z</dcterms:created>
  <dcterms:modified xsi:type="dcterms:W3CDTF">2019-12-11T14:26:57Z</dcterms:modified>
</cp:coreProperties>
</file>