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6"/>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6,042</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128,751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10,123</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center"/>
              <w:ind w:right="219"/>
              <w:spacing w:after="0"/>
              <w:rPr>
                <w:sz w:val="20"/>
                <w:szCs w:val="20"/>
                <w:color w:val="auto"/>
              </w:rPr>
            </w:pPr>
            <w:r>
              <w:rPr>
                <w:rFonts w:ascii="Arial" w:cs="Arial" w:eastAsia="Arial" w:hAnsi="Arial"/>
                <w:sz w:val="18"/>
                <w:szCs w:val="18"/>
                <w:color w:val="0000FF"/>
              </w:rPr>
              <w:t>138,871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2"/>
          </w:tcPr>
          <w:p>
            <w:pPr>
              <w:jc w:val="center"/>
              <w:ind w:left="4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performance shares previously granted on 1/14/2014, based on achievement of certain targets in the period ending 10/31/2016. These performance shares vest on 1/14/2017.</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TSR performance shares previously granted on 9/8/2014, based on TSR performance in the 3 year period ending 10/31/2016 as compared to the S&amp;P 600. These awards vest on 9/8/2017.</w:t>
      </w:r>
    </w:p>
    <w:p>
      <w:pPr>
        <w:spacing w:after="0" w:line="30"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21,151 unvested RSUs, 82,478 vested RSUs, the receipt of which has been deferred and DERs relating to the RSUs, adjusted to reflect the cumulative effect of fractional shares, 11,751 performance shares earned but not vested with respect to performance shares granted on 1/14/2014, 10,123 performance shares earned but not vested with respect to TSR performance shares granted on 9/8/2014, 1,555 performance shares earned but not vested with respect to performance shares granted on 1/15/2015, and DERs related thereto.</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2019-12-23T21:47:27Z</dcterms:created>
  <dcterms:modified xsi:type="dcterms:W3CDTF">2019-12-23T21:47:27Z</dcterms:modified>
</cp:coreProperties>
</file>