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tabs>
          <w:tab w:leader="none" w:pos="200" w:val="left"/>
        </w:tabs>
        <w:rPr>
          <w:sz w:val="20"/>
          <w:szCs w:val="20"/>
          <w:color w:val="auto"/>
        </w:rPr>
      </w:pPr>
      <w:r>
        <w:rPr>
          <w:rFonts w:ascii="Courier New" w:cs="Courier New" w:eastAsia="Courier New" w:hAnsi="Courier New"/>
          <w:sz w:val="18"/>
          <w:szCs w:val="18"/>
          <w:color w:val="auto"/>
        </w:rPr>
        <w:t>WASHINGTON, D. 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 Q</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4" w:lineRule="exact"/>
        <w:rPr>
          <w:sz w:val="24"/>
          <w:szCs w:val="24"/>
          <w:color w:val="auto"/>
        </w:rPr>
      </w:pPr>
    </w:p>
    <w:p>
      <w:pPr>
        <w:ind w:left="1060" w:hanging="525"/>
        <w:spacing w:after="0"/>
        <w:tabs>
          <w:tab w:leader="none" w:pos="10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w:t>
      </w:r>
    </w:p>
    <w:p>
      <w:pPr>
        <w:sectPr>
          <w:pgSz w:w="11900" w:h="16838" w:orient="portrait"/>
          <w:cols w:equalWidth="0" w:num="1">
            <w:col w:w="10219"/>
          </w:cols>
          <w:pgMar w:left="240" w:top="649" w:right="1440" w:bottom="1440" w:gutter="0" w:footer="0" w:header="0"/>
        </w:sectPr>
      </w:pPr>
    </w:p>
    <w:p>
      <w:pPr>
        <w:spacing w:after="0" w:line="21"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tabs>
          <w:tab w:leader="none" w:pos="1040" w:val="left"/>
        </w:tabs>
        <w:rPr>
          <w:sz w:val="20"/>
          <w:szCs w:val="20"/>
          <w:color w:val="auto"/>
        </w:rPr>
      </w:pPr>
      <w:r>
        <w:rPr>
          <w:rFonts w:ascii="Courier New" w:cs="Courier New" w:eastAsia="Courier New" w:hAnsi="Courier New"/>
          <w:sz w:val="18"/>
          <w:szCs w:val="18"/>
          <w:color w:val="auto"/>
        </w:rPr>
        <w:t>EXCHANGE</w:t>
      </w:r>
      <w:r>
        <w:rPr>
          <w:sz w:val="20"/>
          <w:szCs w:val="20"/>
          <w:color w:val="auto"/>
        </w:rPr>
        <w:tab/>
      </w:r>
      <w:r>
        <w:rPr>
          <w:rFonts w:ascii="Courier New" w:cs="Courier New" w:eastAsia="Courier New" w:hAnsi="Courier New"/>
          <w:sz w:val="16"/>
          <w:szCs w:val="16"/>
          <w:color w:val="auto"/>
        </w:rPr>
        <w:t>ACT OF 1934</w:t>
      </w:r>
    </w:p>
    <w:p>
      <w:pPr>
        <w:spacing w:after="0" w:line="200" w:lineRule="exact"/>
        <w:rPr>
          <w:sz w:val="24"/>
          <w:szCs w:val="24"/>
          <w:color w:val="auto"/>
        </w:rPr>
      </w:pPr>
    </w:p>
    <w:p>
      <w:pPr>
        <w:sectPr>
          <w:pgSz w:w="11900" w:h="16838" w:orient="portrait"/>
          <w:cols w:equalWidth="0" w:num="2">
            <w:col w:w="2440" w:space="720"/>
            <w:col w:w="7059"/>
          </w:cols>
          <w:pgMar w:left="240" w:top="649" w:right="1440" w:bottom="1440" w:gutter="0" w:footer="0" w:header="0"/>
          <w:type w:val="continuous"/>
        </w:sectPr>
      </w:pPr>
    </w:p>
    <w:p>
      <w:pPr>
        <w:spacing w:after="0" w:line="7" w:lineRule="exact"/>
        <w:rPr>
          <w:sz w:val="24"/>
          <w:szCs w:val="24"/>
          <w:color w:val="auto"/>
        </w:rPr>
      </w:pPr>
    </w:p>
    <w:p>
      <w:pPr>
        <w:ind w:left="1580"/>
        <w:spacing w:after="0"/>
        <w:rPr>
          <w:sz w:val="20"/>
          <w:szCs w:val="20"/>
          <w:color w:val="auto"/>
        </w:rPr>
      </w:pPr>
      <w:r>
        <w:rPr>
          <w:rFonts w:ascii="Courier New" w:cs="Courier New" w:eastAsia="Courier New" w:hAnsi="Courier New"/>
          <w:sz w:val="16"/>
          <w:szCs w:val="16"/>
          <w:color w:val="auto"/>
        </w:rPr>
        <w:t>For the quarterly period ended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JANUARY 31, 1997</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ectPr>
          <w:pgSz w:w="11900" w:h="16838" w:orient="portrait"/>
          <w:cols w:equalWidth="0" w:num="2">
            <w:col w:w="4740" w:space="540"/>
            <w:col w:w="4939"/>
          </w:cols>
          <w:pgMar w:left="240" w:top="649" w:right="1440" w:bottom="1440" w:gutter="0" w:footer="0" w:header="0"/>
          <w:type w:val="continuous"/>
        </w:sect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420" w:right="2099" w:firstLine="632"/>
        <w:spacing w:after="0" w:line="235" w:lineRule="auto"/>
        <w:rPr>
          <w:sz w:val="20"/>
          <w:szCs w:val="20"/>
          <w:color w:val="auto"/>
        </w:rPr>
      </w:pPr>
      <w:r>
        <w:rPr>
          <w:rFonts w:ascii="Courier New" w:cs="Courier New" w:eastAsia="Courier New" w:hAnsi="Courier New"/>
          <w:sz w:val="18"/>
          <w:szCs w:val="18"/>
          <w:color w:val="auto"/>
        </w:rPr>
        <w:t>TRANSITION REPORT PURSUANT TO SECTION 13 or 15(d) OF THE SECURITIES --- EXCHANGE ACT OF 1934</w:t>
      </w:r>
    </w:p>
    <w:p>
      <w:pPr>
        <w:sectPr>
          <w:pgSz w:w="11900" w:h="16838" w:orient="portrait"/>
          <w:cols w:equalWidth="0" w:num="1">
            <w:col w:w="10219"/>
          </w:cols>
          <w:pgMar w:left="240" w:top="649" w:right="1440" w:bottom="1440" w:gutter="0" w:footer="0" w:header="0"/>
          <w:type w:val="continuous"/>
        </w:sectPr>
      </w:pPr>
    </w:p>
    <w:p>
      <w:pPr>
        <w:spacing w:after="0" w:line="208" w:lineRule="exact"/>
        <w:rPr>
          <w:sz w:val="24"/>
          <w:szCs w:val="24"/>
          <w:color w:val="auto"/>
        </w:rPr>
      </w:pPr>
    </w:p>
    <w:p>
      <w:pPr>
        <w:ind w:left="1480"/>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 to _________</w:t>
      </w:r>
    </w:p>
    <w:p>
      <w:pPr>
        <w:spacing w:after="0" w:line="200" w:lineRule="exact"/>
        <w:rPr>
          <w:sz w:val="24"/>
          <w:szCs w:val="24"/>
          <w:color w:val="auto"/>
        </w:rPr>
      </w:pPr>
    </w:p>
    <w:p>
      <w:pPr>
        <w:sectPr>
          <w:pgSz w:w="11900" w:h="16838" w:orient="portrait"/>
          <w:cols w:equalWidth="0" w:num="2">
            <w:col w:w="4640" w:space="220"/>
            <w:col w:w="5359"/>
          </w:cols>
          <w:pgMar w:left="240" w:top="649" w:right="1440" w:bottom="1440" w:gutter="0" w:footer="0" w:header="0"/>
          <w:type w:val="continuous"/>
        </w:sectPr>
      </w:pPr>
    </w:p>
    <w:p>
      <w:pPr>
        <w:spacing w:after="0" w:line="24" w:lineRule="exact"/>
        <w:rPr>
          <w:sz w:val="24"/>
          <w:szCs w:val="24"/>
          <w:color w:val="auto"/>
        </w:rPr>
      </w:pPr>
    </w:p>
    <w:p>
      <w:pPr>
        <w:ind w:left="2540"/>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1-8929</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4860" w:space="420"/>
            <w:col w:w="4939"/>
          </w:cols>
          <w:pgMar w:left="240" w:top="649" w:right="1440" w:bottom="1440" w:gutter="0" w:footer="0" w:header="0"/>
          <w:type w:val="continuous"/>
        </w:sectPr>
      </w:pPr>
    </w:p>
    <w:p>
      <w:pPr>
        <w:spacing w:after="0" w:line="18"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ABM INDUSTRIES INCORPORATED</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tbl>
      <w:tblPr>
        <w:tblLayout w:type="fixed"/>
        <w:tblInd w:w="860" w:type="dxa"/>
        <w:tblCellMar>
          <w:top w:w="0" w:type="dxa"/>
          <w:left w:w="0" w:type="dxa"/>
          <w:bottom w:w="0" w:type="dxa"/>
          <w:right w:w="0" w:type="dxa"/>
        </w:tblCellMar>
      </w:tblPr>
      <w:tr>
        <w:trPr>
          <w:trHeight w:val="204"/>
        </w:trPr>
        <w:tc>
          <w:tcPr>
            <w:tcW w:w="310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3320" w:type="dxa"/>
            <w:vAlign w:val="bottom"/>
          </w:tcPr>
          <w:p>
            <w:pPr>
              <w:jc w:val="right"/>
              <w:spacing w:after="0"/>
              <w:rPr>
                <w:sz w:val="20"/>
                <w:szCs w:val="20"/>
                <w:color w:val="auto"/>
              </w:rPr>
            </w:pPr>
            <w:r>
              <w:rPr>
                <w:rFonts w:ascii="Courier New" w:cs="Courier New" w:eastAsia="Courier New" w:hAnsi="Courier New"/>
                <w:sz w:val="18"/>
                <w:szCs w:val="18"/>
                <w:color w:val="auto"/>
              </w:rPr>
              <w:t>94-1369354</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4" w:lineRule="exact"/>
        <w:rPr>
          <w:sz w:val="24"/>
          <w:szCs w:val="24"/>
          <w:color w:val="auto"/>
        </w:rPr>
      </w:pPr>
    </w:p>
    <w:p>
      <w:pPr>
        <w:ind w:left="540" w:right="2199"/>
        <w:spacing w:after="0" w:line="235" w:lineRule="auto"/>
        <w:rPr>
          <w:sz w:val="20"/>
          <w:szCs w:val="20"/>
          <w:color w:val="auto"/>
        </w:rPr>
      </w:pPr>
      <w:r>
        <w:rPr>
          <w:rFonts w:ascii="Courier New" w:cs="Courier New" w:eastAsia="Courier New" w:hAnsi="Courier New"/>
          <w:sz w:val="18"/>
          <w:szCs w:val="18"/>
          <w:color w:val="auto"/>
        </w:rPr>
        <w:t>(State or other jurisdiction of (IRS Employer incorporation or organization) Identification No.)</w:t>
      </w:r>
    </w:p>
    <w:p>
      <w:pPr>
        <w:spacing w:after="0" w:line="200" w:lineRule="exact"/>
        <w:rPr>
          <w:sz w:val="24"/>
          <w:szCs w:val="24"/>
          <w:color w:val="auto"/>
        </w:rPr>
      </w:pPr>
    </w:p>
    <w:p>
      <w:pPr>
        <w:spacing w:after="0" w:line="205"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50 FREMONT STREET, 26TH FLOOR, SAN FRANCISCO, CALIFORNIA 94105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ind w:left="960"/>
        <w:spacing w:after="0"/>
        <w:tabs>
          <w:tab w:leader="none" w:pos="65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649" w:right="1440" w:bottom="144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(415) 597-4500</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380" w:space="420"/>
            <w:col w:w="4419"/>
          </w:cols>
          <w:pgMar w:left="240" w:top="649"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Indicate by check mark whether the registrant (1)has filed all reports required</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 be filed by Section 13 or 15(d) of the Securities Exchange Act of 1934 during</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the preceding 12 months (or such shorter period that the registrant was required</w:t>
      </w:r>
    </w:p>
    <w:p>
      <w:pPr>
        <w:spacing w:after="0" w:line="16" w:lineRule="exact"/>
        <w:rPr>
          <w:sz w:val="24"/>
          <w:szCs w:val="24"/>
          <w:color w:val="auto"/>
        </w:rPr>
      </w:pPr>
    </w:p>
    <w:p>
      <w:pPr>
        <w:spacing w:after="0"/>
        <w:tabs>
          <w:tab w:leader="none" w:pos="2940" w:val="left"/>
        </w:tabs>
        <w:rPr>
          <w:sz w:val="20"/>
          <w:szCs w:val="20"/>
          <w:color w:val="auto"/>
        </w:rPr>
      </w:pPr>
      <w:r>
        <w:rPr>
          <w:rFonts w:ascii="Courier New" w:cs="Courier New" w:eastAsia="Courier New" w:hAnsi="Courier New"/>
          <w:sz w:val="18"/>
          <w:szCs w:val="18"/>
          <w:color w:val="auto"/>
        </w:rPr>
        <w:t>to file such reports), and</w:t>
      </w:r>
      <w:r>
        <w:rPr>
          <w:sz w:val="20"/>
          <w:szCs w:val="20"/>
          <w:color w:val="auto"/>
        </w:rPr>
        <w:tab/>
      </w:r>
      <w:r>
        <w:rPr>
          <w:rFonts w:ascii="Courier New" w:cs="Courier New" w:eastAsia="Courier New" w:hAnsi="Courier New"/>
          <w:sz w:val="16"/>
          <w:szCs w:val="16"/>
          <w:color w:val="auto"/>
        </w:rPr>
        <w:t>(2)has been subject to such filing requirements for</w:t>
      </w:r>
    </w:p>
    <w:p>
      <w:pPr>
        <w:spacing w:after="0" w:line="238" w:lineRule="auto"/>
        <w:rPr>
          <w:sz w:val="20"/>
          <w:szCs w:val="20"/>
          <w:color w:val="auto"/>
        </w:rPr>
      </w:pPr>
      <w:r>
        <w:rPr>
          <w:rFonts w:ascii="Courier New" w:cs="Courier New" w:eastAsia="Courier New" w:hAnsi="Courier New"/>
          <w:sz w:val="18"/>
          <w:szCs w:val="18"/>
          <w:color w:val="auto"/>
        </w:rPr>
        <w:t>the past 90 days.</w:t>
      </w:r>
    </w:p>
    <w:p>
      <w:pPr>
        <w:spacing w:after="0"/>
        <w:tabs>
          <w:tab w:leader="none" w:pos="520" w:val="left"/>
          <w:tab w:leader="none" w:pos="940" w:val="left"/>
        </w:tabs>
        <w:rPr>
          <w:sz w:val="20"/>
          <w:szCs w:val="20"/>
          <w:color w:val="auto"/>
        </w:rPr>
      </w:pPr>
      <w:r>
        <w:rPr>
          <w:rFonts w:ascii="Courier New" w:cs="Courier New" w:eastAsia="Courier New" w:hAnsi="Courier New"/>
          <w:sz w:val="18"/>
          <w:szCs w:val="18"/>
          <w:color w:val="auto"/>
        </w:rPr>
        <w:t>Yes</w:t>
        <w:tab/>
        <w:t>X</w:t>
      </w:r>
      <w:r>
        <w:rPr>
          <w:sz w:val="20"/>
          <w:szCs w:val="20"/>
          <w:color w:val="auto"/>
        </w:rPr>
        <w:tab/>
      </w:r>
      <w:r>
        <w:rPr>
          <w:rFonts w:ascii="Courier New" w:cs="Courier New" w:eastAsia="Courier New" w:hAnsi="Courier New"/>
          <w:sz w:val="16"/>
          <w:szCs w:val="16"/>
          <w:color w:val="auto"/>
        </w:rPr>
        <w:t>No</w:t>
      </w:r>
    </w:p>
    <w:p>
      <w:pPr>
        <w:ind w:left="1160" w:hanging="731"/>
        <w:spacing w:after="0" w:line="237" w:lineRule="auto"/>
        <w:tabs>
          <w:tab w:leader="none" w:pos="11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4939"/>
        <w:spacing w:after="0" w:line="235" w:lineRule="auto"/>
        <w:rPr>
          <w:sz w:val="20"/>
          <w:szCs w:val="20"/>
          <w:color w:val="auto"/>
        </w:rPr>
      </w:pPr>
      <w:r>
        <w:rPr>
          <w:rFonts w:ascii="Courier New" w:cs="Courier New" w:eastAsia="Courier New" w:hAnsi="Courier New"/>
          <w:sz w:val="18"/>
          <w:szCs w:val="18"/>
          <w:color w:val="auto"/>
        </w:rPr>
        <w:t>Number of shares of Common Stock outstanding as of January 31, 1997: 19,980,753</w:t>
      </w:r>
    </w:p>
    <w:p>
      <w:pPr>
        <w:sectPr>
          <w:pgSz w:w="11900" w:h="16838" w:orient="portrait"/>
          <w:cols w:equalWidth="0" w:num="1">
            <w:col w:w="10219"/>
          </w:cols>
          <w:pgMar w:left="240" w:top="649" w:right="1440" w:bottom="1440" w:gutter="0" w:footer="0" w:header="0"/>
          <w:type w:val="continuous"/>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PART 1.</w:t>
      </w:r>
      <w:r>
        <w:rPr>
          <w:sz w:val="20"/>
          <w:szCs w:val="20"/>
          <w:color w:val="auto"/>
        </w:rPr>
        <w:tab/>
      </w:r>
      <w:r>
        <w:rPr>
          <w:rFonts w:ascii="Courier New" w:cs="Courier New" w:eastAsia="Courier New" w:hAnsi="Courier New"/>
          <w:sz w:val="16"/>
          <w:szCs w:val="16"/>
          <w:color w:val="auto"/>
        </w:rPr>
        <w:t>FINANCIAL INFORMATION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ABM INDUSTRIES INCORPORATED AND SUBSIDIARIES</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CONSOLIDATED BALANCE SHEETS</w:t>
      </w:r>
    </w:p>
    <w:p>
      <w:pPr>
        <w:jc w:val="center"/>
        <w:ind w:right="1679"/>
        <w:spacing w:after="0"/>
        <w:rPr>
          <w:sz w:val="20"/>
          <w:szCs w:val="20"/>
          <w:color w:val="auto"/>
        </w:rPr>
      </w:pPr>
      <w:r>
        <w:rPr>
          <w:rFonts w:ascii="Courier New" w:cs="Courier New" w:eastAsia="Courier New" w:hAnsi="Courier New"/>
          <w:sz w:val="18"/>
          <w:szCs w:val="18"/>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160" w:type="dxa"/>
            <w:vAlign w:val="bottom"/>
          </w:tcPr>
          <w:p>
            <w:pPr>
              <w:spacing w:after="0"/>
              <w:rPr>
                <w:sz w:val="17"/>
                <w:szCs w:val="17"/>
                <w:color w:val="auto"/>
              </w:rPr>
            </w:pPr>
          </w:p>
        </w:tc>
        <w:tc>
          <w:tcPr>
            <w:tcW w:w="404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OCTOBER 31,</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JANUARY</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31,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404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1996</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1997</w:t>
            </w:r>
          </w:p>
        </w:tc>
        <w:tc>
          <w:tcPr>
            <w:tcW w:w="36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9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516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1,567</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6,361</w:t>
            </w:r>
          </w:p>
        </w:tc>
      </w:tr>
      <w:tr>
        <w:trPr>
          <w:trHeight w:val="203"/>
        </w:trPr>
        <w:tc>
          <w:tcPr>
            <w:tcW w:w="5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74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183,716</w:t>
            </w:r>
          </w:p>
        </w:tc>
        <w:tc>
          <w:tcPr>
            <w:tcW w:w="7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185,352</w:t>
            </w:r>
          </w:p>
        </w:tc>
      </w:tr>
      <w:tr>
        <w:trPr>
          <w:trHeight w:val="203"/>
        </w:trPr>
        <w:tc>
          <w:tcPr>
            <w:tcW w:w="5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Inventories</w:t>
            </w:r>
          </w:p>
        </w:tc>
        <w:tc>
          <w:tcPr>
            <w:tcW w:w="74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16,492</w:t>
            </w:r>
          </w:p>
        </w:tc>
        <w:tc>
          <w:tcPr>
            <w:tcW w:w="7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19,207</w:t>
            </w:r>
          </w:p>
        </w:tc>
      </w:tr>
      <w:tr>
        <w:trPr>
          <w:trHeight w:val="203"/>
        </w:trPr>
        <w:tc>
          <w:tcPr>
            <w:tcW w:w="5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74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11,684</w:t>
            </w:r>
          </w:p>
        </w:tc>
        <w:tc>
          <w:tcPr>
            <w:tcW w:w="7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12,429</w:t>
            </w:r>
          </w:p>
        </w:tc>
      </w:tr>
      <w:tr>
        <w:trPr>
          <w:trHeight w:val="203"/>
        </w:trPr>
        <w:tc>
          <w:tcPr>
            <w:tcW w:w="5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Prepaid expenses and other current assets</w:t>
            </w:r>
          </w:p>
        </w:tc>
        <w:tc>
          <w:tcPr>
            <w:tcW w:w="74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20,296</w:t>
            </w:r>
          </w:p>
        </w:tc>
        <w:tc>
          <w:tcPr>
            <w:tcW w:w="7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21,600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3740" w:type="dxa"/>
            <w:vAlign w:val="bottom"/>
          </w:tcPr>
          <w:p>
            <w:pPr>
              <w:spacing w:after="0"/>
              <w:rPr>
                <w:sz w:val="20"/>
                <w:szCs w:val="20"/>
                <w:color w:val="auto"/>
              </w:rPr>
            </w:pPr>
            <w:r>
              <w:rPr>
                <w:rFonts w:ascii="Courier New" w:cs="Courier New" w:eastAsia="Courier New" w:hAnsi="Courier New"/>
                <w:sz w:val="18"/>
                <w:szCs w:val="18"/>
                <w:color w:val="auto"/>
              </w:rPr>
              <w:t>Total current assets</w:t>
            </w:r>
          </w:p>
        </w:tc>
        <w:tc>
          <w:tcPr>
            <w:tcW w:w="30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233,755</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244,949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5100" w:type="dxa"/>
            <w:vAlign w:val="bottom"/>
          </w:tcPr>
          <w:p>
            <w:pPr>
              <w:spacing w:after="0"/>
              <w:rPr>
                <w:sz w:val="20"/>
                <w:szCs w:val="20"/>
                <w:color w:val="auto"/>
              </w:rPr>
            </w:pPr>
            <w:r>
              <w:rPr>
                <w:rFonts w:ascii="Courier New" w:cs="Courier New" w:eastAsia="Courier New" w:hAnsi="Courier New"/>
                <w:sz w:val="18"/>
                <w:szCs w:val="18"/>
                <w:color w:val="auto"/>
              </w:rPr>
              <w:t>INVESTMENTS AND LONG-TERM RECEIVABLES</w:t>
            </w:r>
          </w:p>
        </w:tc>
        <w:tc>
          <w:tcPr>
            <w:tcW w:w="23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15,941</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15,876</w:t>
            </w:r>
          </w:p>
        </w:tc>
      </w:tr>
      <w:tr>
        <w:trPr>
          <w:trHeight w:val="405"/>
        </w:trPr>
        <w:tc>
          <w:tcPr>
            <w:tcW w:w="510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AT COST:</w:t>
            </w:r>
          </w:p>
        </w:tc>
        <w:tc>
          <w:tcPr>
            <w:tcW w:w="2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5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Land and buildings</w:t>
            </w:r>
          </w:p>
        </w:tc>
        <w:tc>
          <w:tcPr>
            <w:tcW w:w="2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4,750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4,981</w:t>
            </w:r>
          </w:p>
        </w:tc>
      </w:tr>
      <w:tr>
        <w:trPr>
          <w:trHeight w:val="203"/>
        </w:trPr>
        <w:tc>
          <w:tcPr>
            <w:tcW w:w="5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Transportation equipment</w:t>
            </w:r>
          </w:p>
        </w:tc>
        <w:tc>
          <w:tcPr>
            <w:tcW w:w="2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9,750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10,236</w:t>
            </w:r>
          </w:p>
        </w:tc>
      </w:tr>
      <w:tr>
        <w:trPr>
          <w:trHeight w:val="203"/>
        </w:trPr>
        <w:tc>
          <w:tcPr>
            <w:tcW w:w="5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Machinery and other equipment</w:t>
            </w:r>
          </w:p>
        </w:tc>
        <w:tc>
          <w:tcPr>
            <w:tcW w:w="2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39,899</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40,437</w:t>
            </w:r>
          </w:p>
        </w:tc>
      </w:tr>
      <w:tr>
        <w:trPr>
          <w:trHeight w:val="203"/>
        </w:trPr>
        <w:tc>
          <w:tcPr>
            <w:tcW w:w="5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Leasehold improvements</w:t>
            </w:r>
          </w:p>
        </w:tc>
        <w:tc>
          <w:tcPr>
            <w:tcW w:w="2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8,202</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5420" w:type="dxa"/>
            <w:vAlign w:val="bottom"/>
          </w:tcPr>
          <w:p>
            <w:pPr>
              <w:spacing w:after="0"/>
              <w:rPr>
                <w:sz w:val="17"/>
                <w:szCs w:val="17"/>
                <w:color w:val="auto"/>
              </w:rPr>
            </w:pPr>
          </w:p>
        </w:tc>
        <w:tc>
          <w:tcPr>
            <w:tcW w:w="20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62,601</w:t>
            </w:r>
          </w:p>
        </w:tc>
        <w:tc>
          <w:tcPr>
            <w:tcW w:w="1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64,072</w:t>
            </w:r>
          </w:p>
        </w:tc>
      </w:tr>
      <w:tr>
        <w:trPr>
          <w:trHeight w:val="203"/>
        </w:trPr>
        <w:tc>
          <w:tcPr>
            <w:tcW w:w="54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accumulated depreciation and amortization</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(40,031)</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(41,445)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484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net</w:t>
            </w:r>
          </w:p>
        </w:tc>
        <w:tc>
          <w:tcPr>
            <w:tcW w:w="26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22,570</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22,627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4260" w:type="dxa"/>
            <w:vAlign w:val="bottom"/>
          </w:tcPr>
          <w:p>
            <w:pPr>
              <w:spacing w:after="0"/>
              <w:rPr>
                <w:sz w:val="20"/>
                <w:szCs w:val="20"/>
                <w:color w:val="auto"/>
              </w:rPr>
            </w:pPr>
            <w:r>
              <w:rPr>
                <w:rFonts w:ascii="Courier New" w:cs="Courier New" w:eastAsia="Courier New" w:hAnsi="Courier New"/>
                <w:sz w:val="18"/>
                <w:szCs w:val="18"/>
                <w:color w:val="auto"/>
              </w:rPr>
              <w:t>INTANGIBLE ASSETS - NET</w:t>
            </w:r>
          </w:p>
        </w:tc>
        <w:tc>
          <w:tcPr>
            <w:tcW w:w="32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76,366</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80,763</w:t>
            </w:r>
          </w:p>
        </w:tc>
      </w:tr>
      <w:tr>
        <w:trPr>
          <w:trHeight w:val="203"/>
        </w:trPr>
        <w:tc>
          <w:tcPr>
            <w:tcW w:w="42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32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22,046</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22,204</w:t>
            </w:r>
          </w:p>
        </w:tc>
      </w:tr>
      <w:tr>
        <w:trPr>
          <w:trHeight w:val="203"/>
        </w:trPr>
        <w:tc>
          <w:tcPr>
            <w:tcW w:w="42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32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9,092</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8,473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800"/>
        <w:spacing w:after="0"/>
        <w:tabs>
          <w:tab w:leader="none" w:pos="6100" w:val="left"/>
          <w:tab w:leader="none" w:pos="7880" w:val="left"/>
          <w:tab w:leader="none" w:pos="8200" w:val="left"/>
        </w:tabs>
        <w:rPr>
          <w:sz w:val="20"/>
          <w:szCs w:val="20"/>
          <w:color w:val="auto"/>
        </w:rPr>
      </w:pPr>
      <w:r>
        <w:rPr>
          <w:rFonts w:ascii="Courier New" w:cs="Courier New" w:eastAsia="Courier New" w:hAnsi="Courier New"/>
          <w:sz w:val="18"/>
          <w:szCs w:val="18"/>
          <w:color w:val="auto"/>
        </w:rPr>
        <w:t>$</w:t>
        <w:tab/>
        <w:t>379,770</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394,892</w:t>
      </w:r>
    </w:p>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7800"/>
        <w:spacing w:after="0"/>
        <w:rPr>
          <w:sz w:val="20"/>
          <w:szCs w:val="20"/>
          <w:color w:val="auto"/>
        </w:rPr>
      </w:pPr>
      <w:r>
        <w:rPr>
          <w:rFonts w:ascii="Courier New" w:cs="Courier New" w:eastAsia="Courier New" w:hAnsi="Courier New"/>
          <w:sz w:val="18"/>
          <w:szCs w:val="18"/>
          <w:color w:val="auto"/>
        </w:rPr>
        <w:t>(continued)</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ABM INDUSTRIES INCORPORATED AND SUBSIDIARIES</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CONSOLIDATED BALANCE SHEETS</w:t>
      </w:r>
    </w:p>
    <w:p>
      <w:pPr>
        <w:jc w:val="center"/>
        <w:ind w:right="1679"/>
        <w:spacing w:after="0"/>
        <w:rPr>
          <w:sz w:val="20"/>
          <w:szCs w:val="20"/>
          <w:color w:val="auto"/>
        </w:rPr>
      </w:pPr>
      <w:r>
        <w:rPr>
          <w:rFonts w:ascii="Courier New" w:cs="Courier New" w:eastAsia="Courier New" w:hAnsi="Courier New"/>
          <w:sz w:val="18"/>
          <w:szCs w:val="18"/>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47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rPr>
              <w:t>OCTOBER</w:t>
            </w:r>
          </w:p>
        </w:tc>
        <w:tc>
          <w:tcPr>
            <w:tcW w:w="84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31,</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JANUARY</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31,</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1996</w:t>
            </w:r>
          </w:p>
        </w:tc>
        <w:tc>
          <w:tcPr>
            <w:tcW w:w="8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1997</w:t>
            </w:r>
          </w:p>
        </w:tc>
        <w:tc>
          <w:tcPr>
            <w:tcW w:w="36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9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478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7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Current  portion of long-term debt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902</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933</w:t>
            </w:r>
          </w:p>
        </w:tc>
      </w:tr>
      <w:tr>
        <w:trPr>
          <w:trHeight w:val="203"/>
        </w:trPr>
        <w:tc>
          <w:tcPr>
            <w:tcW w:w="47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Bank overdraft</w:t>
            </w:r>
          </w:p>
        </w:tc>
        <w:tc>
          <w:tcPr>
            <w:tcW w:w="116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4,935</w:t>
            </w:r>
          </w:p>
        </w:tc>
        <w:tc>
          <w:tcPr>
            <w:tcW w:w="8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6,026</w:t>
            </w:r>
          </w:p>
        </w:tc>
      </w:tr>
      <w:tr>
        <w:trPr>
          <w:trHeight w:val="203"/>
        </w:trPr>
        <w:tc>
          <w:tcPr>
            <w:tcW w:w="47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Trade accounts payable</w:t>
            </w:r>
          </w:p>
        </w:tc>
        <w:tc>
          <w:tcPr>
            <w:tcW w:w="116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27,091</w:t>
            </w:r>
          </w:p>
        </w:tc>
        <w:tc>
          <w:tcPr>
            <w:tcW w:w="8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26,555</w:t>
            </w:r>
          </w:p>
        </w:tc>
      </w:tr>
      <w:tr>
        <w:trPr>
          <w:trHeight w:val="203"/>
        </w:trPr>
        <w:tc>
          <w:tcPr>
            <w:tcW w:w="47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16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1,864</w:t>
            </w:r>
          </w:p>
        </w:tc>
        <w:tc>
          <w:tcPr>
            <w:tcW w:w="8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5,921</w:t>
            </w:r>
          </w:p>
        </w:tc>
      </w:tr>
      <w:tr>
        <w:trPr>
          <w:trHeight w:val="203"/>
        </w:trPr>
        <w:tc>
          <w:tcPr>
            <w:tcW w:w="47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7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Compensation</w:t>
            </w:r>
          </w:p>
        </w:tc>
        <w:tc>
          <w:tcPr>
            <w:tcW w:w="116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27,862</w:t>
            </w:r>
          </w:p>
        </w:tc>
        <w:tc>
          <w:tcPr>
            <w:tcW w:w="8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24,443</w:t>
            </w:r>
          </w:p>
        </w:tc>
      </w:tr>
      <w:tr>
        <w:trPr>
          <w:trHeight w:val="203"/>
        </w:trPr>
        <w:tc>
          <w:tcPr>
            <w:tcW w:w="47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Taxes - other than income</w:t>
            </w:r>
          </w:p>
        </w:tc>
        <w:tc>
          <w:tcPr>
            <w:tcW w:w="116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9,952</w:t>
            </w:r>
          </w:p>
        </w:tc>
        <w:tc>
          <w:tcPr>
            <w:tcW w:w="8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12,338</w:t>
            </w:r>
          </w:p>
        </w:tc>
      </w:tr>
      <w:tr>
        <w:trPr>
          <w:trHeight w:val="203"/>
        </w:trPr>
        <w:tc>
          <w:tcPr>
            <w:tcW w:w="47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Insurance claims</w:t>
            </w:r>
          </w:p>
        </w:tc>
        <w:tc>
          <w:tcPr>
            <w:tcW w:w="116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23,256</w:t>
            </w:r>
          </w:p>
        </w:tc>
        <w:tc>
          <w:tcPr>
            <w:tcW w:w="8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23,633</w:t>
            </w:r>
          </w:p>
        </w:tc>
      </w:tr>
      <w:tr>
        <w:trPr>
          <w:trHeight w:val="203"/>
        </w:trPr>
        <w:tc>
          <w:tcPr>
            <w:tcW w:w="47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Other</w:t>
            </w:r>
          </w:p>
        </w:tc>
        <w:tc>
          <w:tcPr>
            <w:tcW w:w="116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17,936</w:t>
            </w:r>
          </w:p>
        </w:tc>
        <w:tc>
          <w:tcPr>
            <w:tcW w:w="8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21,773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94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Courier New" w:cs="Courier New" w:eastAsia="Courier New" w:hAnsi="Courier New"/>
                <w:sz w:val="18"/>
                <w:szCs w:val="18"/>
                <w:color w:val="auto"/>
              </w:rPr>
              <w:t>Total current liabilities</w:t>
            </w:r>
          </w:p>
        </w:tc>
        <w:tc>
          <w:tcPr>
            <w:tcW w:w="248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113,798</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121,622</w:t>
            </w:r>
          </w:p>
        </w:tc>
      </w:tr>
      <w:tr>
        <w:trPr>
          <w:trHeight w:val="203"/>
        </w:trPr>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Long-Term</w:t>
            </w:r>
          </w:p>
        </w:tc>
        <w:tc>
          <w:tcPr>
            <w:tcW w:w="4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Debt (less current portion)</w:t>
            </w:r>
          </w:p>
        </w:tc>
        <w:tc>
          <w:tcPr>
            <w:tcW w:w="2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33,664</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27,763</w:t>
            </w:r>
          </w:p>
        </w:tc>
      </w:tr>
      <w:tr>
        <w:trPr>
          <w:trHeight w:val="203"/>
        </w:trPr>
        <w:tc>
          <w:tcPr>
            <w:tcW w:w="49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Retirement plans</w:t>
            </w:r>
          </w:p>
        </w:tc>
        <w:tc>
          <w:tcPr>
            <w:tcW w:w="2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10,140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11,875</w:t>
            </w:r>
          </w:p>
        </w:tc>
      </w:tr>
      <w:tr>
        <w:trPr>
          <w:trHeight w:val="203"/>
        </w:trPr>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Insurance</w:t>
            </w:r>
          </w:p>
        </w:tc>
        <w:tc>
          <w:tcPr>
            <w:tcW w:w="4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claims</w:t>
            </w:r>
          </w:p>
        </w:tc>
        <w:tc>
          <w:tcPr>
            <w:tcW w:w="2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51,475</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52,149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3420" w:type="dxa"/>
            <w:vAlign w:val="bottom"/>
          </w:tcPr>
          <w:p>
            <w:pPr>
              <w:spacing w:after="0"/>
              <w:rPr>
                <w:sz w:val="20"/>
                <w:szCs w:val="20"/>
                <w:color w:val="auto"/>
              </w:rPr>
            </w:pPr>
            <w:r>
              <w:rPr>
                <w:rFonts w:ascii="Courier New" w:cs="Courier New" w:eastAsia="Courier New" w:hAnsi="Courier New"/>
                <w:sz w:val="18"/>
                <w:szCs w:val="18"/>
                <w:color w:val="auto"/>
              </w:rPr>
              <w:t>Total Liabilities</w:t>
            </w:r>
          </w:p>
        </w:tc>
        <w:tc>
          <w:tcPr>
            <w:tcW w:w="30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209,077</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213,409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5480" w:type="dxa"/>
            <w:vAlign w:val="bottom"/>
            <w:gridSpan w:val="3"/>
          </w:tcPr>
          <w:p>
            <w:pPr>
              <w:spacing w:after="0"/>
              <w:rPr>
                <w:sz w:val="20"/>
                <w:szCs w:val="20"/>
                <w:color w:val="auto"/>
              </w:rPr>
            </w:pPr>
            <w:r>
              <w:rPr>
                <w:rFonts w:ascii="Courier New" w:cs="Courier New" w:eastAsia="Courier New" w:hAnsi="Courier New"/>
                <w:sz w:val="18"/>
                <w:szCs w:val="18"/>
                <w:color w:val="auto"/>
              </w:rPr>
              <w:t>SERIES B 8% SENIOR REDEEMABLE CUMULATIVE</w:t>
            </w:r>
          </w:p>
        </w:tc>
        <w:tc>
          <w:tcPr>
            <w:tcW w:w="19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PREFERRED</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3120" w:type="dxa"/>
            <w:vAlign w:val="bottom"/>
          </w:tcPr>
          <w:p>
            <w:pPr>
              <w:spacing w:after="0"/>
              <w:rPr>
                <w:sz w:val="17"/>
                <w:szCs w:val="17"/>
                <w:color w:val="auto"/>
              </w:rPr>
            </w:pPr>
          </w:p>
        </w:tc>
        <w:tc>
          <w:tcPr>
            <w:tcW w:w="19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6,400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6,400</w:t>
            </w:r>
          </w:p>
        </w:tc>
      </w:tr>
      <w:tr>
        <w:trPr>
          <w:trHeight w:val="405"/>
        </w:trPr>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w w:val="95"/>
              </w:rPr>
              <w:t>STOCKHOLDERS'</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EQUITY:</w:t>
            </w:r>
          </w:p>
        </w:tc>
        <w:tc>
          <w:tcPr>
            <w:tcW w:w="3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Preferred stock, $0.01</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 value, 500,000</w:t>
            </w:r>
          </w:p>
        </w:tc>
        <w:tc>
          <w:tcPr>
            <w:tcW w:w="19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36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shares authorized;</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 issued</w:t>
            </w:r>
          </w:p>
        </w:tc>
        <w:tc>
          <w:tcPr>
            <w:tcW w:w="19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_</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w:t>
            </w: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Common stock,</w:t>
            </w:r>
          </w:p>
        </w:tc>
        <w:tc>
          <w:tcPr>
            <w:tcW w:w="40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$.01 par value, 28,000,000 shares</w:t>
            </w:r>
          </w:p>
        </w:tc>
        <w:tc>
          <w:tcPr>
            <w:tcW w:w="19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authorized;</w:t>
            </w:r>
          </w:p>
        </w:tc>
        <w:tc>
          <w:tcPr>
            <w:tcW w:w="40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19,489,000 and 19,981,000 shares</w:t>
            </w:r>
          </w:p>
        </w:tc>
        <w:tc>
          <w:tcPr>
            <w:tcW w:w="19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548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issued and outstanding at October 31, 1996</w:t>
            </w:r>
          </w:p>
        </w:tc>
        <w:tc>
          <w:tcPr>
            <w:tcW w:w="19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 January</w:t>
            </w:r>
          </w:p>
        </w:tc>
        <w:tc>
          <w:tcPr>
            <w:tcW w:w="40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31, 1997, respectively</w:t>
            </w:r>
          </w:p>
        </w:tc>
        <w:tc>
          <w:tcPr>
            <w:tcW w:w="19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195</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w:t>
            </w:r>
          </w:p>
        </w:tc>
      </w:tr>
      <w:tr>
        <w:trPr>
          <w:trHeight w:val="203"/>
        </w:trPr>
        <w:tc>
          <w:tcPr>
            <w:tcW w:w="2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Additional capital</w:t>
            </w:r>
          </w:p>
        </w:tc>
        <w:tc>
          <w:tcPr>
            <w:tcW w:w="3120" w:type="dxa"/>
            <w:vAlign w:val="bottom"/>
          </w:tcPr>
          <w:p>
            <w:pPr>
              <w:spacing w:after="0"/>
              <w:rPr>
                <w:sz w:val="17"/>
                <w:szCs w:val="17"/>
                <w:color w:val="auto"/>
              </w:rPr>
            </w:pPr>
          </w:p>
        </w:tc>
        <w:tc>
          <w:tcPr>
            <w:tcW w:w="19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48,548</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56,619</w:t>
            </w:r>
          </w:p>
        </w:tc>
      </w:tr>
      <w:tr>
        <w:trPr>
          <w:trHeight w:val="203"/>
        </w:trPr>
        <w:tc>
          <w:tcPr>
            <w:tcW w:w="2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3120" w:type="dxa"/>
            <w:vAlign w:val="bottom"/>
          </w:tcPr>
          <w:p>
            <w:pPr>
              <w:spacing w:after="0"/>
              <w:rPr>
                <w:sz w:val="17"/>
                <w:szCs w:val="17"/>
                <w:color w:val="auto"/>
              </w:rPr>
            </w:pPr>
          </w:p>
        </w:tc>
        <w:tc>
          <w:tcPr>
            <w:tcW w:w="19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115,550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118,264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60"/>
        <w:spacing w:after="0"/>
        <w:tabs>
          <w:tab w:leader="none" w:pos="6100" w:val="left"/>
          <w:tab w:leader="none" w:pos="8200" w:val="left"/>
        </w:tabs>
        <w:rPr>
          <w:sz w:val="20"/>
          <w:szCs w:val="20"/>
          <w:color w:val="auto"/>
        </w:rPr>
      </w:pPr>
      <w:r>
        <w:rPr>
          <w:rFonts w:ascii="Courier New" w:cs="Courier New" w:eastAsia="Courier New" w:hAnsi="Courier New"/>
          <w:sz w:val="18"/>
          <w:szCs w:val="18"/>
          <w:color w:val="auto"/>
        </w:rPr>
        <w:t>Total stockholders' equity</w:t>
      </w:r>
      <w:r>
        <w:rPr>
          <w:sz w:val="20"/>
          <w:szCs w:val="20"/>
          <w:color w:val="auto"/>
        </w:rPr>
        <w:tab/>
      </w:r>
      <w:r>
        <w:rPr>
          <w:rFonts w:ascii="Courier New" w:cs="Courier New" w:eastAsia="Courier New" w:hAnsi="Courier New"/>
          <w:sz w:val="18"/>
          <w:szCs w:val="18"/>
          <w:color w:val="auto"/>
        </w:rPr>
        <w:t>164,293</w:t>
      </w:r>
      <w:r>
        <w:rPr>
          <w:sz w:val="20"/>
          <w:szCs w:val="20"/>
          <w:color w:val="auto"/>
        </w:rPr>
        <w:tab/>
      </w:r>
      <w:r>
        <w:rPr>
          <w:rFonts w:ascii="Courier New" w:cs="Courier New" w:eastAsia="Courier New" w:hAnsi="Courier New"/>
          <w:sz w:val="16"/>
          <w:szCs w:val="16"/>
          <w:color w:val="auto"/>
        </w:rPr>
        <w:t>175,083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800"/>
        <w:spacing w:after="0"/>
        <w:tabs>
          <w:tab w:leader="none" w:pos="6100" w:val="left"/>
          <w:tab w:leader="none" w:pos="7880" w:val="left"/>
          <w:tab w:leader="none" w:pos="8200" w:val="left"/>
        </w:tabs>
        <w:rPr>
          <w:sz w:val="20"/>
          <w:szCs w:val="20"/>
          <w:color w:val="auto"/>
        </w:rPr>
      </w:pPr>
      <w:r>
        <w:rPr>
          <w:rFonts w:ascii="Courier New" w:cs="Courier New" w:eastAsia="Courier New" w:hAnsi="Courier New"/>
          <w:sz w:val="18"/>
          <w:szCs w:val="18"/>
          <w:color w:val="auto"/>
        </w:rPr>
        <w:t>$</w:t>
        <w:tab/>
        <w:t>379,770</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394,892</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3" w:name="page4"/>
    <w:bookmarkEnd w:id="3"/>
    <w:p>
      <w:pPr>
        <w:ind w:left="1900"/>
        <w:spacing w:after="0"/>
        <w:rPr>
          <w:sz w:val="20"/>
          <w:szCs w:val="20"/>
          <w:color w:val="auto"/>
        </w:rPr>
      </w:pPr>
      <w:r>
        <w:rPr>
          <w:rFonts w:ascii="Courier New" w:cs="Courier New" w:eastAsia="Courier New" w:hAnsi="Courier New"/>
          <w:sz w:val="18"/>
          <w:szCs w:val="18"/>
          <w:color w:val="auto"/>
        </w:rPr>
        <w:t>ABM INDUSTRIES INCORPORATED AND SUBSIDIARIES</w:t>
      </w:r>
    </w:p>
    <w:p>
      <w:pPr>
        <w:ind w:left="1900"/>
        <w:spacing w:after="0" w:line="238" w:lineRule="auto"/>
        <w:rPr>
          <w:sz w:val="20"/>
          <w:szCs w:val="20"/>
          <w:color w:val="auto"/>
        </w:rPr>
      </w:pPr>
      <w:r>
        <w:rPr>
          <w:rFonts w:ascii="Courier New" w:cs="Courier New" w:eastAsia="Courier New" w:hAnsi="Courier New"/>
          <w:sz w:val="18"/>
          <w:szCs w:val="18"/>
          <w:color w:val="auto"/>
        </w:rPr>
        <w:t>CONSOLIDATED STATEMENTS OF INCOME (UNAUDITED)</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THREE MONTHS ENDED</w:t>
      </w:r>
    </w:p>
    <w:p>
      <w:pPr>
        <w:ind w:left="7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JANUARY 31</w:t>
      </w:r>
    </w:p>
    <w:p>
      <w:pPr>
        <w:ind w:left="6220"/>
        <w:spacing w:after="0"/>
        <w:tabs>
          <w:tab w:leader="none" w:pos="8320" w:val="left"/>
        </w:tabs>
        <w:rPr>
          <w:sz w:val="20"/>
          <w:szCs w:val="20"/>
          <w:color w:val="auto"/>
        </w:rPr>
      </w:pPr>
      <w:r>
        <w:rPr>
          <w:rFonts w:ascii="Courier New" w:cs="Courier New" w:eastAsia="Courier New" w:hAnsi="Courier New"/>
          <w:sz w:val="18"/>
          <w:szCs w:val="18"/>
          <w:color w:val="auto"/>
        </w:rPr>
        <w:t>1996</w:t>
      </w:r>
      <w:r>
        <w:rPr>
          <w:sz w:val="20"/>
          <w:szCs w:val="20"/>
          <w:color w:val="auto"/>
        </w:rPr>
        <w:tab/>
      </w:r>
      <w:r>
        <w:rPr>
          <w:rFonts w:ascii="Courier New" w:cs="Courier New" w:eastAsia="Courier New" w:hAnsi="Courier New"/>
          <w:sz w:val="18"/>
          <w:szCs w:val="18"/>
          <w:color w:val="auto"/>
        </w:rPr>
        <w:t>1997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320" w:type="dxa"/>
            <w:vAlign w:val="bottom"/>
          </w:tcPr>
          <w:p>
            <w:pPr>
              <w:spacing w:after="0"/>
              <w:rPr>
                <w:sz w:val="20"/>
                <w:szCs w:val="20"/>
                <w:color w:val="auto"/>
              </w:rPr>
            </w:pPr>
            <w:r>
              <w:rPr>
                <w:rFonts w:ascii="Courier New" w:cs="Courier New" w:eastAsia="Courier New" w:hAnsi="Courier New"/>
                <w:sz w:val="18"/>
                <w:szCs w:val="18"/>
                <w:color w:val="auto"/>
              </w:rPr>
              <w:t>REVENUES AND</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OTHER INCOME</w:t>
            </w:r>
          </w:p>
        </w:tc>
        <w:tc>
          <w:tcPr>
            <w:tcW w:w="21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  254,401</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  291,638</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38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13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Operating</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Expenses and Cost of Goods Sold</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220,458</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252,751</w:t>
            </w:r>
          </w:p>
        </w:tc>
      </w:tr>
      <w:tr>
        <w:trPr>
          <w:trHeight w:val="203"/>
        </w:trPr>
        <w:tc>
          <w:tcPr>
            <w:tcW w:w="516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25,992</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29,645</w:t>
            </w:r>
          </w:p>
        </w:tc>
      </w:tr>
      <w:tr>
        <w:trPr>
          <w:trHeight w:val="203"/>
        </w:trPr>
        <w:tc>
          <w:tcPr>
            <w:tcW w:w="13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Interest</w:t>
            </w:r>
          </w:p>
        </w:tc>
        <w:tc>
          <w:tcPr>
            <w:tcW w:w="3840" w:type="dxa"/>
            <w:vAlign w:val="bottom"/>
          </w:tcPr>
          <w:p>
            <w:pPr>
              <w:spacing w:after="0"/>
              <w:rPr>
                <w:sz w:val="17"/>
                <w:szCs w:val="17"/>
                <w:color w:val="auto"/>
              </w:rPr>
            </w:pP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849</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3420" w:type="dxa"/>
            <w:vAlign w:val="bottom"/>
          </w:tcPr>
          <w:p>
            <w:pPr>
              <w:spacing w:after="0"/>
              <w:rPr>
                <w:sz w:val="20"/>
                <w:szCs w:val="20"/>
                <w:color w:val="auto"/>
              </w:rPr>
            </w:pPr>
            <w:r>
              <w:rPr>
                <w:rFonts w:ascii="Courier New" w:cs="Courier New" w:eastAsia="Courier New" w:hAnsi="Courier New"/>
                <w:sz w:val="18"/>
                <w:szCs w:val="18"/>
                <w:color w:val="auto"/>
              </w:rPr>
              <w:t>Total Expenses</w:t>
            </w:r>
          </w:p>
        </w:tc>
        <w:tc>
          <w:tcPr>
            <w:tcW w:w="338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247,299</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283,293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916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12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Courier New" w:cs="Courier New" w:eastAsia="Courier New" w:hAnsi="Courier New"/>
                <w:sz w:val="18"/>
                <w:szCs w:val="18"/>
                <w:color w:val="auto"/>
              </w:rPr>
              <w:t>INCOME</w:t>
            </w:r>
          </w:p>
        </w:tc>
        <w:tc>
          <w:tcPr>
            <w:tcW w:w="3520" w:type="dxa"/>
            <w:vAlign w:val="bottom"/>
          </w:tcPr>
          <w:p>
            <w:pPr>
              <w:ind w:left="60"/>
              <w:spacing w:after="0"/>
              <w:rPr>
                <w:sz w:val="20"/>
                <w:szCs w:val="20"/>
                <w:color w:val="auto"/>
              </w:rPr>
            </w:pPr>
            <w:r>
              <w:rPr>
                <w:rFonts w:ascii="Courier New" w:cs="Courier New" w:eastAsia="Courier New" w:hAnsi="Courier New"/>
                <w:sz w:val="18"/>
                <w:szCs w:val="18"/>
                <w:color w:val="auto"/>
              </w:rPr>
              <w:t>BEFORE INCOME TAXES</w:t>
            </w:r>
          </w:p>
        </w:tc>
        <w:tc>
          <w:tcPr>
            <w:tcW w:w="1800" w:type="dxa"/>
            <w:vAlign w:val="bottom"/>
          </w:tcPr>
          <w:p>
            <w:pPr>
              <w:spacing w:after="0"/>
              <w:rPr>
                <w:sz w:val="24"/>
                <w:szCs w:val="24"/>
                <w:color w:val="auto"/>
              </w:rPr>
            </w:pP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7,102</w:t>
            </w:r>
          </w:p>
        </w:tc>
        <w:tc>
          <w:tcPr>
            <w:tcW w:w="84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8,345</w:t>
            </w:r>
          </w:p>
        </w:tc>
      </w:tr>
      <w:tr>
        <w:trPr>
          <w:trHeight w:val="405"/>
        </w:trPr>
        <w:tc>
          <w:tcPr>
            <w:tcW w:w="12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Courier New" w:cs="Courier New" w:eastAsia="Courier New" w:hAnsi="Courier New"/>
                <w:sz w:val="18"/>
                <w:szCs w:val="18"/>
                <w:color w:val="auto"/>
              </w:rPr>
              <w:t>INCOME</w:t>
            </w:r>
          </w:p>
        </w:tc>
        <w:tc>
          <w:tcPr>
            <w:tcW w:w="3520" w:type="dxa"/>
            <w:vAlign w:val="bottom"/>
          </w:tcPr>
          <w:p>
            <w:pPr>
              <w:ind w:left="60"/>
              <w:spacing w:after="0"/>
              <w:rPr>
                <w:sz w:val="20"/>
                <w:szCs w:val="20"/>
                <w:color w:val="auto"/>
              </w:rPr>
            </w:pPr>
            <w:r>
              <w:rPr>
                <w:rFonts w:ascii="Courier New" w:cs="Courier New" w:eastAsia="Courier New" w:hAnsi="Courier New"/>
                <w:sz w:val="18"/>
                <w:szCs w:val="18"/>
                <w:color w:val="auto"/>
              </w:rPr>
              <w:t>TAXES</w:t>
            </w:r>
          </w:p>
        </w:tc>
        <w:tc>
          <w:tcPr>
            <w:tcW w:w="1800" w:type="dxa"/>
            <w:vAlign w:val="bottom"/>
          </w:tcPr>
          <w:p>
            <w:pPr>
              <w:spacing w:after="0"/>
              <w:rPr>
                <w:sz w:val="24"/>
                <w:szCs w:val="24"/>
                <w:color w:val="auto"/>
              </w:rPr>
            </w:pP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3,054</w:t>
            </w:r>
          </w:p>
        </w:tc>
        <w:tc>
          <w:tcPr>
            <w:tcW w:w="84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3,505</w:t>
            </w:r>
          </w:p>
        </w:tc>
      </w:tr>
      <w:tr>
        <w:trPr>
          <w:trHeight w:val="203"/>
        </w:trPr>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916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20" w:type="dxa"/>
            <w:vAlign w:val="bottom"/>
          </w:tcPr>
          <w:p>
            <w:pPr>
              <w:spacing w:after="0"/>
              <w:rPr>
                <w:sz w:val="17"/>
                <w:szCs w:val="17"/>
                <w:color w:val="auto"/>
              </w:rPr>
            </w:pPr>
          </w:p>
        </w:tc>
        <w:tc>
          <w:tcPr>
            <w:tcW w:w="4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4,048</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4,840</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5260" w:type="dxa"/>
            <w:vAlign w:val="bottom"/>
          </w:tcPr>
          <w:p>
            <w:pPr>
              <w:spacing w:after="0"/>
              <w:rPr>
                <w:sz w:val="20"/>
                <w:szCs w:val="20"/>
                <w:color w:val="auto"/>
              </w:rPr>
            </w:pPr>
            <w:r>
              <w:rPr>
                <w:rFonts w:ascii="Courier New" w:cs="Courier New" w:eastAsia="Courier New" w:hAnsi="Courier New"/>
                <w:sz w:val="18"/>
                <w:szCs w:val="18"/>
                <w:color w:val="auto"/>
              </w:rPr>
              <w:t>EARNINGS PER COMMON SHARE</w:t>
            </w: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0.20</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0.22</w:t>
            </w:r>
          </w:p>
        </w:tc>
      </w:tr>
      <w:tr>
        <w:trPr>
          <w:trHeight w:val="405"/>
        </w:trPr>
        <w:tc>
          <w:tcPr>
            <w:tcW w:w="5260" w:type="dxa"/>
            <w:vAlign w:val="bottom"/>
          </w:tcPr>
          <w:p>
            <w:pPr>
              <w:spacing w:after="0"/>
              <w:rPr>
                <w:sz w:val="20"/>
                <w:szCs w:val="20"/>
                <w:color w:val="auto"/>
              </w:rPr>
            </w:pPr>
            <w:r>
              <w:rPr>
                <w:rFonts w:ascii="Courier New" w:cs="Courier New" w:eastAsia="Courier New" w:hAnsi="Courier New"/>
                <w:sz w:val="18"/>
                <w:szCs w:val="18"/>
                <w:color w:val="auto"/>
              </w:rPr>
              <w:t>DIVIDENDS PER COMMON SHARE</w:t>
            </w: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0.0875</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0.10</w:t>
            </w:r>
          </w:p>
        </w:tc>
      </w:tr>
      <w:tr>
        <w:trPr>
          <w:trHeight w:val="405"/>
        </w:trPr>
        <w:tc>
          <w:tcPr>
            <w:tcW w:w="5260" w:type="dxa"/>
            <w:vAlign w:val="bottom"/>
          </w:tcPr>
          <w:p>
            <w:pPr>
              <w:spacing w:after="0"/>
              <w:rPr>
                <w:sz w:val="20"/>
                <w:szCs w:val="20"/>
                <w:color w:val="auto"/>
              </w:rPr>
            </w:pPr>
            <w:r>
              <w:rPr>
                <w:rFonts w:ascii="Courier New" w:cs="Courier New" w:eastAsia="Courier New" w:hAnsi="Courier New"/>
                <w:sz w:val="18"/>
                <w:szCs w:val="18"/>
                <w:color w:val="auto"/>
              </w:rPr>
              <w:t>AVERAGE NUMBER OF COMMON AND COMMON EQUIVALENT</w:t>
            </w: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5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68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19,796</w:t>
            </w:r>
          </w:p>
        </w:tc>
        <w:tc>
          <w:tcPr>
            <w:tcW w:w="8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21,416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Per share amounts have been restated to retroactively reflect the two-for-one common stock split on July 15, 1996</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4" w:name="page5"/>
    <w:bookmarkEnd w:id="4"/>
    <w:p>
      <w:pPr>
        <w:jc w:val="center"/>
        <w:ind w:right="1779"/>
        <w:spacing w:after="0" w:line="237" w:lineRule="auto"/>
        <w:rPr>
          <w:sz w:val="20"/>
          <w:szCs w:val="20"/>
          <w:color w:val="auto"/>
        </w:rPr>
      </w:pPr>
      <w:r>
        <w:rPr>
          <w:rFonts w:ascii="Courier New" w:cs="Courier New" w:eastAsia="Courier New" w:hAnsi="Courier New"/>
          <w:sz w:val="18"/>
          <w:szCs w:val="18"/>
          <w:color w:val="auto"/>
        </w:rPr>
        <w:t>ABM INDUSTRIES INCORPORATED AND SUBSIDIARIES CONSOLIDATED STATEMENTS OF CASH FLOWS (UNAUDITED) FOR THE THREE MONTHS ENDED JANUARY 31, 1996 AND 1997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5700" w:type="dxa"/>
        <w:tblCellMar>
          <w:top w:w="0" w:type="dxa"/>
          <w:left w:w="0" w:type="dxa"/>
          <w:bottom w:w="0" w:type="dxa"/>
          <w:right w:w="0" w:type="dxa"/>
        </w:tblCellMar>
      </w:tblPr>
      <w:tr>
        <w:trPr>
          <w:trHeight w:val="204"/>
        </w:trPr>
        <w:tc>
          <w:tcPr>
            <w:tcW w:w="780" w:type="dxa"/>
            <w:vAlign w:val="bottom"/>
          </w:tcPr>
          <w:p>
            <w:pPr>
              <w:jc w:val="right"/>
              <w:spacing w:after="0"/>
              <w:rPr>
                <w:sz w:val="20"/>
                <w:szCs w:val="20"/>
                <w:color w:val="auto"/>
              </w:rPr>
            </w:pPr>
            <w:r>
              <w:rPr>
                <w:rFonts w:ascii="Courier New" w:cs="Courier New" w:eastAsia="Courier New" w:hAnsi="Courier New"/>
                <w:sz w:val="18"/>
                <w:szCs w:val="18"/>
                <w:color w:val="auto"/>
                <w:w w:val="95"/>
              </w:rPr>
              <w:t>JANUARY</w:t>
            </w:r>
          </w:p>
        </w:tc>
        <w:tc>
          <w:tcPr>
            <w:tcW w:w="84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31,</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JANUARY</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31,</w:t>
            </w:r>
          </w:p>
        </w:tc>
      </w:tr>
      <w:tr>
        <w:trPr>
          <w:trHeight w:val="203"/>
        </w:trPr>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1996</w:t>
            </w:r>
          </w:p>
        </w:tc>
        <w:tc>
          <w:tcPr>
            <w:tcW w:w="8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1997</w:t>
            </w:r>
          </w:p>
        </w:tc>
        <w:tc>
          <w:tcPr>
            <w:tcW w:w="36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680" w:type="dxa"/>
            <w:vAlign w:val="bottom"/>
          </w:tcPr>
          <w:p>
            <w:pPr>
              <w:spacing w:after="0"/>
              <w:rPr>
                <w:sz w:val="20"/>
                <w:szCs w:val="20"/>
                <w:color w:val="auto"/>
              </w:rPr>
            </w:pPr>
            <w:r>
              <w:rPr>
                <w:rFonts w:ascii="Courier New" w:cs="Courier New" w:eastAsia="Courier New" w:hAnsi="Courier New"/>
                <w:sz w:val="18"/>
                <w:szCs w:val="18"/>
                <w:color w:val="auto"/>
              </w:rPr>
              <w:t>CASH FLOWS FROM</w:t>
            </w:r>
          </w:p>
        </w:tc>
        <w:tc>
          <w:tcPr>
            <w:tcW w:w="3220" w:type="dxa"/>
            <w:vAlign w:val="bottom"/>
          </w:tcPr>
          <w:p>
            <w:pPr>
              <w:spacing w:after="0"/>
              <w:rPr>
                <w:sz w:val="20"/>
                <w:szCs w:val="20"/>
                <w:color w:val="auto"/>
              </w:rPr>
            </w:pPr>
            <w:r>
              <w:rPr>
                <w:rFonts w:ascii="Courier New" w:cs="Courier New" w:eastAsia="Courier New" w:hAnsi="Courier New"/>
                <w:sz w:val="18"/>
                <w:szCs w:val="18"/>
                <w:color w:val="auto"/>
              </w:rPr>
              <w:t>OPERATING ACTIVITIES:</w:t>
            </w:r>
          </w:p>
        </w:tc>
        <w:tc>
          <w:tcPr>
            <w:tcW w:w="24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490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Cash received from customers</w:t>
            </w:r>
          </w:p>
        </w:tc>
        <w:tc>
          <w:tcPr>
            <w:tcW w:w="2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249,679</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293,224</w:t>
            </w:r>
          </w:p>
        </w:tc>
      </w:tr>
      <w:tr>
        <w:trPr>
          <w:trHeight w:val="203"/>
        </w:trPr>
        <w:tc>
          <w:tcPr>
            <w:tcW w:w="490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Other operating cash receipts</w:t>
            </w:r>
          </w:p>
        </w:tc>
        <w:tc>
          <w:tcPr>
            <w:tcW w:w="2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573</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743</w:t>
            </w:r>
          </w:p>
        </w:tc>
      </w:tr>
      <w:tr>
        <w:trPr>
          <w:trHeight w:val="203"/>
        </w:trPr>
        <w:tc>
          <w:tcPr>
            <w:tcW w:w="490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Interest received</w:t>
            </w:r>
          </w:p>
        </w:tc>
        <w:tc>
          <w:tcPr>
            <w:tcW w:w="2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94</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151</w:t>
            </w:r>
          </w:p>
        </w:tc>
      </w:tr>
      <w:tr>
        <w:trPr>
          <w:trHeight w:val="203"/>
        </w:trPr>
        <w:tc>
          <w:tcPr>
            <w:tcW w:w="16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Cash paid to</w:t>
            </w:r>
          </w:p>
        </w:tc>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suppliers and employees</w:t>
            </w:r>
          </w:p>
        </w:tc>
        <w:tc>
          <w:tcPr>
            <w:tcW w:w="2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(247,036)</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(277,882)</w:t>
            </w:r>
          </w:p>
        </w:tc>
      </w:tr>
      <w:tr>
        <w:trPr>
          <w:trHeight w:val="203"/>
        </w:trPr>
        <w:tc>
          <w:tcPr>
            <w:tcW w:w="16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6"/>
              </w:rPr>
              <w:t>Interest paid</w:t>
            </w:r>
          </w:p>
        </w:tc>
        <w:tc>
          <w:tcPr>
            <w:tcW w:w="3220" w:type="dxa"/>
            <w:vAlign w:val="bottom"/>
          </w:tcPr>
          <w:p>
            <w:pPr>
              <w:spacing w:after="0"/>
              <w:rPr>
                <w:sz w:val="17"/>
                <w:szCs w:val="17"/>
                <w:color w:val="auto"/>
              </w:rPr>
            </w:pPr>
          </w:p>
        </w:tc>
        <w:tc>
          <w:tcPr>
            <w:tcW w:w="2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(1,034)</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(799)</w:t>
            </w:r>
          </w:p>
        </w:tc>
      </w:tr>
      <w:tr>
        <w:trPr>
          <w:trHeight w:val="203"/>
        </w:trPr>
        <w:tc>
          <w:tcPr>
            <w:tcW w:w="16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Income taxes</w:t>
            </w:r>
          </w:p>
        </w:tc>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paid</w:t>
            </w:r>
          </w:p>
        </w:tc>
        <w:tc>
          <w:tcPr>
            <w:tcW w:w="2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(820)</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5120" w:type="dxa"/>
            <w:vAlign w:val="bottom"/>
          </w:tcPr>
          <w:p>
            <w:pPr>
              <w:spacing w:after="0"/>
              <w:rPr>
                <w:sz w:val="20"/>
                <w:szCs w:val="20"/>
                <w:color w:val="auto"/>
              </w:rPr>
            </w:pPr>
            <w:r>
              <w:rPr>
                <w:rFonts w:ascii="Courier New" w:cs="Courier New" w:eastAsia="Courier New" w:hAnsi="Courier New"/>
                <w:sz w:val="18"/>
                <w:szCs w:val="18"/>
                <w:color w:val="auto"/>
              </w:rPr>
              <w:t>Net cash provided by operating activities</w:t>
            </w:r>
          </w:p>
        </w:tc>
        <w:tc>
          <w:tcPr>
            <w:tcW w:w="20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1,456</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15,086</w:t>
            </w:r>
          </w:p>
        </w:tc>
      </w:tr>
    </w:tbl>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CASH FLOWS FROM INVESTING ACTIVITIES:</w:t>
      </w:r>
    </w:p>
    <w:tbl>
      <w:tblPr>
        <w:tblLayout w:type="fixed"/>
        <w:tblInd w:w="320" w:type="dxa"/>
        <w:tblCellMar>
          <w:top w:w="0" w:type="dxa"/>
          <w:left w:w="0" w:type="dxa"/>
          <w:bottom w:w="0" w:type="dxa"/>
          <w:right w:w="0" w:type="dxa"/>
        </w:tblCellMar>
      </w:tblPr>
      <w:tr>
        <w:trPr>
          <w:trHeight w:val="203"/>
        </w:trPr>
        <w:tc>
          <w:tcPr>
            <w:tcW w:w="1120" w:type="dxa"/>
            <w:vAlign w:val="bottom"/>
          </w:tcPr>
          <w:p>
            <w:pPr>
              <w:ind w:left="100"/>
              <w:spacing w:after="0"/>
              <w:rPr>
                <w:sz w:val="20"/>
                <w:szCs w:val="20"/>
                <w:color w:val="auto"/>
              </w:rPr>
            </w:pPr>
            <w:r>
              <w:rPr>
                <w:rFonts w:ascii="Courier New" w:cs="Courier New" w:eastAsia="Courier New" w:hAnsi="Courier New"/>
                <w:sz w:val="18"/>
                <w:szCs w:val="18"/>
                <w:color w:val="auto"/>
              </w:rPr>
              <w:t>Additions</w:t>
            </w:r>
          </w:p>
        </w:tc>
        <w:tc>
          <w:tcPr>
            <w:tcW w:w="41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property, plant and equipment</w:t>
            </w:r>
          </w:p>
        </w:tc>
        <w:tc>
          <w:tcPr>
            <w:tcW w:w="21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(3,216)</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(1,976)</w:t>
            </w:r>
          </w:p>
        </w:tc>
      </w:tr>
      <w:tr>
        <w:trPr>
          <w:trHeight w:val="203"/>
        </w:trPr>
        <w:tc>
          <w:tcPr>
            <w:tcW w:w="2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Proceeds from sale of</w:t>
            </w:r>
          </w:p>
        </w:tc>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21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221</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144</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w:t>
            </w:r>
          </w:p>
        </w:tc>
        <w:tc>
          <w:tcPr>
            <w:tcW w:w="1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decrease in</w:t>
            </w:r>
          </w:p>
        </w:tc>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and</w:t>
            </w:r>
          </w:p>
        </w:tc>
        <w:tc>
          <w:tcPr>
            <w:tcW w:w="2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4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6"/>
              </w:rPr>
              <w:t>long-term receivable</w:t>
            </w:r>
          </w:p>
        </w:tc>
        <w:tc>
          <w:tcPr>
            <w:tcW w:w="2800" w:type="dxa"/>
            <w:vAlign w:val="bottom"/>
          </w:tcPr>
          <w:p>
            <w:pPr>
              <w:spacing w:after="0"/>
              <w:rPr>
                <w:sz w:val="17"/>
                <w:szCs w:val="17"/>
                <w:color w:val="auto"/>
              </w:rPr>
            </w:pPr>
          </w:p>
        </w:tc>
        <w:tc>
          <w:tcPr>
            <w:tcW w:w="21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(4,852)</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w:t>
            </w:r>
          </w:p>
        </w:tc>
      </w:tr>
      <w:tr>
        <w:trPr>
          <w:trHeight w:val="203"/>
        </w:trPr>
        <w:tc>
          <w:tcPr>
            <w:tcW w:w="522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Intangible assets acquired</w:t>
            </w:r>
          </w:p>
        </w:tc>
        <w:tc>
          <w:tcPr>
            <w:tcW w:w="21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(926)</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4860" w:type="dxa"/>
            <w:vAlign w:val="bottom"/>
          </w:tcPr>
          <w:p>
            <w:pPr>
              <w:spacing w:after="0"/>
              <w:rPr>
                <w:sz w:val="20"/>
                <w:szCs w:val="20"/>
                <w:color w:val="auto"/>
              </w:rPr>
            </w:pPr>
            <w:r>
              <w:rPr>
                <w:rFonts w:ascii="Courier New" w:cs="Courier New" w:eastAsia="Courier New" w:hAnsi="Courier New"/>
                <w:sz w:val="18"/>
                <w:szCs w:val="18"/>
                <w:color w:val="auto"/>
              </w:rPr>
              <w:t>Net cash used in investing activities</w:t>
            </w:r>
          </w:p>
        </w:tc>
        <w:tc>
          <w:tcPr>
            <w:tcW w:w="23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(8,773)</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(2,558)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510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23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5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Common stock issued</w:t>
            </w:r>
          </w:p>
        </w:tc>
        <w:tc>
          <w:tcPr>
            <w:tcW w:w="2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1,478</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1,976</w:t>
            </w:r>
          </w:p>
        </w:tc>
      </w:tr>
      <w:tr>
        <w:trPr>
          <w:trHeight w:val="203"/>
        </w:trPr>
        <w:tc>
          <w:tcPr>
            <w:tcW w:w="5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Dividends paid</w:t>
            </w:r>
          </w:p>
        </w:tc>
        <w:tc>
          <w:tcPr>
            <w:tcW w:w="2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(1,776)</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(2,126)</w:t>
            </w:r>
          </w:p>
        </w:tc>
      </w:tr>
      <w:tr>
        <w:trPr>
          <w:trHeight w:val="203"/>
        </w:trPr>
        <w:tc>
          <w:tcPr>
            <w:tcW w:w="5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(Decrease) increase in cash overdraft</w:t>
            </w:r>
          </w:p>
        </w:tc>
        <w:tc>
          <w:tcPr>
            <w:tcW w:w="2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(434)</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1,086</w:t>
            </w:r>
          </w:p>
        </w:tc>
      </w:tr>
      <w:tr>
        <w:trPr>
          <w:trHeight w:val="203"/>
        </w:trPr>
        <w:tc>
          <w:tcPr>
            <w:tcW w:w="5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Increase in notes payable</w:t>
            </w:r>
          </w:p>
        </w:tc>
        <w:tc>
          <w:tcPr>
            <w:tcW w:w="2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5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Long-term borrowings</w:t>
            </w:r>
          </w:p>
        </w:tc>
        <w:tc>
          <w:tcPr>
            <w:tcW w:w="2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32,000</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14,112</w:t>
            </w:r>
          </w:p>
        </w:tc>
      </w:tr>
      <w:tr>
        <w:trPr>
          <w:trHeight w:val="203"/>
        </w:trPr>
        <w:tc>
          <w:tcPr>
            <w:tcW w:w="5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Repayments of long-term borrowings</w:t>
            </w:r>
          </w:p>
        </w:tc>
        <w:tc>
          <w:tcPr>
            <w:tcW w:w="2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(24,013)</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(22,813)</w:t>
            </w:r>
          </w:p>
        </w:tc>
      </w:tr>
    </w:tbl>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Net cash provided by (used in) financing</w:t>
      </w:r>
    </w:p>
    <w:tbl>
      <w:tblPr>
        <w:tblLayout w:type="fixed"/>
        <w:tblInd w:w="640" w:type="dxa"/>
        <w:tblCellMar>
          <w:top w:w="0" w:type="dxa"/>
          <w:left w:w="0" w:type="dxa"/>
          <w:bottom w:w="0" w:type="dxa"/>
          <w:right w:w="0" w:type="dxa"/>
        </w:tblCellMar>
      </w:tblPr>
      <w:tr>
        <w:trPr>
          <w:trHeight w:val="203"/>
        </w:trPr>
        <w:tc>
          <w:tcPr>
            <w:tcW w:w="3380" w:type="dxa"/>
            <w:vAlign w:val="bottom"/>
          </w:tcPr>
          <w:p>
            <w:pPr>
              <w:spacing w:after="0"/>
              <w:rPr>
                <w:sz w:val="20"/>
                <w:szCs w:val="20"/>
                <w:color w:val="auto"/>
              </w:rPr>
            </w:pPr>
            <w:r>
              <w:rPr>
                <w:rFonts w:ascii="Courier New" w:cs="Courier New" w:eastAsia="Courier New" w:hAnsi="Courier New"/>
                <w:sz w:val="18"/>
                <w:szCs w:val="18"/>
                <w:color w:val="auto"/>
              </w:rPr>
              <w:t>activities</w:t>
            </w:r>
          </w:p>
        </w:tc>
        <w:tc>
          <w:tcPr>
            <w:tcW w:w="35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7,255</w:t>
            </w: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rPr>
              <w:t>(7,734)</w:t>
            </w:r>
          </w:p>
        </w:tc>
      </w:tr>
    </w:tbl>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NET (DECREASE)INCREASE IN CASH AND CASH</w:t>
      </w:r>
    </w:p>
    <w:tbl>
      <w:tblPr>
        <w:tblLayout w:type="fixed"/>
        <w:tblInd w:w="120" w:type="dxa"/>
        <w:tblCellMar>
          <w:top w:w="0" w:type="dxa"/>
          <w:left w:w="0" w:type="dxa"/>
          <w:bottom w:w="0" w:type="dxa"/>
          <w:right w:w="0" w:type="dxa"/>
        </w:tblCellMar>
      </w:tblPr>
      <w:tr>
        <w:trPr>
          <w:trHeight w:val="203"/>
        </w:trPr>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EQUIVALENTS</w:t>
            </w:r>
          </w:p>
        </w:tc>
        <w:tc>
          <w:tcPr>
            <w:tcW w:w="4060" w:type="dxa"/>
            <w:vAlign w:val="bottom"/>
          </w:tcPr>
          <w:p>
            <w:pPr>
              <w:spacing w:after="0"/>
              <w:rPr>
                <w:sz w:val="17"/>
                <w:szCs w:val="17"/>
                <w:color w:val="auto"/>
              </w:rPr>
            </w:pPr>
          </w:p>
        </w:tc>
        <w:tc>
          <w:tcPr>
            <w:tcW w:w="21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(62)</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4,794</w:t>
            </w: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CASH AND CASH</w:t>
            </w:r>
          </w:p>
        </w:tc>
        <w:tc>
          <w:tcPr>
            <w:tcW w:w="4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EQUIVALENTS BEGINNING OF PERIOD</w:t>
            </w:r>
          </w:p>
        </w:tc>
        <w:tc>
          <w:tcPr>
            <w:tcW w:w="21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1,840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tabs>
          <w:tab w:leader="none" w:pos="5780" w:val="left"/>
          <w:tab w:leader="none" w:pos="6300" w:val="left"/>
          <w:tab w:leader="none" w:pos="7880" w:val="left"/>
          <w:tab w:leader="none" w:pos="8420" w:val="left"/>
        </w:tabs>
        <w:rPr>
          <w:sz w:val="20"/>
          <w:szCs w:val="20"/>
          <w:color w:val="auto"/>
        </w:rPr>
      </w:pPr>
      <w:r>
        <w:rPr>
          <w:rFonts w:ascii="Courier New" w:cs="Courier New" w:eastAsia="Courier New" w:hAnsi="Courier New"/>
          <w:sz w:val="18"/>
          <w:szCs w:val="18"/>
          <w:color w:val="auto"/>
        </w:rPr>
        <w:t>CASH AND CASH EQUIVALENTS END OF PERIOD</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1,778</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6,361</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5" w:name="page6"/>
    <w:bookmarkEnd w:id="5"/>
    <w:p>
      <w:pPr>
        <w:jc w:val="center"/>
        <w:ind w:right="1779"/>
        <w:spacing w:after="0" w:line="237" w:lineRule="auto"/>
        <w:rPr>
          <w:sz w:val="20"/>
          <w:szCs w:val="20"/>
          <w:color w:val="auto"/>
        </w:rPr>
      </w:pPr>
      <w:r>
        <w:rPr>
          <w:rFonts w:ascii="Courier New" w:cs="Courier New" w:eastAsia="Courier New" w:hAnsi="Courier New"/>
          <w:sz w:val="18"/>
          <w:szCs w:val="18"/>
          <w:color w:val="auto"/>
        </w:rPr>
        <w:t>ABM INDUSTRIES INCORPORATED AND SUBSIDIARIES CONSOLIDATED STATEMENTS OF CASH FLOWS (UNAUDITED) FOR THE THREE MONTHS ENDED JANUARY 31, 1996 AND 1997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5700" w:type="dxa"/>
        <w:tblCellMar>
          <w:top w:w="0" w:type="dxa"/>
          <w:left w:w="0" w:type="dxa"/>
          <w:bottom w:w="0" w:type="dxa"/>
          <w:right w:w="0" w:type="dxa"/>
        </w:tblCellMar>
      </w:tblPr>
      <w:tr>
        <w:trPr>
          <w:trHeight w:val="204"/>
        </w:trPr>
        <w:tc>
          <w:tcPr>
            <w:tcW w:w="780" w:type="dxa"/>
            <w:vAlign w:val="bottom"/>
          </w:tcPr>
          <w:p>
            <w:pPr>
              <w:jc w:val="right"/>
              <w:spacing w:after="0"/>
              <w:rPr>
                <w:sz w:val="20"/>
                <w:szCs w:val="20"/>
                <w:color w:val="auto"/>
              </w:rPr>
            </w:pPr>
            <w:r>
              <w:rPr>
                <w:rFonts w:ascii="Courier New" w:cs="Courier New" w:eastAsia="Courier New" w:hAnsi="Courier New"/>
                <w:sz w:val="18"/>
                <w:szCs w:val="18"/>
                <w:color w:val="auto"/>
                <w:w w:val="95"/>
              </w:rPr>
              <w:t>JANUARY</w:t>
            </w:r>
          </w:p>
        </w:tc>
        <w:tc>
          <w:tcPr>
            <w:tcW w:w="84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31,</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JANUARY</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31,</w:t>
            </w:r>
          </w:p>
        </w:tc>
      </w:tr>
      <w:tr>
        <w:trPr>
          <w:trHeight w:val="203"/>
        </w:trPr>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1996</w:t>
            </w:r>
          </w:p>
        </w:tc>
        <w:tc>
          <w:tcPr>
            <w:tcW w:w="8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1997</w:t>
            </w:r>
          </w:p>
        </w:tc>
        <w:tc>
          <w:tcPr>
            <w:tcW w:w="36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RECONCILIATION OF NET INCOME TO NET CASH</w:t>
      </w:r>
    </w:p>
    <w:tbl>
      <w:tblPr>
        <w:tblLayout w:type="fixed"/>
        <w:tblInd w:w="120" w:type="dxa"/>
        <w:tblCellMar>
          <w:top w:w="0" w:type="dxa"/>
          <w:left w:w="0" w:type="dxa"/>
          <w:bottom w:w="0" w:type="dxa"/>
          <w:right w:w="0" w:type="dxa"/>
        </w:tblCellMar>
      </w:tblPr>
      <w:tr>
        <w:trPr>
          <w:trHeight w:val="203"/>
        </w:trPr>
        <w:tc>
          <w:tcPr>
            <w:tcW w:w="53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PROVIDED BY OPERATING ACTIVITIES:</w:t>
            </w:r>
          </w:p>
        </w:tc>
        <w:tc>
          <w:tcPr>
            <w:tcW w:w="20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405"/>
        </w:trPr>
        <w:tc>
          <w:tcPr>
            <w:tcW w:w="536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20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  4,048</w:t>
            </w:r>
          </w:p>
        </w:tc>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4,840</w:t>
            </w:r>
          </w:p>
        </w:tc>
      </w:tr>
      <w:tr>
        <w:trPr>
          <w:trHeight w:val="405"/>
        </w:trPr>
        <w:tc>
          <w:tcPr>
            <w:tcW w:w="5360" w:type="dxa"/>
            <w:vAlign w:val="bottom"/>
          </w:tcPr>
          <w:p>
            <w:pPr>
              <w:spacing w:after="0"/>
              <w:rPr>
                <w:sz w:val="20"/>
                <w:szCs w:val="20"/>
                <w:color w:val="auto"/>
              </w:rPr>
            </w:pPr>
            <w:r>
              <w:rPr>
                <w:rFonts w:ascii="Courier New" w:cs="Courier New" w:eastAsia="Courier New" w:hAnsi="Courier New"/>
                <w:sz w:val="18"/>
                <w:szCs w:val="18"/>
                <w:color w:val="auto"/>
              </w:rPr>
              <w:t>Adjustments:</w:t>
            </w:r>
          </w:p>
        </w:tc>
        <w:tc>
          <w:tcPr>
            <w:tcW w:w="20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53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0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3,092</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3,783</w:t>
            </w:r>
          </w:p>
        </w:tc>
      </w:tr>
      <w:tr>
        <w:trPr>
          <w:trHeight w:val="203"/>
        </w:trPr>
        <w:tc>
          <w:tcPr>
            <w:tcW w:w="53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Provision for bad debts</w:t>
            </w:r>
          </w:p>
        </w:tc>
        <w:tc>
          <w:tcPr>
            <w:tcW w:w="20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448</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497</w:t>
            </w:r>
          </w:p>
        </w:tc>
      </w:tr>
      <w:tr>
        <w:trPr>
          <w:trHeight w:val="203"/>
        </w:trPr>
        <w:tc>
          <w:tcPr>
            <w:tcW w:w="53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Gain on sale of assets</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(164)</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53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(959)</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(903)</w:t>
            </w:r>
          </w:p>
        </w:tc>
      </w:tr>
      <w:tr>
        <w:trPr>
          <w:trHeight w:val="203"/>
        </w:trPr>
        <w:tc>
          <w:tcPr>
            <w:tcW w:w="53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(Increase) decrease in accounts receivable</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(4,427)</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1,291</w:t>
            </w:r>
          </w:p>
        </w:tc>
      </w:tr>
      <w:tr>
        <w:trPr>
          <w:trHeight w:val="203"/>
        </w:trPr>
        <w:tc>
          <w:tcPr>
            <w:tcW w:w="53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Increase in inventories</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(98)</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(2,379)</w:t>
            </w:r>
          </w:p>
        </w:tc>
      </w:tr>
      <w:tr>
        <w:trPr>
          <w:trHeight w:val="203"/>
        </w:trPr>
        <w:tc>
          <w:tcPr>
            <w:tcW w:w="53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Increase in prepaid expenses and other</w:t>
            </w:r>
          </w:p>
        </w:tc>
        <w:tc>
          <w:tcPr>
            <w:tcW w:w="20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current assets</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(688)</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(1,223)</w:t>
            </w:r>
          </w:p>
        </w:tc>
      </w:tr>
      <w:tr>
        <w:trPr>
          <w:trHeight w:val="203"/>
        </w:trPr>
        <w:tc>
          <w:tcPr>
            <w:tcW w:w="53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(Increase) decrease in other assets</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(1,996)</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619</w:t>
            </w:r>
          </w:p>
        </w:tc>
      </w:tr>
      <w:tr>
        <w:trPr>
          <w:trHeight w:val="203"/>
        </w:trPr>
        <w:tc>
          <w:tcPr>
            <w:tcW w:w="53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Increase in income taxes payable</w:t>
            </w:r>
          </w:p>
        </w:tc>
        <w:tc>
          <w:tcPr>
            <w:tcW w:w="20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3,193</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4,057</w:t>
            </w:r>
          </w:p>
        </w:tc>
      </w:tr>
      <w:tr>
        <w:trPr>
          <w:trHeight w:val="203"/>
        </w:trPr>
        <w:tc>
          <w:tcPr>
            <w:tcW w:w="53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Increase in retirement plans accrual</w:t>
            </w:r>
          </w:p>
        </w:tc>
        <w:tc>
          <w:tcPr>
            <w:tcW w:w="20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644</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1,735</w:t>
            </w:r>
          </w:p>
        </w:tc>
      </w:tr>
      <w:tr>
        <w:trPr>
          <w:trHeight w:val="203"/>
        </w:trPr>
        <w:tc>
          <w:tcPr>
            <w:tcW w:w="53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Increase  in insurance claims liability</w:t>
            </w:r>
          </w:p>
        </w:tc>
        <w:tc>
          <w:tcPr>
            <w:tcW w:w="20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1,077</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1,051</w:t>
            </w:r>
          </w:p>
        </w:tc>
      </w:tr>
      <w:tr>
        <w:trPr>
          <w:trHeight w:val="203"/>
        </w:trPr>
        <w:tc>
          <w:tcPr>
            <w:tcW w:w="53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(Decrease) increase in accounts payable and</w:t>
            </w:r>
          </w:p>
        </w:tc>
        <w:tc>
          <w:tcPr>
            <w:tcW w:w="20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other accrued liabilities</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(2,714)</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tabs>
          <w:tab w:leader="none" w:pos="6200" w:val="left"/>
          <w:tab w:leader="none" w:pos="8320" w:val="left"/>
        </w:tabs>
        <w:rPr>
          <w:sz w:val="20"/>
          <w:szCs w:val="20"/>
          <w:color w:val="auto"/>
        </w:rPr>
      </w:pPr>
      <w:r>
        <w:rPr>
          <w:rFonts w:ascii="Courier New" w:cs="Courier New" w:eastAsia="Courier New" w:hAnsi="Courier New"/>
          <w:sz w:val="18"/>
          <w:szCs w:val="18"/>
          <w:color w:val="auto"/>
        </w:rPr>
        <w:t>Total Adjustments to net income</w:t>
      </w:r>
      <w:r>
        <w:rPr>
          <w:sz w:val="20"/>
          <w:szCs w:val="20"/>
          <w:color w:val="auto"/>
        </w:rPr>
        <w:tab/>
      </w:r>
      <w:r>
        <w:rPr>
          <w:rFonts w:ascii="Courier New" w:cs="Courier New" w:eastAsia="Courier New" w:hAnsi="Courier New"/>
          <w:sz w:val="18"/>
          <w:szCs w:val="18"/>
          <w:color w:val="auto"/>
        </w:rPr>
        <w:t>(2,592)</w:t>
      </w:r>
      <w:r>
        <w:rPr>
          <w:sz w:val="20"/>
          <w:szCs w:val="20"/>
          <w:color w:val="auto"/>
        </w:rPr>
        <w:tab/>
      </w:r>
      <w:r>
        <w:rPr>
          <w:rFonts w:ascii="Courier New" w:cs="Courier New" w:eastAsia="Courier New" w:hAnsi="Courier New"/>
          <w:sz w:val="16"/>
          <w:szCs w:val="16"/>
          <w:color w:val="auto"/>
        </w:rPr>
        <w:t>10,246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120"/>
        <w:spacing w:after="0"/>
        <w:tabs>
          <w:tab w:leader="none" w:pos="6000" w:val="left"/>
          <w:tab w:leader="none" w:pos="6300" w:val="left"/>
          <w:tab w:leader="none" w:pos="8100" w:val="left"/>
        </w:tabs>
        <w:rPr>
          <w:sz w:val="20"/>
          <w:szCs w:val="20"/>
          <w:color w:val="auto"/>
        </w:rPr>
      </w:pPr>
      <w:r>
        <w:rPr>
          <w:rFonts w:ascii="Courier New" w:cs="Courier New" w:eastAsia="Courier New" w:hAnsi="Courier New"/>
          <w:sz w:val="18"/>
          <w:szCs w:val="18"/>
          <w:color w:val="auto"/>
        </w:rPr>
        <w:t>Net Cash Provided by Operating Activities</w:t>
      </w:r>
      <w:r>
        <w:rPr>
          <w:sz w:val="20"/>
          <w:szCs w:val="20"/>
          <w:color w:val="auto"/>
        </w:rPr>
        <w:tab/>
      </w:r>
      <w:r>
        <w:rPr>
          <w:rFonts w:ascii="Courier New" w:cs="Courier New" w:eastAsia="Courier New" w:hAnsi="Courier New"/>
          <w:sz w:val="18"/>
          <w:szCs w:val="18"/>
          <w:color w:val="auto"/>
        </w:rPr>
        <w:t>$</w:t>
        <w:tab/>
        <w:t>1,456</w:t>
      </w:r>
      <w:r>
        <w:rPr>
          <w:sz w:val="20"/>
          <w:szCs w:val="20"/>
          <w:color w:val="auto"/>
        </w:rPr>
        <w:tab/>
      </w:r>
      <w:r>
        <w:rPr>
          <w:rFonts w:ascii="Courier New" w:cs="Courier New" w:eastAsia="Courier New" w:hAnsi="Courier New"/>
          <w:sz w:val="16"/>
          <w:szCs w:val="16"/>
          <w:color w:val="auto"/>
        </w:rPr>
        <w:t>$ 15,086</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6" w:name="page7"/>
    <w:bookmarkEnd w:id="6"/>
    <w:p>
      <w:pPr>
        <w:ind w:left="2740"/>
        <w:spacing w:after="0"/>
        <w:rPr>
          <w:sz w:val="20"/>
          <w:szCs w:val="20"/>
          <w:color w:val="auto"/>
        </w:rPr>
      </w:pPr>
      <w:r>
        <w:rPr>
          <w:rFonts w:ascii="Courier New" w:cs="Courier New" w:eastAsia="Courier New" w:hAnsi="Courier New"/>
          <w:sz w:val="18"/>
          <w:szCs w:val="18"/>
          <w:color w:val="auto"/>
        </w:rPr>
        <w:t>ABM INDUSTRIES INCORPORATED</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the opinion of management, the accompanying unaudited consolidated financial statements contain all material adjustments which are necessary to present fairly the Company's financial position as of January 31, 1997 and the results of operations and cash flows for the three months then ended. These adjustments are of a normal, recurring nature.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These financial statements should be read in conjunction with the financial statements and the notes thereto included in the Company's Form 10K filed for the fiscal year ended October 31, 1996 with the Securities and Exchange Commission.</w:t>
      </w:r>
    </w:p>
    <w:p>
      <w:pPr>
        <w:spacing w:after="0" w:line="202"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SHARE</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NET INCOME PER COMMON SHARE: Net income per common and common equivalent share, after the reduction for preferred stock dividends in the amount of $128,000 during the three months ended January 31, 1997, is based on the weighted average number of shares outstanding during the year and the common stock equivalents that have a dilutive effect. Net income per common share assuming full dilution is not significantly different than net income per share as reported.</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June 18, 1996, the Company's Board of Directors approved a two-for-one stock split, payable to shareholders of record as of the close of business on July 15, 1996. A total of 9,669,000 shares of common stock were issued in connection with the stock split. All share and per share amounts have been restated to retroactively reflect the common stock split.</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7" w:name="page8"/>
    <w:bookmarkEnd w:id="7"/>
    <w:p>
      <w:pPr>
        <w:ind w:right="1779"/>
        <w:spacing w:after="0" w:line="235" w:lineRule="auto"/>
        <w:rPr>
          <w:sz w:val="20"/>
          <w:szCs w:val="20"/>
          <w:color w:val="auto"/>
        </w:rPr>
      </w:pPr>
      <w:r>
        <w:rPr>
          <w:rFonts w:ascii="Courier New" w:cs="Courier New" w:eastAsia="Courier New" w:hAnsi="Courier New"/>
          <w:sz w:val="18"/>
          <w:szCs w:val="18"/>
          <w:color w:val="auto"/>
        </w:rPr>
        <w:t>ITEM 2. 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CONDITION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Funds provided from operations and bank borrowings have historically been the sources for meeting working capital requirements, financing capital expenditures and acquisitions, and paying cash dividends. Management believes that funds from these sources will remain available and adequately serve the Company's liquidity needs. The Company has an unsecured revolving credit agreement with a syndicate of U.S. banks. This agreement has a $125 million line of credit expiring September 22, 1998, which at the Company's option, may be extended one year. At the Company's option, the credit facility provides interest at the prime rate or IBOR+.45%. As of January 31, 1997, the total amount outstanding was approximately $83 million, which was comprised of loans in the amount of $22 million and standby letters of credit of $61 million. This agreement requires the Company to meet certain financial ratios and places some limitations on dividend payments and outside borrowing. The Company is prohibited from declaring or paying cash dividends exceeding 50% of its net income for any fiscal year. In February 1996, the Company entered into a loan agreement with a major U.S. bank which provides a seven-year term loan of $5 million at a fixed interest rate of 6.78 %. Annual payments of principal and interest in varying amounts are due February 15, 1997 through February 15, 2003. The Company also has a 9.35% note payable to an insurance company with a remaining amount of $1,272,000. Interest is payable monthly and principal amounts of $636,000 are due annually through October 1, 1998. The Company's effective interest rate for all borrowings for the quarter ended January 31, 1997 was 6.89%.</w:t>
      </w:r>
    </w:p>
    <w:p>
      <w:pPr>
        <w:spacing w:after="0" w:line="211"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At January 31, 1997, working capital was $123.3 million, as compared to $120.0 million at October 31, 1996.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EFFECT OF INFLATION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low rates of inflation experienced in recent years had no material impact on the financial statements of the Company. The Company attempts to recover inflationary costs by increasing sales prices to the extent permitted by contracts and competition.</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ENVIRONMENTAL MATTERS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nature of the Company's operations, primarily services, would not ordinarily involve it in environmental contamination. However, the Company's operations are subject to various federal, state and/or local laws regulating the discharge of materials into the environment or otherwise relating to the protection of the environment, such as discharge into soil, water and air, and the generation, handling, storage, transportation and disposal of waste and hazardous substances.</w:t>
      </w:r>
    </w:p>
    <w:p>
      <w:pPr>
        <w:spacing w:after="0" w:line="211"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These laws generally have the effect of increasing costs and potential liabilities associated with the conduct of the Company's operations, although historically they have not had a material adverse effect on the Company's financial position or its results of operations.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Company is currently involved in three proceedings relating to environmental matters: one involving alleged potential groundwater contamination at a Company facility in Florida; one involving alleged soil contamination at a former Company facility in Arizona; and, one involving a claim under Proposition 65 in California relating to an alleged failure to post statutory warning signs in Company operated parking garages. While it is difficult to predict the ultimate outcome of these matters, based on information currently available, management believes that none of these matters, individually or in the aggregate, are reasonably likely to have a material adverse affect on the Company's financial position or its results of operations.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The operating results of businesses acquired have been included in the accompanying consolidated financial statements from their respective dates of acquisition.</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Effective November 1, 1996, the Company, through one of its subsidiaries, acquired the operations and net assets of Sica Electrical and Maintenance Corp., of Ozone Park, New York. Sica Electrical and Maintenance Corp. is an electrical and lighting maintenance company which operates in the greater New York City metropolitan area, New Jersey, up-state New York, Pennsylvania, and Connecticut. In connection with this acquisition, the Company issued 348,323 of its common shares at the time of closing and will make additional payments in common shares over a five-year period based on the operating profits (income before taxes and interest) of the acquired business. A maximum of 348,323 common shares may be issued in connection with future payments. Effective November 1, 1996, the Company's earnings per common share calculation includes the 696,646 shares issued</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9" w:name="page10"/>
    <w:bookmarkEnd w:id="9"/>
    <w:p>
      <w:pPr>
        <w:ind w:right="1999"/>
        <w:spacing w:after="0" w:line="236" w:lineRule="auto"/>
        <w:rPr>
          <w:sz w:val="20"/>
          <w:szCs w:val="20"/>
          <w:color w:val="auto"/>
        </w:rPr>
      </w:pPr>
      <w:r>
        <w:rPr>
          <w:rFonts w:ascii="Courier New" w:cs="Courier New" w:eastAsia="Courier New" w:hAnsi="Courier New"/>
          <w:sz w:val="18"/>
          <w:szCs w:val="18"/>
          <w:color w:val="auto"/>
        </w:rPr>
        <w:t>and to be issued under the contract with the sellers. The Company estimates that in fiscal 1997 this acquisition will contribute approximately $15 million in revenues.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following discussion should be read in conjunction with the consolidated financial statements of the Company. All information in the discussion and references to the years and quarters are based on the Company's fiscal year and first quarter which end on October 31 and January 31, respectively.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THREE MONTHS ENDED JANUARY 31, 1997 VS. THREE MONTHS ENDED JANUARY 31, 1996</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Revenues and other income (hereafter called revenues) for the first three months of fiscal year 1997 were $292 million compared to $254 million in 1996, a 15% increase over the same quarter of the prior year. This growth was attributable to new business and price increases as well as revenues generated from acquisitions. For the quarter ended January 31, 1997, the increase in revenues relating to acquisitions made during fiscal 1996 was approximately $11 million on a total revenue increase of $38 million.</w:t>
      </w:r>
    </w:p>
    <w:p>
      <w:pPr>
        <w:spacing w:after="0" w:line="211" w:lineRule="exact"/>
        <w:rPr>
          <w:sz w:val="20"/>
          <w:szCs w:val="20"/>
          <w:color w:val="auto"/>
        </w:rPr>
      </w:pPr>
    </w:p>
    <w:p>
      <w:pPr>
        <w:jc w:val="both"/>
        <w:ind w:right="2199" w:firstLine="527"/>
        <w:spacing w:after="0" w:line="268" w:lineRule="auto"/>
        <w:rPr>
          <w:sz w:val="20"/>
          <w:szCs w:val="20"/>
          <w:color w:val="auto"/>
        </w:rPr>
      </w:pPr>
      <w:r>
        <w:rPr>
          <w:rFonts w:ascii="Courier New" w:cs="Courier New" w:eastAsia="Courier New" w:hAnsi="Courier New"/>
          <w:sz w:val="16"/>
          <w:szCs w:val="16"/>
          <w:color w:val="auto"/>
        </w:rPr>
        <w:t>Net income for the first quarter of 1997 was $4,840,000, an increase of 20%, compared to the net income of $4,048,000 for the first quarter of 1996.</w:t>
      </w:r>
    </w:p>
    <w:p>
      <w:pPr>
        <w:ind w:right="1779"/>
        <w:spacing w:after="0" w:line="271" w:lineRule="auto"/>
        <w:rPr>
          <w:sz w:val="20"/>
          <w:szCs w:val="20"/>
          <w:color w:val="auto"/>
        </w:rPr>
      </w:pPr>
      <w:r>
        <w:rPr>
          <w:rFonts w:ascii="Courier New" w:cs="Courier New" w:eastAsia="Courier New" w:hAnsi="Courier New"/>
          <w:sz w:val="16"/>
          <w:szCs w:val="16"/>
          <w:color w:val="auto"/>
        </w:rPr>
        <w:t>Due to the increase in the average number of common and common equivalent shares outstanding, earnings per share rose 10% to 22 cents for the first quarter of 1997 compared to 20 cents for the same period in 1996. Cost controls, coupled with revenue growth, enabled the Company to realize improved earnings. As a percentage of revenues, operating expenses and cost of goods sold were 86.7% for the first quarter of 1997, the same percentage as in 1996. Consequently, as a percentage of revenues, the Company's gross profit (revenue minus operating expenses and cost of goods sold) of 13.3% was the same as the first quarter of 1996. The gross profit percentage remained constant despite stiff competition in the market place faced by most of the Company's divisions.</w:t>
      </w:r>
    </w:p>
    <w:p>
      <w:pPr>
        <w:spacing w:after="0" w:line="3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Selling, general and administrative expenses for the first three months of fiscal year 1997 were $29.6 million compared to $26.0 million for the corresponding three months of fiscal year 1996. As a percentage of revenues, selling, general and administrative expenses decreased slightly, from 10.21% for the three months ended January 31, 1996, to 10.16% for the same period in 1997 primarily as a result of management's cost containment measures. The increase in the dollar amount, $3.7 million, of selling, general and administrative expenses for the three months ended January 31, 1997, compared to the same period in 1996, is primarily due to expenses</w:t>
      </w:r>
    </w:p>
    <w:p>
      <w:pPr>
        <w:spacing w:after="0" w:line="200" w:lineRule="exact"/>
        <w:rPr>
          <w:sz w:val="20"/>
          <w:szCs w:val="20"/>
          <w:color w:val="auto"/>
        </w:rPr>
      </w:pP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0" w:name="page11"/>
    <w:bookmarkEnd w:id="10"/>
    <w:p>
      <w:pPr>
        <w:ind w:right="2199"/>
        <w:spacing w:after="0" w:line="235" w:lineRule="auto"/>
        <w:rPr>
          <w:sz w:val="20"/>
          <w:szCs w:val="20"/>
          <w:color w:val="auto"/>
        </w:rPr>
      </w:pPr>
      <w:r>
        <w:rPr>
          <w:rFonts w:ascii="Courier New" w:cs="Courier New" w:eastAsia="Courier New" w:hAnsi="Courier New"/>
          <w:sz w:val="18"/>
          <w:szCs w:val="18"/>
          <w:color w:val="auto"/>
        </w:rPr>
        <w:t>necessary for growth and to a lesser extent various expenses associated with acquisitions.</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Interest expense was $897,000 for the first three months of fiscal year 1997 compared to $849,000 in 1996, an increase of $48,000 over the</w:t>
      </w:r>
    </w:p>
    <w:p>
      <w:pPr>
        <w:spacing w:after="0" w:line="6"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same period of the prior fiscal year. This increase was primarily due to higher weighted average borrowings during the first quarter of 1997.</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pre-tax income for the first quarter of 1997 was $8,345,000 compared to $7,102,000, an increase of 18% over the same quarter of 1996. The growth in pre-tax income outpaced the revenue growth for the current quarter of 1997 due primarily to the realization of operating economies related to the integration of recent acquisitions with existing operations which resulted in lower selling, general and administrative expenses as a percentage of revenue.</w:t>
      </w:r>
    </w:p>
    <w:p>
      <w:pPr>
        <w:spacing w:after="0" w:line="210"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The estimated effective income tax rate for the first three months of 1997 was 42%, compared to 43% in the first three months of 1996. The lower tax rate was due to an expected increase in tax credits.</w:t>
      </w:r>
    </w:p>
    <w:p>
      <w:pPr>
        <w:spacing w:after="0" w:line="209" w:lineRule="exact"/>
        <w:rPr>
          <w:sz w:val="20"/>
          <w:szCs w:val="20"/>
          <w:color w:val="auto"/>
        </w:rPr>
      </w:pPr>
    </w:p>
    <w:p>
      <w:pPr>
        <w:jc w:val="both"/>
        <w:ind w:right="2099" w:firstLine="527"/>
        <w:spacing w:after="0" w:line="237" w:lineRule="auto"/>
        <w:rPr>
          <w:sz w:val="20"/>
          <w:szCs w:val="20"/>
          <w:color w:val="auto"/>
        </w:rPr>
      </w:pPr>
      <w:r>
        <w:rPr>
          <w:rFonts w:ascii="Courier New" w:cs="Courier New" w:eastAsia="Courier New" w:hAnsi="Courier New"/>
          <w:sz w:val="18"/>
          <w:szCs w:val="18"/>
          <w:color w:val="auto"/>
        </w:rPr>
        <w:t>The results of operations from the Company's three industry segments and its eight operating divisions for the three months ended January 31, 1997, as compared to the three months ended January 31, 1996, are more fully described below:</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Revenues of the Janitorial Divisions segment, which includes American Building Maintenance (also known as ABM Janitorial Services) and Easterday Janitorial Supply, for the first quarter of fiscal year 1997 were $166 million, an increase of approximately $24 million, or 17% over the first quarter of fiscal 1996, while its operating profits increased by 14% over the comparable quarter of 1996. This is the Company's largest segment and accounted for approximately 57% of the Company's total revenues for the current quarter. AMERICAN BUILDING MAINTENANCE'S revenues increased by 17% during the first quarter of fiscal year 1997 as compared to the same quarter of 1996 both as a result of several acquisitions made during the latter half of fiscal year 1996 and revenue growth in nearly all of its regions. This Division's operating profits increased 13% when compared to the same period last year. The increase in operating profits is principally due to reductions in insurance and labor-related expenses. The Division also successfully controlled its selling, general and administrative expenses relative to the increase in revenues. EASTERDAY JANITORIAL SUPPLY'S first quarter revenue increased by approximately 14% compared to the same quarter in 1996 generally due to strong sales in the Los Angeles and San Francisco markets. An increase of 22% in operating profits was achieved because of higher sales and an improved gross margin percentage.</w:t>
      </w:r>
    </w:p>
    <w:p>
      <w:pPr>
        <w:spacing w:after="0" w:line="200" w:lineRule="exact"/>
        <w:rPr>
          <w:sz w:val="20"/>
          <w:szCs w:val="20"/>
          <w:color w:val="auto"/>
        </w:rPr>
      </w:pPr>
    </w:p>
    <w:p>
      <w:pPr>
        <w:spacing w:after="0" w:line="3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1" w:name="page12"/>
    <w:bookmarkEnd w:id="11"/>
    <w:p>
      <w:pPr>
        <w:ind w:left="540"/>
        <w:spacing w:after="0"/>
        <w:rPr>
          <w:sz w:val="20"/>
          <w:szCs w:val="20"/>
          <w:color w:val="auto"/>
        </w:rPr>
      </w:pPr>
      <w:r>
        <w:rPr>
          <w:rFonts w:ascii="Courier New" w:cs="Courier New" w:eastAsia="Courier New" w:hAnsi="Courier New"/>
          <w:sz w:val="18"/>
          <w:szCs w:val="18"/>
          <w:color w:val="auto"/>
        </w:rPr>
        <w:t>Revenues of the Public Service Divisions segment, which includes Ampco</w:t>
      </w:r>
    </w:p>
    <w:p>
      <w:pPr>
        <w:spacing w:after="0" w:line="238" w:lineRule="auto"/>
        <w:rPr>
          <w:sz w:val="20"/>
          <w:szCs w:val="20"/>
          <w:color w:val="auto"/>
        </w:rPr>
      </w:pPr>
      <w:r>
        <w:rPr>
          <w:rFonts w:ascii="Courier New" w:cs="Courier New" w:eastAsia="Courier New" w:hAnsi="Courier New"/>
          <w:sz w:val="18"/>
          <w:szCs w:val="18"/>
          <w:color w:val="auto"/>
        </w:rPr>
        <w:t>System Parking and American Commercial Security Services (also known as "ACSS"</w:t>
      </w:r>
    </w:p>
    <w:p>
      <w:pPr>
        <w:spacing w:after="0"/>
        <w:rPr>
          <w:sz w:val="20"/>
          <w:szCs w:val="20"/>
          <w:color w:val="auto"/>
        </w:rPr>
      </w:pPr>
      <w:r>
        <w:rPr>
          <w:rFonts w:ascii="Courier New" w:cs="Courier New" w:eastAsia="Courier New" w:hAnsi="Courier New"/>
          <w:sz w:val="18"/>
          <w:szCs w:val="18"/>
          <w:color w:val="auto"/>
        </w:rPr>
        <w:t>and "ABM Security Services"), for the first quarter of 1997 were</w:t>
      </w:r>
    </w:p>
    <w:p>
      <w:pPr>
        <w:spacing w:after="0" w:line="237" w:lineRule="auto"/>
        <w:rPr>
          <w:sz w:val="20"/>
          <w:szCs w:val="20"/>
          <w:color w:val="auto"/>
        </w:rPr>
      </w:pPr>
      <w:r>
        <w:rPr>
          <w:rFonts w:ascii="Courier New" w:cs="Courier New" w:eastAsia="Courier New" w:hAnsi="Courier New"/>
          <w:sz w:val="18"/>
          <w:szCs w:val="18"/>
          <w:color w:val="auto"/>
        </w:rPr>
        <w:t>approximately $58 million, a 9% increase over the same quarter of fiscal year</w:t>
      </w:r>
    </w:p>
    <w:p>
      <w:pPr>
        <w:spacing w:after="0"/>
        <w:tabs>
          <w:tab w:leader="none" w:pos="720" w:val="left"/>
        </w:tabs>
        <w:rPr>
          <w:sz w:val="20"/>
          <w:szCs w:val="20"/>
          <w:color w:val="auto"/>
        </w:rPr>
      </w:pPr>
      <w:r>
        <w:rPr>
          <w:rFonts w:ascii="Courier New" w:cs="Courier New" w:eastAsia="Courier New" w:hAnsi="Courier New"/>
          <w:sz w:val="18"/>
          <w:szCs w:val="18"/>
          <w:color w:val="auto"/>
        </w:rPr>
        <w:t>1996.</w:t>
      </w:r>
      <w:r>
        <w:rPr>
          <w:sz w:val="20"/>
          <w:szCs w:val="20"/>
          <w:color w:val="auto"/>
        </w:rPr>
        <w:tab/>
      </w:r>
      <w:r>
        <w:rPr>
          <w:rFonts w:ascii="Courier New" w:cs="Courier New" w:eastAsia="Courier New" w:hAnsi="Courier New"/>
          <w:sz w:val="16"/>
          <w:szCs w:val="16"/>
          <w:color w:val="auto"/>
        </w:rPr>
        <w:t>Public Service Divisions accounted for approximately 20% of the</w:t>
      </w:r>
    </w:p>
    <w:p>
      <w:pPr>
        <w:spacing w:after="0"/>
        <w:tabs>
          <w:tab w:leader="none" w:pos="2200" w:val="left"/>
        </w:tabs>
        <w:rPr>
          <w:sz w:val="20"/>
          <w:szCs w:val="20"/>
          <w:color w:val="auto"/>
        </w:rPr>
      </w:pPr>
      <w:r>
        <w:rPr>
          <w:rFonts w:ascii="Courier New" w:cs="Courier New" w:eastAsia="Courier New" w:hAnsi="Courier New"/>
          <w:sz w:val="18"/>
          <w:szCs w:val="18"/>
          <w:color w:val="auto"/>
        </w:rPr>
        <w:t>Company's revenues.</w:t>
      </w:r>
      <w:r>
        <w:rPr>
          <w:sz w:val="20"/>
          <w:szCs w:val="20"/>
          <w:color w:val="auto"/>
        </w:rPr>
        <w:tab/>
      </w:r>
      <w:r>
        <w:rPr>
          <w:rFonts w:ascii="Courier New" w:cs="Courier New" w:eastAsia="Courier New" w:hAnsi="Courier New"/>
          <w:sz w:val="16"/>
          <w:szCs w:val="16"/>
          <w:color w:val="auto"/>
        </w:rPr>
        <w:t>However, the operating profits of this segment decreased by</w:t>
      </w:r>
    </w:p>
    <w:p>
      <w:pPr>
        <w:spacing w:after="0" w:line="237" w:lineRule="auto"/>
        <w:rPr>
          <w:sz w:val="20"/>
          <w:szCs w:val="20"/>
          <w:color w:val="auto"/>
        </w:rPr>
      </w:pPr>
      <w:r>
        <w:rPr>
          <w:rFonts w:ascii="Courier New" w:cs="Courier New" w:eastAsia="Courier New" w:hAnsi="Courier New"/>
          <w:sz w:val="18"/>
          <w:szCs w:val="18"/>
          <w:color w:val="auto"/>
        </w:rPr>
        <w:t>7% as both of its divisions reported lower profits when compared to the prior</w:t>
      </w:r>
    </w:p>
    <w:p>
      <w:pPr>
        <w:spacing w:after="0"/>
        <w:tabs>
          <w:tab w:leader="none" w:pos="1560" w:val="left"/>
        </w:tabs>
        <w:rPr>
          <w:sz w:val="20"/>
          <w:szCs w:val="20"/>
          <w:color w:val="auto"/>
        </w:rPr>
      </w:pPr>
      <w:r>
        <w:rPr>
          <w:rFonts w:ascii="Courier New" w:cs="Courier New" w:eastAsia="Courier New" w:hAnsi="Courier New"/>
          <w:sz w:val="18"/>
          <w:szCs w:val="18"/>
          <w:color w:val="auto"/>
        </w:rPr>
        <w:t>year quarter.</w:t>
      </w:r>
      <w:r>
        <w:rPr>
          <w:sz w:val="20"/>
          <w:szCs w:val="20"/>
          <w:color w:val="auto"/>
        </w:rPr>
        <w:tab/>
      </w:r>
      <w:r>
        <w:rPr>
          <w:rFonts w:ascii="Courier New" w:cs="Courier New" w:eastAsia="Courier New" w:hAnsi="Courier New"/>
          <w:sz w:val="16"/>
          <w:szCs w:val="16"/>
          <w:color w:val="auto"/>
        </w:rPr>
        <w:t>AMERICAN COMMERCIAL SECURITY SERVICES reported an increase in</w:t>
      </w:r>
    </w:p>
    <w:p>
      <w:pPr>
        <w:spacing w:after="0" w:line="237" w:lineRule="auto"/>
        <w:rPr>
          <w:sz w:val="20"/>
          <w:szCs w:val="20"/>
          <w:color w:val="auto"/>
        </w:rPr>
      </w:pPr>
      <w:r>
        <w:rPr>
          <w:rFonts w:ascii="Courier New" w:cs="Courier New" w:eastAsia="Courier New" w:hAnsi="Courier New"/>
          <w:sz w:val="18"/>
          <w:szCs w:val="18"/>
          <w:color w:val="auto"/>
        </w:rPr>
        <w:t>revenues of 16%, but its profits were down by 3% in the first quarter of 1997</w:t>
      </w:r>
    </w:p>
    <w:p>
      <w:pPr>
        <w:spacing w:after="0"/>
        <w:tabs>
          <w:tab w:leader="none" w:pos="4000" w:val="left"/>
        </w:tabs>
        <w:rPr>
          <w:sz w:val="20"/>
          <w:szCs w:val="20"/>
          <w:color w:val="auto"/>
        </w:rPr>
      </w:pPr>
      <w:r>
        <w:rPr>
          <w:rFonts w:ascii="Courier New" w:cs="Courier New" w:eastAsia="Courier New" w:hAnsi="Courier New"/>
          <w:sz w:val="18"/>
          <w:szCs w:val="18"/>
          <w:color w:val="auto"/>
        </w:rPr>
        <w:t>compared to the same period of 1996.</w:t>
      </w:r>
      <w:r>
        <w:rPr>
          <w:sz w:val="20"/>
          <w:szCs w:val="20"/>
          <w:color w:val="auto"/>
        </w:rPr>
        <w:tab/>
      </w:r>
      <w:r>
        <w:rPr>
          <w:rFonts w:ascii="Courier New" w:cs="Courier New" w:eastAsia="Courier New" w:hAnsi="Courier New"/>
          <w:sz w:val="16"/>
          <w:szCs w:val="16"/>
          <w:color w:val="auto"/>
        </w:rPr>
        <w:t>The revenue growth was largely due to an</w:t>
      </w:r>
    </w:p>
    <w:p>
      <w:pPr>
        <w:spacing w:after="0" w:line="237" w:lineRule="auto"/>
        <w:rPr>
          <w:sz w:val="20"/>
          <w:szCs w:val="20"/>
          <w:color w:val="auto"/>
        </w:rPr>
      </w:pPr>
      <w:r>
        <w:rPr>
          <w:rFonts w:ascii="Courier New" w:cs="Courier New" w:eastAsia="Courier New" w:hAnsi="Courier New"/>
          <w:sz w:val="18"/>
          <w:szCs w:val="18"/>
          <w:color w:val="auto"/>
        </w:rPr>
        <w:t>acquisition in Minneapolis in May 1996 as well as other new business,</w:t>
      </w:r>
    </w:p>
    <w:p>
      <w:pPr>
        <w:spacing w:after="0"/>
        <w:tabs>
          <w:tab w:leader="none" w:pos="5140" w:val="left"/>
        </w:tabs>
        <w:rPr>
          <w:sz w:val="20"/>
          <w:szCs w:val="20"/>
          <w:color w:val="auto"/>
        </w:rPr>
      </w:pPr>
      <w:r>
        <w:rPr>
          <w:rFonts w:ascii="Courier New" w:cs="Courier New" w:eastAsia="Courier New" w:hAnsi="Courier New"/>
          <w:sz w:val="18"/>
          <w:szCs w:val="18"/>
          <w:color w:val="auto"/>
        </w:rPr>
        <w:t>particularly in its Southern California Region.</w:t>
      </w:r>
      <w:r>
        <w:rPr>
          <w:sz w:val="20"/>
          <w:szCs w:val="20"/>
          <w:color w:val="auto"/>
        </w:rPr>
        <w:tab/>
      </w:r>
      <w:r>
        <w:rPr>
          <w:rFonts w:ascii="Courier New" w:cs="Courier New" w:eastAsia="Courier New" w:hAnsi="Courier New"/>
          <w:sz w:val="16"/>
          <w:szCs w:val="16"/>
          <w:color w:val="auto"/>
        </w:rPr>
        <w:t>The small decrease in operating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profit was primarily due to increased labor costs related to the acquisition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Minneapolis and an increase in unbillable overtime throughout the Division.</w:t>
      </w:r>
    </w:p>
    <w:p>
      <w:pPr>
        <w:spacing w:after="0" w:line="238" w:lineRule="auto"/>
        <w:rPr>
          <w:sz w:val="20"/>
          <w:szCs w:val="20"/>
          <w:color w:val="auto"/>
        </w:rPr>
      </w:pPr>
      <w:r>
        <w:rPr>
          <w:rFonts w:ascii="Courier New" w:cs="Courier New" w:eastAsia="Courier New" w:hAnsi="Courier New"/>
          <w:sz w:val="18"/>
          <w:szCs w:val="18"/>
          <w:color w:val="auto"/>
        </w:rPr>
        <w:t>AMPCO SYSTEM PARKING Division's revenues increased by 4%, while its profits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declined 11% during the first quarter of fiscal year 1997 compared to the first</w:t>
      </w:r>
    </w:p>
    <w:p>
      <w:pPr>
        <w:spacing w:after="0" w:line="16"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quarter of 1996.</w:t>
      </w:r>
      <w:r>
        <w:rPr>
          <w:sz w:val="20"/>
          <w:szCs w:val="20"/>
          <w:color w:val="auto"/>
        </w:rPr>
        <w:tab/>
      </w:r>
      <w:r>
        <w:rPr>
          <w:rFonts w:ascii="Courier New" w:cs="Courier New" w:eastAsia="Courier New" w:hAnsi="Courier New"/>
          <w:sz w:val="16"/>
          <w:szCs w:val="16"/>
          <w:color w:val="auto"/>
        </w:rPr>
        <w:t>The increase in revenues was mostly due to growth in its</w:t>
      </w:r>
    </w:p>
    <w:p>
      <w:pPr>
        <w:spacing w:after="0"/>
        <w:tabs>
          <w:tab w:leader="none" w:pos="1980" w:val="left"/>
        </w:tabs>
        <w:rPr>
          <w:sz w:val="20"/>
          <w:szCs w:val="20"/>
          <w:color w:val="auto"/>
        </w:rPr>
      </w:pPr>
      <w:r>
        <w:rPr>
          <w:rFonts w:ascii="Courier New" w:cs="Courier New" w:eastAsia="Courier New" w:hAnsi="Courier New"/>
          <w:sz w:val="18"/>
          <w:szCs w:val="18"/>
          <w:color w:val="auto"/>
        </w:rPr>
        <w:t>airport business.</w:t>
      </w:r>
      <w:r>
        <w:rPr>
          <w:sz w:val="20"/>
          <w:szCs w:val="20"/>
          <w:color w:val="auto"/>
        </w:rPr>
        <w:tab/>
      </w:r>
      <w:r>
        <w:rPr>
          <w:rFonts w:ascii="Courier New" w:cs="Courier New" w:eastAsia="Courier New" w:hAnsi="Courier New"/>
          <w:sz w:val="16"/>
          <w:szCs w:val="16"/>
          <w:color w:val="auto"/>
        </w:rPr>
        <w:t>The operating profit decrease was due for the most part to</w:t>
      </w:r>
    </w:p>
    <w:p>
      <w:pPr>
        <w:spacing w:after="0"/>
        <w:rPr>
          <w:sz w:val="20"/>
          <w:szCs w:val="20"/>
          <w:color w:val="auto"/>
        </w:rPr>
      </w:pPr>
      <w:r>
        <w:rPr>
          <w:rFonts w:ascii="Courier New" w:cs="Courier New" w:eastAsia="Courier New" w:hAnsi="Courier New"/>
          <w:sz w:val="18"/>
          <w:szCs w:val="18"/>
          <w:color w:val="auto"/>
        </w:rPr>
        <w:t>lower profit margins as a result of increased legal and insurance costs in the</w:t>
      </w:r>
    </w:p>
    <w:p>
      <w:pPr>
        <w:spacing w:after="0" w:line="237" w:lineRule="auto"/>
        <w:rPr>
          <w:sz w:val="20"/>
          <w:szCs w:val="20"/>
          <w:color w:val="auto"/>
        </w:rPr>
      </w:pPr>
      <w:r>
        <w:rPr>
          <w:rFonts w:ascii="Courier New" w:cs="Courier New" w:eastAsia="Courier New" w:hAnsi="Courier New"/>
          <w:sz w:val="18"/>
          <w:szCs w:val="18"/>
          <w:color w:val="auto"/>
        </w:rPr>
        <w:t>division's Northern California and Pacific Northwest operations, as well as</w:t>
      </w:r>
    </w:p>
    <w:p>
      <w:pPr>
        <w:spacing w:after="0" w:line="238" w:lineRule="auto"/>
        <w:rPr>
          <w:sz w:val="20"/>
          <w:szCs w:val="20"/>
          <w:color w:val="auto"/>
        </w:rPr>
      </w:pPr>
      <w:r>
        <w:rPr>
          <w:rFonts w:ascii="Courier New" w:cs="Courier New" w:eastAsia="Courier New" w:hAnsi="Courier New"/>
          <w:sz w:val="18"/>
          <w:szCs w:val="18"/>
          <w:color w:val="auto"/>
        </w:rPr>
        <w:t>replacement of several leases in Colorado upon expiration with less profitable</w:t>
      </w:r>
    </w:p>
    <w:p>
      <w:pPr>
        <w:spacing w:after="0"/>
        <w:rPr>
          <w:sz w:val="20"/>
          <w:szCs w:val="20"/>
          <w:color w:val="auto"/>
        </w:rPr>
      </w:pPr>
      <w:r>
        <w:rPr>
          <w:rFonts w:ascii="Courier New" w:cs="Courier New" w:eastAsia="Courier New" w:hAnsi="Courier New"/>
          <w:sz w:val="18"/>
          <w:szCs w:val="18"/>
          <w:color w:val="auto"/>
        </w:rPr>
        <w:t>management agreements.</w:t>
      </w:r>
    </w:p>
    <w:p>
      <w:pPr>
        <w:spacing w:after="0" w:line="206"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Company's Technical Divisions segment includes Amtech Elevator Services, ABM Engineering Services, Amtech Lighting Services and CommAir Mechanical Services. This segment reported revenues of $68 million, which represent approximately 23% of the Company's revenues for the first quarter of fiscal year 1997. This represents an increase of approximately 15% over the same quarter of last year due to increases in revenues reported by its all divisions. Operating profit of this segment increased 62% compared to the first quarter of 1996 due to significant increases in operating profits of its Elevator and Lighting divisions, offset by small decreases in its CommAir Mechanical and ABM Engineering divisions. Revenues for AMTECH ELEVATOR SERVICES were up by 15% for the first quarter of fiscal year 1997 over the same quarter of 1996 largely due to an increased customer base in the maintenance and repair sector. The Division posted a dramatic increase in operating profit for the first quarter compared to the corresponding quarter of fiscal year 1996. This increase can be attributed primarily to the sale during the second quarter of 1996 of its Mexican subsidiary, which incurred losses in the same quarter of the prior year. ABM ENGINEERING SERVICES' revenues increased by 8% but its operating profits declined 8% for the first quarter of 1997 compared to the same period in 1996. Revenue increases were recorded by most of its regions reflecting increased penetration into new markets as well as increased sales to existing customers. The decrease in operating profits resulted from a combination of lower margins on fixed price contracts, increased insurance costs, and an increase in selling, general and administrative costs. AMTECH LIGHTING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1440" w:gutter="0" w:footer="0" w:header="0"/>
        </w:sectPr>
      </w:pPr>
    </w:p>
    <w:bookmarkStart w:id="12" w:name="page13"/>
    <w:bookmarkEnd w:id="12"/>
    <w:p>
      <w:pPr>
        <w:ind w:right="1779"/>
        <w:spacing w:after="0" w:line="237" w:lineRule="auto"/>
        <w:rPr>
          <w:sz w:val="20"/>
          <w:szCs w:val="20"/>
          <w:color w:val="auto"/>
        </w:rPr>
      </w:pPr>
      <w:r>
        <w:rPr>
          <w:rFonts w:ascii="Courier New" w:cs="Courier New" w:eastAsia="Courier New" w:hAnsi="Courier New"/>
          <w:sz w:val="18"/>
          <w:szCs w:val="18"/>
          <w:color w:val="auto"/>
        </w:rPr>
        <w:t>SERVICES Division reported a 23% revenue increase due almost entirely to the acquisition of Sica Electrical and Maintenance of New York, which was effective November 1, 1996. Operating profits increased by 138% during the first quarter of fiscal year 1997 compared to the same quarter of the prior year primarily due to this acquisition and lower direct costs. COMMAIR MECHANICAL SERVICES Division's revenues increased by 16% resulting primarily from additional energy management and installation contracts. Operating profits for the first quarter of 1997 decreased by 9% from the prior year first quarter results. This decrease for the current year quarter was a result of an increase in selling, general and administrative expenses proportionately greater than the increase in gross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PART II. OTHER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Legal Proceedings - 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Exhibits and Reports on Form 8-K</w:t>
      </w:r>
    </w:p>
    <w:p>
      <w:pPr>
        <w:spacing w:after="0" w:line="201" w:lineRule="exact"/>
        <w:rPr>
          <w:sz w:val="20"/>
          <w:szCs w:val="20"/>
          <w:color w:val="auto"/>
        </w:rPr>
      </w:pPr>
    </w:p>
    <w:p>
      <w:pPr>
        <w:ind w:left="1060" w:hanging="525"/>
        <w:spacing w:after="0"/>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Exhibit 27.1 - Financial Data Schedule.</w:t>
      </w:r>
    </w:p>
    <w:p>
      <w:pPr>
        <w:spacing w:after="0" w:line="206" w:lineRule="exact"/>
        <w:rPr>
          <w:rFonts w:ascii="Courier New" w:cs="Courier New" w:eastAsia="Courier New" w:hAnsi="Courier New"/>
          <w:sz w:val="18"/>
          <w:szCs w:val="18"/>
          <w:color w:val="auto"/>
        </w:rPr>
      </w:pPr>
    </w:p>
    <w:p>
      <w:pPr>
        <w:ind w:left="1060" w:right="2199" w:hanging="525"/>
        <w:spacing w:after="0" w:line="235" w:lineRule="auto"/>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 No reports on Form 8-K were filed during the quarter ended January 31,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17" w:right="1440" w:bottom="1440" w:gutter="0" w:footer="0" w:header="0"/>
        </w:sectPr>
      </w:pPr>
    </w:p>
    <w:bookmarkStart w:id="14" w:name="page15"/>
    <w:bookmarkEnd w:id="14"/>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ABM Industries Incorporated</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14, 1997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/s/ David H. Hebble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20"/>
        <w:spacing w:after="0"/>
        <w:rPr>
          <w:sz w:val="20"/>
          <w:szCs w:val="20"/>
          <w:color w:val="auto"/>
        </w:rPr>
      </w:pPr>
      <w:r>
        <w:rPr>
          <w:rFonts w:ascii="Courier New" w:cs="Courier New" w:eastAsia="Courier New" w:hAnsi="Courier New"/>
          <w:sz w:val="18"/>
          <w:szCs w:val="18"/>
          <w:color w:val="auto"/>
        </w:rPr>
        <w:t>Vice President, Principal</w:t>
      </w:r>
    </w:p>
    <w:p>
      <w:pPr>
        <w:ind w:left="1140"/>
        <w:spacing w:after="0" w:line="238" w:lineRule="auto"/>
        <w:rPr>
          <w:sz w:val="20"/>
          <w:szCs w:val="20"/>
          <w:color w:val="auto"/>
        </w:rPr>
      </w:pPr>
      <w:r>
        <w:rPr>
          <w:rFonts w:ascii="Courier New" w:cs="Courier New" w:eastAsia="Courier New" w:hAnsi="Courier New"/>
          <w:sz w:val="18"/>
          <w:szCs w:val="18"/>
          <w:color w:val="auto"/>
        </w:rPr>
        <w:t>Financial Officer</w:t>
      </w:r>
    </w:p>
    <w:p>
      <w:pPr>
        <w:spacing w:after="0" w:line="200" w:lineRule="exact"/>
        <w:rPr>
          <w:sz w:val="20"/>
          <w:szCs w:val="20"/>
          <w:color w:val="auto"/>
        </w:rPr>
      </w:pPr>
    </w:p>
    <w:p>
      <w:pPr>
        <w:sectPr>
          <w:pgSz w:w="11900" w:h="16838" w:orient="portrait"/>
          <w:cols w:equalWidth="0" w:num="2">
            <w:col w:w="3300" w:space="720"/>
            <w:col w:w="6199"/>
          </w:cols>
          <w:pgMar w:left="240" w:top="7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717" w:right="1440" w:bottom="1440" w:gutter="0" w:footer="0" w:header="0"/>
          <w:type w:val="continuous"/>
        </w:sectPr>
      </w:pPr>
    </w:p>
    <w:bookmarkStart w:id="15" w:name="page16"/>
    <w:bookmarkEnd w:id="1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3-MOS</w:t>
      </w:r>
    </w:p>
    <w:p>
      <w:pPr>
        <w:ind w:left="2620"/>
        <w:spacing w:after="0" w:line="238" w:lineRule="auto"/>
        <w:rPr>
          <w:sz w:val="20"/>
          <w:szCs w:val="20"/>
          <w:color w:val="auto"/>
        </w:rPr>
      </w:pPr>
      <w:r>
        <w:rPr>
          <w:rFonts w:ascii="Courier New" w:cs="Courier New" w:eastAsia="Courier New" w:hAnsi="Courier New"/>
          <w:sz w:val="18"/>
          <w:szCs w:val="18"/>
          <w:color w:val="auto"/>
        </w:rPr>
        <w:t>OCT-31-1997</w:t>
      </w:r>
    </w:p>
    <w:p>
      <w:pPr>
        <w:ind w:left="3160"/>
        <w:spacing w:after="0"/>
        <w:rPr>
          <w:sz w:val="20"/>
          <w:szCs w:val="20"/>
          <w:color w:val="auto"/>
        </w:rPr>
      </w:pPr>
      <w:r>
        <w:rPr>
          <w:rFonts w:ascii="Courier New" w:cs="Courier New" w:eastAsia="Courier New" w:hAnsi="Courier New"/>
          <w:sz w:val="18"/>
          <w:szCs w:val="18"/>
          <w:color w:val="auto"/>
        </w:rPr>
        <w:t>JAN-31-1997</w:t>
      </w:r>
    </w:p>
    <w:p>
      <w:pPr>
        <w:ind w:left="4420"/>
        <w:spacing w:after="0" w:line="237" w:lineRule="auto"/>
        <w:rPr>
          <w:sz w:val="20"/>
          <w:szCs w:val="20"/>
          <w:color w:val="auto"/>
        </w:rPr>
      </w:pPr>
      <w:r>
        <w:rPr>
          <w:rFonts w:ascii="Courier New" w:cs="Courier New" w:eastAsia="Courier New" w:hAnsi="Courier New"/>
          <w:sz w:val="18"/>
          <w:szCs w:val="18"/>
          <w:color w:val="auto"/>
        </w:rPr>
        <w:t>6,631</w:t>
      </w:r>
    </w:p>
    <w:p>
      <w:pPr>
        <w:ind w:left="4200"/>
        <w:spacing w:after="0" w:line="238" w:lineRule="auto"/>
        <w:rPr>
          <w:sz w:val="20"/>
          <w:szCs w:val="20"/>
          <w:color w:val="auto"/>
        </w:rPr>
      </w:pPr>
      <w:r>
        <w:rPr>
          <w:rFonts w:ascii="Courier New" w:cs="Courier New" w:eastAsia="Courier New" w:hAnsi="Courier New"/>
          <w:sz w:val="18"/>
          <w:szCs w:val="18"/>
          <w:color w:val="auto"/>
        </w:rPr>
        <w:t>0</w:t>
      </w:r>
    </w:p>
    <w:p>
      <w:pPr>
        <w:ind w:left="3460"/>
        <w:spacing w:after="0"/>
        <w:rPr>
          <w:sz w:val="20"/>
          <w:szCs w:val="20"/>
          <w:color w:val="auto"/>
        </w:rPr>
      </w:pPr>
      <w:r>
        <w:rPr>
          <w:rFonts w:ascii="Courier New" w:cs="Courier New" w:eastAsia="Courier New" w:hAnsi="Courier New"/>
          <w:sz w:val="18"/>
          <w:szCs w:val="18"/>
          <w:color w:val="auto"/>
        </w:rPr>
        <w:t>185,352</w:t>
      </w:r>
    </w:p>
    <w:p>
      <w:pPr>
        <w:ind w:left="4200"/>
        <w:spacing w:after="0" w:line="237" w:lineRule="auto"/>
        <w:rPr>
          <w:sz w:val="20"/>
          <w:szCs w:val="20"/>
          <w:color w:val="auto"/>
        </w:rPr>
      </w:pPr>
      <w:r>
        <w:rPr>
          <w:rFonts w:ascii="Courier New" w:cs="Courier New" w:eastAsia="Courier New" w:hAnsi="Courier New"/>
          <w:sz w:val="18"/>
          <w:szCs w:val="18"/>
          <w:color w:val="auto"/>
        </w:rPr>
        <w:t>0</w:t>
      </w:r>
    </w:p>
    <w:p>
      <w:pPr>
        <w:ind w:left="3780"/>
        <w:spacing w:after="0"/>
        <w:rPr>
          <w:sz w:val="20"/>
          <w:szCs w:val="20"/>
          <w:color w:val="auto"/>
        </w:rPr>
      </w:pPr>
      <w:r>
        <w:rPr>
          <w:rFonts w:ascii="Courier New" w:cs="Courier New" w:eastAsia="Courier New" w:hAnsi="Courier New"/>
          <w:sz w:val="18"/>
          <w:szCs w:val="18"/>
          <w:color w:val="auto"/>
        </w:rPr>
        <w:t>19,207</w:t>
      </w:r>
    </w:p>
    <w:p>
      <w:pPr>
        <w:ind w:left="3160"/>
        <w:spacing w:after="0" w:line="237" w:lineRule="auto"/>
        <w:rPr>
          <w:sz w:val="20"/>
          <w:szCs w:val="20"/>
          <w:color w:val="auto"/>
        </w:rPr>
      </w:pPr>
      <w:r>
        <w:rPr>
          <w:rFonts w:ascii="Courier New" w:cs="Courier New" w:eastAsia="Courier New" w:hAnsi="Courier New"/>
          <w:sz w:val="18"/>
          <w:szCs w:val="18"/>
          <w:color w:val="auto"/>
        </w:rPr>
        <w:t>244,949</w:t>
      </w:r>
    </w:p>
    <w:p>
      <w:pPr>
        <w:ind w:left="4320"/>
        <w:spacing w:after="0"/>
        <w:rPr>
          <w:sz w:val="20"/>
          <w:szCs w:val="20"/>
          <w:color w:val="auto"/>
        </w:rPr>
      </w:pPr>
      <w:r>
        <w:rPr>
          <w:rFonts w:ascii="Courier New" w:cs="Courier New" w:eastAsia="Courier New" w:hAnsi="Courier New"/>
          <w:sz w:val="18"/>
          <w:szCs w:val="18"/>
          <w:color w:val="auto"/>
        </w:rPr>
        <w:t>64,072</w:t>
      </w:r>
    </w:p>
    <w:p>
      <w:pPr>
        <w:ind w:left="3460"/>
        <w:spacing w:after="0" w:line="237" w:lineRule="auto"/>
        <w:rPr>
          <w:sz w:val="20"/>
          <w:szCs w:val="20"/>
          <w:color w:val="auto"/>
        </w:rPr>
      </w:pPr>
      <w:r>
        <w:rPr>
          <w:rFonts w:ascii="Courier New" w:cs="Courier New" w:eastAsia="Courier New" w:hAnsi="Courier New"/>
          <w:sz w:val="18"/>
          <w:szCs w:val="18"/>
          <w:color w:val="auto"/>
        </w:rPr>
        <w:t>41,445</w:t>
      </w:r>
    </w:p>
    <w:p>
      <w:pPr>
        <w:ind w:left="3360"/>
        <w:spacing w:after="0" w:line="238" w:lineRule="auto"/>
        <w:rPr>
          <w:sz w:val="20"/>
          <w:szCs w:val="20"/>
          <w:color w:val="auto"/>
        </w:rPr>
      </w:pPr>
      <w:r>
        <w:rPr>
          <w:rFonts w:ascii="Courier New" w:cs="Courier New" w:eastAsia="Courier New" w:hAnsi="Courier New"/>
          <w:sz w:val="18"/>
          <w:szCs w:val="18"/>
          <w:color w:val="auto"/>
        </w:rPr>
        <w:t>394,892</w:t>
      </w:r>
    </w:p>
    <w:p>
      <w:pPr>
        <w:ind w:left="2620"/>
        <w:spacing w:after="0"/>
        <w:rPr>
          <w:sz w:val="20"/>
          <w:szCs w:val="20"/>
          <w:color w:val="auto"/>
        </w:rPr>
      </w:pPr>
      <w:r>
        <w:rPr>
          <w:rFonts w:ascii="Courier New" w:cs="Courier New" w:eastAsia="Courier New" w:hAnsi="Courier New"/>
          <w:sz w:val="18"/>
          <w:szCs w:val="18"/>
          <w:color w:val="auto"/>
        </w:rPr>
        <w:t>121,622</w:t>
      </w:r>
    </w:p>
    <w:p>
      <w:pPr>
        <w:jc w:val="center"/>
        <w:ind w:right="539"/>
        <w:spacing w:after="0" w:line="237" w:lineRule="auto"/>
        <w:rPr>
          <w:sz w:val="20"/>
          <w:szCs w:val="20"/>
          <w:color w:val="auto"/>
        </w:rPr>
      </w:pPr>
      <w:r>
        <w:rPr>
          <w:rFonts w:ascii="Courier New" w:cs="Courier New" w:eastAsia="Courier New" w:hAnsi="Courier New"/>
          <w:sz w:val="18"/>
          <w:szCs w:val="18"/>
          <w:color w:val="auto"/>
        </w:rPr>
        <w:t>0</w:t>
      </w:r>
    </w:p>
    <w:p>
      <w:pPr>
        <w:ind w:left="3260"/>
        <w:spacing w:after="0"/>
        <w:rPr>
          <w:sz w:val="20"/>
          <w:szCs w:val="20"/>
          <w:color w:val="auto"/>
        </w:rPr>
      </w:pPr>
      <w:r>
        <w:rPr>
          <w:rFonts w:ascii="Courier New" w:cs="Courier New" w:eastAsia="Courier New" w:hAnsi="Courier New"/>
          <w:sz w:val="18"/>
          <w:szCs w:val="18"/>
          <w:color w:val="auto"/>
        </w:rPr>
        <w:t>0</w:t>
      </w:r>
    </w:p>
    <w:p>
      <w:pPr>
        <w:ind w:left="3900"/>
        <w:spacing w:after="0" w:line="237" w:lineRule="auto"/>
        <w:rPr>
          <w:sz w:val="20"/>
          <w:szCs w:val="20"/>
          <w:color w:val="auto"/>
        </w:rPr>
      </w:pPr>
      <w:r>
        <w:rPr>
          <w:rFonts w:ascii="Courier New" w:cs="Courier New" w:eastAsia="Courier New" w:hAnsi="Courier New"/>
          <w:sz w:val="18"/>
          <w:szCs w:val="18"/>
          <w:color w:val="auto"/>
        </w:rPr>
        <w:t>6,400</w:t>
      </w:r>
    </w:p>
    <w:p>
      <w:pPr>
        <w:ind w:left="4420"/>
        <w:spacing w:after="0"/>
        <w:rPr>
          <w:sz w:val="20"/>
          <w:szCs w:val="20"/>
          <w:color w:val="auto"/>
        </w:rPr>
      </w:pPr>
      <w:r>
        <w:rPr>
          <w:rFonts w:ascii="Courier New" w:cs="Courier New" w:eastAsia="Courier New" w:hAnsi="Courier New"/>
          <w:sz w:val="18"/>
          <w:szCs w:val="18"/>
          <w:color w:val="auto"/>
        </w:rPr>
        <w:t>200</w:t>
      </w:r>
    </w:p>
    <w:p>
      <w:pPr>
        <w:ind w:left="3780"/>
        <w:spacing w:after="0" w:line="237" w:lineRule="auto"/>
        <w:rPr>
          <w:sz w:val="20"/>
          <w:szCs w:val="20"/>
          <w:color w:val="auto"/>
        </w:rPr>
      </w:pPr>
      <w:r>
        <w:rPr>
          <w:rFonts w:ascii="Courier New" w:cs="Courier New" w:eastAsia="Courier New" w:hAnsi="Courier New"/>
          <w:sz w:val="18"/>
          <w:szCs w:val="18"/>
          <w:color w:val="auto"/>
        </w:rPr>
        <w:t>174,883</w:t>
      </w:r>
    </w:p>
    <w:p>
      <w:pPr>
        <w:ind w:left="1880"/>
        <w:spacing w:after="0" w:line="238" w:lineRule="auto"/>
        <w:rPr>
          <w:sz w:val="20"/>
          <w:szCs w:val="20"/>
          <w:color w:val="auto"/>
        </w:rPr>
      </w:pPr>
      <w:r>
        <w:rPr>
          <w:rFonts w:ascii="Courier New" w:cs="Courier New" w:eastAsia="Courier New" w:hAnsi="Courier New"/>
          <w:sz w:val="18"/>
          <w:szCs w:val="18"/>
          <w:color w:val="auto"/>
        </w:rPr>
        <w:t>394,892</w:t>
      </w:r>
    </w:p>
    <w:p>
      <w:pPr>
        <w:ind w:left="4100"/>
        <w:spacing w:after="0"/>
        <w:rPr>
          <w:sz w:val="20"/>
          <w:szCs w:val="20"/>
          <w:color w:val="auto"/>
        </w:rPr>
      </w:pPr>
      <w:r>
        <w:rPr>
          <w:rFonts w:ascii="Courier New" w:cs="Courier New" w:eastAsia="Courier New" w:hAnsi="Courier New"/>
          <w:sz w:val="18"/>
          <w:szCs w:val="18"/>
          <w:color w:val="auto"/>
        </w:rPr>
        <w:t>291,638</w:t>
      </w:r>
    </w:p>
    <w:p>
      <w:pPr>
        <w:ind w:left="3160"/>
        <w:spacing w:after="0" w:line="237" w:lineRule="auto"/>
        <w:rPr>
          <w:sz w:val="20"/>
          <w:szCs w:val="20"/>
          <w:color w:val="auto"/>
        </w:rPr>
      </w:pPr>
      <w:r>
        <w:rPr>
          <w:rFonts w:ascii="Courier New" w:cs="Courier New" w:eastAsia="Courier New" w:hAnsi="Courier New"/>
          <w:sz w:val="18"/>
          <w:szCs w:val="18"/>
          <w:color w:val="auto"/>
        </w:rPr>
        <w:t>291,638</w:t>
      </w:r>
    </w:p>
    <w:p>
      <w:pPr>
        <w:jc w:val="right"/>
        <w:ind w:right="5059"/>
        <w:spacing w:after="0"/>
        <w:rPr>
          <w:sz w:val="20"/>
          <w:szCs w:val="20"/>
          <w:color w:val="auto"/>
        </w:rPr>
      </w:pPr>
      <w:r>
        <w:rPr>
          <w:rFonts w:ascii="Courier New" w:cs="Courier New" w:eastAsia="Courier New" w:hAnsi="Courier New"/>
          <w:sz w:val="18"/>
          <w:szCs w:val="18"/>
          <w:color w:val="auto"/>
        </w:rPr>
        <w:t>252,751</w:t>
      </w:r>
    </w:p>
    <w:p>
      <w:pPr>
        <w:jc w:val="center"/>
        <w:ind w:right="2439"/>
        <w:spacing w:after="0" w:line="237" w:lineRule="auto"/>
        <w:rPr>
          <w:sz w:val="20"/>
          <w:szCs w:val="20"/>
          <w:color w:val="auto"/>
        </w:rPr>
      </w:pPr>
      <w:r>
        <w:rPr>
          <w:rFonts w:ascii="Courier New" w:cs="Courier New" w:eastAsia="Courier New" w:hAnsi="Courier New"/>
          <w:sz w:val="18"/>
          <w:szCs w:val="18"/>
          <w:color w:val="auto"/>
        </w:rPr>
        <w:t>252,751</w:t>
      </w:r>
    </w:p>
    <w:p>
      <w:pPr>
        <w:jc w:val="center"/>
        <w:ind w:right="2439"/>
        <w:spacing w:after="0"/>
        <w:rPr>
          <w:sz w:val="20"/>
          <w:szCs w:val="20"/>
          <w:color w:val="auto"/>
        </w:rPr>
      </w:pPr>
      <w:r>
        <w:rPr>
          <w:rFonts w:ascii="Courier New" w:cs="Courier New" w:eastAsia="Courier New" w:hAnsi="Courier New"/>
          <w:sz w:val="18"/>
          <w:szCs w:val="18"/>
          <w:color w:val="auto"/>
        </w:rPr>
        <w:t>0</w:t>
      </w:r>
    </w:p>
    <w:p>
      <w:pPr>
        <w:jc w:val="center"/>
        <w:ind w:right="2439"/>
        <w:spacing w:after="0" w:line="237" w:lineRule="auto"/>
        <w:rPr>
          <w:sz w:val="20"/>
          <w:szCs w:val="20"/>
          <w:color w:val="auto"/>
        </w:rPr>
      </w:pPr>
      <w:r>
        <w:rPr>
          <w:rFonts w:ascii="Courier New" w:cs="Courier New" w:eastAsia="Courier New" w:hAnsi="Courier New"/>
          <w:sz w:val="18"/>
          <w:szCs w:val="18"/>
          <w:color w:val="auto"/>
        </w:rPr>
        <w:t>0</w:t>
      </w:r>
    </w:p>
    <w:p>
      <w:pPr>
        <w:ind w:left="3360"/>
        <w:spacing w:after="0"/>
        <w:rPr>
          <w:sz w:val="20"/>
          <w:szCs w:val="20"/>
          <w:color w:val="auto"/>
        </w:rPr>
      </w:pPr>
      <w:r>
        <w:rPr>
          <w:rFonts w:ascii="Courier New" w:cs="Courier New" w:eastAsia="Courier New" w:hAnsi="Courier New"/>
          <w:sz w:val="18"/>
          <w:szCs w:val="18"/>
          <w:color w:val="auto"/>
        </w:rPr>
        <w:t>897</w:t>
      </w:r>
    </w:p>
    <w:p>
      <w:pPr>
        <w:ind w:left="3460"/>
        <w:spacing w:after="0" w:line="237" w:lineRule="auto"/>
        <w:rPr>
          <w:sz w:val="20"/>
          <w:szCs w:val="20"/>
          <w:color w:val="auto"/>
        </w:rPr>
      </w:pPr>
      <w:r>
        <w:rPr>
          <w:rFonts w:ascii="Courier New" w:cs="Courier New" w:eastAsia="Courier New" w:hAnsi="Courier New"/>
          <w:sz w:val="18"/>
          <w:szCs w:val="18"/>
          <w:color w:val="auto"/>
        </w:rPr>
        <w:t>8,345</w:t>
      </w:r>
    </w:p>
    <w:p>
      <w:pPr>
        <w:ind w:left="3780"/>
        <w:spacing w:after="0" w:line="238" w:lineRule="auto"/>
        <w:rPr>
          <w:sz w:val="20"/>
          <w:szCs w:val="20"/>
          <w:color w:val="auto"/>
        </w:rPr>
      </w:pPr>
      <w:r>
        <w:rPr>
          <w:rFonts w:ascii="Courier New" w:cs="Courier New" w:eastAsia="Courier New" w:hAnsi="Courier New"/>
          <w:sz w:val="18"/>
          <w:szCs w:val="18"/>
          <w:color w:val="auto"/>
        </w:rPr>
        <w:t>3,505</w:t>
      </w:r>
    </w:p>
    <w:p>
      <w:pPr>
        <w:ind w:left="3040"/>
        <w:spacing w:after="0"/>
        <w:rPr>
          <w:sz w:val="20"/>
          <w:szCs w:val="20"/>
          <w:color w:val="auto"/>
        </w:rPr>
      </w:pPr>
      <w:r>
        <w:rPr>
          <w:rFonts w:ascii="Courier New" w:cs="Courier New" w:eastAsia="Courier New" w:hAnsi="Courier New"/>
          <w:sz w:val="18"/>
          <w:szCs w:val="18"/>
          <w:color w:val="auto"/>
        </w:rPr>
        <w:t>4,840</w:t>
      </w:r>
    </w:p>
    <w:p>
      <w:pPr>
        <w:ind w:left="4000"/>
        <w:spacing w:after="0" w:line="237" w:lineRule="auto"/>
        <w:rPr>
          <w:sz w:val="20"/>
          <w:szCs w:val="20"/>
          <w:color w:val="auto"/>
        </w:rPr>
      </w:pPr>
      <w:r>
        <w:rPr>
          <w:rFonts w:ascii="Courier New" w:cs="Courier New" w:eastAsia="Courier New" w:hAnsi="Courier New"/>
          <w:sz w:val="18"/>
          <w:szCs w:val="18"/>
          <w:color w:val="auto"/>
        </w:rPr>
        <w:t>0</w:t>
      </w:r>
    </w:p>
    <w:p>
      <w:pPr>
        <w:ind w:left="3900"/>
        <w:spacing w:after="0"/>
        <w:rPr>
          <w:sz w:val="20"/>
          <w:szCs w:val="20"/>
          <w:color w:val="auto"/>
        </w:rPr>
      </w:pPr>
      <w:r>
        <w:rPr>
          <w:rFonts w:ascii="Courier New" w:cs="Courier New" w:eastAsia="Courier New" w:hAnsi="Courier New"/>
          <w:sz w:val="18"/>
          <w:szCs w:val="18"/>
          <w:color w:val="auto"/>
        </w:rPr>
        <w:t>0</w:t>
      </w:r>
    </w:p>
    <w:p>
      <w:pPr>
        <w:ind w:left="4520"/>
        <w:spacing w:after="0" w:line="237" w:lineRule="auto"/>
        <w:rPr>
          <w:sz w:val="20"/>
          <w:szCs w:val="20"/>
          <w:color w:val="auto"/>
        </w:rPr>
      </w:pPr>
      <w:r>
        <w:rPr>
          <w:rFonts w:ascii="Courier New" w:cs="Courier New" w:eastAsia="Courier New" w:hAnsi="Courier New"/>
          <w:sz w:val="18"/>
          <w:szCs w:val="18"/>
          <w:color w:val="auto"/>
        </w:rPr>
        <w:t>0</w:t>
      </w:r>
    </w:p>
    <w:p>
      <w:pPr>
        <w:ind w:left="3780"/>
        <w:spacing w:after="0"/>
        <w:rPr>
          <w:sz w:val="20"/>
          <w:szCs w:val="20"/>
          <w:color w:val="auto"/>
        </w:rPr>
      </w:pPr>
      <w:r>
        <w:rPr>
          <w:rFonts w:ascii="Courier New" w:cs="Courier New" w:eastAsia="Courier New" w:hAnsi="Courier New"/>
          <w:sz w:val="18"/>
          <w:szCs w:val="18"/>
          <w:color w:val="auto"/>
        </w:rPr>
        <w:t>4,840</w:t>
      </w:r>
    </w:p>
    <w:p>
      <w:pPr>
        <w:ind w:left="3780"/>
        <w:spacing w:after="0" w:line="237" w:lineRule="auto"/>
        <w:rPr>
          <w:sz w:val="20"/>
          <w:szCs w:val="20"/>
          <w:color w:val="auto"/>
        </w:rPr>
      </w:pPr>
      <w:r>
        <w:rPr>
          <w:rFonts w:ascii="Courier New" w:cs="Courier New" w:eastAsia="Courier New" w:hAnsi="Courier New"/>
          <w:sz w:val="18"/>
          <w:szCs w:val="18"/>
          <w:color w:val="auto"/>
        </w:rPr>
        <w:t>0.22</w:t>
      </w:r>
    </w:p>
    <w:p>
      <w:pPr>
        <w:ind w:left="3780"/>
        <w:spacing w:after="0" w:line="238" w:lineRule="auto"/>
        <w:rPr>
          <w:sz w:val="20"/>
          <w:szCs w:val="20"/>
          <w:color w:val="auto"/>
        </w:rPr>
      </w:pPr>
      <w:r>
        <w:rPr>
          <w:rFonts w:ascii="Courier New" w:cs="Courier New" w:eastAsia="Courier New" w:hAnsi="Courier New"/>
          <w:sz w:val="18"/>
          <w:szCs w:val="18"/>
          <w:color w:val="auto"/>
        </w:rPr>
        <w:t>0.22</w:t>
      </w:r>
    </w:p>
    <w:sectPr>
      <w:pgSz w:w="11900" w:h="16838" w:orient="portrait"/>
      <w:cols w:equalWidth="0" w:num="1">
        <w:col w:w="10099"/>
      </w:cols>
      <w:pgMar w:left="36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2"/>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2019-12-13T15:05:06Z</dcterms:created>
  <dcterms:modified xsi:type="dcterms:W3CDTF">2019-12-13T15:05:06Z</dcterms:modified>
</cp:coreProperties>
</file>