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20"/>
        </w:rPr>
      </w:pPr>
      <w:bookmarkStart w:id="0" w:name="abm-20250327.htm"/>
      <w:bookmarkStart w:id="1" w:name="ksabm20250327"/>
      <w:bookmarkEnd w:id="0"/>
      <w:bookmarkEnd w:id="1"/>
      <w:r>
        <w:rPr>
          <w:rFonts w:ascii="Times New Roman" w:hAnsi="Times New Roman"/>
          <w:b/>
          <w:color w:val="000000"/>
          <w:sz w:val="20"/>
        </w:rPr>
        <w:t>As filed with the Securities and Exchange Commission on March 27, 2025</w:t>
      </w:r>
    </w:p>
    <w:p>
      <w:pPr>
        <w:pStyle w:val="TextBody"/>
        <w:bidi w:val="0"/>
        <w:jc w:val="right"/>
        <w:rPr>
          <w:rFonts w:ascii="Times New Roman" w:hAnsi="Times New Roman"/>
          <w:b/>
          <w:color w:val="000000"/>
          <w:sz w:val="20"/>
        </w:rPr>
      </w:pPr>
      <w:r>
        <w:rPr>
          <w:rFonts w:ascii="Times New Roman" w:hAnsi="Times New Roman"/>
          <w:b/>
          <w:color w:val="000000"/>
          <w:sz w:val="20"/>
        </w:rPr>
        <w:t>Registration No. 333-</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UNITED STATES</w:t>
      </w:r>
    </w:p>
    <w:p>
      <w:pPr>
        <w:pStyle w:val="TextBody"/>
        <w:bidi w:val="0"/>
        <w:jc w:val="center"/>
        <w:rPr>
          <w:rFonts w:ascii="Times New Roman" w:hAnsi="Times New Roman"/>
          <w:b/>
          <w:color w:val="000000"/>
          <w:sz w:val="24"/>
        </w:rPr>
      </w:pPr>
      <w:r>
        <w:rPr>
          <w:rFonts w:ascii="Times New Roman" w:hAnsi="Times New Roman"/>
          <w:b/>
          <w:color w:val="000000"/>
          <w:sz w:val="24"/>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FORM S-8</w:t>
      </w:r>
    </w:p>
    <w:p>
      <w:pPr>
        <w:pStyle w:val="TextBody"/>
        <w:bidi w:val="0"/>
        <w:jc w:val="center"/>
        <w:rPr>
          <w:rFonts w:ascii="Times New Roman" w:hAnsi="Times New Roman"/>
          <w:b/>
          <w:color w:val="000000"/>
          <w:sz w:val="24"/>
        </w:rPr>
      </w:pPr>
      <w:r>
        <w:rPr>
          <w:rFonts w:ascii="Times New Roman" w:hAnsi="Times New Roman"/>
          <w:b/>
          <w:color w:val="000000"/>
          <w:sz w:val="24"/>
        </w:rPr>
        <w:t>REGISTRATION STATEMENT</w:t>
      </w:r>
    </w:p>
    <w:p>
      <w:pPr>
        <w:pStyle w:val="TextBody"/>
        <w:bidi w:val="0"/>
        <w:jc w:val="center"/>
        <w:rPr>
          <w:rFonts w:ascii="Times New Roman" w:hAnsi="Times New Roman"/>
          <w:b/>
          <w:color w:val="000000"/>
          <w:sz w:val="24"/>
        </w:rPr>
      </w:pPr>
      <w:r>
        <w:rPr>
          <w:rFonts w:ascii="Times New Roman" w:hAnsi="Times New Roman"/>
          <w:b/>
          <w:color w:val="000000"/>
          <w:sz w:val="24"/>
        </w:rPr>
        <w:t>UNDER THE SECURITIES ACT OF 1933</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ABM Industries Incorporated</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bidi w:val="0"/>
        <w:jc w:val="center"/>
        <w:rPr/>
      </w:pPr>
      <w:r>
        <w:rPr/>
        <w:t> </w:t>
      </w:r>
    </w:p>
    <w:tbl>
      <w:tblPr>
        <w:tblW w:w="6990" w:type="dxa"/>
        <w:jc w:val="left"/>
        <w:tblInd w:w="0" w:type="dxa"/>
        <w:tblLayout w:type="fixed"/>
        <w:tblCellMar>
          <w:top w:w="28" w:type="dxa"/>
          <w:left w:w="28" w:type="dxa"/>
          <w:bottom w:w="28" w:type="dxa"/>
          <w:right w:w="28" w:type="dxa"/>
        </w:tblCellMar>
      </w:tblPr>
      <w:tblGrid>
        <w:gridCol w:w="4267"/>
        <w:gridCol w:w="2723"/>
      </w:tblGrid>
      <w:tr>
        <w:trPr/>
        <w:tc>
          <w:tcPr>
            <w:tcW w:w="4267" w:type="dxa"/>
            <w:tcBorders/>
            <w:vAlign w:val="center"/>
          </w:tcPr>
          <w:p>
            <w:pPr>
              <w:pStyle w:val="TableContents"/>
              <w:bidi w:val="0"/>
              <w:spacing w:before="0" w:after="283"/>
              <w:jc w:val="left"/>
              <w:rPr>
                <w:sz w:val="4"/>
                <w:szCs w:val="4"/>
              </w:rPr>
            </w:pPr>
            <w:r>
              <w:rPr>
                <w:sz w:val="4"/>
                <w:szCs w:val="4"/>
              </w:rPr>
            </w:r>
          </w:p>
        </w:tc>
        <w:tc>
          <w:tcPr>
            <w:tcW w:w="2723" w:type="dxa"/>
            <w:tcBorders/>
            <w:vAlign w:val="center"/>
          </w:tcPr>
          <w:p>
            <w:pPr>
              <w:pStyle w:val="TableContents"/>
              <w:bidi w:val="0"/>
              <w:spacing w:before="0" w:after="283"/>
              <w:jc w:val="left"/>
              <w:rPr>
                <w:sz w:val="4"/>
                <w:szCs w:val="4"/>
              </w:rPr>
            </w:pPr>
            <w:r>
              <w:rPr>
                <w:sz w:val="4"/>
                <w:szCs w:val="4"/>
              </w:rPr>
            </w:r>
          </w:p>
        </w:tc>
      </w:tr>
      <w:tr>
        <w:trPr/>
        <w:tc>
          <w:tcPr>
            <w:tcW w:w="4267"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2"/>
              </w:rPr>
            </w:pPr>
            <w:r>
              <w:rPr>
                <w:rFonts w:ascii="Times New Roman" w:hAnsi="Times New Roman"/>
                <w:b/>
                <w:color w:val="000000"/>
                <w:sz w:val="22"/>
              </w:rPr>
              <w:t>Delaware</w:t>
            </w:r>
          </w:p>
          <w:p>
            <w:pPr>
              <w:pStyle w:val="TableContents"/>
              <w:bidi w:val="0"/>
              <w:jc w:val="center"/>
              <w:rPr>
                <w:rFonts w:ascii="Times New Roman" w:hAnsi="Times New Roman"/>
                <w:b/>
                <w:color w:val="000000"/>
                <w:sz w:val="18"/>
              </w:rPr>
            </w:pPr>
            <w:r>
              <w:rPr>
                <w:rFonts w:ascii="Times New Roman" w:hAnsi="Times New Roman"/>
                <w:b/>
                <w:color w:val="000000"/>
                <w:sz w:val="18"/>
              </w:rPr>
              <w:t>(State or other jurisdiction of</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incorporation or organization)</w:t>
            </w:r>
          </w:p>
        </w:tc>
        <w:tc>
          <w:tcPr>
            <w:tcW w:w="2723"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2"/>
              </w:rPr>
            </w:pPr>
            <w:r>
              <w:rPr>
                <w:rFonts w:ascii="Times New Roman" w:hAnsi="Times New Roman"/>
                <w:b/>
                <w:color w:val="000000"/>
                <w:sz w:val="22"/>
              </w:rPr>
              <w:t>94-1369354</w:t>
            </w:r>
          </w:p>
          <w:p>
            <w:pPr>
              <w:pStyle w:val="TableContents"/>
              <w:bidi w:val="0"/>
              <w:jc w:val="center"/>
              <w:rPr>
                <w:rFonts w:ascii="Times New Roman" w:hAnsi="Times New Roman"/>
                <w:b/>
                <w:color w:val="000000"/>
                <w:sz w:val="18"/>
              </w:rPr>
            </w:pPr>
            <w:r>
              <w:rPr>
                <w:rFonts w:ascii="Times New Roman" w:hAnsi="Times New Roman"/>
                <w:b/>
                <w:color w:val="000000"/>
                <w:sz w:val="18"/>
              </w:rPr>
              <w:t>(I.R.S. Employer</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Identification No.)</w:t>
            </w:r>
          </w:p>
        </w:tc>
      </w:tr>
      <w:tr>
        <w:trPr/>
        <w:tc>
          <w:tcPr>
            <w:tcW w:w="4267"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2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990" w:type="dxa"/>
            <w:gridSpan w:val="2"/>
            <w:tcBorders/>
            <w:tcMar>
              <w:top w:w="0" w:type="dxa"/>
              <w:left w:w="0" w:type="dxa"/>
              <w:bottom w:w="0" w:type="dxa"/>
              <w:right w:w="0" w:type="dxa"/>
            </w:tcMar>
            <w:vAlign w:val="center"/>
          </w:tcPr>
          <w:p>
            <w:pPr>
              <w:pStyle w:val="TableContents"/>
              <w:bidi w:val="0"/>
              <w:jc w:val="center"/>
              <w:rPr>
                <w:rFonts w:ascii="Times New Roman" w:hAnsi="Times New Roman"/>
                <w:sz w:val="22"/>
              </w:rPr>
            </w:pPr>
            <w:r>
              <w:rPr>
                <w:rFonts w:ascii="Times New Roman" w:hAnsi="Times New Roman"/>
                <w:b/>
                <w:color w:val="000000"/>
                <w:sz w:val="22"/>
              </w:rPr>
              <w:t>One Liberty Plaza, 7th Floor</w:t>
            </w:r>
            <w:r>
              <w:rPr>
                <w:rFonts w:ascii="Times New Roman" w:hAnsi="Times New Roman"/>
                <w:color w:val="000000"/>
                <w:sz w:val="22"/>
              </w:rPr>
              <w:t xml:space="preserve"> </w:t>
            </w:r>
          </w:p>
          <w:p>
            <w:pPr>
              <w:pStyle w:val="TableContents"/>
              <w:bidi w:val="0"/>
              <w:jc w:val="center"/>
              <w:rPr>
                <w:rFonts w:ascii="Times New Roman" w:hAnsi="Times New Roman"/>
                <w:b/>
                <w:color w:val="000000"/>
                <w:sz w:val="22"/>
              </w:rPr>
            </w:pPr>
            <w:r>
              <w:rPr>
                <w:rFonts w:ascii="Times New Roman" w:hAnsi="Times New Roman"/>
                <w:b/>
                <w:color w:val="000000"/>
                <w:sz w:val="22"/>
              </w:rPr>
              <w:t>New York, New York 10006</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(Address of Principal Executive Offices)(Zip Code)</w:t>
            </w:r>
          </w:p>
        </w:tc>
      </w:tr>
      <w:tr>
        <w:trPr/>
        <w:tc>
          <w:tcPr>
            <w:tcW w:w="6990"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990" w:type="dxa"/>
            <w:gridSpan w:val="2"/>
            <w:tcBorders/>
            <w:tcMar>
              <w:top w:w="0" w:type="dxa"/>
              <w:left w:w="0" w:type="dxa"/>
              <w:bottom w:w="0" w:type="dxa"/>
              <w:right w:w="0" w:type="dxa"/>
            </w:tcMar>
            <w:vAlign w:val="center"/>
          </w:tcPr>
          <w:p>
            <w:pPr>
              <w:pStyle w:val="TableContents"/>
              <w:bidi w:val="0"/>
              <w:jc w:val="center"/>
              <w:rPr>
                <w:rFonts w:ascii="Times New Roman" w:hAnsi="Times New Roman"/>
                <w:b/>
                <w:color w:val="000000"/>
                <w:sz w:val="24"/>
              </w:rPr>
            </w:pPr>
            <w:r>
              <w:rPr>
                <w:rFonts w:ascii="Times New Roman" w:hAnsi="Times New Roman"/>
                <w:b/>
                <w:color w:val="000000"/>
                <w:sz w:val="24"/>
              </w:rPr>
              <w:t>ABM Industries Incorporated 2025 Employee Stock Purchase Plan</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(Full title of the plan)</w:t>
            </w:r>
          </w:p>
        </w:tc>
      </w:tr>
      <w:tr>
        <w:trPr/>
        <w:tc>
          <w:tcPr>
            <w:tcW w:w="6990"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990" w:type="dxa"/>
            <w:gridSpan w:val="2"/>
            <w:tcBorders/>
            <w:tcMar>
              <w:top w:w="0" w:type="dxa"/>
              <w:left w:w="0" w:type="dxa"/>
              <w:bottom w:w="0" w:type="dxa"/>
              <w:right w:w="0" w:type="dxa"/>
            </w:tcMar>
            <w:vAlign w:val="center"/>
          </w:tcPr>
          <w:p>
            <w:pPr>
              <w:pStyle w:val="TableContents"/>
              <w:bidi w:val="0"/>
              <w:jc w:val="center"/>
              <w:rPr>
                <w:rFonts w:ascii="Times New Roman" w:hAnsi="Times New Roman"/>
                <w:b/>
                <w:color w:val="000000"/>
                <w:sz w:val="22"/>
              </w:rPr>
            </w:pPr>
            <w:r>
              <w:rPr>
                <w:rFonts w:ascii="Times New Roman" w:hAnsi="Times New Roman"/>
                <w:b/>
                <w:color w:val="000000"/>
                <w:sz w:val="22"/>
              </w:rPr>
              <w:t>David R. Goldman</w:t>
            </w:r>
          </w:p>
          <w:p>
            <w:pPr>
              <w:pStyle w:val="TableContents"/>
              <w:bidi w:val="0"/>
              <w:jc w:val="center"/>
              <w:rPr>
                <w:rFonts w:ascii="Times New Roman" w:hAnsi="Times New Roman"/>
                <w:b/>
                <w:color w:val="000000"/>
                <w:sz w:val="22"/>
              </w:rPr>
            </w:pPr>
            <w:r>
              <w:rPr>
                <w:rFonts w:ascii="Times New Roman" w:hAnsi="Times New Roman"/>
                <w:b/>
                <w:color w:val="000000"/>
                <w:sz w:val="22"/>
              </w:rPr>
              <w:t>Vice President and Corporate Secretary</w:t>
            </w:r>
          </w:p>
          <w:p>
            <w:pPr>
              <w:pStyle w:val="TableContents"/>
              <w:bidi w:val="0"/>
              <w:jc w:val="center"/>
              <w:rPr>
                <w:rFonts w:ascii="Times New Roman" w:hAnsi="Times New Roman"/>
                <w:b/>
                <w:color w:val="000000"/>
                <w:sz w:val="22"/>
              </w:rPr>
            </w:pPr>
            <w:r>
              <w:rPr>
                <w:rFonts w:ascii="Times New Roman" w:hAnsi="Times New Roman"/>
                <w:b/>
                <w:color w:val="000000"/>
                <w:sz w:val="22"/>
              </w:rPr>
              <w:t>ABM Industries Incorporated</w:t>
            </w:r>
          </w:p>
          <w:p>
            <w:pPr>
              <w:pStyle w:val="TableContents"/>
              <w:bidi w:val="0"/>
              <w:jc w:val="center"/>
              <w:rPr>
                <w:rFonts w:ascii="Times New Roman" w:hAnsi="Times New Roman"/>
                <w:b/>
                <w:color w:val="000000"/>
                <w:sz w:val="22"/>
              </w:rPr>
            </w:pPr>
            <w:r>
              <w:rPr>
                <w:rFonts w:ascii="Times New Roman" w:hAnsi="Times New Roman"/>
                <w:b/>
                <w:color w:val="000000"/>
                <w:sz w:val="22"/>
              </w:rPr>
              <w:t>One Liberty Plaza, 7th Floor</w:t>
            </w:r>
          </w:p>
          <w:p>
            <w:pPr>
              <w:pStyle w:val="TableContents"/>
              <w:bidi w:val="0"/>
              <w:jc w:val="center"/>
              <w:rPr>
                <w:rFonts w:ascii="Times New Roman" w:hAnsi="Times New Roman"/>
                <w:b/>
                <w:color w:val="000000"/>
                <w:sz w:val="22"/>
              </w:rPr>
            </w:pPr>
            <w:r>
              <w:rPr>
                <w:rFonts w:ascii="Times New Roman" w:hAnsi="Times New Roman"/>
                <w:b/>
                <w:color w:val="000000"/>
                <w:sz w:val="22"/>
              </w:rPr>
              <w:t>New York, NY 10006</w:t>
            </w:r>
          </w:p>
          <w:p>
            <w:pPr>
              <w:pStyle w:val="TableContents"/>
              <w:bidi w:val="0"/>
              <w:jc w:val="center"/>
              <w:rPr>
                <w:rFonts w:ascii="Times New Roman" w:hAnsi="Times New Roman"/>
                <w:b/>
                <w:color w:val="000000"/>
                <w:sz w:val="22"/>
              </w:rPr>
            </w:pPr>
            <w:r>
              <w:rPr>
                <w:rFonts w:ascii="Times New Roman" w:hAnsi="Times New Roman"/>
                <w:b/>
                <w:color w:val="000000"/>
                <w:sz w:val="22"/>
              </w:rPr>
              <w:t>(212) 297-0200</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address, and telephone number, including area code, of agent for service)</w:t>
            </w:r>
          </w:p>
        </w:tc>
      </w:tr>
    </w:tbl>
    <w:p>
      <w:pPr>
        <w:pStyle w:val="TextBody"/>
        <w:bidi w:val="0"/>
        <w:jc w:val="center"/>
        <w:rPr/>
      </w:pPr>
      <w:r>
        <w:rPr/>
        <w:t> </w:t>
      </w:r>
    </w:p>
    <w:p>
      <w:pPr>
        <w:pStyle w:val="TextBody"/>
        <w:bidi w:val="0"/>
        <w:jc w:val="center"/>
        <w:rPr/>
      </w:pPr>
      <w:r>
        <w:rPr/>
        <w:t> </w:t>
      </w:r>
    </w:p>
    <w:tbl>
      <w:tblPr>
        <w:tblW w:w="3901" w:type="dxa"/>
        <w:jc w:val="left"/>
        <w:tblInd w:w="0" w:type="dxa"/>
        <w:tblLayout w:type="fixed"/>
        <w:tblCellMar>
          <w:top w:w="28" w:type="dxa"/>
          <w:left w:w="28" w:type="dxa"/>
          <w:bottom w:w="28" w:type="dxa"/>
          <w:right w:w="28" w:type="dxa"/>
        </w:tblCellMar>
      </w:tblPr>
      <w:tblGrid>
        <w:gridCol w:w="3901"/>
      </w:tblGrid>
      <w:tr>
        <w:trPr/>
        <w:tc>
          <w:tcPr>
            <w:tcW w:w="3901" w:type="dxa"/>
            <w:tcBorders/>
            <w:vAlign w:val="center"/>
          </w:tcPr>
          <w:p>
            <w:pPr>
              <w:pStyle w:val="TableContents"/>
              <w:bidi w:val="0"/>
              <w:spacing w:before="0" w:after="283"/>
              <w:jc w:val="left"/>
              <w:rPr>
                <w:sz w:val="4"/>
                <w:szCs w:val="4"/>
              </w:rPr>
            </w:pPr>
            <w:r>
              <w:rPr>
                <w:sz w:val="4"/>
                <w:szCs w:val="4"/>
              </w:rPr>
            </w:r>
          </w:p>
        </w:tc>
      </w:tr>
      <w:tr>
        <w:trPr/>
        <w:tc>
          <w:tcPr>
            <w:tcW w:w="39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2"/>
              </w:rPr>
            </w:pPr>
            <w:r>
              <w:rPr>
                <w:rFonts w:ascii="Times New Roman" w:hAnsi="Times New Roman"/>
                <w:b/>
                <w:i/>
                <w:color w:val="000000"/>
                <w:sz w:val="22"/>
              </w:rPr>
              <w:t>Copy to:</w:t>
            </w:r>
          </w:p>
        </w:tc>
      </w:tr>
      <w:tr>
        <w:trPr/>
        <w:tc>
          <w:tcPr>
            <w:tcW w:w="390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90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2"/>
              </w:rPr>
            </w:pPr>
            <w:r>
              <w:rPr>
                <w:rFonts w:ascii="Times New Roman" w:hAnsi="Times New Roman"/>
                <w:b/>
                <w:color w:val="000000"/>
                <w:sz w:val="22"/>
              </w:rPr>
              <w:t>Amy I. Pandit</w:t>
            </w:r>
          </w:p>
          <w:p>
            <w:pPr>
              <w:pStyle w:val="TableContents"/>
              <w:bidi w:val="0"/>
              <w:jc w:val="center"/>
              <w:rPr>
                <w:rFonts w:ascii="Times New Roman" w:hAnsi="Times New Roman"/>
                <w:b/>
                <w:color w:val="000000"/>
                <w:sz w:val="22"/>
              </w:rPr>
            </w:pPr>
            <w:r>
              <w:rPr>
                <w:rFonts w:ascii="Times New Roman" w:hAnsi="Times New Roman"/>
                <w:b/>
                <w:color w:val="000000"/>
                <w:sz w:val="22"/>
              </w:rPr>
              <w:t>Jones Day</w:t>
            </w:r>
          </w:p>
          <w:p>
            <w:pPr>
              <w:pStyle w:val="TableContents"/>
              <w:bidi w:val="0"/>
              <w:jc w:val="center"/>
              <w:rPr>
                <w:rFonts w:ascii="Times New Roman" w:hAnsi="Times New Roman"/>
                <w:b/>
                <w:color w:val="000000"/>
                <w:sz w:val="22"/>
              </w:rPr>
            </w:pPr>
            <w:r>
              <w:rPr>
                <w:rFonts w:ascii="Times New Roman" w:hAnsi="Times New Roman"/>
                <w:b/>
                <w:color w:val="000000"/>
                <w:sz w:val="22"/>
              </w:rPr>
              <w:t>1221 Peachtree Street, N.E., Suite 400</w:t>
            </w:r>
          </w:p>
          <w:p>
            <w:pPr>
              <w:pStyle w:val="TableContents"/>
              <w:bidi w:val="0"/>
              <w:jc w:val="center"/>
              <w:rPr>
                <w:rFonts w:ascii="Times New Roman" w:hAnsi="Times New Roman"/>
                <w:b/>
                <w:color w:val="000000"/>
                <w:sz w:val="22"/>
              </w:rPr>
            </w:pPr>
            <w:r>
              <w:rPr>
                <w:rFonts w:ascii="Times New Roman" w:hAnsi="Times New Roman"/>
                <w:b/>
                <w:color w:val="000000"/>
                <w:sz w:val="22"/>
              </w:rPr>
              <w:t>Atlanta, GA 30361</w:t>
            </w:r>
          </w:p>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(404) 581-8611</w:t>
            </w:r>
          </w:p>
        </w:tc>
      </w:tr>
    </w:tbl>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727" w:type="dxa"/>
        <w:jc w:val="left"/>
        <w:tblInd w:w="0" w:type="dxa"/>
        <w:tblLayout w:type="fixed"/>
        <w:tblCellMar>
          <w:top w:w="28" w:type="dxa"/>
          <w:left w:w="28" w:type="dxa"/>
          <w:bottom w:w="28" w:type="dxa"/>
          <w:right w:w="28" w:type="dxa"/>
        </w:tblCellMar>
      </w:tblPr>
      <w:tblGrid>
        <w:gridCol w:w="2146"/>
        <w:gridCol w:w="2581"/>
      </w:tblGrid>
      <w:tr>
        <w:trPr/>
        <w:tc>
          <w:tcPr>
            <w:tcW w:w="2146"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2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 </w:t>
            </w:r>
          </w:p>
        </w:tc>
        <w:tc>
          <w:tcPr>
            <w:tcW w:w="25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Accelerated filer </w:t>
            </w:r>
          </w:p>
        </w:tc>
      </w:tr>
      <w:tr>
        <w:trPr/>
        <w:tc>
          <w:tcPr>
            <w:tcW w:w="2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 </w:t>
            </w:r>
          </w:p>
        </w:tc>
        <w:tc>
          <w:tcPr>
            <w:tcW w:w="25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Smaller reporting company </w:t>
            </w:r>
          </w:p>
        </w:tc>
      </w:tr>
      <w:tr>
        <w:trPr/>
        <w:tc>
          <w:tcPr>
            <w:tcW w:w="2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Emerging growth company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INFORMATION REQUIRED IN THE SECTION 10(a) PROSPECTUS</w:t>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1. Plan Information*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 Registrant Information and Employee Plan Annual Information*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*Information required by Part I to be included in the Section 10(a) prospectus will be sent or given to employees as specified by Rule 428 of the Securities Act of 1933, as amended (the “</w:t>
      </w:r>
      <w:r>
        <w:rPr>
          <w:rFonts w:ascii="Times New Roman" w:hAnsi="Times New Roman"/>
          <w:b/>
          <w:i/>
          <w:color w:val="000000"/>
          <w:sz w:val="20"/>
        </w:rPr>
        <w:t>Securities Act</w:t>
      </w:r>
      <w:r>
        <w:rPr>
          <w:rFonts w:ascii="Times New Roman" w:hAnsi="Times New Roman"/>
          <w:color w:val="000000"/>
          <w:sz w:val="20"/>
        </w:rPr>
        <w:t>”), and is omitted from this Registration Statement in accordance with Rule 428 under the Securities Act and the Note to Part I of Form S-8.</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INFORMATION REQUIRED IN THE REGISTRATION STATEMENT</w:t>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3. Incorporation of Documents by Reference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following documents previously filed by ABM Industries Incorporated (the “</w:t>
      </w:r>
      <w:r>
        <w:rPr>
          <w:rFonts w:ascii="Times New Roman" w:hAnsi="Times New Roman"/>
          <w:b/>
          <w:i/>
          <w:color w:val="000000"/>
          <w:sz w:val="20"/>
        </w:rPr>
        <w:t>Registrant</w:t>
      </w:r>
      <w:r>
        <w:rPr>
          <w:rFonts w:ascii="Times New Roman" w:hAnsi="Times New Roman"/>
          <w:color w:val="000000"/>
          <w:sz w:val="20"/>
        </w:rPr>
        <w:t>” or the “</w:t>
      </w:r>
      <w:r>
        <w:rPr>
          <w:rFonts w:ascii="Times New Roman" w:hAnsi="Times New Roman"/>
          <w:b/>
          <w:i/>
          <w:color w:val="000000"/>
          <w:sz w:val="20"/>
        </w:rPr>
        <w:t>Company</w:t>
      </w:r>
      <w:r>
        <w:rPr>
          <w:rFonts w:ascii="Times New Roman" w:hAnsi="Times New Roman"/>
          <w:color w:val="000000"/>
          <w:sz w:val="20"/>
        </w:rPr>
        <w:t>”) with the Securities and Exchange Commission (the “</w:t>
      </w:r>
      <w:r>
        <w:rPr>
          <w:rFonts w:ascii="Times New Roman" w:hAnsi="Times New Roman"/>
          <w:b/>
          <w:i/>
          <w:color w:val="000000"/>
          <w:sz w:val="20"/>
        </w:rPr>
        <w:t>Commission</w:t>
      </w:r>
      <w:r>
        <w:rPr>
          <w:rFonts w:ascii="Times New Roman" w:hAnsi="Times New Roman"/>
          <w:color w:val="000000"/>
          <w:sz w:val="20"/>
        </w:rPr>
        <w:t xml:space="preserve">”) are incorporated by reference into this Registration Statement: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pPr>
      <w:r>
        <w:rPr>
          <w:rFonts w:ascii="Times New Roman" w:hAnsi="Times New Roman"/>
          <w:color w:val="000000"/>
          <w:sz w:val="20"/>
        </w:rPr>
        <w:t xml:space="preserve">The Registrant’s </w:t>
      </w:r>
      <w:hyperlink r:id="rId2">
        <w:r>
          <w:rPr>
            <w:rStyle w:val="InternetLink"/>
            <w:rFonts w:ascii="Times New Roman" w:hAnsi="Times New Roman"/>
            <w:color w:val="0000FF"/>
            <w:sz w:val="20"/>
            <w:u w:val="single"/>
          </w:rPr>
          <w:t>Annual Report on Form 10-K for the fiscal year ended October 31, 2024</w:t>
        </w:r>
      </w:hyperlink>
      <w:r>
        <w:rPr>
          <w:rFonts w:ascii="Times New Roman" w:hAnsi="Times New Roman"/>
          <w:color w:val="000000"/>
          <w:sz w:val="20"/>
        </w:rPr>
        <w:t xml:space="preserve">, filed with the Commission on December 19, 2024.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pPr>
      <w:r>
        <w:rPr>
          <w:rFonts w:ascii="Times New Roman" w:hAnsi="Times New Roman"/>
          <w:color w:val="000000"/>
          <w:sz w:val="20"/>
        </w:rPr>
        <w:t xml:space="preserve">The Registrant’s </w:t>
      </w:r>
      <w:hyperlink r:id="rId3">
        <w:r>
          <w:rPr>
            <w:rStyle w:val="InternetLink"/>
            <w:rFonts w:ascii="Times New Roman" w:hAnsi="Times New Roman"/>
            <w:color w:val="0000FF"/>
            <w:sz w:val="20"/>
            <w:u w:val="single"/>
          </w:rPr>
          <w:t>Quarterly Report on Form 10-Q for the quarter ended January 31, 2025</w:t>
        </w:r>
      </w:hyperlink>
      <w:r>
        <w:rPr>
          <w:rFonts w:ascii="Times New Roman" w:hAnsi="Times New Roman"/>
          <w:color w:val="000000"/>
          <w:sz w:val="20"/>
        </w:rPr>
        <w:t xml:space="preserve">, filed with the Commission on March 12, 2025.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jc w:val="left"/>
        <w:rPr/>
      </w:pPr>
      <w:r>
        <w:rPr>
          <w:rFonts w:ascii="Times New Roman" w:hAnsi="Times New Roman"/>
          <w:color w:val="000000"/>
          <w:sz w:val="20"/>
        </w:rPr>
        <w:t xml:space="preserve">The Registrant’s Current Reports on Form 8-K filed with the Commission on </w:t>
      </w:r>
      <w:hyperlink r:id="rId4">
        <w:r>
          <w:rPr>
            <w:rStyle w:val="InternetLink"/>
            <w:rFonts w:ascii="Times New Roman" w:hAnsi="Times New Roman"/>
            <w:color w:val="0000FF"/>
            <w:sz w:val="20"/>
            <w:u w:val="single"/>
          </w:rPr>
          <w:t>February 28, 2025</w:t>
        </w:r>
      </w:hyperlink>
      <w:r>
        <w:rPr>
          <w:color w:val="000000"/>
        </w:rPr>
        <w:t xml:space="preserve"> </w:t>
      </w:r>
      <w:r>
        <w:rPr>
          <w:rFonts w:ascii="Times New Roman" w:hAnsi="Times New Roman"/>
          <w:color w:val="000000"/>
          <w:sz w:val="20"/>
        </w:rPr>
        <w:t xml:space="preserve">and </w:t>
      </w:r>
      <w:hyperlink r:id="rId5">
        <w:r>
          <w:rPr>
            <w:rStyle w:val="InternetLink"/>
            <w:rFonts w:ascii="Times New Roman" w:hAnsi="Times New Roman"/>
            <w:color w:val="0000FF"/>
            <w:sz w:val="20"/>
            <w:u w:val="single"/>
          </w:rPr>
          <w:t>March 12, 2025 (Item 8.01 only)</w:t>
        </w:r>
      </w:hyperlink>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jc w:val="left"/>
        <w:rPr/>
      </w:pPr>
      <w:r>
        <w:rPr>
          <w:rFonts w:ascii="Times New Roman" w:hAnsi="Times New Roman"/>
          <w:color w:val="000000"/>
          <w:sz w:val="20"/>
        </w:rPr>
        <w:t xml:space="preserve">The description of the Registrant’s common stock, par value $0.01 per share, contained in </w:t>
      </w:r>
      <w:hyperlink r:id="rId6">
        <w:r>
          <w:rPr>
            <w:rStyle w:val="InternetLink"/>
            <w:rFonts w:ascii="Times New Roman" w:hAnsi="Times New Roman"/>
            <w:color w:val="0000FF"/>
            <w:sz w:val="20"/>
            <w:u w:val="single"/>
          </w:rPr>
          <w:t>Exhibit 4.1</w:t>
        </w:r>
      </w:hyperlink>
      <w:r>
        <w:rPr>
          <w:color w:val="000000"/>
        </w:rPr>
        <w:t xml:space="preserve"> </w:t>
      </w:r>
      <w:r>
        <w:rPr>
          <w:rFonts w:ascii="Times New Roman" w:hAnsi="Times New Roman"/>
          <w:color w:val="000000"/>
          <w:sz w:val="20"/>
        </w:rPr>
        <w:t>to the Registrant’s Annual Report on Form 10-K for the fiscal year ended October 31, 2020, including any subsequently filed amendments and reports updating such description.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the extent that any information contained in any Current Report on Form 8-K, or any exhibit thereto, was furnished to, rather than filed with, the Commission, such information or exhibit is specifically not incorporated by reference.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All reports and other documents that the Registrant subsequently files with the Commission pursuant to Sections 13(a), 13(c), 14 or 15(d) of the Securities Exchange Act of 1934, as amended (the “</w:t>
      </w:r>
      <w:r>
        <w:rPr>
          <w:rFonts w:ascii="Times New Roman" w:hAnsi="Times New Roman"/>
          <w:b/>
          <w:i/>
          <w:color w:val="000000"/>
          <w:sz w:val="20"/>
        </w:rPr>
        <w:t>Exchange Act</w:t>
      </w:r>
      <w:r>
        <w:rPr>
          <w:rFonts w:ascii="Times New Roman" w:hAnsi="Times New Roman"/>
          <w:color w:val="000000"/>
          <w:sz w:val="20"/>
        </w:rPr>
        <w:t xml:space="preserve">”), after the date of this Registration Statement and prior to the filing of a post-effective amendment that indicates the Registrant has sold all of the securities offered under this Registration Statement or that deregisters the distribution of all such securities then remaining unsold, shall be deemed to be incorporated by reference in this Registration Statement and to be a part hereof from the date that the Registrant files such report or document.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that also is, or is deemed to be, incorporated by reference herein modifies or replaces such statement. Any such statement so modified or replaced shall not be deemed, except as so modified or replaced, to constitute a part of this Registration Statement.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4. Description of Securities.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Item 5. Interests of Named Experts and Counsel.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Mr. David R. Goldman, who is giving an opinion on the validity of the securities being registered, is Vice President and Corporate Secretary for the Registrant and holds common stock of the Registrant. He is eligible to participate in the Plan.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6. Indemnification of Directors and Officers.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Company is a Delaware corporation. Section 145 of the General Corporation Law of the State of Delaware (the “</w:t>
      </w:r>
      <w:r>
        <w:rPr>
          <w:rFonts w:ascii="Times New Roman" w:hAnsi="Times New Roman"/>
          <w:b/>
          <w:i/>
          <w:color w:val="000000"/>
          <w:sz w:val="20"/>
        </w:rPr>
        <w:t>DGCL</w:t>
      </w:r>
      <w:r>
        <w:rPr>
          <w:rFonts w:ascii="Times New Roman" w:hAnsi="Times New Roman"/>
          <w:color w:val="000000"/>
          <w:sz w:val="20"/>
        </w:rPr>
        <w:t>”) as the same exists or may hereafter be amended, inter alia, provides that a Delaware corporation may indemnify any person who was, or is a party or is threatened to be made a party to any threatened, pending or completed action, suit, or proceeding, whether civil, criminal, administrative or investigative (other than an action by or in the right of such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The indemnity may include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corporation’s best interests and, with respect to any criminal action or proceeding, had no reasonable cause to believe that the person’s conduct was unlawful.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Under Section 145 of the DGCL, a similar standard of care is applicable in the case of derivative actions, except that indemnification only extends to expenses (including attorneys’ fees) actually and reasonably incurred in connection with the defense or settlement of such an action and then, where the person is adjudged to be liable to the Company, only if and to the extent that the Court of Chancery of the State of Delaware or the court in which such action or suit was brought determines that such person is fairly and reasonably entitled to such indemnity and only for such expenses as the court shall deem proper.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Article VII of the Company’s Amended and Restated Bylaws provides that the Company must indemnify directors and officers to the fullest extent authorized by the DGCL and also pay expenses incurred in defending any such proceeding in advance of its final disposition upon delivery of an undertaking in writing, by or on behalf of an indemnified person, to repay all amounts so advanced if it should be determined ultimately that such person is not entitled to be indemnified under Article VII of the Amended and Restated Bylaws or otherwise. The Amended and Restated Bylaws further provide that the Company has the power to indemnify employees and agents to the extent not prohibited by the DGCL or other applicable law.</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Section 145 of the DGCL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Section 145.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Article VII of our Amended and Restated Bylaws further provides that the Company must purchase and maintain, at its own expense, insurance to protect the Company and any person against any liability or expense asserted against or incurred by such person in connection with any proceeding, whether or not the corporation would have the power to indemnify such person against such liability or expense by law or under Article VII of the Amended and Restated Bylaws.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Section 102(b)(7) of the DGCL permits a corporation to provide in its certificate of incorporation that a director or officer of the corporation shall not be personally liable to the corporation or its stockholders for monetary damages for breach of fiduciary duty as a director or officer, except for liability of (i) a director or officer for any breach of the director’s or officer’s duty of loyalty to the corporation or its stockholders, (ii) a director or officer for acts or omissions not in good faith or which involve intentional misconduct or a knowing violation of law, (iii) a director for unlawful payments of dividends or unlawful stock repurchases, redemptions or other distributions, (iv) a director or officer for any transaction from which the director or officer derived an improper personal benefit, or (v) an officer in any action by or in the right of the corporation. Article Fourteenth of the Company’s Amended and Restated Certificate of Incorporation provides for such limitation of liability for directors.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has also entered into indemnification agreements with each of its current directors and employment agreements with each of its officers that include, in each case, indemnification provisions to provide them additional contractual assurances regarding the scope of the indemnification set forth in the Amended and Restated Certificate of Incorporation and Amended and Restated Bylaws and to provide additional procedural protections.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7. Exemption from Registration Claimed.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 xml:space="preserve">Item 8. Exhibits.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52"/>
        <w:gridCol w:w="154"/>
        <w:gridCol w:w="9099"/>
      </w:tblGrid>
      <w:tr>
        <w:trPr/>
        <w:tc>
          <w:tcPr>
            <w:tcW w:w="95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099" w:type="dxa"/>
            <w:tcBorders/>
            <w:vAlign w:val="center"/>
          </w:tcPr>
          <w:p>
            <w:pPr>
              <w:pStyle w:val="TableContents"/>
              <w:bidi w:val="0"/>
              <w:spacing w:before="0" w:after="283"/>
              <w:jc w:val="left"/>
              <w:rPr>
                <w:sz w:val="4"/>
                <w:szCs w:val="4"/>
              </w:rPr>
            </w:pPr>
            <w:r>
              <w:rPr>
                <w:sz w:val="4"/>
                <w:szCs w:val="4"/>
              </w:rPr>
            </w:r>
          </w:p>
        </w:tc>
      </w:tr>
      <w:tr>
        <w:trPr/>
        <w:tc>
          <w:tcPr>
            <w:tcW w:w="952" w:type="dxa"/>
            <w:tcBorders/>
            <w:tcMar>
              <w:top w:w="0" w:type="dxa"/>
              <w:left w:w="0" w:type="dxa"/>
              <w:bottom w:w="0" w:type="dxa"/>
              <w:right w:w="0" w:type="dxa"/>
            </w:tcMar>
            <w:vAlign w:val="center"/>
          </w:tcPr>
          <w:p>
            <w:pPr>
              <w:pStyle w:val="TableContents"/>
              <w:bidi w:val="0"/>
              <w:spacing w:before="2" w:after="2"/>
              <w:jc w:val="left"/>
              <w:rPr>
                <w:rFonts w:ascii="Times New Roman" w:hAnsi="Times New Roman"/>
                <w:b/>
                <w:color w:val="000000"/>
                <w:sz w:val="20"/>
                <w:u w:val="single"/>
              </w:rPr>
            </w:pPr>
            <w:r>
              <w:rPr>
                <w:rFonts w:ascii="Times New Roman" w:hAnsi="Times New Roman"/>
                <w:b/>
                <w:color w:val="000000"/>
                <w:sz w:val="20"/>
                <w:u w:val="single"/>
              </w:rPr>
              <w:t>Exhibit No.</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u w:val="single"/>
              </w:rPr>
              <w:t>Description</w:t>
            </w:r>
            <w:r>
              <w:rPr>
                <w:rFonts w:ascii="Times New Roman" w:hAnsi="Times New Roman"/>
                <w:color w:val="000000"/>
                <w:sz w:val="20"/>
              </w:rPr>
              <w:t xml:space="preserve"> </w:t>
            </w:r>
          </w:p>
        </w:tc>
      </w:tr>
      <w:tr>
        <w:trPr/>
        <w:tc>
          <w:tcPr>
            <w:tcW w:w="952" w:type="dxa"/>
            <w:tcBorders/>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tcMar>
              <w:top w:w="0" w:type="dxa"/>
              <w:left w:w="0" w:type="dxa"/>
              <w:bottom w:w="0" w:type="dxa"/>
              <w:right w:w="0" w:type="dxa"/>
            </w:tcMar>
            <w:vAlign w:val="center"/>
          </w:tcPr>
          <w:p>
            <w:pPr>
              <w:pStyle w:val="TableContents"/>
              <w:bidi w:val="0"/>
              <w:spacing w:before="0" w:after="283"/>
              <w:jc w:val="left"/>
              <w:rPr/>
            </w:pPr>
            <w:r>
              <w:rPr/>
              <w:t> </w:t>
            </w:r>
          </w:p>
        </w:tc>
        <w:tc>
          <w:tcPr>
            <w:tcW w:w="909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54" w:type="dxa"/>
            <w:tcBorders/>
            <w:tcMar>
              <w:top w:w="0" w:type="dxa"/>
              <w:left w:w="0" w:type="dxa"/>
              <w:bottom w:w="0" w:type="dxa"/>
              <w:right w:w="0" w:type="dxa"/>
            </w:tcMar>
            <w:vAlign w:val="center"/>
          </w:tcPr>
          <w:p>
            <w:pPr>
              <w:pStyle w:val="TableContents"/>
              <w:bidi w:val="0"/>
              <w:spacing w:before="0" w:after="283"/>
              <w:jc w:val="left"/>
              <w:rPr/>
            </w:pPr>
            <w:r>
              <w:rPr/>
              <w:t> </w:t>
            </w:r>
          </w:p>
        </w:tc>
        <w:tc>
          <w:tcPr>
            <w:tcW w:w="9099"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Amended and Restated Certificate of Incorporation of ABM Industries Incorporated, dated March 25, 2020 (incorporated herein by reference to Exhibit 3.1 to Registrant’s Current Report on Form 8-K filed March 27, 2020 (File No. 001-08929))</w:t>
              </w:r>
            </w:hyperlink>
          </w:p>
        </w:tc>
      </w:tr>
      <w:tr>
        <w:trPr/>
        <w:tc>
          <w:tcPr>
            <w:tcW w:w="952" w:type="dxa"/>
            <w:tcBorders/>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tcMar>
              <w:top w:w="0" w:type="dxa"/>
              <w:left w:w="0" w:type="dxa"/>
              <w:bottom w:w="0" w:type="dxa"/>
              <w:right w:w="0" w:type="dxa"/>
            </w:tcMar>
            <w:vAlign w:val="center"/>
          </w:tcPr>
          <w:p>
            <w:pPr>
              <w:pStyle w:val="TableContents"/>
              <w:bidi w:val="0"/>
              <w:spacing w:before="0" w:after="283"/>
              <w:jc w:val="left"/>
              <w:rPr/>
            </w:pPr>
            <w:r>
              <w:rPr/>
              <w:t> </w:t>
            </w:r>
          </w:p>
        </w:tc>
        <w:tc>
          <w:tcPr>
            <w:tcW w:w="909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54"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c>
          <w:tcPr>
            <w:tcW w:w="9099"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ABM Industries Incorporated Amended and Restated Bylaws, effective March 27, 2024 (incorporated herein by reference to Exhibit 3.1 to Registrant’s Current Report on Form 8-K filed March 27, 2024 (File No. 001-08929))</w:t>
              </w:r>
            </w:hyperlink>
          </w:p>
        </w:tc>
      </w:tr>
      <w:tr>
        <w:trPr/>
        <w:tc>
          <w:tcPr>
            <w:tcW w:w="952" w:type="dxa"/>
            <w:tcBorders/>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tcMar>
              <w:top w:w="0" w:type="dxa"/>
              <w:left w:w="0" w:type="dxa"/>
              <w:bottom w:w="0" w:type="dxa"/>
              <w:right w:w="0" w:type="dxa"/>
            </w:tcMar>
            <w:vAlign w:val="center"/>
          </w:tcPr>
          <w:p>
            <w:pPr>
              <w:pStyle w:val="TableContents"/>
              <w:bidi w:val="0"/>
              <w:spacing w:before="0" w:after="283"/>
              <w:jc w:val="left"/>
              <w:rPr/>
            </w:pPr>
            <w:r>
              <w:rPr/>
              <w:t> </w:t>
            </w:r>
          </w:p>
        </w:tc>
        <w:tc>
          <w:tcPr>
            <w:tcW w:w="909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5.1*</w:t>
            </w:r>
          </w:p>
        </w:tc>
        <w:tc>
          <w:tcPr>
            <w:tcW w:w="154" w:type="dxa"/>
            <w:tcBorders/>
            <w:tcMar>
              <w:top w:w="0" w:type="dxa"/>
              <w:left w:w="0" w:type="dxa"/>
              <w:bottom w:w="0" w:type="dxa"/>
              <w:right w:w="0" w:type="dxa"/>
            </w:tcMar>
            <w:vAlign w:val="center"/>
          </w:tcPr>
          <w:p>
            <w:pPr>
              <w:pStyle w:val="TableContents"/>
              <w:bidi w:val="0"/>
              <w:spacing w:before="0" w:after="283"/>
              <w:jc w:val="left"/>
              <w:rPr/>
            </w:pPr>
            <w:r>
              <w:rPr/>
              <w:t> </w:t>
            </w:r>
          </w:p>
        </w:tc>
        <w:tc>
          <w:tcPr>
            <w:tcW w:w="9099" w:type="dxa"/>
            <w:tcBorders/>
            <w:tcMar>
              <w:top w:w="0" w:type="dxa"/>
              <w:left w:w="0" w:type="dxa"/>
              <w:bottom w:w="0" w:type="dxa"/>
              <w:right w:w="0" w:type="dxa"/>
            </w:tcMar>
            <w:vAlign w:val="center"/>
          </w:tcPr>
          <w:p>
            <w:pPr>
              <w:pStyle w:val="TableContents"/>
              <w:bidi w:val="0"/>
              <w:spacing w:before="0" w:after="283"/>
              <w:jc w:val="left"/>
              <w:rPr/>
            </w:pPr>
            <w:hyperlink w:anchor="abm-ex5_1.htm">
              <w:r>
                <w:rPr>
                  <w:rStyle w:val="InternetLink"/>
                  <w:rFonts w:ascii="Times New Roman" w:hAnsi="Times New Roman"/>
                  <w:color w:val="0000FF"/>
                  <w:sz w:val="20"/>
                  <w:u w:val="single"/>
                </w:rPr>
                <w:t>Opinion of Mr. David R. Goldman, Vice President and Corporate Secretary for ABM Industries Incorporated</w:t>
              </w:r>
            </w:hyperlink>
          </w:p>
        </w:tc>
      </w:tr>
      <w:tr>
        <w:trPr/>
        <w:tc>
          <w:tcPr>
            <w:tcW w:w="952" w:type="dxa"/>
            <w:tcBorders/>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tcMar>
              <w:top w:w="0" w:type="dxa"/>
              <w:left w:w="0" w:type="dxa"/>
              <w:bottom w:w="0" w:type="dxa"/>
              <w:right w:w="0" w:type="dxa"/>
            </w:tcMar>
            <w:vAlign w:val="center"/>
          </w:tcPr>
          <w:p>
            <w:pPr>
              <w:pStyle w:val="TableContents"/>
              <w:bidi w:val="0"/>
              <w:spacing w:before="0" w:after="283"/>
              <w:jc w:val="left"/>
              <w:rPr/>
            </w:pPr>
            <w:r>
              <w:rPr/>
              <w:t> </w:t>
            </w:r>
          </w:p>
        </w:tc>
        <w:tc>
          <w:tcPr>
            <w:tcW w:w="909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54" w:type="dxa"/>
            <w:tcBorders/>
            <w:tcMar>
              <w:top w:w="0" w:type="dxa"/>
              <w:left w:w="0" w:type="dxa"/>
              <w:bottom w:w="0" w:type="dxa"/>
              <w:right w:w="0" w:type="dxa"/>
            </w:tcMar>
            <w:vAlign w:val="center"/>
          </w:tcPr>
          <w:p>
            <w:pPr>
              <w:pStyle w:val="TableContents"/>
              <w:bidi w:val="0"/>
              <w:spacing w:before="0" w:after="283"/>
              <w:jc w:val="left"/>
              <w:rPr/>
            </w:pPr>
            <w:r>
              <w:rPr/>
              <w:t> </w:t>
            </w:r>
          </w:p>
        </w:tc>
        <w:tc>
          <w:tcPr>
            <w:tcW w:w="9099" w:type="dxa"/>
            <w:tcBorders/>
            <w:tcMar>
              <w:top w:w="0" w:type="dxa"/>
              <w:left w:w="0" w:type="dxa"/>
              <w:bottom w:w="0" w:type="dxa"/>
              <w:right w:w="0" w:type="dxa"/>
            </w:tcMar>
            <w:vAlign w:val="center"/>
          </w:tcPr>
          <w:p>
            <w:pPr>
              <w:pStyle w:val="TableContents"/>
              <w:bidi w:val="0"/>
              <w:spacing w:before="0" w:after="283"/>
              <w:jc w:val="left"/>
              <w:rPr/>
            </w:pPr>
            <w:hyperlink w:anchor="abm-ex23_1.htm">
              <w:r>
                <w:rPr>
                  <w:rStyle w:val="InternetLink"/>
                  <w:rFonts w:ascii="Times New Roman" w:hAnsi="Times New Roman"/>
                  <w:color w:val="0000FF"/>
                  <w:sz w:val="20"/>
                  <w:u w:val="single"/>
                </w:rPr>
                <w:t>Consent of KPMG LLP, Independent Registered Public Accounting Firm</w:t>
              </w:r>
            </w:hyperlink>
          </w:p>
        </w:tc>
      </w:tr>
      <w:tr>
        <w:trPr/>
        <w:tc>
          <w:tcPr>
            <w:tcW w:w="952" w:type="dxa"/>
            <w:tcBorders/>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tcMar>
              <w:top w:w="0" w:type="dxa"/>
              <w:left w:w="0" w:type="dxa"/>
              <w:bottom w:w="0" w:type="dxa"/>
              <w:right w:w="0" w:type="dxa"/>
            </w:tcMar>
            <w:vAlign w:val="center"/>
          </w:tcPr>
          <w:p>
            <w:pPr>
              <w:pStyle w:val="TableContents"/>
              <w:bidi w:val="0"/>
              <w:spacing w:before="0" w:after="283"/>
              <w:jc w:val="left"/>
              <w:rPr/>
            </w:pPr>
            <w:r>
              <w:rPr/>
              <w:t> </w:t>
            </w:r>
          </w:p>
        </w:tc>
        <w:tc>
          <w:tcPr>
            <w:tcW w:w="909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23.2*</w:t>
            </w:r>
          </w:p>
        </w:tc>
        <w:tc>
          <w:tcPr>
            <w:tcW w:w="154" w:type="dxa"/>
            <w:tcBorders/>
            <w:tcMar>
              <w:top w:w="0" w:type="dxa"/>
              <w:left w:w="0" w:type="dxa"/>
              <w:bottom w:w="0" w:type="dxa"/>
              <w:right w:w="0" w:type="dxa"/>
            </w:tcMar>
            <w:vAlign w:val="center"/>
          </w:tcPr>
          <w:p>
            <w:pPr>
              <w:pStyle w:val="TableContents"/>
              <w:bidi w:val="0"/>
              <w:spacing w:before="0" w:after="283"/>
              <w:jc w:val="left"/>
              <w:rPr/>
            </w:pPr>
            <w:r>
              <w:rPr/>
              <w:t> </w:t>
            </w:r>
          </w:p>
        </w:tc>
        <w:tc>
          <w:tcPr>
            <w:tcW w:w="9099" w:type="dxa"/>
            <w:tcBorders/>
            <w:tcMar>
              <w:top w:w="0" w:type="dxa"/>
              <w:left w:w="0" w:type="dxa"/>
              <w:bottom w:w="0" w:type="dxa"/>
              <w:right w:w="0" w:type="dxa"/>
            </w:tcMar>
            <w:vAlign w:val="center"/>
          </w:tcPr>
          <w:p>
            <w:pPr>
              <w:pStyle w:val="TableContents"/>
              <w:bidi w:val="0"/>
              <w:spacing w:before="0" w:after="283"/>
              <w:jc w:val="left"/>
              <w:rPr/>
            </w:pPr>
            <w:hyperlink w:anchor="abm-ex5_1.htm">
              <w:r>
                <w:rPr>
                  <w:rStyle w:val="InternetLink"/>
                  <w:rFonts w:ascii="Times New Roman" w:hAnsi="Times New Roman"/>
                  <w:color w:val="0000FF"/>
                  <w:sz w:val="20"/>
                  <w:u w:val="single"/>
                </w:rPr>
                <w:t>Consent of Mr. David R. Goldman, Vice President and Corporate Secretary for ABM Industries Incorporated (included in Exhibit 5.1)</w:t>
              </w:r>
            </w:hyperlink>
          </w:p>
        </w:tc>
      </w:tr>
      <w:tr>
        <w:trPr/>
        <w:tc>
          <w:tcPr>
            <w:tcW w:w="952" w:type="dxa"/>
            <w:tcBorders/>
            <w:tcMar>
              <w:top w:w="0" w:type="dxa"/>
              <w:left w:w="0" w:type="dxa"/>
              <w:bottom w:w="0" w:type="dxa"/>
              <w:right w:w="0" w:type="dxa"/>
            </w:tcMar>
            <w:vAlign w:val="center"/>
          </w:tcPr>
          <w:p>
            <w:pPr>
              <w:pStyle w:val="TableContents"/>
              <w:bidi w:val="0"/>
              <w:spacing w:before="0" w:after="283"/>
              <w:jc w:val="left"/>
              <w:rPr/>
            </w:pPr>
            <w:r>
              <w:rPr/>
              <w:t> </w:t>
            </w:r>
          </w:p>
        </w:tc>
        <w:tc>
          <w:tcPr>
            <w:tcW w:w="9253"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154" w:type="dxa"/>
            <w:tcBorders/>
            <w:tcMar>
              <w:top w:w="0" w:type="dxa"/>
              <w:left w:w="0" w:type="dxa"/>
              <w:bottom w:w="0" w:type="dxa"/>
              <w:right w:w="0" w:type="dxa"/>
            </w:tcMar>
            <w:vAlign w:val="center"/>
          </w:tcPr>
          <w:p>
            <w:pPr>
              <w:pStyle w:val="TableContents"/>
              <w:bidi w:val="0"/>
              <w:spacing w:before="0" w:after="283"/>
              <w:jc w:val="left"/>
              <w:rPr/>
            </w:pPr>
            <w:r>
              <w:rPr/>
              <w:t> </w:t>
            </w:r>
          </w:p>
        </w:tc>
        <w:tc>
          <w:tcPr>
            <w:tcW w:w="9099" w:type="dxa"/>
            <w:tcBorders/>
            <w:tcMar>
              <w:top w:w="0" w:type="dxa"/>
              <w:left w:w="0" w:type="dxa"/>
              <w:bottom w:w="0" w:type="dxa"/>
              <w:right w:w="0" w:type="dxa"/>
            </w:tcMar>
            <w:vAlign w:val="center"/>
          </w:tcPr>
          <w:p>
            <w:pPr>
              <w:pStyle w:val="TableContents"/>
              <w:bidi w:val="0"/>
              <w:spacing w:before="0" w:after="283"/>
              <w:jc w:val="left"/>
              <w:rPr/>
            </w:pPr>
            <w:hyperlink w:anchor="power_of_attorney">
              <w:r>
                <w:rPr>
                  <w:rStyle w:val="InternetLink"/>
                  <w:rFonts w:ascii="Times New Roman" w:hAnsi="Times New Roman"/>
                  <w:color w:val="0000FF"/>
                  <w:sz w:val="20"/>
                  <w:u w:val="single"/>
                </w:rPr>
                <w:t>Powers of Attorney (included on signature page)</w:t>
              </w:r>
            </w:hyperlink>
          </w:p>
        </w:tc>
      </w:tr>
      <w:tr>
        <w:trPr/>
        <w:tc>
          <w:tcPr>
            <w:tcW w:w="952" w:type="dxa"/>
            <w:tcBorders/>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tcMar>
              <w:top w:w="0" w:type="dxa"/>
              <w:left w:w="0" w:type="dxa"/>
              <w:bottom w:w="0" w:type="dxa"/>
              <w:right w:w="0" w:type="dxa"/>
            </w:tcMar>
            <w:vAlign w:val="center"/>
          </w:tcPr>
          <w:p>
            <w:pPr>
              <w:pStyle w:val="TableContents"/>
              <w:bidi w:val="0"/>
              <w:spacing w:before="0" w:after="283"/>
              <w:jc w:val="left"/>
              <w:rPr/>
            </w:pPr>
            <w:r>
              <w:rPr/>
              <w:t> </w:t>
            </w:r>
          </w:p>
        </w:tc>
        <w:tc>
          <w:tcPr>
            <w:tcW w:w="909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54" w:type="dxa"/>
            <w:tcBorders/>
            <w:tcMar>
              <w:top w:w="0" w:type="dxa"/>
              <w:left w:w="0" w:type="dxa"/>
              <w:bottom w:w="0" w:type="dxa"/>
              <w:right w:w="0" w:type="dxa"/>
            </w:tcMar>
            <w:vAlign w:val="center"/>
          </w:tcPr>
          <w:p>
            <w:pPr>
              <w:pStyle w:val="TableContents"/>
              <w:bidi w:val="0"/>
              <w:spacing w:before="0" w:after="283"/>
              <w:jc w:val="left"/>
              <w:rPr/>
            </w:pPr>
            <w:r>
              <w:rPr/>
              <w:t> </w:t>
            </w:r>
          </w:p>
        </w:tc>
        <w:tc>
          <w:tcPr>
            <w:tcW w:w="9099" w:type="dxa"/>
            <w:tcBorders/>
            <w:tcMar>
              <w:top w:w="0" w:type="dxa"/>
              <w:left w:w="0" w:type="dxa"/>
              <w:bottom w:w="0" w:type="dxa"/>
              <w:right w:w="0" w:type="dxa"/>
            </w:tcMar>
            <w:vAlign w:val="center"/>
          </w:tcPr>
          <w:p>
            <w:pPr>
              <w:pStyle w:val="TableContents"/>
              <w:bidi w:val="0"/>
              <w:spacing w:before="0" w:after="283"/>
              <w:jc w:val="left"/>
              <w:rPr/>
            </w:pPr>
            <w:hyperlink w:anchor="abm-ex99_1.htm">
              <w:r>
                <w:rPr>
                  <w:rStyle w:val="InternetLink"/>
                  <w:rFonts w:ascii="Times New Roman" w:hAnsi="Times New Roman"/>
                  <w:color w:val="0000FF"/>
                  <w:sz w:val="20"/>
                  <w:u w:val="single"/>
                </w:rPr>
                <w:t>ABM Industries Incorporated 2025 Employee Stock Purchase Plan</w:t>
              </w:r>
            </w:hyperlink>
            <w:hyperlink w:anchor="abm-ex99_1.htm">
              <w:r>
                <w:rPr>
                  <w:rStyle w:val="InternetLink"/>
                  <w:rFonts w:ascii="Times New Roman" w:hAnsi="Times New Roman"/>
                  <w:color w:val="0000FF"/>
                  <w:sz w:val="20"/>
                </w:rPr>
                <w:t xml:space="preserve"> </w:t>
              </w:r>
            </w:hyperlink>
          </w:p>
        </w:tc>
      </w:tr>
      <w:tr>
        <w:trPr/>
        <w:tc>
          <w:tcPr>
            <w:tcW w:w="952" w:type="dxa"/>
            <w:tcBorders/>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tcMar>
              <w:top w:w="0" w:type="dxa"/>
              <w:left w:w="0" w:type="dxa"/>
              <w:bottom w:w="0" w:type="dxa"/>
              <w:right w:w="0" w:type="dxa"/>
            </w:tcMar>
            <w:vAlign w:val="center"/>
          </w:tcPr>
          <w:p>
            <w:pPr>
              <w:pStyle w:val="TableContents"/>
              <w:bidi w:val="0"/>
              <w:spacing w:before="0" w:after="283"/>
              <w:jc w:val="left"/>
              <w:rPr/>
            </w:pPr>
            <w:r>
              <w:rPr/>
              <w:t> </w:t>
            </w:r>
          </w:p>
        </w:tc>
        <w:tc>
          <w:tcPr>
            <w:tcW w:w="909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107.1*</w:t>
            </w:r>
          </w:p>
        </w:tc>
        <w:tc>
          <w:tcPr>
            <w:tcW w:w="154" w:type="dxa"/>
            <w:tcBorders/>
            <w:tcMar>
              <w:top w:w="0" w:type="dxa"/>
              <w:left w:w="0" w:type="dxa"/>
              <w:bottom w:w="0" w:type="dxa"/>
              <w:right w:w="0" w:type="dxa"/>
            </w:tcMar>
            <w:vAlign w:val="center"/>
          </w:tcPr>
          <w:p>
            <w:pPr>
              <w:pStyle w:val="TableContents"/>
              <w:bidi w:val="0"/>
              <w:spacing w:before="0" w:after="283"/>
              <w:jc w:val="left"/>
              <w:rPr/>
            </w:pPr>
            <w:r>
              <w:rPr/>
              <w:t> </w:t>
            </w:r>
          </w:p>
        </w:tc>
        <w:tc>
          <w:tcPr>
            <w:tcW w:w="9099" w:type="dxa"/>
            <w:tcBorders/>
            <w:tcMar>
              <w:top w:w="0" w:type="dxa"/>
              <w:left w:w="0" w:type="dxa"/>
              <w:bottom w:w="0" w:type="dxa"/>
              <w:right w:w="0" w:type="dxa"/>
            </w:tcMar>
            <w:vAlign w:val="center"/>
          </w:tcPr>
          <w:p>
            <w:pPr>
              <w:pStyle w:val="TableContents"/>
              <w:bidi w:val="0"/>
              <w:spacing w:before="0" w:after="283"/>
              <w:jc w:val="left"/>
              <w:rPr/>
            </w:pPr>
            <w:hyperlink w:anchor="abm_exfilingfees.htm">
              <w:r>
                <w:rPr>
                  <w:rStyle w:val="InternetLink"/>
                  <w:rFonts w:ascii="Times New Roman" w:hAnsi="Times New Roman"/>
                  <w:color w:val="0000FF"/>
                  <w:sz w:val="20"/>
                  <w:u w:val="single"/>
                </w:rPr>
                <w:t>Filing Fee Table</w:t>
              </w:r>
            </w:hyperlink>
          </w:p>
        </w:tc>
      </w:tr>
      <w:tr>
        <w:trPr/>
        <w:tc>
          <w:tcPr>
            <w:tcW w:w="952" w:type="dxa"/>
            <w:tcBorders/>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tcMar>
              <w:top w:w="0" w:type="dxa"/>
              <w:left w:w="0" w:type="dxa"/>
              <w:bottom w:w="0" w:type="dxa"/>
              <w:right w:w="0" w:type="dxa"/>
            </w:tcMar>
            <w:vAlign w:val="center"/>
          </w:tcPr>
          <w:p>
            <w:pPr>
              <w:pStyle w:val="TableContents"/>
              <w:bidi w:val="0"/>
              <w:spacing w:before="0" w:after="283"/>
              <w:jc w:val="left"/>
              <w:rPr/>
            </w:pPr>
            <w:r>
              <w:rPr/>
              <w:t> </w:t>
            </w:r>
          </w:p>
        </w:tc>
        <w:tc>
          <w:tcPr>
            <w:tcW w:w="909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06" w:type="dxa"/>
            <w:gridSpan w:val="2"/>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herewith</w:t>
            </w:r>
          </w:p>
        </w:tc>
        <w:tc>
          <w:tcPr>
            <w:tcW w:w="9099"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sz w:val="20"/>
        </w:rPr>
      </w:pPr>
      <w:r>
        <w:rPr>
          <w:rFonts w:ascii="Times New Roman" w:hAnsi="Times New Roman"/>
          <w:b/>
          <w:color w:val="000000"/>
          <w:sz w:val="20"/>
        </w:rPr>
        <w:t>Item 9. Undertakings</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The undersigned Registrant hereby undertakes: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To file, during any period in which offers or sales are being made, a post-effective amendment to this Registration Statement: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w:t>
      </w:r>
    </w:p>
    <w:p>
      <w:pPr>
        <w:pStyle w:val="TextBody"/>
        <w:bidi w:val="0"/>
        <w:jc w:val="left"/>
        <w:rPr>
          <w:rFonts w:ascii="Times New Roman" w:hAnsi="Times New Roman"/>
          <w:color w:val="000000"/>
          <w:sz w:val="20"/>
        </w:rPr>
      </w:pPr>
      <w:r>
        <w:rPr>
          <w:rFonts w:ascii="Times New Roman" w:hAnsi="Times New Roman"/>
          <w:color w:val="000000"/>
          <w:sz w:val="20"/>
        </w:rPr>
        <w:t>To include any prospectus required by Section 10(a)(3) of the Securities Act;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(ii)</w:t>
      </w:r>
    </w:p>
    <w:p>
      <w:pPr>
        <w:pStyle w:val="TextBody"/>
        <w:bidi w:val="0"/>
        <w:jc w:val="left"/>
        <w:rPr>
          <w:rFonts w:ascii="Times New Roman" w:hAnsi="Times New Roman"/>
          <w:color w:val="000000"/>
          <w:sz w:val="20"/>
        </w:rPr>
      </w:pPr>
      <w:r>
        <w:rPr>
          <w:rFonts w:ascii="Times New Roman" w:hAnsi="Times New Roman"/>
          <w:color w:val="000000"/>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Filing Fee Tables” or “Calculation of Registration Fee” table, as applicable, in the effective Registration Statement;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(iii)</w:t>
      </w:r>
    </w:p>
    <w:p>
      <w:pPr>
        <w:pStyle w:val="TextBody"/>
        <w:bidi w:val="0"/>
        <w:jc w:val="left"/>
        <w:rPr>
          <w:rFonts w:ascii="Times New Roman" w:hAnsi="Times New Roman"/>
          <w:color w:val="000000"/>
          <w:sz w:val="20"/>
        </w:rPr>
      </w:pPr>
      <w:r>
        <w:rPr>
          <w:rFonts w:ascii="Times New Roman" w:hAnsi="Times New Roman"/>
          <w:color w:val="000000"/>
          <w:sz w:val="20"/>
        </w:rPr>
        <w:t xml:space="preserve">To include any material information with respect to the plan of distribution not previously disclosed in the Registration Statement or any material change to such information in the Registration Statement;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Provided, however</w:t>
      </w:r>
      <w:r>
        <w:rPr>
          <w:rFonts w:ascii="Times New Roman" w:hAnsi="Times New Roman"/>
          <w:color w:val="000000"/>
          <w:sz w:val="20"/>
        </w:rPr>
        <w:t>, that paragraphs (a)(1)(i) and (a)(1)(ii) above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pPr>
      <w:r>
        <w:rPr>
          <w:rFonts w:ascii="Times New Roman" w:hAnsi="Times New Roman"/>
          <w:color w:val="000000"/>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hAnsi="Times New Roman"/>
          <w:i/>
          <w:color w:val="000000"/>
          <w:sz w:val="20"/>
        </w:rPr>
        <w:t>bona fide</w:t>
      </w:r>
      <w:r>
        <w:rPr>
          <w:color w:val="000000"/>
        </w:rPr>
        <w:t xml:space="preserve"> </w:t>
      </w:r>
      <w:r>
        <w:rPr>
          <w:rFonts w:ascii="Times New Roman" w:hAnsi="Times New Roman"/>
          <w:color w:val="000000"/>
          <w:sz w:val="20"/>
        </w:rPr>
        <w:t>offering thereof.</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To remove from registration by means of a post-effective amendment any of the securities being registered which remain unsold at the termination of the offering.</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hAnsi="Times New Roman"/>
          <w:i/>
          <w:color w:val="000000"/>
          <w:sz w:val="20"/>
        </w:rPr>
        <w:t>bona fide</w:t>
      </w:r>
      <w:r>
        <w:rPr>
          <w:rFonts w:ascii="Times New Roman" w:hAnsi="Times New Roman"/>
          <w:color w:val="000000"/>
          <w:sz w:val="20"/>
        </w:rPr>
        <w:t xml:space="preserve"> offering thereof.</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20"/>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this 27</w:t>
      </w:r>
      <w:r>
        <w:rPr>
          <w:rFonts w:ascii="Times New Roman" w:hAnsi="Times New Roman"/>
          <w:color w:val="000000"/>
          <w:sz w:val="13"/>
        </w:rPr>
        <w:t>th</w:t>
      </w:r>
      <w:r>
        <w:rPr>
          <w:rFonts w:ascii="Times New Roman" w:hAnsi="Times New Roman"/>
          <w:color w:val="000000"/>
          <w:sz w:val="20"/>
        </w:rPr>
        <w:t xml:space="preserve"> day of March, 2025.</w:t>
      </w:r>
    </w:p>
    <w:p>
      <w:pPr>
        <w:pStyle w:val="TextBody"/>
        <w:bidi w:val="0"/>
        <w:jc w:val="left"/>
        <w:rPr>
          <w:rFonts w:ascii="Times New Roman" w:hAnsi="Times New Roman"/>
          <w:color w:val="000000"/>
          <w:sz w:val="20"/>
        </w:rPr>
      </w:pPr>
      <w:r>
        <w:rPr>
          <w:rFonts w:ascii="Times New Roman" w:hAnsi="Times New Roman"/>
          <w:color w:val="000000"/>
          <w:sz w:val="20"/>
        </w:rPr>
        <w:t>ABM Industries Incorporated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 xml:space="preserve">/s/ David R. Goldman </w:t>
      </w:r>
    </w:p>
    <w:p>
      <w:pPr>
        <w:pStyle w:val="TextBody"/>
        <w:bidi w:val="0"/>
        <w:jc w:val="left"/>
        <w:rPr>
          <w:rFonts w:ascii="Times New Roman" w:hAnsi="Times New Roman"/>
          <w:color w:val="000000"/>
          <w:sz w:val="20"/>
        </w:rPr>
      </w:pPr>
      <w:r>
        <w:rPr>
          <w:rFonts w:ascii="Times New Roman" w:hAnsi="Times New Roman"/>
          <w:color w:val="000000"/>
          <w:sz w:val="20"/>
        </w:rPr>
        <w:t>David R. Goldman</w:t>
      </w:r>
    </w:p>
    <w:p>
      <w:pPr>
        <w:pStyle w:val="TextBody"/>
        <w:bidi w:val="0"/>
        <w:jc w:val="left"/>
        <w:rPr>
          <w:rFonts w:ascii="Times New Roman" w:hAnsi="Times New Roman"/>
          <w:color w:val="000000"/>
          <w:sz w:val="20"/>
        </w:rPr>
      </w:pPr>
      <w:r>
        <w:rPr>
          <w:rFonts w:ascii="Times New Roman" w:hAnsi="Times New Roman"/>
          <w:color w:val="000000"/>
          <w:sz w:val="20"/>
        </w:rPr>
        <w:t>Vice President and Corporate Secretary</w:t>
      </w:r>
    </w:p>
    <w:p>
      <w:pPr>
        <w:pStyle w:val="TextBody"/>
        <w:bidi w:val="0"/>
        <w:jc w:val="left"/>
        <w:rPr/>
      </w:pPr>
      <w:r>
        <w:rPr/>
        <w:t> </w:t>
      </w:r>
    </w:p>
    <w:p>
      <w:pPr>
        <w:pStyle w:val="TextBody"/>
        <w:bidi w:val="0"/>
        <w:jc w:val="center"/>
        <w:rPr>
          <w:rFonts w:ascii="Times New Roman" w:hAnsi="Times New Roman"/>
          <w:b/>
          <w:color w:val="000000"/>
          <w:sz w:val="20"/>
        </w:rPr>
      </w:pPr>
      <w:bookmarkStart w:id="2" w:name="power_of_attorney"/>
      <w:bookmarkEnd w:id="2"/>
      <w:r>
        <w:rPr>
          <w:rFonts w:ascii="Times New Roman" w:hAnsi="Times New Roman"/>
          <w:b/>
          <w:color w:val="000000"/>
          <w:sz w:val="20"/>
        </w:rPr>
        <w:t>POWER OF ATTORNEY</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Each of the undersigned directors and officers of ABM Industries Incorporated, a Delaware corporation, do hereby constitute and appoint Scott Salmirs, Earl Ellis and David R. Goldman, or any one of them, the undersigned’s true and lawful attorneys and agents, with full power of substitution and resubstitution in each, to do any and all acts and things in our name and on our behalf in our respective capacities as directors and officers and to execute any and all instruments for us and in our names in the capacities indicated below, which said attorneys and agents, or either one of them, may deem necessary or advisable to enable said corporation to comply with the Securities Act, as amended, and any rules, regulations and requirements of the Commission, in connection with this Registration Statement, including specifically, but without limitation, power and authority to sign for us or any of us in our names in the capacities indicated below, any and all amendments (including post-effective amendments) hereto, and each of the undersigned does hereby ratify and confirm all that said attorneys and agents, or either one of them or any substitute, shall do or cause to be done by virtue hereof. This Power of Attorney may be executed in any number of counterparts.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Pursuant to the requirements of the Securities Act, as amended, this Registration Statement has been signed by the following persons in the capacities and on the dates indicated.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02"/>
        <w:gridCol w:w="6779"/>
        <w:gridCol w:w="1424"/>
      </w:tblGrid>
      <w:tr>
        <w:trPr/>
        <w:tc>
          <w:tcPr>
            <w:tcW w:w="2002" w:type="dxa"/>
            <w:tcBorders/>
            <w:vAlign w:val="center"/>
          </w:tcPr>
          <w:p>
            <w:pPr>
              <w:pStyle w:val="TableContents"/>
              <w:bidi w:val="0"/>
              <w:spacing w:before="0" w:after="283"/>
              <w:jc w:val="left"/>
              <w:rPr>
                <w:sz w:val="4"/>
                <w:szCs w:val="4"/>
              </w:rPr>
            </w:pPr>
            <w:r>
              <w:rPr>
                <w:sz w:val="4"/>
                <w:szCs w:val="4"/>
              </w:rPr>
            </w:r>
          </w:p>
        </w:tc>
        <w:tc>
          <w:tcPr>
            <w:tcW w:w="6779"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r>
      <w:tr>
        <w:trPr/>
        <w:tc>
          <w:tcPr>
            <w:tcW w:w="200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Signature</w:t>
            </w:r>
          </w:p>
        </w:tc>
        <w:tc>
          <w:tcPr>
            <w:tcW w:w="677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Title</w:t>
            </w:r>
          </w:p>
        </w:tc>
        <w:tc>
          <w:tcPr>
            <w:tcW w:w="14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Date</w:t>
            </w:r>
          </w:p>
        </w:tc>
      </w:tr>
      <w:tr>
        <w:trPr/>
        <w:tc>
          <w:tcPr>
            <w:tcW w:w="20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2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0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Scott Salmirs</w:t>
            </w:r>
          </w:p>
        </w:tc>
        <w:tc>
          <w:tcPr>
            <w:tcW w:w="677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Scott Salmirs</w:t>
            </w:r>
          </w:p>
        </w:tc>
        <w:tc>
          <w:tcPr>
            <w:tcW w:w="6779"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President, Chief Executive Officer and Director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c>
          <w:tcPr>
            <w:tcW w:w="14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27, 2025</w:t>
            </w:r>
          </w:p>
        </w:tc>
      </w:tr>
      <w:tr>
        <w:trPr/>
        <w:tc>
          <w:tcPr>
            <w:tcW w:w="2002" w:type="dxa"/>
            <w:tcBorders/>
            <w:tcMar>
              <w:top w:w="0" w:type="dxa"/>
              <w:left w:w="0" w:type="dxa"/>
              <w:bottom w:w="0" w:type="dxa"/>
              <w:right w:w="0" w:type="dxa"/>
            </w:tcMar>
            <w:vAlign w:val="center"/>
          </w:tcPr>
          <w:p>
            <w:pPr>
              <w:pStyle w:val="TableContents"/>
              <w:bidi w:val="0"/>
              <w:spacing w:before="0" w:after="283"/>
              <w:jc w:val="left"/>
              <w:rPr/>
            </w:pPr>
            <w:r>
              <w:rPr/>
              <w:t> </w:t>
            </w:r>
          </w:p>
        </w:tc>
        <w:tc>
          <w:tcPr>
            <w:tcW w:w="6779" w:type="dxa"/>
            <w:tcBorders/>
            <w:tcMar>
              <w:top w:w="0" w:type="dxa"/>
              <w:left w:w="0" w:type="dxa"/>
              <w:bottom w:w="0" w:type="dxa"/>
              <w:right w:w="0" w:type="dxa"/>
            </w:tcMar>
            <w:vAlign w:val="center"/>
          </w:tcPr>
          <w:p>
            <w:pPr>
              <w:pStyle w:val="TableContents"/>
              <w:bidi w:val="0"/>
              <w:spacing w:before="0" w:after="283"/>
              <w:jc w:val="left"/>
              <w:rPr/>
            </w:pPr>
            <w:r>
              <w:rPr/>
              <w:t> </w:t>
            </w:r>
          </w:p>
        </w:tc>
        <w:tc>
          <w:tcPr>
            <w:tcW w:w="14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0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Earl R. Ellis</w:t>
            </w:r>
          </w:p>
        </w:tc>
        <w:tc>
          <w:tcPr>
            <w:tcW w:w="677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Earl Ellis</w:t>
            </w:r>
          </w:p>
        </w:tc>
        <w:tc>
          <w:tcPr>
            <w:tcW w:w="6779"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Executive Vice President and 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c>
          <w:tcPr>
            <w:tcW w:w="14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27, 2025</w:t>
            </w:r>
          </w:p>
        </w:tc>
      </w:tr>
      <w:tr>
        <w:trPr/>
        <w:tc>
          <w:tcPr>
            <w:tcW w:w="2002" w:type="dxa"/>
            <w:tcBorders/>
            <w:tcMar>
              <w:top w:w="0" w:type="dxa"/>
              <w:left w:w="0" w:type="dxa"/>
              <w:bottom w:w="0" w:type="dxa"/>
              <w:right w:w="0" w:type="dxa"/>
            </w:tcMar>
            <w:vAlign w:val="center"/>
          </w:tcPr>
          <w:p>
            <w:pPr>
              <w:pStyle w:val="TableContents"/>
              <w:bidi w:val="0"/>
              <w:spacing w:before="0" w:after="283"/>
              <w:jc w:val="left"/>
              <w:rPr/>
            </w:pPr>
            <w:r>
              <w:rPr/>
              <w:t> </w:t>
            </w:r>
          </w:p>
        </w:tc>
        <w:tc>
          <w:tcPr>
            <w:tcW w:w="6779" w:type="dxa"/>
            <w:tcBorders/>
            <w:tcMar>
              <w:top w:w="0" w:type="dxa"/>
              <w:left w:w="0" w:type="dxa"/>
              <w:bottom w:w="0" w:type="dxa"/>
              <w:right w:w="0" w:type="dxa"/>
            </w:tcMar>
            <w:vAlign w:val="center"/>
          </w:tcPr>
          <w:p>
            <w:pPr>
              <w:pStyle w:val="TableContents"/>
              <w:bidi w:val="0"/>
              <w:spacing w:before="0" w:after="283"/>
              <w:jc w:val="left"/>
              <w:rPr/>
            </w:pPr>
            <w:r>
              <w:rPr/>
              <w:t> </w:t>
            </w:r>
          </w:p>
        </w:tc>
        <w:tc>
          <w:tcPr>
            <w:tcW w:w="14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0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Dean A. Chin</w:t>
            </w:r>
          </w:p>
        </w:tc>
        <w:tc>
          <w:tcPr>
            <w:tcW w:w="677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Dean A. Chin</w:t>
            </w:r>
          </w:p>
        </w:tc>
        <w:tc>
          <w:tcPr>
            <w:tcW w:w="6779"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Senior Vice President, Chief Accounting Officer, Corporate Controller and Treasurer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Accounting Officer)</w:t>
            </w:r>
          </w:p>
        </w:tc>
        <w:tc>
          <w:tcPr>
            <w:tcW w:w="14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27, 2025</w:t>
            </w:r>
          </w:p>
        </w:tc>
      </w:tr>
      <w:tr>
        <w:trPr/>
        <w:tc>
          <w:tcPr>
            <w:tcW w:w="2002" w:type="dxa"/>
            <w:tcBorders/>
            <w:tcMar>
              <w:top w:w="0" w:type="dxa"/>
              <w:left w:w="0" w:type="dxa"/>
              <w:bottom w:w="0" w:type="dxa"/>
              <w:right w:w="0" w:type="dxa"/>
            </w:tcMar>
            <w:vAlign w:val="center"/>
          </w:tcPr>
          <w:p>
            <w:pPr>
              <w:pStyle w:val="TableContents"/>
              <w:bidi w:val="0"/>
              <w:spacing w:before="0" w:after="283"/>
              <w:jc w:val="left"/>
              <w:rPr/>
            </w:pPr>
            <w:r>
              <w:rPr/>
              <w:t> </w:t>
            </w:r>
          </w:p>
        </w:tc>
        <w:tc>
          <w:tcPr>
            <w:tcW w:w="6779" w:type="dxa"/>
            <w:tcBorders/>
            <w:tcMar>
              <w:top w:w="0" w:type="dxa"/>
              <w:left w:w="0" w:type="dxa"/>
              <w:bottom w:w="0" w:type="dxa"/>
              <w:right w:w="0" w:type="dxa"/>
            </w:tcMar>
            <w:vAlign w:val="center"/>
          </w:tcPr>
          <w:p>
            <w:pPr>
              <w:pStyle w:val="TableContents"/>
              <w:bidi w:val="0"/>
              <w:spacing w:before="0" w:after="283"/>
              <w:jc w:val="left"/>
              <w:rPr/>
            </w:pPr>
            <w:r>
              <w:rPr/>
              <w:t> </w:t>
            </w:r>
          </w:p>
        </w:tc>
        <w:tc>
          <w:tcPr>
            <w:tcW w:w="14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0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Sudhakar Kesavan</w:t>
            </w:r>
          </w:p>
        </w:tc>
        <w:tc>
          <w:tcPr>
            <w:tcW w:w="677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Sudhakar Kesavan</w:t>
            </w:r>
          </w:p>
        </w:tc>
        <w:tc>
          <w:tcPr>
            <w:tcW w:w="67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of the Board and Director</w:t>
            </w:r>
          </w:p>
        </w:tc>
        <w:tc>
          <w:tcPr>
            <w:tcW w:w="14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27, 2025</w:t>
            </w:r>
          </w:p>
        </w:tc>
      </w:tr>
      <w:tr>
        <w:trPr/>
        <w:tc>
          <w:tcPr>
            <w:tcW w:w="2002" w:type="dxa"/>
            <w:tcBorders/>
            <w:tcMar>
              <w:top w:w="0" w:type="dxa"/>
              <w:left w:w="0" w:type="dxa"/>
              <w:bottom w:w="0" w:type="dxa"/>
              <w:right w:w="0" w:type="dxa"/>
            </w:tcMar>
            <w:vAlign w:val="center"/>
          </w:tcPr>
          <w:p>
            <w:pPr>
              <w:pStyle w:val="TableContents"/>
              <w:bidi w:val="0"/>
              <w:spacing w:before="0" w:after="283"/>
              <w:jc w:val="left"/>
              <w:rPr/>
            </w:pPr>
            <w:r>
              <w:rPr/>
              <w:t> </w:t>
            </w:r>
          </w:p>
        </w:tc>
        <w:tc>
          <w:tcPr>
            <w:tcW w:w="6779" w:type="dxa"/>
            <w:tcBorders/>
            <w:tcMar>
              <w:top w:w="0" w:type="dxa"/>
              <w:left w:w="0" w:type="dxa"/>
              <w:bottom w:w="0" w:type="dxa"/>
              <w:right w:w="0" w:type="dxa"/>
            </w:tcMar>
            <w:vAlign w:val="center"/>
          </w:tcPr>
          <w:p>
            <w:pPr>
              <w:pStyle w:val="TableContents"/>
              <w:bidi w:val="0"/>
              <w:spacing w:before="0" w:after="283"/>
              <w:jc w:val="left"/>
              <w:rPr/>
            </w:pPr>
            <w:r>
              <w:rPr/>
              <w:t> </w:t>
            </w:r>
          </w:p>
        </w:tc>
        <w:tc>
          <w:tcPr>
            <w:tcW w:w="14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0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Quincy L. Allen</w:t>
            </w:r>
          </w:p>
        </w:tc>
        <w:tc>
          <w:tcPr>
            <w:tcW w:w="677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Quincy L. Allen</w:t>
            </w:r>
          </w:p>
        </w:tc>
        <w:tc>
          <w:tcPr>
            <w:tcW w:w="67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27, 2025</w:t>
            </w:r>
          </w:p>
        </w:tc>
      </w:tr>
      <w:tr>
        <w:trPr/>
        <w:tc>
          <w:tcPr>
            <w:tcW w:w="2002" w:type="dxa"/>
            <w:tcBorders/>
            <w:tcMar>
              <w:top w:w="0" w:type="dxa"/>
              <w:left w:w="0" w:type="dxa"/>
              <w:bottom w:w="0" w:type="dxa"/>
              <w:right w:w="0" w:type="dxa"/>
            </w:tcMar>
            <w:vAlign w:val="center"/>
          </w:tcPr>
          <w:p>
            <w:pPr>
              <w:pStyle w:val="TableContents"/>
              <w:bidi w:val="0"/>
              <w:spacing w:before="0" w:after="283"/>
              <w:jc w:val="left"/>
              <w:rPr/>
            </w:pPr>
            <w:r>
              <w:rPr/>
              <w:t> </w:t>
            </w:r>
          </w:p>
        </w:tc>
        <w:tc>
          <w:tcPr>
            <w:tcW w:w="6779" w:type="dxa"/>
            <w:tcBorders/>
            <w:tcMar>
              <w:top w:w="0" w:type="dxa"/>
              <w:left w:w="0" w:type="dxa"/>
              <w:bottom w:w="0" w:type="dxa"/>
              <w:right w:w="0" w:type="dxa"/>
            </w:tcMar>
            <w:vAlign w:val="center"/>
          </w:tcPr>
          <w:p>
            <w:pPr>
              <w:pStyle w:val="TableContents"/>
              <w:bidi w:val="0"/>
              <w:spacing w:before="0" w:after="283"/>
              <w:jc w:val="left"/>
              <w:rPr/>
            </w:pPr>
            <w:r>
              <w:rPr/>
              <w:t> </w:t>
            </w:r>
          </w:p>
        </w:tc>
        <w:tc>
          <w:tcPr>
            <w:tcW w:w="14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0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LeighAnne G. Baker</w:t>
            </w:r>
          </w:p>
        </w:tc>
        <w:tc>
          <w:tcPr>
            <w:tcW w:w="677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LeighAnne G. Baker</w:t>
            </w:r>
          </w:p>
        </w:tc>
        <w:tc>
          <w:tcPr>
            <w:tcW w:w="67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27, 2025</w:t>
            </w:r>
          </w:p>
        </w:tc>
      </w:tr>
      <w:tr>
        <w:trPr/>
        <w:tc>
          <w:tcPr>
            <w:tcW w:w="2002" w:type="dxa"/>
            <w:tcBorders/>
            <w:tcMar>
              <w:top w:w="0" w:type="dxa"/>
              <w:left w:w="0" w:type="dxa"/>
              <w:bottom w:w="0" w:type="dxa"/>
              <w:right w:w="0" w:type="dxa"/>
            </w:tcMar>
            <w:vAlign w:val="center"/>
          </w:tcPr>
          <w:p>
            <w:pPr>
              <w:pStyle w:val="TableContents"/>
              <w:bidi w:val="0"/>
              <w:spacing w:before="0" w:after="283"/>
              <w:jc w:val="left"/>
              <w:rPr/>
            </w:pPr>
            <w:r>
              <w:rPr/>
              <w:t> </w:t>
            </w:r>
          </w:p>
        </w:tc>
        <w:tc>
          <w:tcPr>
            <w:tcW w:w="6779" w:type="dxa"/>
            <w:tcBorders/>
            <w:tcMar>
              <w:top w:w="0" w:type="dxa"/>
              <w:left w:w="0" w:type="dxa"/>
              <w:bottom w:w="0" w:type="dxa"/>
              <w:right w:w="0" w:type="dxa"/>
            </w:tcMar>
            <w:vAlign w:val="center"/>
          </w:tcPr>
          <w:p>
            <w:pPr>
              <w:pStyle w:val="TableContents"/>
              <w:bidi w:val="0"/>
              <w:spacing w:before="0" w:after="283"/>
              <w:jc w:val="left"/>
              <w:rPr/>
            </w:pPr>
            <w:r>
              <w:rPr/>
              <w:t> </w:t>
            </w:r>
          </w:p>
        </w:tc>
        <w:tc>
          <w:tcPr>
            <w:tcW w:w="14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0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Donald F. Colleran</w:t>
            </w:r>
          </w:p>
        </w:tc>
        <w:tc>
          <w:tcPr>
            <w:tcW w:w="677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Donald F. Colleran</w:t>
            </w:r>
          </w:p>
        </w:tc>
        <w:tc>
          <w:tcPr>
            <w:tcW w:w="67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27, 2025</w:t>
            </w:r>
          </w:p>
        </w:tc>
      </w:tr>
      <w:tr>
        <w:trPr/>
        <w:tc>
          <w:tcPr>
            <w:tcW w:w="2002" w:type="dxa"/>
            <w:tcBorders/>
            <w:tcMar>
              <w:top w:w="0" w:type="dxa"/>
              <w:left w:w="0" w:type="dxa"/>
              <w:bottom w:w="0" w:type="dxa"/>
              <w:right w:w="0" w:type="dxa"/>
            </w:tcMar>
            <w:vAlign w:val="center"/>
          </w:tcPr>
          <w:p>
            <w:pPr>
              <w:pStyle w:val="TableContents"/>
              <w:bidi w:val="0"/>
              <w:spacing w:before="0" w:after="283"/>
              <w:jc w:val="left"/>
              <w:rPr/>
            </w:pPr>
            <w:r>
              <w:rPr/>
              <w:t> </w:t>
            </w:r>
          </w:p>
        </w:tc>
        <w:tc>
          <w:tcPr>
            <w:tcW w:w="6779" w:type="dxa"/>
            <w:tcBorders/>
            <w:tcMar>
              <w:top w:w="0" w:type="dxa"/>
              <w:left w:w="0" w:type="dxa"/>
              <w:bottom w:w="0" w:type="dxa"/>
              <w:right w:w="0" w:type="dxa"/>
            </w:tcMar>
            <w:vAlign w:val="center"/>
          </w:tcPr>
          <w:p>
            <w:pPr>
              <w:pStyle w:val="TableContents"/>
              <w:bidi w:val="0"/>
              <w:spacing w:before="0" w:after="283"/>
              <w:jc w:val="left"/>
              <w:rPr/>
            </w:pPr>
            <w:r>
              <w:rPr/>
              <w:t> </w:t>
            </w:r>
          </w:p>
        </w:tc>
        <w:tc>
          <w:tcPr>
            <w:tcW w:w="14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0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James D. DeVries</w:t>
            </w:r>
          </w:p>
        </w:tc>
        <w:tc>
          <w:tcPr>
            <w:tcW w:w="677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D. DeVries</w:t>
            </w:r>
          </w:p>
        </w:tc>
        <w:tc>
          <w:tcPr>
            <w:tcW w:w="67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27, 2025</w:t>
            </w:r>
          </w:p>
        </w:tc>
      </w:tr>
      <w:tr>
        <w:trPr/>
        <w:tc>
          <w:tcPr>
            <w:tcW w:w="2002" w:type="dxa"/>
            <w:tcBorders/>
            <w:tcMar>
              <w:top w:w="0" w:type="dxa"/>
              <w:left w:w="0" w:type="dxa"/>
              <w:bottom w:w="0" w:type="dxa"/>
              <w:right w:w="0" w:type="dxa"/>
            </w:tcMar>
            <w:vAlign w:val="center"/>
          </w:tcPr>
          <w:p>
            <w:pPr>
              <w:pStyle w:val="TableContents"/>
              <w:bidi w:val="0"/>
              <w:spacing w:before="0" w:after="283"/>
              <w:jc w:val="left"/>
              <w:rPr/>
            </w:pPr>
            <w:r>
              <w:rPr/>
              <w:t> </w:t>
            </w:r>
          </w:p>
        </w:tc>
        <w:tc>
          <w:tcPr>
            <w:tcW w:w="6779" w:type="dxa"/>
            <w:tcBorders/>
            <w:tcMar>
              <w:top w:w="0" w:type="dxa"/>
              <w:left w:w="0" w:type="dxa"/>
              <w:bottom w:w="0" w:type="dxa"/>
              <w:right w:w="0" w:type="dxa"/>
            </w:tcMar>
            <w:vAlign w:val="center"/>
          </w:tcPr>
          <w:p>
            <w:pPr>
              <w:pStyle w:val="TableContents"/>
              <w:bidi w:val="0"/>
              <w:spacing w:before="0" w:after="283"/>
              <w:jc w:val="left"/>
              <w:rPr/>
            </w:pPr>
            <w:r>
              <w:rPr/>
              <w:t> </w:t>
            </w:r>
          </w:p>
        </w:tc>
        <w:tc>
          <w:tcPr>
            <w:tcW w:w="14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0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Art A. Garcia</w:t>
            </w:r>
          </w:p>
        </w:tc>
        <w:tc>
          <w:tcPr>
            <w:tcW w:w="677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 A. Garcia</w:t>
            </w:r>
          </w:p>
        </w:tc>
        <w:tc>
          <w:tcPr>
            <w:tcW w:w="67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27, 2025</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233" w:type="dxa"/>
        <w:jc w:val="left"/>
        <w:tblInd w:w="0" w:type="dxa"/>
        <w:tblLayout w:type="fixed"/>
        <w:tblCellMar>
          <w:top w:w="28" w:type="dxa"/>
          <w:left w:w="28" w:type="dxa"/>
          <w:bottom w:w="28" w:type="dxa"/>
          <w:right w:w="28" w:type="dxa"/>
        </w:tblCellMar>
      </w:tblPr>
      <w:tblGrid>
        <w:gridCol w:w="2026"/>
        <w:gridCol w:w="766"/>
        <w:gridCol w:w="1441"/>
      </w:tblGrid>
      <w:tr>
        <w:trPr/>
        <w:tc>
          <w:tcPr>
            <w:tcW w:w="20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Thomas M. Gartland</w:t>
            </w:r>
          </w:p>
        </w:tc>
        <w:tc>
          <w:tcPr>
            <w:tcW w:w="7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M. Gartland</w:t>
            </w:r>
          </w:p>
        </w:tc>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27, 2025</w:t>
            </w:r>
          </w:p>
        </w:tc>
      </w:tr>
      <w:tr>
        <w:trPr/>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Jill M. Golder</w:t>
            </w:r>
          </w:p>
        </w:tc>
        <w:tc>
          <w:tcPr>
            <w:tcW w:w="7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Jill M. Golder</w:t>
            </w:r>
          </w:p>
        </w:tc>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27, 2025</w:t>
            </w:r>
          </w:p>
        </w:tc>
      </w:tr>
      <w:tr>
        <w:trPr/>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Winifred M. Webb</w:t>
            </w:r>
          </w:p>
        </w:tc>
        <w:tc>
          <w:tcPr>
            <w:tcW w:w="7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Winifred M. Webb</w:t>
            </w:r>
          </w:p>
        </w:tc>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27, 2025</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 w:name="abm-ex5_1.htm"/>
      <w:bookmarkStart w:id="4" w:name="ksabmex5_1"/>
      <w:bookmarkEnd w:id="3"/>
      <w:bookmarkEnd w:id="4"/>
      <w:r>
        <w:rPr>
          <w:rFonts w:ascii="Times New Roman" w:hAnsi="Times New Roman"/>
          <w:b/>
          <w:color w:val="000000"/>
          <w:sz w:val="20"/>
        </w:rPr>
        <w:t>Exhibit 5.1</w:t>
      </w:r>
      <w:r>
        <w:br w:type="page"/>
      </w:r>
    </w:p>
    <w:p>
      <w:pPr>
        <w:pStyle w:val="TextBody"/>
        <w:bidi w:val="0"/>
        <w:spacing w:before="0" w:after="360"/>
        <w:jc w:val="center"/>
        <w:rPr>
          <w:rFonts w:ascii="Times New Roman" w:hAnsi="Times New Roman"/>
          <w:color w:val="000000"/>
          <w:sz w:val="20"/>
        </w:rPr>
      </w:pPr>
      <w:r>
        <w:rPr>
          <w:rFonts w:ascii="Times New Roman" w:hAnsi="Times New Roman"/>
          <w:color w:val="000000"/>
          <w:sz w:val="20"/>
        </w:rPr>
        <w:t>March 27, 2025</w:t>
      </w:r>
    </w:p>
    <w:p>
      <w:pPr>
        <w:pStyle w:val="TextBody"/>
        <w:bidi w:val="0"/>
        <w:jc w:val="left"/>
        <w:rPr>
          <w:rFonts w:ascii="Times New Roman" w:hAnsi="Times New Roman"/>
          <w:color w:val="000000"/>
          <w:sz w:val="20"/>
        </w:rPr>
      </w:pPr>
      <w:r>
        <w:rPr>
          <w:rFonts w:ascii="Times New Roman" w:hAnsi="Times New Roman"/>
          <w:color w:val="000000"/>
          <w:sz w:val="20"/>
        </w:rPr>
        <w:t>Board of Directors</w:t>
        <w:br/>
        <w:t>ABM Industries Incorporated</w:t>
        <w:br/>
        <w:t>One Liberty Plaza, 7th Floor</w:t>
      </w:r>
    </w:p>
    <w:p>
      <w:pPr>
        <w:pStyle w:val="TextBody"/>
        <w:bidi w:val="0"/>
        <w:jc w:val="left"/>
        <w:rPr>
          <w:rFonts w:ascii="Times New Roman" w:hAnsi="Times New Roman"/>
          <w:color w:val="000000"/>
          <w:sz w:val="20"/>
        </w:rPr>
      </w:pPr>
      <w:r>
        <w:rPr>
          <w:rFonts w:ascii="Times New Roman" w:hAnsi="Times New Roman"/>
          <w:color w:val="000000"/>
          <w:sz w:val="20"/>
        </w:rPr>
        <w:t>New York, New York 10006</w:t>
      </w:r>
    </w:p>
    <w:p>
      <w:pPr>
        <w:pStyle w:val="TextBody"/>
        <w:bidi w:val="0"/>
        <w:jc w:val="left"/>
        <w:rPr/>
      </w:pPr>
      <w:r>
        <w:rPr/>
        <w:t> </w:t>
      </w:r>
    </w:p>
    <w:tbl>
      <w:tblPr>
        <w:tblW w:w="6733" w:type="dxa"/>
        <w:jc w:val="left"/>
        <w:tblInd w:w="0" w:type="dxa"/>
        <w:tblLayout w:type="fixed"/>
        <w:tblCellMar>
          <w:top w:w="28" w:type="dxa"/>
          <w:left w:w="28" w:type="dxa"/>
          <w:bottom w:w="28" w:type="dxa"/>
          <w:right w:w="28" w:type="dxa"/>
        </w:tblCellMar>
      </w:tblPr>
      <w:tblGrid>
        <w:gridCol w:w="161"/>
        <w:gridCol w:w="391"/>
        <w:gridCol w:w="6181"/>
      </w:tblGrid>
      <w:tr>
        <w:trPr/>
        <w:tc>
          <w:tcPr>
            <w:tcW w:w="1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61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00"/>
              <w:jc w:val="left"/>
              <w:rPr/>
            </w:pPr>
            <w:r>
              <w:rPr/>
              <w:t> </w:t>
            </w:r>
          </w:p>
        </w:tc>
        <w:tc>
          <w:tcPr>
            <w:tcW w:w="391"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0"/>
              </w:rPr>
            </w:pPr>
            <w:r>
              <w:rPr>
                <w:rFonts w:ascii="Times New Roman" w:hAnsi="Times New Roman"/>
                <w:color w:val="000000"/>
                <w:sz w:val="20"/>
              </w:rPr>
              <w:t>Re:</w:t>
            </w:r>
          </w:p>
        </w:tc>
        <w:tc>
          <w:tcPr>
            <w:tcW w:w="6181"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0"/>
                <w:u w:val="single"/>
              </w:rPr>
            </w:pPr>
            <w:r>
              <w:rPr>
                <w:rFonts w:ascii="Times New Roman" w:hAnsi="Times New Roman"/>
                <w:color w:val="000000"/>
                <w:sz w:val="20"/>
                <w:u w:val="single"/>
              </w:rPr>
              <w:t>Registration Statement on Form S-8 Filed by ABM Industries Incorporated</w:t>
              <w:br/>
              <w:t>ABM Industries Incorporated 2025 Employee Stock Purchase Plan</w:t>
            </w:r>
          </w:p>
        </w:tc>
      </w:tr>
    </w:tbl>
    <w:p>
      <w:pPr>
        <w:pStyle w:val="TextBody"/>
        <w:bidi w:val="0"/>
        <w:spacing w:before="0" w:after="200"/>
        <w:jc w:val="left"/>
        <w:rPr>
          <w:rFonts w:ascii="Times New Roman" w:hAnsi="Times New Roman"/>
          <w:color w:val="000000"/>
          <w:sz w:val="20"/>
        </w:rPr>
      </w:pPr>
      <w:r>
        <w:rPr>
          <w:rFonts w:ascii="Times New Roman" w:hAnsi="Times New Roman"/>
          <w:color w:val="000000"/>
          <w:sz w:val="20"/>
        </w:rPr>
        <w:t>Ladies and Gentlemen:</w:t>
      </w:r>
    </w:p>
    <w:p>
      <w:pPr>
        <w:pStyle w:val="TextBody"/>
        <w:bidi w:val="0"/>
        <w:spacing w:before="0" w:after="200"/>
        <w:jc w:val="left"/>
        <w:rPr>
          <w:rFonts w:ascii="Times New Roman" w:hAnsi="Times New Roman"/>
          <w:sz w:val="20"/>
        </w:rPr>
      </w:pPr>
      <w:r>
        <w:rPr>
          <w:rFonts w:ascii="Times New Roman" w:hAnsi="Times New Roman"/>
          <w:color w:val="000000"/>
          <w:sz w:val="20"/>
        </w:rPr>
        <w:t>I am the Vice President and Corporate Secretary of ABM Industries Incorporated, a company incorporated under the laws of Delaware (the “</w:t>
      </w:r>
      <w:r>
        <w:rPr>
          <w:rFonts w:ascii="Times New Roman" w:hAnsi="Times New Roman"/>
          <w:b/>
          <w:i/>
          <w:color w:val="000000"/>
          <w:sz w:val="20"/>
        </w:rPr>
        <w:t>Company</w:t>
      </w:r>
      <w:r>
        <w:rPr>
          <w:rFonts w:ascii="Times New Roman" w:hAnsi="Times New Roman"/>
          <w:color w:val="000000"/>
          <w:sz w:val="20"/>
        </w:rPr>
        <w:t>”). In connection with the registration of 1,500,000 shares (the “</w:t>
      </w:r>
      <w:r>
        <w:rPr>
          <w:rFonts w:ascii="Times New Roman" w:hAnsi="Times New Roman"/>
          <w:b/>
          <w:i/>
          <w:color w:val="000000"/>
          <w:sz w:val="20"/>
        </w:rPr>
        <w:t>Shares</w:t>
      </w:r>
      <w:r>
        <w:rPr>
          <w:rFonts w:ascii="Times New Roman" w:hAnsi="Times New Roman"/>
          <w:color w:val="000000"/>
          <w:sz w:val="20"/>
        </w:rPr>
        <w:t>”) of common stock, par value $0.01 per share, of the Company that may be issued or delivered and sold pursuant to the ABM Industries Incorporated 2025 Employee Stock Purchase Plan (the “</w:t>
      </w:r>
      <w:r>
        <w:rPr>
          <w:rFonts w:ascii="Times New Roman" w:hAnsi="Times New Roman"/>
          <w:b/>
          <w:i/>
          <w:color w:val="000000"/>
          <w:sz w:val="20"/>
        </w:rPr>
        <w:t>Plan</w:t>
      </w:r>
      <w:r>
        <w:rPr>
          <w:rFonts w:ascii="Times New Roman" w:hAnsi="Times New Roman"/>
          <w:color w:val="000000"/>
          <w:sz w:val="20"/>
        </w:rPr>
        <w:t xml:space="preserve">”), I have examined such documents, records and matters of law as I have deemed relevant or necessary for purposes of such opinion.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Based on the foregoing, and subject to the further limitations, qualifications and assumptions set forth herein, I am of the opinion that the Shares that may be issued or delivered and sold pursuant to the Plan will be, when issued or delivered and sold in accordance with the Plan, validly issued, fully paid and nonassessable, provided that the consideration for the Shares is at least equal to the stated par value thereof.</w:t>
      </w:r>
    </w:p>
    <w:p>
      <w:pPr>
        <w:pStyle w:val="TextBody"/>
        <w:bidi w:val="0"/>
        <w:spacing w:before="0" w:after="200"/>
        <w:jc w:val="left"/>
        <w:rPr>
          <w:rFonts w:ascii="Times New Roman" w:hAnsi="Times New Roman"/>
          <w:sz w:val="20"/>
        </w:rPr>
      </w:pPr>
      <w:r>
        <w:rPr>
          <w:rFonts w:ascii="Times New Roman" w:hAnsi="Times New Roman"/>
          <w:color w:val="000000"/>
          <w:sz w:val="20"/>
        </w:rPr>
        <w:t>This opinion is addressed to you in connection with the filing by the Company of the Registration Statement with the Securities and Exchange Commission. I consent to the inclusion of this opinion as Exhibit 5.1 to the Registration Statement. In giving such consent, I do not thereby admit that I am included in the category of persons whose consent is required under Section 7 of the Securities Act of 1933 (the “</w:t>
      </w:r>
      <w:r>
        <w:rPr>
          <w:rFonts w:ascii="Times New Roman" w:hAnsi="Times New Roman"/>
          <w:b/>
          <w:i/>
          <w:color w:val="000000"/>
          <w:sz w:val="20"/>
        </w:rPr>
        <w:t>Act</w:t>
      </w:r>
      <w:r>
        <w:rPr>
          <w:rFonts w:ascii="Times New Roman" w:hAnsi="Times New Roman"/>
          <w:color w:val="000000"/>
          <w:sz w:val="20"/>
        </w:rPr>
        <w:t>”) or the rules and regulations of the Securities and Exchange Commission promulgated thereunder.</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This opinion speaks as of its date and is strictly limited to the matters stated herein and I assume no obligation to review or update this opinion if applicable law or the existing facts or circumstances should change. This opinion is governed by and is to be construed in accordance with Delaware law. It is given on the basis that it will not give rise to any legal proceedings with respect thereto in any jurisdiction other than Delaware. </w:t>
      </w:r>
    </w:p>
    <w:tbl>
      <w:tblPr>
        <w:tblW w:w="3436" w:type="dxa"/>
        <w:jc w:val="left"/>
        <w:tblInd w:w="0" w:type="dxa"/>
        <w:tblLayout w:type="fixed"/>
        <w:tblCellMar>
          <w:top w:w="28" w:type="dxa"/>
          <w:left w:w="28" w:type="dxa"/>
          <w:bottom w:w="28" w:type="dxa"/>
          <w:right w:w="28" w:type="dxa"/>
        </w:tblCellMar>
      </w:tblPr>
      <w:tblGrid>
        <w:gridCol w:w="3436"/>
      </w:tblGrid>
      <w:tr>
        <w:trPr/>
        <w:tc>
          <w:tcPr>
            <w:tcW w:w="3436" w:type="dxa"/>
            <w:tcBorders/>
            <w:vAlign w:val="center"/>
          </w:tcPr>
          <w:p>
            <w:pPr>
              <w:pStyle w:val="TableContents"/>
              <w:bidi w:val="0"/>
              <w:spacing w:before="0" w:after="283"/>
              <w:jc w:val="left"/>
              <w:rPr>
                <w:sz w:val="4"/>
                <w:szCs w:val="4"/>
              </w:rPr>
            </w:pPr>
            <w:r>
              <w:rPr>
                <w:sz w:val="4"/>
                <w:szCs w:val="4"/>
              </w:rPr>
            </w:r>
          </w:p>
        </w:tc>
      </w:tr>
      <w:tr>
        <w:trPr/>
        <w:tc>
          <w:tcPr>
            <w:tcW w:w="3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Very truly yours,</w:t>
            </w:r>
          </w:p>
        </w:tc>
      </w:tr>
      <w:tr>
        <w:trPr/>
        <w:tc>
          <w:tcPr>
            <w:tcW w:w="3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R. Goldman</w:t>
            </w:r>
          </w:p>
        </w:tc>
      </w:tr>
      <w:tr>
        <w:trPr/>
        <w:tc>
          <w:tcPr>
            <w:tcW w:w="3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R. Goldman</w:t>
            </w:r>
          </w:p>
        </w:tc>
      </w:tr>
      <w:tr>
        <w:trPr/>
        <w:tc>
          <w:tcPr>
            <w:tcW w:w="3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Vice President and Corporate Secretary</w:t>
            </w:r>
          </w:p>
        </w:tc>
      </w:tr>
      <w:tr>
        <w:trPr/>
        <w:tc>
          <w:tcPr>
            <w:tcW w:w="343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80" w:after="283"/>
        <w:jc w:val="right"/>
        <w:rPr>
          <w:rFonts w:ascii="Arial" w:hAnsi="Arial"/>
          <w:b/>
          <w:color w:val="000000"/>
          <w:sz w:val="20"/>
        </w:rPr>
      </w:pPr>
      <w:bookmarkStart w:id="5" w:name="abm-ex23_1.htm"/>
      <w:bookmarkStart w:id="6" w:name="ksabmex23_1"/>
      <w:bookmarkEnd w:id="5"/>
      <w:bookmarkEnd w:id="6"/>
      <w:r>
        <w:rPr>
          <w:rFonts w:ascii="Arial" w:hAnsi="Arial"/>
          <w:b/>
          <w:color w:val="000000"/>
          <w:sz w:val="20"/>
        </w:rPr>
        <w:t>Exhibit 23.1</w:t>
      </w:r>
      <w:r>
        <w:br w:type="page"/>
      </w:r>
    </w:p>
    <w:p>
      <w:pPr>
        <w:pStyle w:val="TextBody"/>
        <w:bidi w:val="0"/>
        <w:jc w:val="left"/>
        <w:rPr>
          <w:rFonts w:ascii="Arial" w:hAnsi="Arial"/>
          <w:color w:val="000000"/>
          <w:sz w:val="16"/>
        </w:rPr>
      </w:pPr>
      <w:r>
        <w:rPr>
          <w:rFonts w:ascii="Arial" w:hAnsi="Arial"/>
          <w:color w:val="000000"/>
          <w:sz w:val="16"/>
        </w:rPr>
        <w:t>KPMG LLP</w:t>
      </w:r>
    </w:p>
    <w:p>
      <w:pPr>
        <w:pStyle w:val="TextBody"/>
        <w:bidi w:val="0"/>
        <w:jc w:val="left"/>
        <w:rPr>
          <w:rFonts w:ascii="Arial" w:hAnsi="Arial"/>
          <w:color w:val="000000"/>
          <w:sz w:val="16"/>
        </w:rPr>
      </w:pPr>
      <w:r>
        <w:rPr>
          <w:rFonts w:ascii="Arial" w:hAnsi="Arial"/>
          <w:color w:val="000000"/>
          <w:sz w:val="16"/>
        </w:rPr>
        <w:t>345 Park Avenue</w:t>
      </w:r>
    </w:p>
    <w:p>
      <w:pPr>
        <w:pStyle w:val="TextBody"/>
        <w:bidi w:val="0"/>
        <w:spacing w:before="1" w:after="283"/>
        <w:jc w:val="left"/>
        <w:rPr>
          <w:rFonts w:ascii="Arial" w:hAnsi="Arial"/>
          <w:color w:val="000000"/>
          <w:sz w:val="16"/>
        </w:rPr>
      </w:pPr>
      <w:r>
        <w:rPr>
          <w:rFonts w:ascii="Arial" w:hAnsi="Arial"/>
          <w:color w:val="000000"/>
          <w:sz w:val="16"/>
        </w:rPr>
        <w:t>New York, NY 10154-0102</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00" w:after="283"/>
        <w:jc w:val="left"/>
        <w:rPr/>
      </w:pPr>
      <w:r>
        <w:rPr/>
        <w:t> </w:t>
      </w:r>
    </w:p>
    <w:p>
      <w:pPr>
        <w:pStyle w:val="TextBody"/>
        <w:bidi w:val="0"/>
        <w:jc w:val="center"/>
        <w:rPr>
          <w:rFonts w:ascii="Arial" w:hAnsi="Arial"/>
          <w:b/>
          <w:color w:val="000000"/>
          <w:sz w:val="20"/>
        </w:rPr>
      </w:pPr>
      <w:r>
        <w:rPr>
          <w:rFonts w:ascii="Arial" w:hAnsi="Arial"/>
          <w:b/>
          <w:color w:val="000000"/>
          <w:sz w:val="20"/>
        </w:rPr>
        <w:t>Consent of Independent Registered Public Accounting Firm</w:t>
      </w:r>
    </w:p>
    <w:p>
      <w:pPr>
        <w:pStyle w:val="TextBody"/>
        <w:bidi w:val="0"/>
        <w:spacing w:before="212" w:after="283"/>
        <w:jc w:val="both"/>
        <w:rPr>
          <w:rFonts w:ascii="Arial" w:hAnsi="Arial"/>
          <w:color w:val="000000"/>
          <w:sz w:val="20"/>
        </w:rPr>
      </w:pPr>
      <w:r>
        <w:rPr>
          <w:rFonts w:ascii="Arial" w:hAnsi="Arial"/>
          <w:color w:val="000000"/>
          <w:sz w:val="20"/>
        </w:rPr>
        <w:t>We consent to the use of our reports dated December 19, 2024, with respect to the consolidated financial statements of ABM Industries Incorporated and subsidiaries, and the effectiveness of internal control over financial reporting, incorporated herein by reference.</w:t>
      </w:r>
    </w:p>
    <w:p>
      <w:pPr>
        <w:pStyle w:val="TextBody"/>
        <w:bidi w:val="0"/>
        <w:spacing w:before="1" w:after="283"/>
        <w:jc w:val="left"/>
        <w:rPr/>
      </w:pPr>
      <w:r>
        <w:rPr/>
        <w:drawing>
          <wp:inline distT="0" distB="0" distL="0" distR="0">
            <wp:extent cx="1219200" cy="247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9"/>
                    <a:stretch>
                      <a:fillRect/>
                    </a:stretch>
                  </pic:blipFill>
                  <pic:spPr bwMode="auto">
                    <a:xfrm>
                      <a:off x="0" y="0"/>
                      <a:ext cx="1219200" cy="247650"/>
                    </a:xfrm>
                    <a:prstGeom prst="rect">
                      <a:avLst/>
                    </a:prstGeom>
                  </pic:spPr>
                </pic:pic>
              </a:graphicData>
            </a:graphic>
          </wp:inline>
        </w:drawing>
      </w:r>
    </w:p>
    <w:p>
      <w:pPr>
        <w:pStyle w:val="TextBody"/>
        <w:bidi w:val="0"/>
        <w:spacing w:before="61" w:after="283"/>
        <w:jc w:val="left"/>
        <w:rPr/>
      </w:pPr>
      <w:r>
        <w:rPr/>
        <w:t> </w:t>
      </w:r>
    </w:p>
    <w:p>
      <w:pPr>
        <w:pStyle w:val="TextBody"/>
        <w:bidi w:val="0"/>
        <w:jc w:val="left"/>
        <w:rPr>
          <w:rFonts w:ascii="Arial" w:hAnsi="Arial"/>
          <w:color w:val="000000"/>
          <w:sz w:val="20"/>
        </w:rPr>
      </w:pPr>
      <w:r>
        <w:rPr>
          <w:rFonts w:ascii="Arial" w:hAnsi="Arial"/>
          <w:color w:val="000000"/>
          <w:sz w:val="20"/>
        </w:rPr>
        <w:t>New York, New York March 27, 2025</w:t>
      </w:r>
    </w:p>
    <w:p>
      <w:pPr>
        <w:pStyle w:val="TextBody"/>
        <w:bidi w:val="0"/>
        <w:jc w:val="left"/>
        <w:rPr/>
      </w:pPr>
      <w:r>
        <w:rPr/>
        <w:t> </w:t>
      </w:r>
    </w:p>
    <w:p>
      <w:pPr>
        <w:pStyle w:val="TextBody"/>
        <w:bidi w:val="0"/>
        <w:spacing w:before="16" w:after="283"/>
        <w:jc w:val="left"/>
        <w:rPr/>
      </w:pPr>
      <w:r>
        <w:rPr/>
        <w:t> </w:t>
      </w:r>
    </w:p>
    <w:p>
      <w:pPr>
        <w:pStyle w:val="TextBody"/>
        <w:bidi w:val="0"/>
        <w:spacing w:before="2" w:after="283"/>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7" w:name="abm-ex99_1.htm"/>
      <w:bookmarkStart w:id="8" w:name="ksabmex99_1"/>
      <w:bookmarkEnd w:id="7"/>
      <w:bookmarkEnd w:id="8"/>
      <w:r>
        <w:rPr>
          <w:rFonts w:ascii="Times New Roman" w:hAnsi="Times New Roman"/>
          <w:b/>
          <w:color w:val="000000"/>
          <w:sz w:val="20"/>
        </w:rPr>
        <w:t>Exhibit 99.1</w:t>
      </w:r>
      <w:r>
        <w:br w:type="page"/>
      </w:r>
    </w:p>
    <w:p>
      <w:pPr>
        <w:pStyle w:val="TextBody"/>
        <w:bidi w:val="0"/>
        <w:jc w:val="center"/>
        <w:rPr>
          <w:rFonts w:ascii="Times New Roman" w:hAnsi="Times New Roman"/>
          <w:b/>
          <w:caps/>
          <w:color w:val="000000"/>
          <w:sz w:val="20"/>
        </w:rPr>
      </w:pPr>
      <w:r>
        <w:rPr>
          <w:rFonts w:ascii="Times New Roman" w:hAnsi="Times New Roman"/>
          <w:b/>
          <w:caps/>
          <w:color w:val="000000"/>
          <w:sz w:val="20"/>
        </w:rPr>
        <w:t>abm industries incorporated</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2025 EMPLOYEE STOCK PURCHASE PLAN</w:t>
      </w:r>
    </w:p>
    <w:p>
      <w:pPr>
        <w:pStyle w:val="TextBody"/>
        <w:bidi w:val="0"/>
        <w:spacing w:before="0" w:after="240"/>
        <w:jc w:val="center"/>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w:t>
      </w:r>
    </w:p>
    <w:p>
      <w:pPr>
        <w:pStyle w:val="TextBody"/>
        <w:bidi w:val="0"/>
        <w:spacing w:before="120" w:after="283"/>
        <w:jc w:val="both"/>
        <w:rPr/>
      </w:pPr>
      <w:r>
        <w:rPr>
          <w:rFonts w:ascii="Times New Roman" w:hAnsi="Times New Roman"/>
          <w:b/>
          <w:color w:val="000000"/>
          <w:sz w:val="20"/>
        </w:rPr>
        <w:t>Establishment</w:t>
      </w:r>
      <w:r>
        <w:rPr>
          <w:rFonts w:ascii="Times New Roman" w:hAnsi="Times New Roman"/>
          <w:color w:val="000000"/>
          <w:sz w:val="20"/>
        </w:rPr>
        <w:t>. This ABM Industries Incorporated 2025 Employee Stock Purchase Plan (the “</w:t>
      </w:r>
      <w:r>
        <w:rPr>
          <w:rFonts w:ascii="Times New Roman" w:hAnsi="Times New Roman"/>
          <w:b/>
          <w:i/>
          <w:color w:val="000000"/>
          <w:sz w:val="20"/>
        </w:rPr>
        <w:t>Plan</w:t>
      </w:r>
      <w:r>
        <w:rPr>
          <w:color w:val="000000"/>
        </w:rPr>
        <w:t>”</w:t>
      </w:r>
      <w:r>
        <w:rPr>
          <w:rFonts w:ascii="Times New Roman" w:hAnsi="Times New Roman"/>
          <w:color w:val="000000"/>
          <w:sz w:val="20"/>
        </w:rPr>
        <w:t>) is effective as of February 10, 2025 (the “</w:t>
      </w:r>
      <w:r>
        <w:rPr>
          <w:rFonts w:ascii="Times New Roman" w:hAnsi="Times New Roman"/>
          <w:b/>
          <w:i/>
          <w:color w:val="000000"/>
          <w:sz w:val="20"/>
        </w:rPr>
        <w:t>Effective Date</w:t>
      </w:r>
      <w:r>
        <w:rPr>
          <w:color w:val="000000"/>
        </w:rPr>
        <w:t>”</w:t>
      </w:r>
      <w:r>
        <w:rPr>
          <w:rFonts w:ascii="Times New Roman" w:hAnsi="Times New Roman"/>
          <w:color w:val="000000"/>
          <w:sz w:val="20"/>
        </w:rPr>
        <w:t>), provided that this Plan shall not become effective unless it has been approved by the stockholders of the Company on or before the 12-month anniversary of the date this Plan is adopted by the Board. If stockholder approval is not received by such date, this Plan will have no effect. The Company intends that this Plan qualify as an “employee stock purchase plan” under Section 423 of the Code (including any amendments to such section) (“</w:t>
      </w:r>
      <w:r>
        <w:rPr>
          <w:rFonts w:ascii="Times New Roman" w:hAnsi="Times New Roman"/>
          <w:b/>
          <w:i/>
          <w:color w:val="000000"/>
          <w:sz w:val="20"/>
        </w:rPr>
        <w:t>Section 423</w:t>
      </w:r>
      <w:r>
        <w:rPr>
          <w:color w:val="000000"/>
        </w:rPr>
        <w:t>”</w:t>
      </w:r>
      <w:r>
        <w:rPr>
          <w:rFonts w:ascii="Times New Roman" w:hAnsi="Times New Roman"/>
          <w:color w:val="000000"/>
          <w:sz w:val="20"/>
        </w:rPr>
        <w:t>), and this Plan shall be so construed.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w:t>
      </w:r>
    </w:p>
    <w:p>
      <w:pPr>
        <w:pStyle w:val="TextBody"/>
        <w:bidi w:val="0"/>
        <w:spacing w:before="120" w:after="283"/>
        <w:jc w:val="both"/>
        <w:rPr/>
      </w:pPr>
      <w:r>
        <w:rPr>
          <w:rFonts w:ascii="Times New Roman" w:hAnsi="Times New Roman"/>
          <w:b/>
          <w:color w:val="000000"/>
          <w:sz w:val="20"/>
        </w:rPr>
        <w:t>Term of this Plan</w:t>
      </w:r>
      <w:r>
        <w:rPr>
          <w:rFonts w:ascii="Times New Roman" w:hAnsi="Times New Roman"/>
          <w:color w:val="000000"/>
          <w:sz w:val="20"/>
        </w:rPr>
        <w:t>. This Plan shall continue in effect until the earliest of (a) its termination by the Board, (b) the issuance of all Stock available for issuance under this Plan and (c) the day before the ten year anniversary of the Effective Date.</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3.</w:t>
      </w:r>
    </w:p>
    <w:p>
      <w:pPr>
        <w:pStyle w:val="TextBody"/>
        <w:bidi w:val="0"/>
        <w:spacing w:before="120" w:after="283"/>
        <w:jc w:val="both"/>
        <w:rPr/>
      </w:pPr>
      <w:r>
        <w:rPr>
          <w:rFonts w:ascii="Times New Roman" w:hAnsi="Times New Roman"/>
          <w:b/>
          <w:color w:val="000000"/>
          <w:sz w:val="20"/>
        </w:rPr>
        <w:t>Purpose</w:t>
      </w:r>
      <w:r>
        <w:rPr>
          <w:rFonts w:ascii="Times New Roman" w:hAnsi="Times New Roman"/>
          <w:color w:val="000000"/>
          <w:sz w:val="20"/>
        </w:rPr>
        <w:t>. The purpose of this Plan is to provide Eligible Employees with a means of acquiring an equity interest in the Company through payroll deductions, to enhance such employees’ sense of participation in the affairs of the Company and to provide an incentive for continued employment.</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4.</w:t>
      </w:r>
    </w:p>
    <w:p>
      <w:pPr>
        <w:pStyle w:val="TextBody"/>
        <w:bidi w:val="0"/>
        <w:spacing w:before="120" w:after="283"/>
        <w:jc w:val="both"/>
        <w:rPr/>
      </w:pPr>
      <w:r>
        <w:rPr>
          <w:rFonts w:ascii="Times New Roman" w:hAnsi="Times New Roman"/>
          <w:b/>
          <w:color w:val="000000"/>
          <w:sz w:val="20"/>
        </w:rPr>
        <w:t>Shares Subject to this Plan</w:t>
      </w:r>
      <w:r>
        <w:rPr>
          <w:rFonts w:ascii="Times New Roman" w:hAnsi="Times New Roman"/>
          <w:color w:val="000000"/>
          <w:sz w:val="20"/>
        </w:rPr>
        <w:t>. Subject to adjustment as provided in this Section 4, the maximum aggregate number of shares of Stock that may be issued under this Plan shall be 1,500,000 and shall consist of authorized but unissued or reacquired shares of Stock, shares of Stock purchased on the open market, or any combination thereof. Subject to the requirements of Section 424 of the Code to the extent applicable, in the event of any change in capitalization of the Company or other extraordinary transactions or events, appropriate and proportionate adjustments shall be made in the number and kind of shares subject to this Plan, the limit on the shares which may be purchased by any Participant during an Offering (as described in Sections 9 and 10.1) and each Purchase Right, and in the Purchase Price in order to prevent dilution or enlargement of Participants’ rights under this Plan.</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5.</w:t>
      </w:r>
    </w:p>
    <w:p>
      <w:pPr>
        <w:pStyle w:val="TextBody"/>
        <w:bidi w:val="0"/>
        <w:spacing w:before="120" w:after="283"/>
        <w:jc w:val="both"/>
        <w:rPr/>
      </w:pPr>
      <w:r>
        <w:rPr>
          <w:rFonts w:ascii="Times New Roman" w:hAnsi="Times New Roman"/>
          <w:b/>
          <w:color w:val="000000"/>
          <w:sz w:val="20"/>
        </w:rPr>
        <w:t>Eligibility</w:t>
      </w:r>
      <w:r>
        <w:rPr>
          <w:rFonts w:ascii="Times New Roman" w:hAnsi="Times New Roman"/>
          <w:color w:val="000000"/>
          <w:sz w:val="20"/>
        </w:rPr>
        <w:t>.</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5.1.</w:t>
      </w:r>
    </w:p>
    <w:p>
      <w:pPr>
        <w:pStyle w:val="TextBody"/>
        <w:bidi w:val="0"/>
        <w:spacing w:before="120" w:after="283"/>
        <w:jc w:val="both"/>
        <w:rPr/>
      </w:pPr>
      <w:r>
        <w:rPr>
          <w:rFonts w:ascii="Times New Roman" w:hAnsi="Times New Roman"/>
          <w:b/>
          <w:color w:val="000000"/>
          <w:sz w:val="20"/>
        </w:rPr>
        <w:t>Eligible Employees</w:t>
      </w:r>
      <w:r>
        <w:rPr>
          <w:rFonts w:ascii="Times New Roman" w:hAnsi="Times New Roman"/>
          <w:color w:val="000000"/>
          <w:sz w:val="20"/>
        </w:rPr>
        <w:t>. Each Employee of a Participating Company is eligible to participate in an Offering Period under this Plan, except Employees who have been employed by the Participating Company Group for a period of less than one (1) month as of the first day of an Offering Period (unless otherwise determined by the Committee).</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5.2.</w:t>
      </w:r>
    </w:p>
    <w:p>
      <w:pPr>
        <w:pStyle w:val="TextBody"/>
        <w:bidi w:val="0"/>
        <w:spacing w:before="120" w:after="283"/>
        <w:jc w:val="both"/>
        <w:rPr/>
      </w:pPr>
      <w:r>
        <w:rPr>
          <w:rFonts w:ascii="Times New Roman" w:hAnsi="Times New Roman"/>
          <w:b/>
          <w:color w:val="000000"/>
          <w:sz w:val="20"/>
        </w:rPr>
        <w:t>Exclusion of Certain Stockholders</w:t>
      </w:r>
      <w:r>
        <w:rPr>
          <w:rFonts w:ascii="Times New Roman" w:hAnsi="Times New Roman"/>
          <w:color w:val="000000"/>
          <w:sz w:val="20"/>
        </w:rPr>
        <w:t>. Notwithstanding any provision of this Plan to the contrary, no Employee shall be treated as an Eligible Employee and granted a Purchase Right under this Plan if, immediately after such grant, the Employee would own, or hold options to purchase, stock of the Company or of any Parent or Subsidiary possessing five percent (5%) or more of the total combined voting power or value of all classes of stock of such corporation, as determined in accordance with Section 423(b)(3) of the Code. For purposes of this Section 5.2, the attribution rules of Section 424(d) of the Code shall apply in determining the stock ownership of such Employee.</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6.</w:t>
      </w:r>
    </w:p>
    <w:p>
      <w:pPr>
        <w:pStyle w:val="TextBody"/>
        <w:bidi w:val="0"/>
        <w:spacing w:before="120" w:after="283"/>
        <w:jc w:val="both"/>
        <w:rPr/>
      </w:pPr>
      <w:r>
        <w:rPr>
          <w:rFonts w:ascii="Times New Roman" w:hAnsi="Times New Roman"/>
          <w:b/>
          <w:color w:val="000000"/>
          <w:sz w:val="20"/>
        </w:rPr>
        <w:t>Offering Dates</w:t>
      </w:r>
      <w:r>
        <w:rPr>
          <w:rFonts w:ascii="Times New Roman" w:hAnsi="Times New Roman"/>
          <w:color w:val="000000"/>
          <w:sz w:val="20"/>
        </w:rPr>
        <w:t>.</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6.1.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Unless otherwise determined by the Committee, each Offering Period will be three (3) months and the Purchase Date will be the last day of the Offering Period. Offering Periods may be consecutive. If the first or last day of an Offering Period or a Purchase Period is not a Business Day, the Company shall specify the Business Day that will be deemed the first or last day, as the case may be, of the Offering Period or Purchase Period.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6.2.</w:t>
      </w:r>
    </w:p>
    <w:p>
      <w:pPr>
        <w:pStyle w:val="TextBody"/>
        <w:bidi w:val="0"/>
        <w:spacing w:before="120" w:after="283"/>
        <w:jc w:val="both"/>
        <w:rPr/>
      </w:pPr>
      <w:r>
        <w:rPr>
          <w:rFonts w:ascii="Times New Roman" w:hAnsi="Times New Roman"/>
          <w:color w:val="000000"/>
          <w:sz w:val="20"/>
        </w:rPr>
        <w:t>The first Offering Period under this Plan shall commence on July 1, 2025 and shall end with a Purchase Date on September 30, 2025 (the “</w:t>
      </w:r>
      <w:r>
        <w:rPr>
          <w:rFonts w:ascii="Times New Roman" w:hAnsi="Times New Roman"/>
          <w:b/>
          <w:i/>
          <w:color w:val="000000"/>
          <w:sz w:val="20"/>
        </w:rPr>
        <w:t>Initial Offering Period</w:t>
      </w:r>
      <w:r>
        <w:rPr>
          <w:color w:val="000000"/>
        </w:rPr>
        <w:t>”</w:t>
      </w:r>
      <w:r>
        <w:rPr>
          <w:rFonts w:ascii="Times New Roman" w:hAnsi="Times New Roman"/>
          <w:color w:val="000000"/>
          <w:sz w:val="20"/>
        </w:rPr>
        <w:t xml:space="preserve">). The Initial Offering Period shall consist of a single Purchase Period. Thereafter, a new three-month Offering Period shall commence on each subsequent January 1, April 1, July 1 and October 1 with each such Offering Period consisting of a single three-month Purchase Period ending on March 31, June 30, September 30 and December 31, respectively, except as otherwise provided by the Committee;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no Offering Period may have a duration exceeding 27 months.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7.</w:t>
      </w:r>
    </w:p>
    <w:p>
      <w:pPr>
        <w:pStyle w:val="TextBody"/>
        <w:bidi w:val="0"/>
        <w:spacing w:before="120" w:after="283"/>
        <w:jc w:val="both"/>
        <w:rPr/>
      </w:pPr>
      <w:r>
        <w:rPr>
          <w:rFonts w:ascii="Times New Roman" w:hAnsi="Times New Roman"/>
          <w:b/>
          <w:color w:val="000000"/>
          <w:sz w:val="20"/>
        </w:rPr>
        <w:t>Participation in this Plan</w:t>
      </w:r>
      <w:r>
        <w:rPr>
          <w:rFonts w:ascii="Times New Roman" w:hAnsi="Times New Roman"/>
          <w:color w:val="000000"/>
          <w:sz w:val="20"/>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7.1.</w:t>
      </w:r>
    </w:p>
    <w:p>
      <w:pPr>
        <w:pStyle w:val="TextBody"/>
        <w:bidi w:val="0"/>
        <w:spacing w:before="120" w:after="283"/>
        <w:jc w:val="both"/>
        <w:rPr/>
      </w:pPr>
      <w:r>
        <w:rPr>
          <w:rFonts w:ascii="Times New Roman" w:hAnsi="Times New Roman"/>
          <w:b/>
          <w:color w:val="000000"/>
          <w:sz w:val="20"/>
        </w:rPr>
        <w:t>Initial Participation</w:t>
      </w:r>
      <w:r>
        <w:rPr>
          <w:rFonts w:ascii="Times New Roman" w:hAnsi="Times New Roman"/>
          <w:color w:val="000000"/>
          <w:sz w:val="20"/>
        </w:rPr>
        <w:t>. Any Employee who is an Eligible Employee may become a Participant in an Offering Period by completing and electronically submitting a Subscription Agreement not later than the close of business on the Subscription Date established by the Company for that Offering Period. An Eligible Employee who does not electronically submit a properly completed Subscription Agreement on or before the Subscription Date for an Offering Period shall not participate in this Plan for that Offering Period or for any subsequent Offering Period unless the Eligible Employee subsequently electronically submits a properly completed Subscription Agreement on or before the Subscription Date for such subsequent Offering Period. An Employee who becomes an Eligible Employee after the Offering Date of an Offering Period shall not be eligible to participate in that Offering Period but may participate in any subsequent Offering Period provided the Employee is still an Eligible Employee as of the Offering Date of such subsequent Offering Period.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7.2.</w:t>
      </w:r>
    </w:p>
    <w:p>
      <w:pPr>
        <w:pStyle w:val="TextBody"/>
        <w:bidi w:val="0"/>
        <w:spacing w:before="120" w:after="283"/>
        <w:jc w:val="both"/>
        <w:rPr/>
      </w:pPr>
      <w:r>
        <w:rPr>
          <w:rFonts w:ascii="Times New Roman" w:hAnsi="Times New Roman"/>
          <w:b/>
          <w:color w:val="000000"/>
          <w:sz w:val="20"/>
        </w:rPr>
        <w:t>Continued Enrollment in Offering Periods</w:t>
      </w:r>
      <w:r>
        <w:rPr>
          <w:rFonts w:ascii="Times New Roman" w:hAnsi="Times New Roman"/>
          <w:color w:val="000000"/>
          <w:sz w:val="20"/>
        </w:rPr>
        <w:t>. Once an Employee becomes a Participant in an Offering Period, then such Participant will automatically participate in each subsequent Offering Period commencing immediately following the last day of such prior Offering Period provided that the Participant remains an Eligible Employee on the Offering Date of the new Offering Period and has not either (a) withdrawn from participation in this Plan pursuant to Section 12, or (b) terminated employment or otherwise ceased to be an Eligible Employee as provided in Section 5. A Participant who may automatically participate in a subsequent Offering Period, as provided in this Section, is not required to electronically submit any additional Subscription Agreement for the subsequent Offering Period in order to continue participation in this Plan. However, a Participant may electronically submit a new Subscription Agreement for a subsequent Offering Period in accordance with the procedures set forth in Section 7.1 if the Participant desires to change any of the elections contained in the Participant’s then effective Subscription Agreement.</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8.</w:t>
      </w:r>
    </w:p>
    <w:p>
      <w:pPr>
        <w:pStyle w:val="TextBody"/>
        <w:bidi w:val="0"/>
        <w:spacing w:before="120" w:after="283"/>
        <w:jc w:val="both"/>
        <w:rPr/>
      </w:pPr>
      <w:r>
        <w:rPr>
          <w:rFonts w:ascii="Times New Roman" w:hAnsi="Times New Roman"/>
          <w:b/>
          <w:color w:val="000000"/>
          <w:sz w:val="20"/>
        </w:rPr>
        <w:t>Purchase Price</w:t>
      </w:r>
      <w:r>
        <w:rPr>
          <w:rFonts w:ascii="Times New Roman" w:hAnsi="Times New Roman"/>
          <w:color w:val="000000"/>
          <w:sz w:val="20"/>
        </w:rPr>
        <w:t>. Unless otherwise determined by the Committee, the Purchase Price in any Offering Period will be ninety-five percent (95%) of the Fair Market Value on the Purchase Date; provided that in no event may the Purchase Price in an Offering be less than eighty-five (85%) percent of the lesser of (a) the Fair Market Value on the Offering Date and (b) the Fair Market Value on the Purchase Date.</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9.</w:t>
      </w:r>
    </w:p>
    <w:p>
      <w:pPr>
        <w:pStyle w:val="TextBody"/>
        <w:bidi w:val="0"/>
        <w:spacing w:before="120" w:after="283"/>
        <w:jc w:val="both"/>
        <w:rPr/>
      </w:pPr>
      <w:r>
        <w:rPr>
          <w:rFonts w:ascii="Times New Roman" w:hAnsi="Times New Roman"/>
          <w:b/>
          <w:color w:val="000000"/>
          <w:sz w:val="20"/>
        </w:rPr>
        <w:t>Grant of Purchase Right</w:t>
      </w:r>
      <w:r>
        <w:rPr>
          <w:rFonts w:ascii="Times New Roman" w:hAnsi="Times New Roman"/>
          <w:color w:val="000000"/>
          <w:sz w:val="20"/>
        </w:rPr>
        <w:t>. Except as otherwise provided herein, on the Offering Date of each Offering Period, each Participant in such Offering Period shall be granted automatically a Purchase Right consisting of an option to purchase that number of whole shares of Stock determined by dividing the Dollar Limit (determined as provided below) by the Fair Market Value of a share of Stock on such Offering Date. The Committee may, in its discretion and prior to the Offering Date of any Offering Period, (A) change the method of, or any of the foregoing factors in, determining the number of shares of Stock subject to Purchase Rights to be granted on such Offering Date, or (B) specify a maximum aggregate number of shares that may be purchased by all Participants in an Offering or on any Purchase Date within an Offering Period. No Purchase Right shall be granted on an Offering Date to any person who is not, on such Offering Date, an Eligible Employee. For the purposes of this Section, the “Dollar Limit” shall be determined by multiplying $2,083.33</w:t>
      </w:r>
      <w:r>
        <w:rPr>
          <w:color w:val="000000"/>
        </w:rPr>
        <w:t xml:space="preserve"> </w:t>
      </w:r>
      <w:r>
        <w:rPr>
          <w:rFonts w:ascii="Times New Roman" w:hAnsi="Times New Roman"/>
          <w:color w:val="000000"/>
          <w:sz w:val="20"/>
        </w:rPr>
        <w:t xml:space="preserve">by the number of months (rounded to the nearest whole month) in the Offering Period and rounding to the nearest whole dollar.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10.</w:t>
      </w:r>
    </w:p>
    <w:p>
      <w:pPr>
        <w:pStyle w:val="TextBody"/>
        <w:bidi w:val="0"/>
        <w:spacing w:before="120" w:after="283"/>
        <w:jc w:val="both"/>
        <w:rPr/>
      </w:pPr>
      <w:r>
        <w:rPr>
          <w:rFonts w:ascii="Times New Roman" w:hAnsi="Times New Roman"/>
          <w:b/>
          <w:color w:val="000000"/>
          <w:sz w:val="20"/>
        </w:rPr>
        <w:t>Payment of Purchase Price; Payroll Deduction Changes; Share Issuances</w:t>
      </w:r>
      <w:r>
        <w:rPr>
          <w:rFonts w:ascii="Times New Roman" w:hAnsi="Times New Roman"/>
          <w:color w:val="000000"/>
          <w:sz w:val="20"/>
        </w:rPr>
        <w:t>.</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10.1.</w:t>
      </w:r>
    </w:p>
    <w:p>
      <w:pPr>
        <w:pStyle w:val="TextBody"/>
        <w:bidi w:val="0"/>
        <w:spacing w:before="120" w:after="283"/>
        <w:jc w:val="both"/>
        <w:rPr/>
      </w:pPr>
      <w:r>
        <w:rPr>
          <w:rFonts w:ascii="Times New Roman" w:hAnsi="Times New Roman"/>
          <w:b/>
          <w:color w:val="000000"/>
          <w:sz w:val="20"/>
        </w:rPr>
        <w:t>Payroll Deductions</w:t>
      </w:r>
      <w:r>
        <w:rPr>
          <w:rFonts w:ascii="Times New Roman" w:hAnsi="Times New Roman"/>
          <w:color w:val="000000"/>
          <w:sz w:val="20"/>
        </w:rPr>
        <w:t>. The Purchase Price of the shares is accumulated by regular payroll deductions from the Participant’s Compensation accumulated during each Offering Period, as set forth in the Participant’s Subscription Agreement. The Subscription Agreement shall set forth the percentage of the Participant’s Compensation to be deducted on each pay day during an Offering Period in one percent (1%) increments not less than one percent (1%) (except as a result of an election pursuant to Section 10.2 to stop payroll deductions effective following the first day of an Offering), nor greater than ten percent (10%). Payroll deductions shall commence on the first payday following the beginning of any Offering Period, and shall continue to the end of the applicable Offering Period unless sooner altered or terminated as provided herein. Notwithstanding the foregoing, a Participant’s payroll deductions for each calendar year may not exceed Twenty-Three Thousand Seven Hundred Fifty Dollars ($23,750) in Fair Market Value. The Committee may change the foregoing limits on payroll deductions effective as of any Offering Date. All payroll deductions made for a Participant are credited to his or her account under this Plan and are deposited with the general funds of the Company.</w:t>
      </w:r>
    </w:p>
    <w:p>
      <w:pPr>
        <w:pStyle w:val="TextBody"/>
        <w:bidi w:val="0"/>
        <w:jc w:val="center"/>
        <w:rPr>
          <w:rFonts w:ascii="Arial" w:hAnsi="Arial"/>
          <w:color w:val="000000"/>
          <w:sz w:val="16"/>
        </w:rPr>
      </w:pPr>
      <w:r>
        <w:rPr>
          <w:rFonts w:ascii="Arial" w:hAnsi="Arial"/>
          <w:color w:val="000000"/>
          <w:sz w:val="16"/>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10.2.</w:t>
      </w:r>
    </w:p>
    <w:p>
      <w:pPr>
        <w:pStyle w:val="TextBody"/>
        <w:bidi w:val="0"/>
        <w:spacing w:before="120" w:after="283"/>
        <w:jc w:val="both"/>
        <w:rPr/>
      </w:pPr>
      <w:r>
        <w:rPr>
          <w:rFonts w:ascii="Times New Roman" w:hAnsi="Times New Roman"/>
          <w:b/>
          <w:color w:val="000000"/>
          <w:sz w:val="20"/>
        </w:rPr>
        <w:t>Modifications</w:t>
      </w:r>
      <w:r>
        <w:rPr>
          <w:rFonts w:ascii="Times New Roman" w:hAnsi="Times New Roman"/>
          <w:color w:val="000000"/>
          <w:sz w:val="20"/>
        </w:rPr>
        <w:t>. A Participant may increase or decrease the rate of payroll deductions during an Offering Period by completing a new Subscription Agreement for payroll deductions, with the new rate to become effective on the first day of the month following the end of the month after receipt of the new Subscription Agreement and continuing for the remainder of the Offering Period unless changed. A Participant may increase or decrease the rate of payroll deductions for any future Offering Period by completing a new Subscription Agreement prior to the beginning of such Offering Period.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10.3.</w:t>
      </w:r>
    </w:p>
    <w:p>
      <w:pPr>
        <w:pStyle w:val="TextBody"/>
        <w:bidi w:val="0"/>
        <w:spacing w:before="120" w:after="283"/>
        <w:jc w:val="both"/>
        <w:rPr/>
      </w:pPr>
      <w:r>
        <w:rPr>
          <w:rFonts w:ascii="Times New Roman" w:hAnsi="Times New Roman"/>
          <w:b/>
          <w:color w:val="000000"/>
          <w:sz w:val="20"/>
        </w:rPr>
        <w:t>Purchase of Shares</w:t>
      </w:r>
      <w:r>
        <w:rPr>
          <w:rFonts w:ascii="Times New Roman" w:hAnsi="Times New Roman"/>
          <w:color w:val="000000"/>
          <w:sz w:val="20"/>
        </w:rPr>
        <w:t>. On each Purchase Date of an Offering Period, so long as this Plan remains in effect and provided that a Participant has not withdrawn from this Plan and the Participant’s participation in the Offering has not otherwise terminated before such Purchase Date, the Participant will automatically acquire pursuant to the exercise of the Participant’s Purchase Right the whole number of shares of Stock determined by dividing (a) the total amount of the Participant’s payroll deductions accumulated in the Participant’s Plan account during the Offering Period and not previously applied toward the purchase of Stock by (b) the Purchase Price. Any remaining cash balance will be addressed as set forth in Section 10.4 below. In no event will the number of shares purchased by the Participant during an Offering Period exceed the number of shares subject to the Participant’s Purchase Right. No Stock will be purchased on a Purchase Date on behalf of a Participant whose participation in the Offering or this Plan has terminated prior to such Purchase Date.</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10.4.</w:t>
      </w:r>
    </w:p>
    <w:p>
      <w:pPr>
        <w:pStyle w:val="TextBody"/>
        <w:bidi w:val="0"/>
        <w:spacing w:before="120" w:after="283"/>
        <w:jc w:val="both"/>
        <w:rPr/>
      </w:pPr>
      <w:r>
        <w:rPr>
          <w:rFonts w:ascii="Times New Roman" w:hAnsi="Times New Roman"/>
          <w:b/>
          <w:color w:val="000000"/>
          <w:sz w:val="20"/>
        </w:rPr>
        <w:t>Return of Plan Account Balance</w:t>
      </w:r>
      <w:r>
        <w:rPr>
          <w:rFonts w:ascii="Times New Roman" w:hAnsi="Times New Roman"/>
          <w:color w:val="000000"/>
          <w:sz w:val="20"/>
        </w:rPr>
        <w:t>. Any cash balance remaining in a Participant’s Plan account following any Purchase Date shall be refunded to the Participant as soon as practicable after such Purchase Date. However, if the cash balance to be returned to a Participant pursuant to the preceding sentence is less than the amount that would have been necessary to purchase an additional whole share of Stock on such Purchase Date, the Company may retain the cash balance in the Participant’s Plan account to be applied toward the purchase of shares of Stock in the subsequent Purchase Period or Offering Period.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10.5.</w:t>
      </w:r>
    </w:p>
    <w:p>
      <w:pPr>
        <w:pStyle w:val="TextBody"/>
        <w:bidi w:val="0"/>
        <w:spacing w:before="120" w:after="283"/>
        <w:jc w:val="both"/>
        <w:rPr/>
      </w:pPr>
      <w:r>
        <w:rPr>
          <w:rFonts w:ascii="Times New Roman" w:hAnsi="Times New Roman"/>
          <w:b/>
          <w:color w:val="000000"/>
          <w:sz w:val="20"/>
        </w:rPr>
        <w:t>Expiration of Purchase Right</w:t>
      </w:r>
      <w:r>
        <w:rPr>
          <w:rFonts w:ascii="Times New Roman" w:hAnsi="Times New Roman"/>
          <w:color w:val="000000"/>
          <w:sz w:val="20"/>
        </w:rPr>
        <w:t>. Any portion of a Participant’s Purchase Right remaining unexercised after the end of the Offering Period to which the Purchase Right relates shall expire immediately upon the end of the Offering Period.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10.6.</w:t>
      </w:r>
    </w:p>
    <w:p>
      <w:pPr>
        <w:pStyle w:val="TextBody"/>
        <w:bidi w:val="0"/>
        <w:spacing w:before="120" w:after="283"/>
        <w:jc w:val="both"/>
        <w:rPr/>
      </w:pPr>
      <w:r>
        <w:rPr>
          <w:rFonts w:ascii="Times New Roman" w:hAnsi="Times New Roman"/>
          <w:b/>
          <w:color w:val="000000"/>
          <w:sz w:val="20"/>
        </w:rPr>
        <w:t>Pro Rata Allocation of Shares</w:t>
      </w:r>
      <w:r>
        <w:rPr>
          <w:rFonts w:ascii="Times New Roman" w:hAnsi="Times New Roman"/>
          <w:color w:val="000000"/>
          <w:sz w:val="20"/>
        </w:rPr>
        <w:t>. If the number of shares of Stock which might be purchased by all Participants on a Purchase Date exceeds the number of shares of Stock available in this Plan as provided in Section 4 or the maximum aggregate number of shares of Stock that may be purchased on such Purchase Date pursuant to a limit established by the Committee pursuant to Section 9, the Company shall make a pro rata allocation of the shares available in as uniform a manner as practicable and as the Company determines to be equitable. Any fractional share resulting from such pro rata allocation to any Participant shall be disregarded.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10.7.</w:t>
      </w:r>
    </w:p>
    <w:p>
      <w:pPr>
        <w:pStyle w:val="TextBody"/>
        <w:bidi w:val="0"/>
        <w:spacing w:before="120" w:after="283"/>
        <w:jc w:val="both"/>
        <w:rPr/>
      </w:pPr>
      <w:r>
        <w:rPr>
          <w:rFonts w:ascii="Times New Roman" w:hAnsi="Times New Roman"/>
          <w:b/>
          <w:color w:val="000000"/>
          <w:sz w:val="20"/>
        </w:rPr>
        <w:t>Delivery of Shares</w:t>
      </w:r>
      <w:r>
        <w:rPr>
          <w:rFonts w:ascii="Times New Roman" w:hAnsi="Times New Roman"/>
          <w:color w:val="000000"/>
          <w:sz w:val="20"/>
        </w:rPr>
        <w:t>. As promptly as practicable after the Purchase Date, the Company will issue shares for the Participant’s benefit representing the shares purchased upon exercise of his or her Purchase Right.</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11.</w:t>
      </w:r>
    </w:p>
    <w:p>
      <w:pPr>
        <w:pStyle w:val="TextBody"/>
        <w:bidi w:val="0"/>
        <w:spacing w:before="120" w:after="283"/>
        <w:jc w:val="both"/>
        <w:rPr/>
      </w:pPr>
      <w:r>
        <w:rPr>
          <w:rFonts w:ascii="Times New Roman" w:hAnsi="Times New Roman"/>
          <w:b/>
          <w:color w:val="000000"/>
          <w:sz w:val="20"/>
        </w:rPr>
        <w:t>Limitations on Shares to be Purchased</w:t>
      </w:r>
      <w:r>
        <w:rPr>
          <w:rFonts w:ascii="Times New Roman" w:hAnsi="Times New Roman"/>
          <w:color w:val="000000"/>
          <w:sz w:val="20"/>
        </w:rPr>
        <w:t>. No Participant will be granted a Purchase Right which permits his or her right to purchase shares of Stock under this Plan to accrue at a rate which, when aggregated with such Participant’s rights to purchase shares under all other employee stock purchase plans of a Participating Company intended to meet the requirements of Section 423 of the Code, exceeds $25,000 in Fair Market Value (or such other limit, if any, as may be imposed by the Code) for each calendar year in which such Purchase Right is outstanding at any time. For purposes of the preceding sentence, the Fair Market Value of shares purchased during a given Offering Period will be determined as of the Offering Date for such Offering Period. The limitation described in this Section shall be applied in conformance with Section 423(b)(8) of the Code and the regulations thereunder.</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12.</w:t>
      </w:r>
    </w:p>
    <w:p>
      <w:pPr>
        <w:pStyle w:val="TextBody"/>
        <w:bidi w:val="0"/>
        <w:spacing w:before="120" w:after="283"/>
        <w:jc w:val="both"/>
        <w:rPr/>
      </w:pPr>
      <w:r>
        <w:rPr>
          <w:rFonts w:ascii="Times New Roman" w:hAnsi="Times New Roman"/>
          <w:b/>
          <w:color w:val="000000"/>
          <w:sz w:val="20"/>
        </w:rPr>
        <w:t>Withdrawal</w:t>
      </w:r>
      <w:r>
        <w:rPr>
          <w:rFonts w:ascii="Times New Roman" w:hAnsi="Times New Roman"/>
          <w:color w:val="000000"/>
          <w:sz w:val="20"/>
        </w:rPr>
        <w:t>.</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12.1.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Each Participant may withdraw from an Offering Period under this Plan pursuant to a method specified by the Company. Unless otherwise determined by the Committee, such withdrawal may be elected at any time prior to fifteen (15) days before the Purchase Date.</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12.2.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Upon withdrawal from this Plan, the accumulated payroll deductions that have not been applied toward the purchase of shares of Stock will be returned to the withdrawn Participant as soon as </w:t>
      </w:r>
    </w:p>
    <w:p>
      <w:pPr>
        <w:pStyle w:val="TextBody"/>
        <w:bidi w:val="0"/>
        <w:jc w:val="center"/>
        <w:rPr>
          <w:rFonts w:ascii="Arial" w:hAnsi="Arial"/>
          <w:color w:val="000000"/>
          <w:sz w:val="16"/>
        </w:rPr>
      </w:pPr>
      <w:r>
        <w:rPr>
          <w:rFonts w:ascii="Arial" w:hAnsi="Arial"/>
          <w:color w:val="000000"/>
          <w:sz w:val="16"/>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practicable after the withdrawal, without interest (unless otherwise required by applicable law), and his or her interest in this Plan and the Offering will terminate. In the event a Participant voluntarily elects to withdraw from this Plan, he or she may not resume his or her participation in this Plan during the same Offering Period, but he or she may participate in any Offering Period under this Plan which commences on a date after such withdrawal by meeting this Plan’s eligibility requirements and filing a new Subscription Agreement.</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13.</w:t>
      </w:r>
    </w:p>
    <w:p>
      <w:pPr>
        <w:pStyle w:val="TextBody"/>
        <w:bidi w:val="0"/>
        <w:spacing w:before="120" w:after="283"/>
        <w:jc w:val="both"/>
        <w:rPr/>
      </w:pPr>
      <w:r>
        <w:rPr>
          <w:rFonts w:ascii="Times New Roman" w:hAnsi="Times New Roman"/>
          <w:b/>
          <w:color w:val="000000"/>
          <w:sz w:val="20"/>
        </w:rPr>
        <w:t>Notification of Disposition of Shares</w:t>
      </w:r>
      <w:r>
        <w:rPr>
          <w:rFonts w:ascii="Times New Roman" w:hAnsi="Times New Roman"/>
          <w:color w:val="000000"/>
          <w:sz w:val="20"/>
        </w:rPr>
        <w:t xml:space="preserve">. The Company may require the Participant to give the Company prompt notice of any disposition of shares of Stock acquired by exercise of a Purchase Right which occurs within the later of two years after the date of grant of such Purchase Right or one year after the date of exercise of such Purchase Right.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14.</w:t>
      </w:r>
    </w:p>
    <w:p>
      <w:pPr>
        <w:pStyle w:val="TextBody"/>
        <w:bidi w:val="0"/>
        <w:spacing w:before="120" w:after="283"/>
        <w:jc w:val="both"/>
        <w:rPr/>
      </w:pPr>
      <w:r>
        <w:rPr>
          <w:rFonts w:ascii="Times New Roman" w:hAnsi="Times New Roman"/>
          <w:b/>
          <w:color w:val="000000"/>
          <w:sz w:val="20"/>
        </w:rPr>
        <w:t>Termination of Employment</w:t>
      </w:r>
      <w:r>
        <w:rPr>
          <w:rFonts w:ascii="Times New Roman" w:hAnsi="Times New Roman"/>
          <w:color w:val="000000"/>
          <w:sz w:val="20"/>
        </w:rPr>
        <w:t>. Termination of a Participant’s employment for any reason, including (but not limited to) retirement, death, disability, or the failure of a Participant to remain an Eligible Employee, immediately terminates his or her participation in this Plan. Employee status shall be determined under the applicable Section 423 rules.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15.</w:t>
      </w:r>
    </w:p>
    <w:p>
      <w:pPr>
        <w:pStyle w:val="TextBody"/>
        <w:bidi w:val="0"/>
        <w:spacing w:before="120" w:after="283"/>
        <w:jc w:val="both"/>
        <w:rPr/>
      </w:pPr>
      <w:r>
        <w:rPr>
          <w:rFonts w:ascii="Times New Roman" w:hAnsi="Times New Roman"/>
          <w:b/>
          <w:color w:val="000000"/>
          <w:sz w:val="20"/>
        </w:rPr>
        <w:t>Effect of a Change in Control on Purchase Rights</w:t>
      </w:r>
      <w:r>
        <w:rPr>
          <w:rFonts w:ascii="Times New Roman" w:hAnsi="Times New Roman"/>
          <w:color w:val="000000"/>
          <w:sz w:val="20"/>
        </w:rPr>
        <w:t>. In the event of a Change in Control, the Board (or the Committee) may, provide for any of, or a combination of any of, the following: (a) each Purchase Right shall be assumed or an equivalent purchase right shall be substituted by the successor entity or parent or subsidiary of such successor entity; (b) a date selected by the Board (or the Committee) on or before the date of consummation of such Change in Control shall be treated as a Purchase Date and all outstanding Purchase Rights shall be exercised on such date; (c) all outstanding Purchase Rights shall terminate and the accumulated payroll deductions will be refunded to each Participant upon or immediately prior to the Change in Control; or (d) outstanding Purchase Rights shall continue unchanged.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16.</w:t>
      </w:r>
    </w:p>
    <w:p>
      <w:pPr>
        <w:pStyle w:val="TextBody"/>
        <w:bidi w:val="0"/>
        <w:spacing w:before="120" w:after="283"/>
        <w:jc w:val="both"/>
        <w:rPr/>
      </w:pPr>
      <w:r>
        <w:rPr>
          <w:rFonts w:ascii="Times New Roman" w:hAnsi="Times New Roman"/>
          <w:b/>
          <w:color w:val="000000"/>
          <w:sz w:val="20"/>
        </w:rPr>
        <w:t>Return of Payroll Deductions</w:t>
      </w:r>
      <w:r>
        <w:rPr>
          <w:rFonts w:ascii="Times New Roman" w:hAnsi="Times New Roman"/>
          <w:color w:val="000000"/>
          <w:sz w:val="20"/>
        </w:rPr>
        <w:t>. In the event a Participant’s interest in this Plan is terminated by withdrawal, termination of employment or otherwise, or in the event this Plan is terminated by the Board, the Company will deliver to the Participant (or in the case of the Participant’s death, to his or her legal, representative) all accumulated payroll deductions credited to such Participant’s account. No interest will accrue on the payroll deductions of a Participant in this Plan or otherwise be credited to the Participant’s Plan account, unless otherwise required by law.</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17.</w:t>
      </w:r>
    </w:p>
    <w:p>
      <w:pPr>
        <w:pStyle w:val="TextBody"/>
        <w:bidi w:val="0"/>
        <w:spacing w:before="120" w:after="283"/>
        <w:jc w:val="both"/>
        <w:rPr/>
      </w:pPr>
      <w:r>
        <w:rPr>
          <w:rFonts w:ascii="Times New Roman" w:hAnsi="Times New Roman"/>
          <w:b/>
          <w:color w:val="000000"/>
          <w:sz w:val="20"/>
        </w:rPr>
        <w:t>No Assignability</w:t>
      </w:r>
      <w:r>
        <w:rPr>
          <w:rFonts w:ascii="Times New Roman" w:hAnsi="Times New Roman"/>
          <w:color w:val="000000"/>
          <w:sz w:val="20"/>
        </w:rPr>
        <w:t>. Neither payroll deductions credited to a Participant’s account nor any Purchase Rights may be assigned, transferred, pledged, or otherwise disposed of in any way by the Participant other than as provided by this Plan or by will or the laws of descent and distribution. A beneficiary designation pursuant to Section 21 shall not be treated as a disposition for this purpose. Any such attempt at assignment, transfer, pledge, or other disposition will be void and without effect, except that the Company may treat such act as an election to withdraw from this Plan as provided in Section 12.</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18.</w:t>
      </w:r>
    </w:p>
    <w:p>
      <w:pPr>
        <w:pStyle w:val="TextBody"/>
        <w:bidi w:val="0"/>
        <w:spacing w:before="120" w:after="283"/>
        <w:jc w:val="both"/>
        <w:rPr/>
      </w:pPr>
      <w:r>
        <w:rPr>
          <w:rFonts w:ascii="Times New Roman" w:hAnsi="Times New Roman"/>
          <w:b/>
          <w:color w:val="000000"/>
          <w:sz w:val="20"/>
        </w:rPr>
        <w:t>Administration</w:t>
      </w:r>
      <w:r>
        <w:rPr>
          <w:rFonts w:ascii="Times New Roman" w:hAnsi="Times New Roman"/>
          <w:color w:val="000000"/>
          <w:sz w:val="20"/>
        </w:rPr>
        <w:t>.</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18.1.</w:t>
      </w:r>
    </w:p>
    <w:p>
      <w:pPr>
        <w:pStyle w:val="TextBody"/>
        <w:bidi w:val="0"/>
        <w:spacing w:before="120" w:after="283"/>
        <w:jc w:val="both"/>
        <w:rPr/>
      </w:pPr>
      <w:r>
        <w:rPr>
          <w:rFonts w:ascii="Times New Roman" w:hAnsi="Times New Roman"/>
          <w:b/>
          <w:color w:val="000000"/>
          <w:sz w:val="20"/>
        </w:rPr>
        <w:t>Administration by the Committee</w:t>
      </w:r>
      <w:r>
        <w:rPr>
          <w:rFonts w:ascii="Times New Roman" w:hAnsi="Times New Roman"/>
          <w:color w:val="000000"/>
          <w:sz w:val="20"/>
        </w:rPr>
        <w:t xml:space="preserve">. This Plan shall be administered by the Committee. All questions of interpretation of this Plan, of any form of agreement or other document employed by the Company in the administration of this Plan, or of any Purchase Right shall be determined by the Committee, and such determinations shall be final, binding and conclusive upon all persons having an interest in this Plan or the Purchase Right, unless fraudulent or made in bad faith. Subject to the provisions of this Plan, the Committee shall determine all of the relevant terms and conditions of Purchase Rights;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all Participants granted Purchase Rights pursuant to an Offering shall have the same rights and privileges within the meaning of Section 423(b)(5) of the Code. Any and all actions, decisions and determinations taken or made by the Committee in the exercise of its discretion pursuant to this Plan or any agreement thereunder (other than determining questions of interpretation pursuant to the second sentence of this Section 18.1) shall be final, binding and conclusive upon all persons having an interest therein. All expenses reasonably incurred by the Company in the administration of this Plan shall be paid by the Company.</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18.2.</w:t>
      </w:r>
    </w:p>
    <w:p>
      <w:pPr>
        <w:pStyle w:val="TextBody"/>
        <w:bidi w:val="0"/>
        <w:spacing w:before="120" w:after="283"/>
        <w:jc w:val="both"/>
        <w:rPr/>
      </w:pPr>
      <w:r>
        <w:rPr>
          <w:rFonts w:ascii="Times New Roman" w:hAnsi="Times New Roman"/>
          <w:b/>
          <w:color w:val="000000"/>
          <w:sz w:val="20"/>
        </w:rPr>
        <w:t>Authority of Officers</w:t>
      </w:r>
      <w:r>
        <w:rPr>
          <w:rFonts w:ascii="Times New Roman" w:hAnsi="Times New Roman"/>
          <w:color w:val="000000"/>
          <w:sz w:val="20"/>
        </w:rPr>
        <w:t>. Any Officer shall have the authority to act on behalf of the Company with respect to any matter, right, obligation, determination or election that is the responsibility of or that is allocated to the Company herein, provided that the Officer has actual authority with respect to such matter, right, obligation, determination or election.</w:t>
      </w:r>
    </w:p>
    <w:p>
      <w:pPr>
        <w:pStyle w:val="TextBody"/>
        <w:bidi w:val="0"/>
        <w:jc w:val="center"/>
        <w:rPr>
          <w:rFonts w:ascii="Arial" w:hAnsi="Arial"/>
          <w:color w:val="000000"/>
          <w:sz w:val="16"/>
        </w:rPr>
      </w:pPr>
      <w:r>
        <w:rPr>
          <w:rFonts w:ascii="Arial" w:hAnsi="Arial"/>
          <w:color w:val="000000"/>
          <w:sz w:val="16"/>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18.3.</w:t>
      </w:r>
    </w:p>
    <w:p>
      <w:pPr>
        <w:pStyle w:val="TextBody"/>
        <w:bidi w:val="0"/>
        <w:spacing w:before="120" w:after="283"/>
        <w:jc w:val="both"/>
        <w:rPr/>
      </w:pPr>
      <w:r>
        <w:rPr>
          <w:rFonts w:ascii="Times New Roman" w:hAnsi="Times New Roman"/>
          <w:b/>
          <w:color w:val="000000"/>
          <w:sz w:val="20"/>
        </w:rPr>
        <w:t>Policies and Procedures Established by the Company</w:t>
      </w:r>
      <w:r>
        <w:rPr>
          <w:rFonts w:ascii="Times New Roman" w:hAnsi="Times New Roman"/>
          <w:color w:val="000000"/>
          <w:sz w:val="20"/>
        </w:rPr>
        <w:t>. Without regard to whether any Participant’s Purchase Right may be considered adversely affected, the Company may, from time to time, consistent with this Plan and the requirements of Section 423, establish, change or terminate such rules, guidelines, policies, procedures, limitations, or adjustments as deemed advisable by the Company, in its discretion, for the proper administration of this Plan.</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19.</w:t>
      </w:r>
    </w:p>
    <w:p>
      <w:pPr>
        <w:pStyle w:val="TextBody"/>
        <w:bidi w:val="0"/>
        <w:spacing w:before="120" w:after="283"/>
        <w:jc w:val="both"/>
        <w:rPr/>
      </w:pPr>
      <w:r>
        <w:rPr>
          <w:rFonts w:ascii="Times New Roman" w:hAnsi="Times New Roman"/>
          <w:b/>
          <w:color w:val="000000"/>
          <w:sz w:val="20"/>
        </w:rPr>
        <w:t>Use of Participant Funds and Reports</w:t>
      </w:r>
      <w:r>
        <w:rPr>
          <w:rFonts w:ascii="Times New Roman" w:hAnsi="Times New Roman"/>
          <w:color w:val="000000"/>
          <w:sz w:val="20"/>
        </w:rPr>
        <w:t>. Unless otherwise required by law, the Company may use all payroll deductions received or held by it under this Plan for any corporate purpose, and the Company will not be required to segregate Participant payroll deductions, and, until shares are issued, Participants will only have the rights of an unsecured creditor. Each Participant who has exercised all or part of such Participant’s Purchase Right will receive, or have access to, promptly after the end of each Purchase Period a report of his or her account setting forth the total payroll deductions accumulated, the number of shares purchased, the Purchase Price thereof, the date of purchase, and the remaining cash balance, if any, refunded or carried forward to the next Purchase Period or Offering Period, as the case may be. The report required by this Section may be delivered in such form and by such means, including by electronic transmission, as the Company may determine. In addition, each Participant shall be provided information concerning the Company equivalent to that information provided generally to the Company’s common stockholders.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20.</w:t>
      </w:r>
    </w:p>
    <w:p>
      <w:pPr>
        <w:pStyle w:val="TextBody"/>
        <w:bidi w:val="0"/>
        <w:spacing w:before="120" w:after="283"/>
        <w:jc w:val="both"/>
        <w:rPr/>
      </w:pPr>
      <w:r>
        <w:rPr>
          <w:rFonts w:ascii="Times New Roman" w:hAnsi="Times New Roman"/>
          <w:b/>
          <w:color w:val="000000"/>
          <w:sz w:val="20"/>
        </w:rPr>
        <w:t>No Rights to Continued Employment</w:t>
      </w:r>
      <w:r>
        <w:rPr>
          <w:rFonts w:ascii="Times New Roman" w:hAnsi="Times New Roman"/>
          <w:color w:val="000000"/>
          <w:sz w:val="20"/>
        </w:rPr>
        <w:t>. Neither this Plan nor the grant of any Purchase Right hereunder will confer any right on any employee to remain in the employ of the Participating Company Group or restrict the right of the Participating Company Group to terminate such employee’s employment.</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21.</w:t>
      </w:r>
    </w:p>
    <w:p>
      <w:pPr>
        <w:pStyle w:val="TextBody"/>
        <w:bidi w:val="0"/>
        <w:spacing w:before="120" w:after="283"/>
        <w:jc w:val="both"/>
        <w:rPr/>
      </w:pPr>
      <w:r>
        <w:rPr>
          <w:rFonts w:ascii="Times New Roman" w:hAnsi="Times New Roman"/>
          <w:b/>
          <w:color w:val="000000"/>
          <w:sz w:val="20"/>
        </w:rPr>
        <w:t>Designation of Beneficiary</w:t>
      </w:r>
      <w:r>
        <w:rPr>
          <w:rFonts w:ascii="Times New Roman" w:hAnsi="Times New Roman"/>
          <w:color w:val="000000"/>
          <w:sz w:val="20"/>
        </w:rPr>
        <w:t>.</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21.1.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provided in the Subscription Agreement, a Participant may file a written or electronic designation of a beneficiary who is to receive any shares and cash, if any, from the Participant’s account under this Plan in the event of such Participant’s death after the end of a Purchase Period but prior to delivery to him of such shares and cash. In addition, a Participant may file a written or electronic designation of a beneficiary who is to receive any cash from the Participant’s account under this Plan in the event of such Participant’s death prior to a Purchase Date. Such form will be valid only if it was filed with the Company and/or any third party administrator at the prescribed location before the Participant’s death.</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21.2.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Such designation of beneficiary may be changed by the Participant at any time by written notice filed with the Company at the prescribed location before the Participant’s death. In the event of the death of a Participant and in the absence of a beneficiary validly designated under this Plan who is living at the time of such Participant’s death, unless otherwise required by applicable law, the Company will deliver any shares or cash credited to the Participant’s Plan account to the executor or administrator of the estate of the Participant, or if no such executor or administrator has been appointed (to the knowledge of the Company), the Company, in its discretion, may deliver such shares or cash to the spouse or, if no spouse is known to the Company, then to any one or more dependents or relatives of the Participant, or if no spouse, dependent or relative is known to the Company, then to such other person as the Company may designate.</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22.</w:t>
      </w:r>
    </w:p>
    <w:p>
      <w:pPr>
        <w:pStyle w:val="TextBody"/>
        <w:bidi w:val="0"/>
        <w:spacing w:before="120" w:after="283"/>
        <w:jc w:val="both"/>
        <w:rPr/>
      </w:pPr>
      <w:r>
        <w:rPr>
          <w:rFonts w:ascii="Times New Roman" w:hAnsi="Times New Roman"/>
          <w:b/>
          <w:color w:val="000000"/>
          <w:sz w:val="20"/>
        </w:rPr>
        <w:t>Compliance with Securities Law</w:t>
      </w:r>
      <w:r>
        <w:rPr>
          <w:rFonts w:ascii="Times New Roman" w:hAnsi="Times New Roman"/>
          <w:color w:val="000000"/>
          <w:sz w:val="20"/>
        </w:rPr>
        <w:t xml:space="preserve">. The issuance of shares of Stock under this Plan shall be subject to compliance with all applicable requirements of federal, state and foreign law with respect to such securities. A Purchase Right may not be exercised if the issuance of shares upon such exercise would constitute a violation of any applicable federal, state or foreign securities laws or other law or regulations or the requirements of any securities exchange or market system upon which the Stock may then be listed. In addition, no Purchase Right may be exercised unless (a) a registration statement under the Securities Act shall at the time of exercise of the Purchase Right be in effect with respect to the shares issuable upon exercise of the Purchase Right, or (b) in the opinion of legal counsel to the Company, the shares issuable upon exercise of the Purchase Right may be issued in accordance with the terms of an applicable exemption from the registration requirements of the Securities Act. The inability of the Company to obtain from any regulatory body having jurisdiction the authority, if any, deemed by the Company’s legal counsel to be necessary to the lawful issuance and sale of any shares under this Plan shall relieve the Company of any liability in respect of the failure to issue or sell such shares as to which such requisite authority shall not have been obtained. As a condition to the exercise of a Purchase Right, the Company may require the Participant to satisfy any qualifications that may be necessary or appropriate, to evidence compliance with </w:t>
      </w:r>
    </w:p>
    <w:p>
      <w:pPr>
        <w:pStyle w:val="TextBody"/>
        <w:bidi w:val="0"/>
        <w:jc w:val="center"/>
        <w:rPr>
          <w:rFonts w:ascii="Arial" w:hAnsi="Arial"/>
          <w:color w:val="000000"/>
          <w:sz w:val="16"/>
        </w:rPr>
      </w:pPr>
      <w:r>
        <w:rPr>
          <w:rFonts w:ascii="Arial" w:hAnsi="Arial"/>
          <w:color w:val="000000"/>
          <w:sz w:val="16"/>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applicable law or regulation, and to make any representation or warranty with respect thereto as may be requested by the Company.</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23.</w:t>
      </w:r>
    </w:p>
    <w:p>
      <w:pPr>
        <w:pStyle w:val="TextBody"/>
        <w:bidi w:val="0"/>
        <w:spacing w:before="120" w:after="283"/>
        <w:jc w:val="both"/>
        <w:rPr/>
      </w:pPr>
      <w:r>
        <w:rPr>
          <w:rFonts w:ascii="Times New Roman" w:hAnsi="Times New Roman"/>
          <w:b/>
          <w:color w:val="000000"/>
          <w:sz w:val="20"/>
        </w:rPr>
        <w:t>Rights as a Stockholder</w:t>
      </w:r>
      <w:r>
        <w:rPr>
          <w:rFonts w:ascii="Times New Roman" w:hAnsi="Times New Roman"/>
          <w:color w:val="000000"/>
          <w:sz w:val="20"/>
        </w:rPr>
        <w:t>. A Participant shall have no rights as a stockholder by virtue of the Participant’s participation in this Plan until the date of the issuance of the shares of Stock purchased pursuant to the exercise of the Participant’s Purchase Right (as evidenced by the appropriate entry on the books of the Company or of a duly authorized transfer agent of the Company). No adjustment shall be made for dividends, distributions or other rights for which the record date is prior to the date such shares are issued, except as provided in Section 4.</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24.</w:t>
      </w:r>
    </w:p>
    <w:p>
      <w:pPr>
        <w:pStyle w:val="TextBody"/>
        <w:bidi w:val="0"/>
        <w:spacing w:before="120" w:after="283"/>
        <w:jc w:val="both"/>
        <w:rPr/>
      </w:pPr>
      <w:r>
        <w:rPr>
          <w:rFonts w:ascii="Times New Roman" w:hAnsi="Times New Roman"/>
          <w:b/>
          <w:color w:val="000000"/>
          <w:sz w:val="20"/>
        </w:rPr>
        <w:t>Governing Law</w:t>
      </w:r>
      <w:r>
        <w:rPr>
          <w:rFonts w:ascii="Times New Roman" w:hAnsi="Times New Roman"/>
          <w:color w:val="000000"/>
          <w:sz w:val="20"/>
        </w:rPr>
        <w:t>. This Plan will be governed by and interpreted consistently with the laws of the State of Delaware, except as may be necessary to comply with applicable requirements of federal law.</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25.</w:t>
      </w:r>
    </w:p>
    <w:p>
      <w:pPr>
        <w:pStyle w:val="TextBody"/>
        <w:bidi w:val="0"/>
        <w:spacing w:before="120" w:after="283"/>
        <w:jc w:val="both"/>
        <w:rPr/>
      </w:pPr>
      <w:r>
        <w:rPr>
          <w:rFonts w:ascii="Times New Roman" w:hAnsi="Times New Roman"/>
          <w:b/>
          <w:color w:val="000000"/>
          <w:sz w:val="20"/>
        </w:rPr>
        <w:t>Amendment and Termination of this Plan</w:t>
      </w:r>
      <w:r>
        <w:rPr>
          <w:rFonts w:ascii="Times New Roman" w:hAnsi="Times New Roman"/>
          <w:color w:val="000000"/>
          <w:sz w:val="20"/>
        </w:rPr>
        <w:t>. The Committee may at any time amend, suspend or terminate this Plan, except that (a) no such amendment, suspension or termination shall affect Purchase Rights previously granted under this Plan unless expressly provided by the Board, and (b) no such amendment, suspension or termination may materially adversely affect a Purchase Right applicable to an ongoing Offering Period under this Plan without the consent of the Participant, except to the extent permitted by this Plan or as may be necessary to qualify this Plan as an employee stock purchase plan pursuant to Section 423 or to comply with any applicable law, regulation or rule. In addition, an amendment to this Plan must be approved by the stockholders of the Company within twelve (12) months of the adoption of such amendment if such amendment would authorize the sale of more shares than are then authorized for issuance under this Plan or would change the definition of the corporations that may be designated by the Committee as Participating Companies. Notwithstanding the foregoing, in the event that the Committee determines that continuation of this Plan or an Offering would result in unfavorable financial accounting consequences to the Company, the Committee may, in its discretion and without the consent of any Participant, including with respect to an Offering Period then in progress: (i) terminate this Plan or any Offering Period; (ii) accelerate the Purchase Date of any Offering Period; (iii) reduce the discount or the method of determining the Purchase Price in any Offering Period (e.g., by determining the Purchase Price solely on the basis of the Fair Market Value on the Purchase Date); (iv) reduce the maximum number of shares of Stock that may be purchased in any Offering Period; or (v) take any combination of the foregoing actions.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26.</w:t>
      </w:r>
    </w:p>
    <w:p>
      <w:pPr>
        <w:pStyle w:val="TextBody"/>
        <w:bidi w:val="0"/>
        <w:spacing w:before="120" w:after="283"/>
        <w:jc w:val="both"/>
        <w:rPr/>
      </w:pPr>
      <w:r>
        <w:rPr>
          <w:rFonts w:ascii="Times New Roman" w:hAnsi="Times New Roman"/>
          <w:b/>
          <w:color w:val="000000"/>
          <w:sz w:val="20"/>
        </w:rPr>
        <w:t>Non-U.S. Participants</w:t>
      </w:r>
      <w:r>
        <w:rPr>
          <w:rFonts w:ascii="Times New Roman" w:hAnsi="Times New Roman"/>
          <w:color w:val="000000"/>
          <w:sz w:val="20"/>
        </w:rPr>
        <w:t>. The Committee shall have the power, in its discretion, to adopt one or more sub-plans of this Plan as the Committee deems necessary or desirable to comply with the laws or regulations, tax policy, accounting principles or custom of foreign jurisdictions applicable to employees of a subsidiary business entity of the Company, provided that any such sub-plan shall not be within the scope of an “employee stock purchase plan” within the meaning of Section 423. Any of the provisions of any such sub-plan may supersede the provisions of this Plan, other than Section 4. Except as superseded by the provisions of a sub-plan, the provisions of this Plan shall govern such sub-plan. Alternatively and in order to comply with the laws of a foreign jurisdiction, the Committee shall have the power, in its discretion, to grant Purchase Rights in an Offering to citizens or residents of a non-U.S. jurisdiction (without regard to whether they are also citizens of the United States or resident aliens) that provide terms which are less favorable than the terms of Purchase Rights granted under the same Offering to Employees resident in the United States.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27.</w:t>
      </w:r>
    </w:p>
    <w:p>
      <w:pPr>
        <w:pStyle w:val="TextBody"/>
        <w:bidi w:val="0"/>
        <w:spacing w:before="120" w:after="283"/>
        <w:jc w:val="both"/>
        <w:rPr/>
      </w:pPr>
      <w:r>
        <w:rPr>
          <w:rFonts w:ascii="Times New Roman" w:hAnsi="Times New Roman"/>
          <w:b/>
          <w:color w:val="000000"/>
          <w:sz w:val="20"/>
        </w:rPr>
        <w:t>Definitions and Construction</w:t>
      </w:r>
      <w:r>
        <w:rPr>
          <w:rFonts w:ascii="Times New Roman" w:hAnsi="Times New Roman"/>
          <w:color w:val="000000"/>
          <w:sz w:val="20"/>
        </w:rPr>
        <w:t>.</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27.1.</w:t>
      </w:r>
    </w:p>
    <w:p>
      <w:pPr>
        <w:pStyle w:val="TextBody"/>
        <w:bidi w:val="0"/>
        <w:spacing w:before="120" w:after="283"/>
        <w:jc w:val="both"/>
        <w:rPr/>
      </w:pPr>
      <w:r>
        <w:rPr>
          <w:rFonts w:ascii="Times New Roman" w:hAnsi="Times New Roman"/>
          <w:b/>
          <w:color w:val="000000"/>
          <w:sz w:val="20"/>
        </w:rPr>
        <w:t>Definitions</w:t>
      </w:r>
      <w:r>
        <w:rPr>
          <w:rFonts w:ascii="Times New Roman" w:hAnsi="Times New Roman"/>
          <w:color w:val="000000"/>
          <w:sz w:val="20"/>
        </w:rPr>
        <w:t>. Any term not expressly defined in this Plan but defined for purposes of Section 423 shall have the same definition herein. Whenever used herein, the following terms shall have their respective meanings set forth below:</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27.1.1.</w:t>
      </w:r>
    </w:p>
    <w:p>
      <w:pPr>
        <w:pStyle w:val="TextBody"/>
        <w:bidi w:val="0"/>
        <w:spacing w:before="120" w:after="283"/>
        <w:jc w:val="both"/>
        <w:rPr/>
      </w:pPr>
      <w:r>
        <w:rPr>
          <w:color w:val="000000"/>
        </w:rPr>
        <w:t>“</w:t>
      </w:r>
      <w:r>
        <w:rPr>
          <w:rFonts w:ascii="Times New Roman" w:hAnsi="Times New Roman"/>
          <w:b/>
          <w:i/>
          <w:color w:val="000000"/>
          <w:sz w:val="20"/>
        </w:rPr>
        <w:t>Administrator</w:t>
      </w:r>
      <w:r>
        <w:rPr>
          <w:color w:val="000000"/>
        </w:rPr>
        <w:t xml:space="preserve">” </w:t>
      </w:r>
      <w:r>
        <w:rPr>
          <w:rFonts w:ascii="Times New Roman" w:hAnsi="Times New Roman"/>
          <w:color w:val="000000"/>
          <w:sz w:val="20"/>
        </w:rPr>
        <w:t>means the Committee or officer or employee of the Company to whom the Committee has delegated its authority under this Plan, to the extent permitted by applicable law.</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27.1.2.</w:t>
      </w:r>
    </w:p>
    <w:p>
      <w:pPr>
        <w:pStyle w:val="TextBody"/>
        <w:bidi w:val="0"/>
        <w:spacing w:before="120" w:after="283"/>
        <w:jc w:val="both"/>
        <w:rPr/>
      </w:pPr>
      <w:r>
        <w:rPr>
          <w:color w:val="000000"/>
        </w:rPr>
        <w:t>“</w:t>
      </w:r>
      <w:r>
        <w:rPr>
          <w:rFonts w:ascii="Times New Roman" w:hAnsi="Times New Roman"/>
          <w:b/>
          <w:i/>
          <w:color w:val="000000"/>
          <w:sz w:val="20"/>
        </w:rPr>
        <w:t>Board</w:t>
      </w:r>
      <w:r>
        <w:rPr>
          <w:color w:val="000000"/>
        </w:rPr>
        <w:t xml:space="preserve">” </w:t>
      </w:r>
      <w:r>
        <w:rPr>
          <w:rFonts w:ascii="Times New Roman" w:hAnsi="Times New Roman"/>
          <w:color w:val="000000"/>
          <w:sz w:val="20"/>
        </w:rPr>
        <w:t>means the Board of Directors of the Company.</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27.1.3.</w:t>
      </w:r>
    </w:p>
    <w:p>
      <w:pPr>
        <w:pStyle w:val="TextBody"/>
        <w:bidi w:val="0"/>
        <w:spacing w:before="120" w:after="283"/>
        <w:jc w:val="both"/>
        <w:rPr/>
      </w:pPr>
      <w:r>
        <w:rPr>
          <w:color w:val="000000"/>
        </w:rPr>
        <w:t>“</w:t>
      </w:r>
      <w:r>
        <w:rPr>
          <w:rFonts w:ascii="Times New Roman" w:hAnsi="Times New Roman"/>
          <w:b/>
          <w:i/>
          <w:color w:val="000000"/>
          <w:sz w:val="20"/>
        </w:rPr>
        <w:t>Business Day</w:t>
      </w:r>
      <w:r>
        <w:rPr>
          <w:color w:val="000000"/>
        </w:rPr>
        <w:t xml:space="preserve">” </w:t>
      </w:r>
      <w:r>
        <w:rPr>
          <w:rFonts w:ascii="Times New Roman" w:hAnsi="Times New Roman"/>
          <w:color w:val="000000"/>
          <w:sz w:val="20"/>
        </w:rPr>
        <w:t>means any day on which the national stock exchange on which the Stock is traded is available and open for trading.</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27.1.4.</w:t>
      </w:r>
    </w:p>
    <w:p>
      <w:pPr>
        <w:pStyle w:val="TextBody"/>
        <w:bidi w:val="0"/>
        <w:spacing w:before="120" w:after="283"/>
        <w:jc w:val="both"/>
        <w:rPr/>
      </w:pPr>
      <w:r>
        <w:rPr>
          <w:color w:val="000000"/>
        </w:rPr>
        <w:t>“</w:t>
      </w:r>
      <w:r>
        <w:rPr>
          <w:rFonts w:ascii="Times New Roman" w:hAnsi="Times New Roman"/>
          <w:b/>
          <w:i/>
          <w:color w:val="000000"/>
          <w:sz w:val="20"/>
        </w:rPr>
        <w:t>Change in Control”</w:t>
      </w:r>
      <w:r>
        <w:rPr>
          <w:color w:val="000000"/>
        </w:rPr>
        <w:t xml:space="preserve"> </w:t>
      </w:r>
      <w:r>
        <w:rPr>
          <w:rFonts w:ascii="Times New Roman" w:hAnsi="Times New Roman"/>
          <w:color w:val="000000"/>
          <w:sz w:val="20"/>
        </w:rPr>
        <w:t>means the occurrence (after the Effective Date) of any of the following events:</w:t>
      </w:r>
    </w:p>
    <w:p>
      <w:pPr>
        <w:pStyle w:val="TextBody"/>
        <w:bidi w:val="0"/>
        <w:jc w:val="center"/>
        <w:rPr>
          <w:rFonts w:ascii="Arial" w:hAnsi="Arial"/>
          <w:color w:val="000000"/>
          <w:sz w:val="16"/>
        </w:rPr>
      </w:pPr>
      <w:r>
        <w:rPr>
          <w:rFonts w:ascii="Arial" w:hAnsi="Arial"/>
          <w:color w:val="000000"/>
          <w:sz w:val="16"/>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27.1.4.1.</w:t>
      </w:r>
    </w:p>
    <w:p>
      <w:pPr>
        <w:pStyle w:val="TextBody"/>
        <w:bidi w:val="0"/>
        <w:spacing w:before="120" w:after="283"/>
        <w:jc w:val="both"/>
        <w:rPr/>
      </w:pPr>
      <w:r>
        <w:rPr>
          <w:rFonts w:ascii="Times New Roman" w:hAnsi="Times New Roman"/>
          <w:color w:val="000000"/>
          <w:sz w:val="20"/>
        </w:rPr>
        <w:t>any individual, entity or group (within the meaning of Section 13(d)(3) or 14(d)(2) of the Exchange Act) (a “</w:t>
      </w:r>
      <w:r>
        <w:rPr>
          <w:rFonts w:ascii="Times New Roman" w:hAnsi="Times New Roman"/>
          <w:b/>
          <w:i/>
          <w:color w:val="000000"/>
          <w:sz w:val="20"/>
        </w:rPr>
        <w:t>Person</w:t>
      </w:r>
      <w:r>
        <w:rPr>
          <w:color w:val="000000"/>
        </w:rPr>
        <w:t>”</w:t>
      </w:r>
      <w:r>
        <w:rPr>
          <w:rFonts w:ascii="Times New Roman" w:hAnsi="Times New Roman"/>
          <w:color w:val="000000"/>
          <w:sz w:val="20"/>
        </w:rPr>
        <w:t>) (i) is or becomes the beneficial owner (within the meaning of Rule 13d-3 promulgated under the Exchange Act) of more than 35% of the combined voting power of the then-outstanding Voting Stock of the Company or succeeds in having nominees as directors elected in an “election contest” within the meaning of Rule 14a-12(c) under the Exchange Act (including through the use of any proxy access procedures set forth in the Company’s organizational documents) and (ii) within 18 months after either such event, individuals who were members of the Board immediately prior to either such event cease to constitute a majority of the members of the Board; or</w:t>
      </w:r>
    </w:p>
    <w:p>
      <w:pPr>
        <w:pStyle w:val="TextBody"/>
        <w:bidi w:val="0"/>
        <w:spacing w:before="120" w:after="283"/>
        <w:jc w:val="both"/>
        <w:rPr>
          <w:rFonts w:ascii="Arial" w:hAnsi="Arial"/>
          <w:color w:val="000000"/>
          <w:sz w:val="20"/>
        </w:rPr>
      </w:pPr>
      <w:r>
        <w:rPr>
          <w:rFonts w:ascii="Arial" w:hAnsi="Arial"/>
          <w:color w:val="000000"/>
          <w:sz w:val="20"/>
        </w:rPr>
        <w:t>27.1.4.2.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majority of the Board ceases to be comprised of Incumbent Directors; or</w:t>
      </w:r>
    </w:p>
    <w:p>
      <w:pPr>
        <w:pStyle w:val="TextBody"/>
        <w:bidi w:val="0"/>
        <w:spacing w:before="120" w:after="283"/>
        <w:jc w:val="both"/>
        <w:rPr>
          <w:rFonts w:ascii="Arial" w:hAnsi="Arial"/>
          <w:color w:val="000000"/>
          <w:sz w:val="20"/>
        </w:rPr>
      </w:pPr>
      <w:r>
        <w:rPr>
          <w:rFonts w:ascii="Arial" w:hAnsi="Arial"/>
          <w:color w:val="000000"/>
          <w:sz w:val="20"/>
        </w:rPr>
        <w:t>27.1.4.3.</w:t>
      </w:r>
    </w:p>
    <w:p>
      <w:pPr>
        <w:pStyle w:val="TextBody"/>
        <w:bidi w:val="0"/>
        <w:spacing w:before="120" w:after="283"/>
        <w:jc w:val="both"/>
        <w:rPr/>
      </w:pPr>
      <w:r>
        <w:rPr>
          <w:rFonts w:ascii="Times New Roman" w:hAnsi="Times New Roman"/>
          <w:color w:val="000000"/>
          <w:sz w:val="20"/>
        </w:rPr>
        <w:t>the consummation of a reorganization, merger, consolidation, plan of liquidation or dissolution, recapitalization or sale or other disposition of all or substantially all of the assets of the Company or the acquisition of the stock or assets of another corporation, or other transaction (each, a “</w:t>
      </w:r>
      <w:r>
        <w:rPr>
          <w:rFonts w:ascii="Times New Roman" w:hAnsi="Times New Roman"/>
          <w:b/>
          <w:i/>
          <w:color w:val="000000"/>
          <w:sz w:val="20"/>
        </w:rPr>
        <w:t>Business Transaction</w:t>
      </w:r>
      <w:r>
        <w:rPr>
          <w:color w:val="000000"/>
        </w:rPr>
        <w:t>”</w:t>
      </w:r>
      <w:r>
        <w:rPr>
          <w:rFonts w:ascii="Times New Roman" w:hAnsi="Times New Roman"/>
          <w:color w:val="000000"/>
          <w:sz w:val="20"/>
        </w:rPr>
        <w:t>), unless, in any such case, (i) no Person (other than the Company, any entity resulting from such Business Transaction or any employee benefit plan (or related trust) sponsored or maintained by the Company, any Subsidiary or such entity resulting from such Business Transaction) beneficially owns, directly or indirectly, 35% or more of the combined voting power of the then-outstanding shares of Voting Stock of the entity resulting from such Business Transaction (or, if it is such resulting entity, the Company) and (ii) at least one-half of the members of the board of directors of the entity resulting from such Business Transaction were Incumbent Directors at the time of the execution of the initial agreement providing for such Business Transaction.</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27.1.5.</w:t>
      </w:r>
    </w:p>
    <w:p>
      <w:pPr>
        <w:pStyle w:val="TextBody"/>
        <w:bidi w:val="0"/>
        <w:spacing w:before="120" w:after="283"/>
        <w:jc w:val="both"/>
        <w:rPr/>
      </w:pPr>
      <w:r>
        <w:rPr>
          <w:color w:val="000000"/>
        </w:rPr>
        <w:t>“</w:t>
      </w:r>
      <w:r>
        <w:rPr>
          <w:rFonts w:ascii="Times New Roman" w:hAnsi="Times New Roman"/>
          <w:b/>
          <w:i/>
          <w:color w:val="000000"/>
          <w:sz w:val="20"/>
        </w:rPr>
        <w:t>Code</w:t>
      </w:r>
      <w:r>
        <w:rPr>
          <w:color w:val="000000"/>
        </w:rPr>
        <w:t xml:space="preserve">” </w:t>
      </w:r>
      <w:r>
        <w:rPr>
          <w:rFonts w:ascii="Times New Roman" w:hAnsi="Times New Roman"/>
          <w:color w:val="000000"/>
          <w:sz w:val="20"/>
        </w:rPr>
        <w:t>means the U.S. Internal Revenue Code of 1986, as amended and in effect from time to time, or any successor thereto, together with rules, regulations, and interpretations promulgated thereunder. Where the context so requires, any reference to a particular Code section will be construed to refer to the successor provision to such Code section.</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27.1.6.</w:t>
      </w:r>
    </w:p>
    <w:p>
      <w:pPr>
        <w:pStyle w:val="TextBody"/>
        <w:bidi w:val="0"/>
        <w:spacing w:before="120" w:after="283"/>
        <w:jc w:val="both"/>
        <w:rPr/>
      </w:pPr>
      <w:r>
        <w:rPr>
          <w:color w:val="000000"/>
        </w:rPr>
        <w:t>“</w:t>
      </w:r>
      <w:r>
        <w:rPr>
          <w:rFonts w:ascii="Times New Roman" w:hAnsi="Times New Roman"/>
          <w:b/>
          <w:i/>
          <w:color w:val="000000"/>
          <w:sz w:val="20"/>
        </w:rPr>
        <w:t>Committee</w:t>
      </w:r>
      <w:r>
        <w:rPr>
          <w:color w:val="000000"/>
        </w:rPr>
        <w:t xml:space="preserve">” </w:t>
      </w:r>
      <w:r>
        <w:rPr>
          <w:rFonts w:ascii="Times New Roman" w:hAnsi="Times New Roman"/>
          <w:color w:val="000000"/>
          <w:sz w:val="20"/>
        </w:rPr>
        <w:t>means Compensation Committee of the Board or such other committee or subcommittee of the Board, if any, duly appointed to administer this Plan and having such powers in each instance as shall be specified by the Board. If, at any time, there is no committee of the Board then authorized or properly constituted to administer this Plan, the Board shall exercise all of the powers of the Committee granted herein, and, in any event, the Board may in its discretion exercise any or all of such powers.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27.1.7.</w:t>
      </w:r>
    </w:p>
    <w:p>
      <w:pPr>
        <w:pStyle w:val="TextBody"/>
        <w:bidi w:val="0"/>
        <w:spacing w:before="120" w:after="283"/>
        <w:jc w:val="both"/>
        <w:rPr/>
      </w:pPr>
      <w:r>
        <w:rPr>
          <w:color w:val="000000"/>
        </w:rPr>
        <w:t>“</w:t>
      </w:r>
      <w:r>
        <w:rPr>
          <w:rFonts w:ascii="Times New Roman" w:hAnsi="Times New Roman"/>
          <w:b/>
          <w:i/>
          <w:color w:val="000000"/>
          <w:sz w:val="20"/>
        </w:rPr>
        <w:t>Company</w:t>
      </w:r>
      <w:r>
        <w:rPr>
          <w:color w:val="000000"/>
        </w:rPr>
        <w:t xml:space="preserve">” </w:t>
      </w:r>
      <w:r>
        <w:rPr>
          <w:rFonts w:ascii="Times New Roman" w:hAnsi="Times New Roman"/>
          <w:color w:val="000000"/>
          <w:sz w:val="20"/>
        </w:rPr>
        <w:t>means ABM Industries Incorporated, a Delaware corporation, or any successor corporation thereto.</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27.1.8.</w:t>
      </w:r>
    </w:p>
    <w:p>
      <w:pPr>
        <w:pStyle w:val="TextBody"/>
        <w:bidi w:val="0"/>
        <w:spacing w:before="120" w:after="283"/>
        <w:jc w:val="both"/>
        <w:rPr/>
      </w:pPr>
      <w:r>
        <w:rPr>
          <w:color w:val="000000"/>
        </w:rPr>
        <w:t>“</w:t>
      </w:r>
      <w:r>
        <w:rPr>
          <w:rFonts w:ascii="Times New Roman" w:hAnsi="Times New Roman"/>
          <w:b/>
          <w:i/>
          <w:color w:val="000000"/>
          <w:sz w:val="20"/>
        </w:rPr>
        <w:t>Compensation”</w:t>
      </w:r>
      <w:r>
        <w:rPr>
          <w:color w:val="000000"/>
        </w:rPr>
        <w:t xml:space="preserve"> </w:t>
      </w:r>
      <w:r>
        <w:rPr>
          <w:rFonts w:ascii="Times New Roman" w:hAnsi="Times New Roman"/>
          <w:color w:val="000000"/>
          <w:sz w:val="20"/>
        </w:rPr>
        <w:t>means all cash compensation.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27.1.9.</w:t>
      </w:r>
    </w:p>
    <w:p>
      <w:pPr>
        <w:pStyle w:val="TextBody"/>
        <w:bidi w:val="0"/>
        <w:spacing w:before="120" w:after="283"/>
        <w:jc w:val="both"/>
        <w:rPr/>
      </w:pPr>
      <w:r>
        <w:rPr>
          <w:color w:val="000000"/>
        </w:rPr>
        <w:t>“</w:t>
      </w:r>
      <w:r>
        <w:rPr>
          <w:rFonts w:ascii="Times New Roman" w:hAnsi="Times New Roman"/>
          <w:b/>
          <w:i/>
          <w:color w:val="000000"/>
          <w:sz w:val="20"/>
        </w:rPr>
        <w:t>Director”</w:t>
      </w:r>
      <w:r>
        <w:rPr>
          <w:color w:val="000000"/>
        </w:rPr>
        <w:t xml:space="preserve"> </w:t>
      </w:r>
      <w:r>
        <w:rPr>
          <w:rFonts w:ascii="Times New Roman" w:hAnsi="Times New Roman"/>
          <w:color w:val="000000"/>
          <w:sz w:val="20"/>
        </w:rPr>
        <w:t>means a member of the Board.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27.1.10.</w:t>
      </w:r>
    </w:p>
    <w:p>
      <w:pPr>
        <w:pStyle w:val="TextBody"/>
        <w:bidi w:val="0"/>
        <w:spacing w:before="120" w:after="283"/>
        <w:jc w:val="both"/>
        <w:rPr/>
      </w:pPr>
      <w:r>
        <w:rPr>
          <w:color w:val="000000"/>
        </w:rPr>
        <w:t>“</w:t>
      </w:r>
      <w:r>
        <w:rPr>
          <w:rFonts w:ascii="Times New Roman" w:hAnsi="Times New Roman"/>
          <w:b/>
          <w:i/>
          <w:color w:val="000000"/>
          <w:sz w:val="20"/>
        </w:rPr>
        <w:t>Employee</w:t>
      </w:r>
      <w:r>
        <w:rPr>
          <w:color w:val="000000"/>
        </w:rPr>
        <w:t xml:space="preserve">” </w:t>
      </w:r>
      <w:r>
        <w:rPr>
          <w:rFonts w:ascii="Times New Roman" w:hAnsi="Times New Roman"/>
          <w:color w:val="000000"/>
          <w:sz w:val="20"/>
        </w:rPr>
        <w:t>means a person treated as an employee of a Participating Company for purposes of Section 423. A Participant shall be deemed to have ceased to be an Employee either upon an actual termination of employment or upon the corporation employing the Participant ceasing to be a Participating Company.</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27.1.11.</w:t>
      </w:r>
    </w:p>
    <w:p>
      <w:pPr>
        <w:pStyle w:val="TextBody"/>
        <w:bidi w:val="0"/>
        <w:spacing w:before="120" w:after="283"/>
        <w:jc w:val="both"/>
        <w:rPr/>
      </w:pPr>
      <w:r>
        <w:rPr>
          <w:color w:val="000000"/>
        </w:rPr>
        <w:t>“</w:t>
      </w:r>
      <w:r>
        <w:rPr>
          <w:rFonts w:ascii="Times New Roman" w:hAnsi="Times New Roman"/>
          <w:b/>
          <w:i/>
          <w:color w:val="000000"/>
          <w:sz w:val="20"/>
        </w:rPr>
        <w:t>Eligible Employee</w:t>
      </w:r>
      <w:r>
        <w:rPr>
          <w:color w:val="000000"/>
        </w:rPr>
        <w:t xml:space="preserve">” </w:t>
      </w:r>
      <w:r>
        <w:rPr>
          <w:rFonts w:ascii="Times New Roman" w:hAnsi="Times New Roman"/>
          <w:color w:val="000000"/>
          <w:sz w:val="20"/>
        </w:rPr>
        <w:t>means an Employee who meets the eligibility requirements set forth in Section 5 of this Plan.</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27.1.12.</w:t>
      </w:r>
    </w:p>
    <w:p>
      <w:pPr>
        <w:pStyle w:val="TextBody"/>
        <w:bidi w:val="0"/>
        <w:spacing w:before="120" w:after="283"/>
        <w:jc w:val="both"/>
        <w:rPr/>
      </w:pPr>
      <w:r>
        <w:rPr>
          <w:color w:val="000000"/>
        </w:rPr>
        <w:t>“</w:t>
      </w:r>
      <w:r>
        <w:rPr>
          <w:rFonts w:ascii="Times New Roman" w:hAnsi="Times New Roman"/>
          <w:b/>
          <w:i/>
          <w:color w:val="000000"/>
          <w:sz w:val="20"/>
        </w:rPr>
        <w:t>Exchange Act</w:t>
      </w:r>
      <w:r>
        <w:rPr>
          <w:color w:val="000000"/>
        </w:rPr>
        <w:t xml:space="preserve">” </w:t>
      </w:r>
      <w:r>
        <w:rPr>
          <w:rFonts w:ascii="Times New Roman" w:hAnsi="Times New Roman"/>
          <w:color w:val="000000"/>
          <w:sz w:val="20"/>
        </w:rPr>
        <w:t>means the Securities Exchange Act of 1934, as amended and in effect from time to time, or any successor thereto, together with the rules, regulations, and interpretations promulgated thereunder.</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27.1.13.</w:t>
      </w:r>
    </w:p>
    <w:p>
      <w:pPr>
        <w:pStyle w:val="TextBody"/>
        <w:bidi w:val="0"/>
        <w:spacing w:before="120" w:after="283"/>
        <w:jc w:val="both"/>
        <w:rPr/>
      </w:pPr>
      <w:r>
        <w:rPr>
          <w:color w:val="000000"/>
        </w:rPr>
        <w:t>“</w:t>
      </w:r>
      <w:r>
        <w:rPr>
          <w:rFonts w:ascii="Times New Roman" w:hAnsi="Times New Roman"/>
          <w:b/>
          <w:i/>
          <w:color w:val="000000"/>
          <w:sz w:val="20"/>
        </w:rPr>
        <w:t>Fair Market Value</w:t>
      </w:r>
      <w:r>
        <w:rPr>
          <w:color w:val="000000"/>
        </w:rPr>
        <w:t xml:space="preserve">” </w:t>
      </w:r>
      <w:r>
        <w:rPr>
          <w:rFonts w:ascii="Times New Roman" w:hAnsi="Times New Roman"/>
          <w:color w:val="000000"/>
          <w:sz w:val="20"/>
        </w:rPr>
        <w:t xml:space="preserve">means on any given date, the closing price per share of Stock as reported for such day by the principal exchange or trading market on which Stock is traded (as determined by the Administrator) or, if Stock was not traded on such date, on the next preceding day on which Stock was traded. If the Stock is not listed on a stock exchange or if trading activities for Stock are not reported, the Fair Market Value will be determined by the </w:t>
      </w:r>
    </w:p>
    <w:p>
      <w:pPr>
        <w:pStyle w:val="TextBody"/>
        <w:bidi w:val="0"/>
        <w:jc w:val="center"/>
        <w:rPr>
          <w:rFonts w:ascii="Arial" w:hAnsi="Arial"/>
          <w:color w:val="000000"/>
          <w:sz w:val="16"/>
        </w:rPr>
      </w:pPr>
      <w:r>
        <w:rPr>
          <w:rFonts w:ascii="Arial" w:hAnsi="Arial"/>
          <w:color w:val="000000"/>
          <w:sz w:val="16"/>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Committee or an Administrator, consistent with applicable legal requirements (including, if applicable, the requirements of Section 409A of the Code).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27.1.14.</w:t>
      </w:r>
    </w:p>
    <w:p>
      <w:pPr>
        <w:pStyle w:val="TextBody"/>
        <w:bidi w:val="0"/>
        <w:spacing w:before="120" w:after="283"/>
        <w:jc w:val="both"/>
        <w:rPr/>
      </w:pPr>
      <w:r>
        <w:rPr>
          <w:color w:val="000000"/>
        </w:rPr>
        <w:t>“</w:t>
      </w:r>
      <w:r>
        <w:rPr>
          <w:rFonts w:ascii="Times New Roman" w:hAnsi="Times New Roman"/>
          <w:b/>
          <w:i/>
          <w:color w:val="000000"/>
          <w:sz w:val="20"/>
        </w:rPr>
        <w:t>Incumbent Directors”</w:t>
      </w:r>
      <w:r>
        <w:rPr>
          <w:color w:val="000000"/>
        </w:rPr>
        <w:t xml:space="preserve"> </w:t>
      </w:r>
      <w:r>
        <w:rPr>
          <w:rFonts w:ascii="Times New Roman" w:hAnsi="Times New Roman"/>
          <w:color w:val="000000"/>
          <w:sz w:val="20"/>
        </w:rPr>
        <w:t xml:space="preserve">means the individuals who, as of the Effective Date, are Directors of the Company and any individual becoming a Director subsequent to the Effective Date whose election, nomination for election by the Company’s stockholders or appointment was approved by a vote of at least two-thirds of the then Incumbent Directors (either by a specific vote or by approval of the proxy statement of the Company in which such person is named as a nominee for director, without objection to such nomination);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an individual shall not be an Incumbent Director if such individual’s election or appointment to the Board occurs as a result of an actual or threatened election contest (as described in Rule 14a-12(c) of the Exchange Act) with respect to the election or removal of Directors or other actual or threatened solicitation of proxies or consents (including through the use of any proxy access procedures set forth in the Company’s organizational documents) by or on behalf of a Person other than the Board.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27.1.15.</w:t>
      </w:r>
    </w:p>
    <w:p>
      <w:pPr>
        <w:pStyle w:val="TextBody"/>
        <w:bidi w:val="0"/>
        <w:spacing w:before="120" w:after="283"/>
        <w:jc w:val="both"/>
        <w:rPr/>
      </w:pPr>
      <w:r>
        <w:rPr>
          <w:color w:val="000000"/>
        </w:rPr>
        <w:t>“</w:t>
      </w:r>
      <w:r>
        <w:rPr>
          <w:rFonts w:ascii="Times New Roman" w:hAnsi="Times New Roman"/>
          <w:b/>
          <w:i/>
          <w:color w:val="000000"/>
          <w:sz w:val="20"/>
        </w:rPr>
        <w:t>Offering</w:t>
      </w:r>
      <w:r>
        <w:rPr>
          <w:color w:val="000000"/>
        </w:rPr>
        <w:t xml:space="preserve">” </w:t>
      </w:r>
      <w:r>
        <w:rPr>
          <w:rFonts w:ascii="Times New Roman" w:hAnsi="Times New Roman"/>
          <w:color w:val="000000"/>
          <w:sz w:val="20"/>
        </w:rPr>
        <w:t>means an offering of Stock pursuant to this Plan, as provided in Section 6. More than one Offering may run concurrently, the terms of which need not be the same, as permitted under Section 423.</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27.1.16.</w:t>
      </w:r>
    </w:p>
    <w:p>
      <w:pPr>
        <w:pStyle w:val="TextBody"/>
        <w:bidi w:val="0"/>
        <w:spacing w:before="120" w:after="283"/>
        <w:jc w:val="both"/>
        <w:rPr/>
      </w:pPr>
      <w:r>
        <w:rPr>
          <w:color w:val="000000"/>
        </w:rPr>
        <w:t>“</w:t>
      </w:r>
      <w:r>
        <w:rPr>
          <w:rFonts w:ascii="Times New Roman" w:hAnsi="Times New Roman"/>
          <w:b/>
          <w:i/>
          <w:color w:val="000000"/>
          <w:sz w:val="20"/>
        </w:rPr>
        <w:t>Offering Date</w:t>
      </w:r>
      <w:r>
        <w:rPr>
          <w:color w:val="000000"/>
        </w:rPr>
        <w:t xml:space="preserve">” </w:t>
      </w:r>
      <w:r>
        <w:rPr>
          <w:rFonts w:ascii="Times New Roman" w:hAnsi="Times New Roman"/>
          <w:color w:val="000000"/>
          <w:sz w:val="20"/>
        </w:rPr>
        <w:t>means, for any Offering Period, the first day of such Offering Period.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27.1.17.</w:t>
      </w:r>
    </w:p>
    <w:p>
      <w:pPr>
        <w:pStyle w:val="TextBody"/>
        <w:bidi w:val="0"/>
        <w:spacing w:before="120" w:after="283"/>
        <w:jc w:val="both"/>
        <w:rPr/>
      </w:pPr>
      <w:r>
        <w:rPr>
          <w:color w:val="000000"/>
        </w:rPr>
        <w:t>“</w:t>
      </w:r>
      <w:r>
        <w:rPr>
          <w:rFonts w:ascii="Times New Roman" w:hAnsi="Times New Roman"/>
          <w:b/>
          <w:i/>
          <w:color w:val="000000"/>
          <w:sz w:val="20"/>
        </w:rPr>
        <w:t>Offering Period</w:t>
      </w:r>
      <w:r>
        <w:rPr>
          <w:color w:val="000000"/>
        </w:rPr>
        <w:t xml:space="preserve">” </w:t>
      </w:r>
      <w:r>
        <w:rPr>
          <w:rFonts w:ascii="Times New Roman" w:hAnsi="Times New Roman"/>
          <w:color w:val="000000"/>
          <w:sz w:val="20"/>
        </w:rPr>
        <w:t>means a period, established by the Committee in accordance with Section 6, during which an Offering is outstanding.</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27.1.18.</w:t>
      </w:r>
    </w:p>
    <w:p>
      <w:pPr>
        <w:pStyle w:val="TextBody"/>
        <w:bidi w:val="0"/>
        <w:spacing w:before="120" w:after="283"/>
        <w:jc w:val="both"/>
        <w:rPr/>
      </w:pPr>
      <w:r>
        <w:rPr>
          <w:color w:val="000000"/>
        </w:rPr>
        <w:t>“</w:t>
      </w:r>
      <w:r>
        <w:rPr>
          <w:rFonts w:ascii="Times New Roman" w:hAnsi="Times New Roman"/>
          <w:b/>
          <w:i/>
          <w:color w:val="000000"/>
          <w:sz w:val="20"/>
        </w:rPr>
        <w:t>Officer</w:t>
      </w:r>
      <w:r>
        <w:rPr>
          <w:color w:val="000000"/>
        </w:rPr>
        <w:t xml:space="preserve">” </w:t>
      </w:r>
      <w:r>
        <w:rPr>
          <w:rFonts w:ascii="Times New Roman" w:hAnsi="Times New Roman"/>
          <w:color w:val="000000"/>
          <w:sz w:val="20"/>
        </w:rPr>
        <w:t>means any person designated by the Board as an officer of the Company.</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27.1.19.</w:t>
      </w:r>
    </w:p>
    <w:p>
      <w:pPr>
        <w:pStyle w:val="TextBody"/>
        <w:bidi w:val="0"/>
        <w:spacing w:before="120" w:after="283"/>
        <w:jc w:val="both"/>
        <w:rPr/>
      </w:pPr>
      <w:r>
        <w:rPr>
          <w:color w:val="000000"/>
        </w:rPr>
        <w:t>“</w:t>
      </w:r>
      <w:r>
        <w:rPr>
          <w:rFonts w:ascii="Times New Roman" w:hAnsi="Times New Roman"/>
          <w:b/>
          <w:i/>
          <w:color w:val="000000"/>
          <w:sz w:val="20"/>
        </w:rPr>
        <w:t>Parent</w:t>
      </w:r>
      <w:r>
        <w:rPr>
          <w:color w:val="000000"/>
        </w:rPr>
        <w:t xml:space="preserve">” </w:t>
      </w:r>
      <w:r>
        <w:rPr>
          <w:rFonts w:ascii="Times New Roman" w:hAnsi="Times New Roman"/>
          <w:color w:val="000000"/>
          <w:sz w:val="20"/>
        </w:rPr>
        <w:t>means any present or future “parent corporation” of the Company, as defined in Section 424(e) of the Code.</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27.1.20.</w:t>
      </w:r>
    </w:p>
    <w:p>
      <w:pPr>
        <w:pStyle w:val="TextBody"/>
        <w:bidi w:val="0"/>
        <w:spacing w:before="120" w:after="283"/>
        <w:jc w:val="both"/>
        <w:rPr/>
      </w:pPr>
      <w:r>
        <w:rPr>
          <w:color w:val="000000"/>
        </w:rPr>
        <w:t>“</w:t>
      </w:r>
      <w:r>
        <w:rPr>
          <w:rFonts w:ascii="Times New Roman" w:hAnsi="Times New Roman"/>
          <w:b/>
          <w:i/>
          <w:color w:val="000000"/>
          <w:sz w:val="20"/>
        </w:rPr>
        <w:t>Participant</w:t>
      </w:r>
      <w:r>
        <w:rPr>
          <w:color w:val="000000"/>
        </w:rPr>
        <w:t xml:space="preserve">” </w:t>
      </w:r>
      <w:r>
        <w:rPr>
          <w:rFonts w:ascii="Times New Roman" w:hAnsi="Times New Roman"/>
          <w:color w:val="000000"/>
          <w:sz w:val="20"/>
        </w:rPr>
        <w:t>means an Eligible Employee who has become a participant in an Offering Period in accordance with Section 7 and remains a participant in accordance with this Plan.</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27.1.21.</w:t>
      </w:r>
    </w:p>
    <w:p>
      <w:pPr>
        <w:pStyle w:val="TextBody"/>
        <w:bidi w:val="0"/>
        <w:spacing w:before="120" w:after="283"/>
        <w:jc w:val="both"/>
        <w:rPr/>
      </w:pPr>
      <w:r>
        <w:rPr>
          <w:color w:val="000000"/>
        </w:rPr>
        <w:t>“</w:t>
      </w:r>
      <w:r>
        <w:rPr>
          <w:rFonts w:ascii="Times New Roman" w:hAnsi="Times New Roman"/>
          <w:b/>
          <w:i/>
          <w:color w:val="000000"/>
          <w:sz w:val="20"/>
        </w:rPr>
        <w:t>Participating Company</w:t>
      </w:r>
      <w:r>
        <w:rPr>
          <w:color w:val="000000"/>
        </w:rPr>
        <w:t xml:space="preserve">” </w:t>
      </w:r>
      <w:r>
        <w:rPr>
          <w:rFonts w:ascii="Times New Roman" w:hAnsi="Times New Roman"/>
          <w:color w:val="000000"/>
          <w:sz w:val="20"/>
        </w:rPr>
        <w:t>means the Company and any Parent or Subsidiary designated by the Committee as a corporation the Employees of which may, if Eligible Employees, participate in this Plan. The Committee shall have the discretion to determine from time to time which Parents or Subsidiaries shall be Participating Companies.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27.1.22.</w:t>
      </w:r>
    </w:p>
    <w:p>
      <w:pPr>
        <w:pStyle w:val="TextBody"/>
        <w:bidi w:val="0"/>
        <w:spacing w:before="120" w:after="283"/>
        <w:jc w:val="both"/>
        <w:rPr/>
      </w:pPr>
      <w:r>
        <w:rPr>
          <w:color w:val="000000"/>
        </w:rPr>
        <w:t>“</w:t>
      </w:r>
      <w:r>
        <w:rPr>
          <w:rFonts w:ascii="Times New Roman" w:hAnsi="Times New Roman"/>
          <w:b/>
          <w:i/>
          <w:color w:val="000000"/>
          <w:sz w:val="20"/>
        </w:rPr>
        <w:t>Participating Company Group</w:t>
      </w:r>
      <w:r>
        <w:rPr>
          <w:color w:val="000000"/>
        </w:rPr>
        <w:t xml:space="preserve">” </w:t>
      </w:r>
      <w:r>
        <w:rPr>
          <w:rFonts w:ascii="Times New Roman" w:hAnsi="Times New Roman"/>
          <w:color w:val="000000"/>
          <w:sz w:val="20"/>
        </w:rPr>
        <w:t>means, at any point in time, the Company and all other corporations collectively which are then Participating Companies.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27.1.23.</w:t>
      </w:r>
    </w:p>
    <w:p>
      <w:pPr>
        <w:pStyle w:val="TextBody"/>
        <w:bidi w:val="0"/>
        <w:spacing w:before="120" w:after="283"/>
        <w:jc w:val="both"/>
        <w:rPr/>
      </w:pPr>
      <w:r>
        <w:rPr>
          <w:color w:val="000000"/>
        </w:rPr>
        <w:t>“</w:t>
      </w:r>
      <w:r>
        <w:rPr>
          <w:rFonts w:ascii="Times New Roman" w:hAnsi="Times New Roman"/>
          <w:b/>
          <w:i/>
          <w:color w:val="000000"/>
          <w:sz w:val="20"/>
        </w:rPr>
        <w:t>Purchase Date</w:t>
      </w:r>
      <w:r>
        <w:rPr>
          <w:color w:val="000000"/>
        </w:rPr>
        <w:t xml:space="preserve">” </w:t>
      </w:r>
      <w:r>
        <w:rPr>
          <w:rFonts w:ascii="Times New Roman" w:hAnsi="Times New Roman"/>
          <w:color w:val="000000"/>
          <w:sz w:val="20"/>
        </w:rPr>
        <w:t>means, for any Offering Period, the last day of such Offering Period, or, if so determined by the Committee, the last day of each Purchase Period occurring within such Offering Period.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27.1.24.</w:t>
      </w:r>
    </w:p>
    <w:p>
      <w:pPr>
        <w:pStyle w:val="TextBody"/>
        <w:bidi w:val="0"/>
        <w:spacing w:before="120" w:after="283"/>
        <w:jc w:val="both"/>
        <w:rPr/>
      </w:pPr>
      <w:r>
        <w:rPr>
          <w:color w:val="000000"/>
        </w:rPr>
        <w:t>“</w:t>
      </w:r>
      <w:r>
        <w:rPr>
          <w:rFonts w:ascii="Times New Roman" w:hAnsi="Times New Roman"/>
          <w:b/>
          <w:i/>
          <w:color w:val="000000"/>
          <w:sz w:val="20"/>
        </w:rPr>
        <w:t>Purchase Period</w:t>
      </w:r>
      <w:r>
        <w:rPr>
          <w:color w:val="000000"/>
        </w:rPr>
        <w:t xml:space="preserve">” </w:t>
      </w:r>
      <w:r>
        <w:rPr>
          <w:rFonts w:ascii="Times New Roman" w:hAnsi="Times New Roman"/>
          <w:color w:val="000000"/>
          <w:sz w:val="20"/>
        </w:rPr>
        <w:t>means a period, established by the Committee in accordance with Section 6, included within an Offering Period and on the final date of which outstanding Purchase Rights are exercised.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27.1.25.</w:t>
      </w:r>
    </w:p>
    <w:p>
      <w:pPr>
        <w:pStyle w:val="TextBody"/>
        <w:bidi w:val="0"/>
        <w:spacing w:before="120" w:after="283"/>
        <w:jc w:val="both"/>
        <w:rPr/>
      </w:pPr>
      <w:r>
        <w:rPr>
          <w:color w:val="000000"/>
        </w:rPr>
        <w:t>“</w:t>
      </w:r>
      <w:r>
        <w:rPr>
          <w:rFonts w:ascii="Times New Roman" w:hAnsi="Times New Roman"/>
          <w:b/>
          <w:i/>
          <w:color w:val="000000"/>
          <w:sz w:val="20"/>
        </w:rPr>
        <w:t>Purchase Price</w:t>
      </w:r>
      <w:r>
        <w:rPr>
          <w:color w:val="000000"/>
        </w:rPr>
        <w:t xml:space="preserve">” </w:t>
      </w:r>
      <w:r>
        <w:rPr>
          <w:rFonts w:ascii="Times New Roman" w:hAnsi="Times New Roman"/>
          <w:color w:val="000000"/>
          <w:sz w:val="20"/>
        </w:rPr>
        <w:t>means the price at which a share of Stock may be purchased under this Plan, as determined in accordance with Section 8.</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27.1.26.</w:t>
      </w:r>
    </w:p>
    <w:p>
      <w:pPr>
        <w:pStyle w:val="TextBody"/>
        <w:bidi w:val="0"/>
        <w:spacing w:before="120" w:after="283"/>
        <w:jc w:val="both"/>
        <w:rPr/>
      </w:pPr>
      <w:r>
        <w:rPr>
          <w:color w:val="000000"/>
        </w:rPr>
        <w:t>“</w:t>
      </w:r>
      <w:r>
        <w:rPr>
          <w:rFonts w:ascii="Times New Roman" w:hAnsi="Times New Roman"/>
          <w:b/>
          <w:i/>
          <w:color w:val="000000"/>
          <w:sz w:val="20"/>
        </w:rPr>
        <w:t>Purchase Right</w:t>
      </w:r>
      <w:r>
        <w:rPr>
          <w:color w:val="000000"/>
        </w:rPr>
        <w:t xml:space="preserve">” </w:t>
      </w:r>
      <w:r>
        <w:rPr>
          <w:rFonts w:ascii="Times New Roman" w:hAnsi="Times New Roman"/>
          <w:color w:val="000000"/>
          <w:sz w:val="20"/>
        </w:rPr>
        <w:t>means an option granted to a Participant pursuant to this Plan to purchase such shares of Stock as provided in Section 9, which the Participant may or may not exercise during the Offering Period in which such option is outstanding. Such option arises from the right of a Participant to withdraw any payroll deductions accumulated on behalf of the Participant and not previously applied to the purchase of Stock under this Plan, and to terminate participation in this Plan at any time during an Offering Period.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27.1.27.</w:t>
      </w:r>
    </w:p>
    <w:p>
      <w:pPr>
        <w:pStyle w:val="TextBody"/>
        <w:bidi w:val="0"/>
        <w:spacing w:before="120" w:after="283"/>
        <w:jc w:val="both"/>
        <w:rPr/>
      </w:pPr>
      <w:r>
        <w:rPr>
          <w:color w:val="000000"/>
        </w:rPr>
        <w:t>“</w:t>
      </w:r>
      <w:r>
        <w:rPr>
          <w:rFonts w:ascii="Times New Roman" w:hAnsi="Times New Roman"/>
          <w:b/>
          <w:i/>
          <w:color w:val="000000"/>
          <w:sz w:val="20"/>
        </w:rPr>
        <w:t>Securities Act</w:t>
      </w:r>
      <w:r>
        <w:rPr>
          <w:color w:val="000000"/>
        </w:rPr>
        <w:t xml:space="preserve">” </w:t>
      </w:r>
      <w:r>
        <w:rPr>
          <w:rFonts w:ascii="Times New Roman" w:hAnsi="Times New Roman"/>
          <w:color w:val="000000"/>
          <w:sz w:val="20"/>
        </w:rPr>
        <w:t>means the United States Securities Act of 1933, as amended.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27.1.28.</w:t>
      </w:r>
    </w:p>
    <w:p>
      <w:pPr>
        <w:pStyle w:val="TextBody"/>
        <w:bidi w:val="0"/>
        <w:spacing w:before="120" w:after="283"/>
        <w:jc w:val="both"/>
        <w:rPr/>
      </w:pPr>
      <w:r>
        <w:rPr>
          <w:color w:val="000000"/>
        </w:rPr>
        <w:t>“</w:t>
      </w:r>
      <w:r>
        <w:rPr>
          <w:rFonts w:ascii="Times New Roman" w:hAnsi="Times New Roman"/>
          <w:b/>
          <w:i/>
          <w:color w:val="000000"/>
          <w:sz w:val="20"/>
        </w:rPr>
        <w:t>Stock</w:t>
      </w:r>
      <w:r>
        <w:rPr>
          <w:color w:val="000000"/>
        </w:rPr>
        <w:t xml:space="preserve">” </w:t>
      </w:r>
      <w:r>
        <w:rPr>
          <w:rFonts w:ascii="Times New Roman" w:hAnsi="Times New Roman"/>
          <w:color w:val="000000"/>
          <w:sz w:val="20"/>
        </w:rPr>
        <w:t>means the Common Stock, par value $.01 per share, of the Company, as adjusted from time to time in accordance with Section 4.</w:t>
      </w:r>
    </w:p>
    <w:p>
      <w:pPr>
        <w:pStyle w:val="TextBody"/>
        <w:bidi w:val="0"/>
        <w:jc w:val="center"/>
        <w:rPr>
          <w:rFonts w:ascii="Arial" w:hAnsi="Arial"/>
          <w:color w:val="000000"/>
          <w:sz w:val="16"/>
        </w:rPr>
      </w:pPr>
      <w:r>
        <w:rPr>
          <w:rFonts w:ascii="Arial" w:hAnsi="Arial"/>
          <w:color w:val="000000"/>
          <w:sz w:val="16"/>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27.1.29.</w:t>
      </w:r>
    </w:p>
    <w:p>
      <w:pPr>
        <w:pStyle w:val="TextBody"/>
        <w:bidi w:val="0"/>
        <w:spacing w:before="120" w:after="283"/>
        <w:jc w:val="both"/>
        <w:rPr/>
      </w:pPr>
      <w:r>
        <w:rPr>
          <w:color w:val="000000"/>
        </w:rPr>
        <w:t>“</w:t>
      </w:r>
      <w:r>
        <w:rPr>
          <w:rFonts w:ascii="Times New Roman" w:hAnsi="Times New Roman"/>
          <w:b/>
          <w:i/>
          <w:color w:val="000000"/>
          <w:sz w:val="20"/>
        </w:rPr>
        <w:t>Subscription Agreement</w:t>
      </w:r>
      <w:r>
        <w:rPr>
          <w:color w:val="000000"/>
        </w:rPr>
        <w:t xml:space="preserve">” </w:t>
      </w:r>
      <w:r>
        <w:rPr>
          <w:rFonts w:ascii="Times New Roman" w:hAnsi="Times New Roman"/>
          <w:color w:val="000000"/>
          <w:sz w:val="20"/>
        </w:rPr>
        <w:t>means a written or electronic agreement, in such form as is specified by the Company, stating an Employee’s election to participate in this Plan and authorizing payroll deductions under this Plan from the Employee’s Compensation.</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27.1.30.</w:t>
      </w:r>
    </w:p>
    <w:p>
      <w:pPr>
        <w:pStyle w:val="TextBody"/>
        <w:bidi w:val="0"/>
        <w:spacing w:before="120" w:after="283"/>
        <w:jc w:val="both"/>
        <w:rPr/>
      </w:pPr>
      <w:r>
        <w:rPr>
          <w:color w:val="000000"/>
        </w:rPr>
        <w:t>“</w:t>
      </w:r>
      <w:r>
        <w:rPr>
          <w:rFonts w:ascii="Times New Roman" w:hAnsi="Times New Roman"/>
          <w:b/>
          <w:i/>
          <w:color w:val="000000"/>
          <w:sz w:val="20"/>
        </w:rPr>
        <w:t>Subscription Date</w:t>
      </w:r>
      <w:r>
        <w:rPr>
          <w:color w:val="000000"/>
        </w:rPr>
        <w:t xml:space="preserve">” </w:t>
      </w:r>
      <w:r>
        <w:rPr>
          <w:rFonts w:ascii="Times New Roman" w:hAnsi="Times New Roman"/>
          <w:color w:val="000000"/>
          <w:sz w:val="20"/>
        </w:rPr>
        <w:t>means the last Business Day prior to the Offering Date of an Offering Period or such earlier date as the Company shall establish.</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27.1.31.</w:t>
      </w:r>
    </w:p>
    <w:p>
      <w:pPr>
        <w:pStyle w:val="TextBody"/>
        <w:bidi w:val="0"/>
        <w:spacing w:before="120" w:after="283"/>
        <w:jc w:val="both"/>
        <w:rPr/>
      </w:pPr>
      <w:r>
        <w:rPr>
          <w:color w:val="000000"/>
        </w:rPr>
        <w:t>“</w:t>
      </w:r>
      <w:r>
        <w:rPr>
          <w:rFonts w:ascii="Times New Roman" w:hAnsi="Times New Roman"/>
          <w:b/>
          <w:i/>
          <w:color w:val="000000"/>
          <w:sz w:val="20"/>
        </w:rPr>
        <w:t>Subsidiary</w:t>
      </w:r>
      <w:r>
        <w:rPr>
          <w:color w:val="000000"/>
        </w:rPr>
        <w:t xml:space="preserve">” </w:t>
      </w:r>
      <w:r>
        <w:rPr>
          <w:rFonts w:ascii="Times New Roman" w:hAnsi="Times New Roman"/>
          <w:color w:val="000000"/>
          <w:sz w:val="20"/>
        </w:rPr>
        <w:t>means any present or future “subsidiary corporation” of the Company, as defined in Section 424(f) of the Code.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27.1.32.</w:t>
      </w:r>
    </w:p>
    <w:p>
      <w:pPr>
        <w:pStyle w:val="TextBody"/>
        <w:bidi w:val="0"/>
        <w:spacing w:before="120" w:after="283"/>
        <w:jc w:val="both"/>
        <w:rPr/>
      </w:pPr>
      <w:r>
        <w:rPr>
          <w:color w:val="000000"/>
        </w:rPr>
        <w:t>“</w:t>
      </w:r>
      <w:r>
        <w:rPr>
          <w:rFonts w:ascii="Times New Roman" w:hAnsi="Times New Roman"/>
          <w:b/>
          <w:i/>
          <w:color w:val="000000"/>
          <w:sz w:val="20"/>
        </w:rPr>
        <w:t>Voting Stock”</w:t>
      </w:r>
      <w:r>
        <w:rPr>
          <w:color w:val="000000"/>
        </w:rPr>
        <w:t xml:space="preserve"> </w:t>
      </w:r>
      <w:r>
        <w:rPr>
          <w:rFonts w:ascii="Times New Roman" w:hAnsi="Times New Roman"/>
          <w:color w:val="000000"/>
          <w:sz w:val="20"/>
        </w:rPr>
        <w:t>means securities entitled to vote generally in the election of Directors.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27.2.</w:t>
      </w:r>
    </w:p>
    <w:p>
      <w:pPr>
        <w:pStyle w:val="TextBody"/>
        <w:bidi w:val="0"/>
        <w:spacing w:before="120" w:after="283"/>
        <w:jc w:val="both"/>
        <w:rPr/>
      </w:pPr>
      <w:r>
        <w:rPr>
          <w:rFonts w:ascii="Times New Roman" w:hAnsi="Times New Roman"/>
          <w:b/>
          <w:color w:val="000000"/>
          <w:sz w:val="20"/>
        </w:rPr>
        <w:t>Construction</w:t>
      </w:r>
      <w:r>
        <w:rPr>
          <w:rFonts w:ascii="Times New Roman" w:hAnsi="Times New Roman"/>
          <w:color w:val="000000"/>
          <w:sz w:val="20"/>
        </w:rPr>
        <w:t>. Captions and titles contained herein are for convenience only and shall not affect the meaning or interpretation of any provision of this Plan. Except when otherwise indicated by the context, the singular shall include the plural and the plural shall include the singular.</w:t>
      </w:r>
    </w:p>
    <w:p>
      <w:pPr>
        <w:pStyle w:val="TextBody"/>
        <w:bidi w:val="0"/>
        <w:jc w:val="center"/>
        <w:rPr>
          <w:rFonts w:ascii="Arial" w:hAnsi="Arial"/>
          <w:color w:val="000000"/>
          <w:sz w:val="16"/>
        </w:rPr>
      </w:pPr>
      <w:r>
        <w:rPr>
          <w:rFonts w:ascii="Arial" w:hAnsi="Arial"/>
          <w:color w:val="000000"/>
          <w:sz w:val="16"/>
        </w:rPr>
        <w:t>9</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9" w:name="abm_exfilingfees.htm"/>
      <w:bookmarkStart w:id="10" w:name="ksabm_exfilingfees"/>
      <w:bookmarkEnd w:id="9"/>
      <w:bookmarkEnd w:id="10"/>
      <w:r>
        <w:rPr>
          <w:rFonts w:ascii="Times New Roman" w:hAnsi="Times New Roman"/>
          <w:b/>
          <w:color w:val="000000"/>
          <w:sz w:val="24"/>
        </w:rPr>
        <w:t>Exhibit 107.1</w:t>
      </w:r>
      <w:r>
        <w:br w:type="page"/>
      </w:r>
    </w:p>
    <w:p>
      <w:pPr>
        <w:pStyle w:val="TextBody"/>
        <w:bidi w:val="0"/>
        <w:jc w:val="center"/>
        <w:rPr>
          <w:rFonts w:ascii="Times New Roman" w:hAnsi="Times New Roman"/>
          <w:sz w:val="20"/>
        </w:rPr>
      </w:pPr>
      <w:r>
        <w:rPr>
          <w:rFonts w:ascii="Times New Roman" w:hAnsi="Times New Roman"/>
          <w:b/>
          <w:color w:val="000000"/>
          <w:sz w:val="24"/>
        </w:rPr>
        <w:t>Calculation of Filing Fee</w:t>
      </w:r>
      <w:r>
        <w:rPr>
          <w:rFonts w:ascii="Times New Roman" w:hAnsi="Times New Roman"/>
          <w:color w:val="000000"/>
          <w:sz w:val="20"/>
        </w:rPr>
        <w:t xml:space="preserve"> </w:t>
      </w:r>
      <w:r>
        <w:rPr>
          <w:rFonts w:ascii="Times New Roman" w:hAnsi="Times New Roman"/>
          <w:b/>
          <w:color w:val="000000"/>
          <w:sz w:val="24"/>
        </w:rPr>
        <w:t>Tables</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Form S-8</w:t>
      </w:r>
    </w:p>
    <w:p>
      <w:pPr>
        <w:pStyle w:val="TextBody"/>
        <w:bidi w:val="0"/>
        <w:jc w:val="center"/>
        <w:rPr>
          <w:rFonts w:ascii="Times New Roman" w:hAnsi="Times New Roman"/>
          <w:color w:val="000000"/>
          <w:sz w:val="24"/>
        </w:rPr>
      </w:pPr>
      <w:r>
        <w:rPr>
          <w:rFonts w:ascii="Times New Roman" w:hAnsi="Times New Roman"/>
          <w:color w:val="000000"/>
          <w:sz w:val="24"/>
        </w:rPr>
        <w:t>(Form Type)</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4"/>
        </w:rPr>
        <w:t>ABM Industries Incorporated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(Exact Name of Registrant as Specified in its Charter)</w:t>
      </w:r>
    </w:p>
    <w:p>
      <w:pPr>
        <w:pStyle w:val="TextBody"/>
        <w:bidi w:val="0"/>
        <w:jc w:val="center"/>
        <w:rPr/>
      </w:pPr>
      <w:r>
        <w:rPr/>
        <w:t> </w:t>
      </w:r>
    </w:p>
    <w:p>
      <w:pPr>
        <w:pStyle w:val="TextBody"/>
        <w:bidi w:val="0"/>
        <w:jc w:val="center"/>
        <w:rPr>
          <w:rFonts w:ascii="Times New Roman" w:hAnsi="Times New Roman"/>
          <w:color w:val="000000"/>
          <w:sz w:val="24"/>
          <w:u w:val="single"/>
        </w:rPr>
      </w:pPr>
      <w:r>
        <w:rPr>
          <w:rFonts w:ascii="Times New Roman" w:hAnsi="Times New Roman"/>
          <w:color w:val="000000"/>
          <w:sz w:val="24"/>
          <w:u w:val="single"/>
        </w:rPr>
        <w:t>Table 1: Newly Registered Securities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08"/>
        <w:gridCol w:w="1300"/>
        <w:gridCol w:w="1229"/>
        <w:gridCol w:w="1223"/>
        <w:gridCol w:w="1507"/>
        <w:gridCol w:w="1519"/>
        <w:gridCol w:w="1096"/>
        <w:gridCol w:w="1423"/>
      </w:tblGrid>
      <w:tr>
        <w:trPr/>
        <w:tc>
          <w:tcPr>
            <w:tcW w:w="908"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r>
      <w:tr>
        <w:trPr/>
        <w:tc>
          <w:tcPr>
            <w:tcW w:w="908"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Security Type</w:t>
            </w:r>
          </w:p>
        </w:tc>
        <w:tc>
          <w:tcPr>
            <w:tcW w:w="1300"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Security Class Title</w:t>
            </w:r>
          </w:p>
        </w:tc>
        <w:tc>
          <w:tcPr>
            <w:tcW w:w="1229"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Fee Calculation Rule</w:t>
            </w:r>
          </w:p>
        </w:tc>
        <w:tc>
          <w:tcPr>
            <w:tcW w:w="1223"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Amount Registered</w:t>
            </w:r>
            <w:r>
              <w:rPr>
                <w:rFonts w:ascii="Times New Roman" w:hAnsi="Times New Roman"/>
                <w:b/>
                <w:color w:val="000000"/>
                <w:sz w:val="13"/>
              </w:rPr>
              <w:t>(1)(2)</w:t>
            </w:r>
          </w:p>
        </w:tc>
        <w:tc>
          <w:tcPr>
            <w:tcW w:w="1507"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Proposed Maximum Offering Price Per Unit</w:t>
            </w:r>
            <w:r>
              <w:rPr>
                <w:rFonts w:ascii="Times New Roman" w:hAnsi="Times New Roman"/>
                <w:b/>
                <w:color w:val="000000"/>
                <w:sz w:val="13"/>
              </w:rPr>
              <w:t>(3)</w:t>
            </w:r>
          </w:p>
        </w:tc>
        <w:tc>
          <w:tcPr>
            <w:tcW w:w="1519"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Maximum Aggregate Offering Price</w:t>
            </w:r>
            <w:r>
              <w:rPr>
                <w:rFonts w:ascii="Times New Roman" w:hAnsi="Times New Roman"/>
                <w:b/>
                <w:color w:val="000000"/>
                <w:sz w:val="13"/>
              </w:rPr>
              <w:t>(3)</w:t>
            </w:r>
          </w:p>
        </w:tc>
        <w:tc>
          <w:tcPr>
            <w:tcW w:w="109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Fee Rate</w:t>
            </w:r>
          </w:p>
        </w:tc>
        <w:tc>
          <w:tcPr>
            <w:tcW w:w="1423"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 of Registration Fee</w:t>
            </w:r>
          </w:p>
        </w:tc>
      </w:tr>
      <w:tr>
        <w:trPr/>
        <w:tc>
          <w:tcPr>
            <w:tcW w:w="908"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Equity</w:t>
            </w:r>
          </w:p>
        </w:tc>
        <w:tc>
          <w:tcPr>
            <w:tcW w:w="13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22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Other</w:t>
            </w:r>
          </w:p>
        </w:tc>
        <w:tc>
          <w:tcPr>
            <w:tcW w:w="12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1,500,000</w:t>
            </w:r>
          </w:p>
        </w:tc>
        <w:tc>
          <w:tcPr>
            <w:tcW w:w="150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$46.875</w:t>
            </w:r>
          </w:p>
        </w:tc>
        <w:tc>
          <w:tcPr>
            <w:tcW w:w="151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$70,312,500</w:t>
            </w:r>
          </w:p>
        </w:tc>
        <w:tc>
          <w:tcPr>
            <w:tcW w:w="10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0.00015310</w:t>
            </w:r>
          </w:p>
        </w:tc>
        <w:tc>
          <w:tcPr>
            <w:tcW w:w="14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$10,765</w:t>
            </w:r>
          </w:p>
        </w:tc>
      </w:tr>
      <w:tr>
        <w:trPr/>
        <w:tc>
          <w:tcPr>
            <w:tcW w:w="4660" w:type="dxa"/>
            <w:gridSpan w:val="4"/>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Offering Amounts</w:t>
            </w:r>
          </w:p>
        </w:tc>
        <w:tc>
          <w:tcPr>
            <w:tcW w:w="150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51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$70,312,500</w:t>
            </w:r>
          </w:p>
        </w:tc>
        <w:tc>
          <w:tcPr>
            <w:tcW w:w="10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$10,765</w:t>
            </w:r>
          </w:p>
        </w:tc>
      </w:tr>
      <w:tr>
        <w:trPr/>
        <w:tc>
          <w:tcPr>
            <w:tcW w:w="4660" w:type="dxa"/>
            <w:gridSpan w:val="4"/>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Fee Offsets</w:t>
            </w:r>
          </w:p>
        </w:tc>
        <w:tc>
          <w:tcPr>
            <w:tcW w:w="150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51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0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color w:val="000000"/>
              </w:rPr>
            </w:pPr>
            <w:r>
              <w:rPr>
                <w:color w:val="000000"/>
              </w:rPr>
              <w:t>—</w:t>
            </w:r>
          </w:p>
        </w:tc>
      </w:tr>
      <w:tr>
        <w:trPr/>
        <w:tc>
          <w:tcPr>
            <w:tcW w:w="4660" w:type="dxa"/>
            <w:gridSpan w:val="4"/>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 Fee Due</w:t>
            </w:r>
          </w:p>
        </w:tc>
        <w:tc>
          <w:tcPr>
            <w:tcW w:w="150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51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0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$10,765</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(1) Pursuant to Rule 416(a) of the Securities Act of 1933, as amended (the “</w:t>
      </w:r>
      <w:r>
        <w:rPr>
          <w:rFonts w:ascii="Times New Roman" w:hAnsi="Times New Roman"/>
          <w:b/>
          <w:i/>
          <w:color w:val="000000"/>
          <w:sz w:val="20"/>
        </w:rPr>
        <w:t>Securities Act</w:t>
      </w:r>
      <w:r>
        <w:rPr>
          <w:rFonts w:ascii="Times New Roman" w:hAnsi="Times New Roman"/>
          <w:color w:val="000000"/>
          <w:sz w:val="20"/>
        </w:rPr>
        <w:t>”), this Registration Statement also covers such indeterminable number of additional shares of common stock of the Registrant as may become issuable to prevent dilution in the event of stock splits, stock dividends, recapitalization or similar transactions.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(2) Represents shares of common stock, par value $0.01 per share, of ABM Industries Incorporated issuable pursuant to the ABM Industries Incorporated 2025 Employee Stock Purchase Plan being registered pursuant to this Registration Statement.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(3) Estimated solely for the purpose of calculating the registration fee pursuant to Rule 457(c) and Rule 457(h) of the Securities Act, based upon the average of the high and low prices of the common stock of the Registrant on the New York Stock Exchange on March 21, 2025.</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771497/000077149724000029/abm-20241031.htm" TargetMode="External"/><Relationship Id="rId3" Type="http://schemas.openxmlformats.org/officeDocument/2006/relationships/hyperlink" Target="https://www.sec.gov/ix?doc=/Archives/edgar/data/771497/000077149725000005/abm-20250131.htm" TargetMode="External"/><Relationship Id="rId4" Type="http://schemas.openxmlformats.org/officeDocument/2006/relationships/hyperlink" Target="https://www.sec.gov/ix?doc=/Archives/edgar/data/771497/000095017025030050/abm-20250226.htm" TargetMode="External"/><Relationship Id="rId5" Type="http://schemas.openxmlformats.org/officeDocument/2006/relationships/hyperlink" Target="https://www.sec.gov/ix?doc=/Archives/edgar/data/771497/000095017025037617/abm-20250312.htm" TargetMode="External"/><Relationship Id="rId6" Type="http://schemas.openxmlformats.org/officeDocument/2006/relationships/hyperlink" Target="https://www.sec.gov/Archives/edgar/data/771497/000077149720000018/abm10312020ex41.htm" TargetMode="External"/><Relationship Id="rId7" Type="http://schemas.openxmlformats.org/officeDocument/2006/relationships/hyperlink" Target="https://www.sec.gov/Archives/edgar/data/771497/000110465920039488/tm2014024d1_ex3-1.htm" TargetMode="External"/><Relationship Id="rId8" Type="http://schemas.openxmlformats.org/officeDocument/2006/relationships/hyperlink" Target="https://www.sec.gov/Archives/edgar/data/771497/000095017024037283/abm-ex3_1.htm" TargetMode="External"/><Relationship Id="rId9" Type="http://schemas.openxmlformats.org/officeDocument/2006/relationships/image" Target="media/image1.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9705</Words>
  <Characters>50847</Characters>
  <CharactersWithSpaces>60372</CharactersWithSpaces>
  <Paragraphs>627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